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19A73" w14:textId="061CD11E" w:rsidR="007B10FD" w:rsidRDefault="007B10FD" w:rsidP="009C7EA3">
      <w:pPr>
        <w:spacing w:line="360" w:lineRule="auto"/>
        <w:jc w:val="both"/>
        <w:rPr>
          <w:rFonts w:ascii="Arial" w:hAnsi="Arial" w:cs="Arial"/>
          <w:sz w:val="24"/>
          <w:szCs w:val="24"/>
        </w:rPr>
      </w:pPr>
      <w:r>
        <w:rPr>
          <w:rFonts w:ascii="Arial" w:hAnsi="Arial" w:cs="Arial"/>
          <w:sz w:val="24"/>
          <w:szCs w:val="24"/>
        </w:rPr>
        <w:t>This essay is going to examine the effectiveness of non-fatal offences against the person and see if they are still fi</w:t>
      </w:r>
      <w:r w:rsidR="001B0516">
        <w:rPr>
          <w:rFonts w:ascii="Arial" w:hAnsi="Arial" w:cs="Arial"/>
          <w:sz w:val="24"/>
          <w:szCs w:val="24"/>
        </w:rPr>
        <w:t>t</w:t>
      </w:r>
      <w:r>
        <w:rPr>
          <w:rFonts w:ascii="Arial" w:hAnsi="Arial" w:cs="Arial"/>
          <w:sz w:val="24"/>
          <w:szCs w:val="24"/>
        </w:rPr>
        <w:t xml:space="preserve"> for purpose. To do this, the Offences Against the Person Act 1861 is going to be</w:t>
      </w:r>
      <w:r w:rsidR="001B0516">
        <w:rPr>
          <w:rFonts w:ascii="Arial" w:hAnsi="Arial" w:cs="Arial"/>
          <w:sz w:val="24"/>
          <w:szCs w:val="24"/>
        </w:rPr>
        <w:t xml:space="preserve"> examined and</w:t>
      </w:r>
      <w:r>
        <w:rPr>
          <w:rFonts w:ascii="Arial" w:hAnsi="Arial" w:cs="Arial"/>
          <w:sz w:val="24"/>
          <w:szCs w:val="24"/>
        </w:rPr>
        <w:t xml:space="preserve"> discussed to see if the Act is effective and has a place in the modern British legal system. There have been calls for the Act to be reformed, notably by the Law Commission who published a report in 2015 detailing plans to reform the so-called outdated Act. The essay will then look at </w:t>
      </w:r>
      <w:r w:rsidR="00713498">
        <w:rPr>
          <w:rFonts w:ascii="Arial" w:hAnsi="Arial" w:cs="Arial"/>
          <w:sz w:val="24"/>
          <w:szCs w:val="24"/>
        </w:rPr>
        <w:t>a few</w:t>
      </w:r>
      <w:r>
        <w:rPr>
          <w:rFonts w:ascii="Arial" w:hAnsi="Arial" w:cs="Arial"/>
          <w:sz w:val="24"/>
          <w:szCs w:val="24"/>
        </w:rPr>
        <w:t xml:space="preserve"> case laws to see whether these calls are justified and needed in order to bring the Act up to date. It shall also look at a number of parties that have commented on the Law Commissions report</w:t>
      </w:r>
      <w:r w:rsidR="001B0516">
        <w:rPr>
          <w:rFonts w:ascii="Arial" w:hAnsi="Arial" w:cs="Arial"/>
          <w:sz w:val="24"/>
          <w:szCs w:val="24"/>
        </w:rPr>
        <w:t xml:space="preserve"> and</w:t>
      </w:r>
      <w:r>
        <w:rPr>
          <w:rFonts w:ascii="Arial" w:hAnsi="Arial" w:cs="Arial"/>
          <w:sz w:val="24"/>
          <w:szCs w:val="24"/>
        </w:rPr>
        <w:t xml:space="preserve"> and analyse as to why they agree or disagree </w:t>
      </w:r>
      <w:r w:rsidR="001B0516">
        <w:rPr>
          <w:rFonts w:ascii="Arial" w:hAnsi="Arial" w:cs="Arial"/>
          <w:sz w:val="24"/>
          <w:szCs w:val="24"/>
        </w:rPr>
        <w:t>with</w:t>
      </w:r>
      <w:r>
        <w:rPr>
          <w:rFonts w:ascii="Arial" w:hAnsi="Arial" w:cs="Arial"/>
          <w:sz w:val="24"/>
          <w:szCs w:val="24"/>
        </w:rPr>
        <w:t xml:space="preserve"> </w:t>
      </w:r>
      <w:r w:rsidR="00746BA7">
        <w:rPr>
          <w:rFonts w:ascii="Arial" w:hAnsi="Arial" w:cs="Arial"/>
          <w:sz w:val="24"/>
          <w:szCs w:val="24"/>
        </w:rPr>
        <w:t xml:space="preserve">their actions and recommendations. </w:t>
      </w:r>
    </w:p>
    <w:p w14:paraId="03A05171" w14:textId="7DA56F36" w:rsidR="006E26C0" w:rsidRDefault="00565B59" w:rsidP="009C7EA3">
      <w:pPr>
        <w:spacing w:line="360" w:lineRule="auto"/>
        <w:jc w:val="both"/>
        <w:rPr>
          <w:rFonts w:ascii="Arial" w:hAnsi="Arial" w:cs="Arial"/>
          <w:sz w:val="24"/>
          <w:szCs w:val="24"/>
        </w:rPr>
      </w:pPr>
      <w:r>
        <w:rPr>
          <w:rFonts w:ascii="Arial" w:hAnsi="Arial" w:cs="Arial"/>
          <w:sz w:val="24"/>
          <w:szCs w:val="24"/>
        </w:rPr>
        <w:t>When discussing non-fatal offences against the person, one must be talking in relation to the Offences Against the Person Act of 1861</w:t>
      </w:r>
      <w:r w:rsidR="00AE7C11">
        <w:rPr>
          <w:rFonts w:ascii="Arial" w:hAnsi="Arial" w:cs="Arial"/>
          <w:sz w:val="24"/>
          <w:szCs w:val="24"/>
        </w:rPr>
        <w:t xml:space="preserve"> (OAPA)</w:t>
      </w:r>
      <w:r>
        <w:rPr>
          <w:rFonts w:ascii="Arial" w:hAnsi="Arial" w:cs="Arial"/>
          <w:sz w:val="24"/>
          <w:szCs w:val="24"/>
        </w:rPr>
        <w:t xml:space="preserve">. </w:t>
      </w:r>
      <w:r w:rsidR="00FF7923">
        <w:rPr>
          <w:rFonts w:ascii="Arial" w:hAnsi="Arial" w:cs="Arial"/>
          <w:sz w:val="24"/>
          <w:szCs w:val="24"/>
        </w:rPr>
        <w:t xml:space="preserve">The act was </w:t>
      </w:r>
      <w:r w:rsidR="001873EC">
        <w:rPr>
          <w:rFonts w:ascii="Arial" w:hAnsi="Arial" w:cs="Arial"/>
          <w:sz w:val="24"/>
          <w:szCs w:val="24"/>
        </w:rPr>
        <w:t xml:space="preserve">formed by consolidating previous statutes into one single act (Davis, 1861, pp. 5-6) and covers a wide number of offences when inflicted upon another person such as murder, assault, rape and much more besides. </w:t>
      </w:r>
      <w:r w:rsidR="00D07AB9">
        <w:rPr>
          <w:rFonts w:ascii="Arial" w:hAnsi="Arial" w:cs="Arial"/>
          <w:sz w:val="24"/>
          <w:szCs w:val="24"/>
        </w:rPr>
        <w:t>The Act is divided up into sections, and sections one up to ten shall not be mentioned when discussing non-fatal offences as these sections relate to acts of homicide such as murder, conspiring to murder or manslaughter</w:t>
      </w:r>
      <w:r w:rsidR="00D41811">
        <w:rPr>
          <w:rFonts w:ascii="Arial" w:hAnsi="Arial" w:cs="Arial"/>
          <w:sz w:val="24"/>
          <w:szCs w:val="24"/>
        </w:rPr>
        <w:t>. While the act is unquestionably a vital part of the criminal justice system, it does have a number of flaws and has been accused of not being fit for purpose</w:t>
      </w:r>
      <w:r w:rsidR="00D07AB9">
        <w:rPr>
          <w:rFonts w:ascii="Arial" w:hAnsi="Arial" w:cs="Arial"/>
          <w:sz w:val="24"/>
          <w:szCs w:val="24"/>
        </w:rPr>
        <w:t xml:space="preserve"> </w:t>
      </w:r>
      <w:r w:rsidR="00D41811">
        <w:rPr>
          <w:rFonts w:ascii="Arial" w:hAnsi="Arial" w:cs="Arial"/>
          <w:sz w:val="24"/>
          <w:szCs w:val="24"/>
        </w:rPr>
        <w:t>and i</w:t>
      </w:r>
      <w:r w:rsidR="001B0516">
        <w:rPr>
          <w:rFonts w:ascii="Arial" w:hAnsi="Arial" w:cs="Arial"/>
          <w:sz w:val="24"/>
          <w:szCs w:val="24"/>
        </w:rPr>
        <w:t>n</w:t>
      </w:r>
      <w:r w:rsidR="00D41811">
        <w:rPr>
          <w:rFonts w:ascii="Arial" w:hAnsi="Arial" w:cs="Arial"/>
          <w:sz w:val="24"/>
          <w:szCs w:val="24"/>
        </w:rPr>
        <w:t xml:space="preserve"> need for reform, so much so that a petition was launched in 2014 calling for changes to be made (Petitions, 2014).</w:t>
      </w:r>
      <w:r w:rsidR="00164650">
        <w:rPr>
          <w:rFonts w:ascii="Arial" w:hAnsi="Arial" w:cs="Arial"/>
          <w:sz w:val="24"/>
          <w:szCs w:val="24"/>
        </w:rPr>
        <w:t xml:space="preserve"> This is highlighted in an article written by Samantha Love, where she goes on to say, “</w:t>
      </w:r>
      <w:r w:rsidR="00164650" w:rsidRPr="00164650">
        <w:rPr>
          <w:rFonts w:ascii="Arial" w:hAnsi="Arial" w:cs="Arial"/>
          <w:sz w:val="24"/>
          <w:szCs w:val="24"/>
        </w:rPr>
        <w:t>Where else would one expect to find a statute of offences against the person which doesn’t include murder but has three sections on the use of gunpowder?</w:t>
      </w:r>
      <w:r w:rsidR="00164650">
        <w:rPr>
          <w:rFonts w:ascii="Arial" w:hAnsi="Arial" w:cs="Arial"/>
          <w:sz w:val="24"/>
          <w:szCs w:val="24"/>
        </w:rPr>
        <w:t xml:space="preserve">” (Love, 2021, Wholesale reform or more Patchwork, para.1), which clearly shows that there are aspects of the </w:t>
      </w:r>
      <w:r w:rsidR="00225FC5">
        <w:rPr>
          <w:rFonts w:ascii="Arial" w:hAnsi="Arial" w:cs="Arial"/>
          <w:sz w:val="24"/>
          <w:szCs w:val="24"/>
        </w:rPr>
        <w:t>a</w:t>
      </w:r>
      <w:r w:rsidR="00164650">
        <w:rPr>
          <w:rFonts w:ascii="Arial" w:hAnsi="Arial" w:cs="Arial"/>
          <w:sz w:val="24"/>
          <w:szCs w:val="24"/>
        </w:rPr>
        <w:t xml:space="preserve">ct that are outdated. </w:t>
      </w:r>
    </w:p>
    <w:p w14:paraId="475195EE" w14:textId="2586F385" w:rsidR="007C0979" w:rsidRDefault="00F41C01" w:rsidP="009C7EA3">
      <w:pPr>
        <w:spacing w:line="360" w:lineRule="auto"/>
        <w:jc w:val="both"/>
        <w:rPr>
          <w:rFonts w:ascii="Arial" w:hAnsi="Arial" w:cs="Arial"/>
          <w:sz w:val="24"/>
          <w:szCs w:val="24"/>
        </w:rPr>
      </w:pPr>
      <w:r>
        <w:rPr>
          <w:rFonts w:ascii="Arial" w:hAnsi="Arial" w:cs="Arial"/>
          <w:sz w:val="24"/>
          <w:szCs w:val="24"/>
        </w:rPr>
        <w:t xml:space="preserve">The need for reform was highlighted in a report </w:t>
      </w:r>
      <w:r w:rsidR="0016660F">
        <w:rPr>
          <w:rFonts w:ascii="Arial" w:hAnsi="Arial" w:cs="Arial"/>
          <w:sz w:val="24"/>
          <w:szCs w:val="24"/>
        </w:rPr>
        <w:t>by</w:t>
      </w:r>
      <w:r>
        <w:rPr>
          <w:rFonts w:ascii="Arial" w:hAnsi="Arial" w:cs="Arial"/>
          <w:sz w:val="24"/>
          <w:szCs w:val="24"/>
        </w:rPr>
        <w:t xml:space="preserve"> the Law Commission </w:t>
      </w:r>
      <w:r w:rsidR="00FA348E">
        <w:rPr>
          <w:rFonts w:ascii="Arial" w:hAnsi="Arial" w:cs="Arial"/>
          <w:sz w:val="24"/>
          <w:szCs w:val="24"/>
        </w:rPr>
        <w:t xml:space="preserve">where </w:t>
      </w:r>
      <w:r>
        <w:rPr>
          <w:rFonts w:ascii="Arial" w:hAnsi="Arial" w:cs="Arial"/>
          <w:sz w:val="24"/>
          <w:szCs w:val="24"/>
        </w:rPr>
        <w:t xml:space="preserve">they highlighted a number of changes that were needed. </w:t>
      </w:r>
      <w:r w:rsidR="00FA348E">
        <w:rPr>
          <w:rFonts w:ascii="Arial" w:hAnsi="Arial" w:cs="Arial"/>
          <w:sz w:val="24"/>
          <w:szCs w:val="24"/>
        </w:rPr>
        <w:t>The report mainly focuses on offences relating to physical or psychiatric harm, as well as offences including assault and battery (Law Commission, 2015, p.1)</w:t>
      </w:r>
      <w:r w:rsidR="000F149D">
        <w:rPr>
          <w:rFonts w:ascii="Arial" w:hAnsi="Arial" w:cs="Arial"/>
          <w:sz w:val="24"/>
          <w:szCs w:val="24"/>
        </w:rPr>
        <w:t xml:space="preserve">. One key issue with the current Act that is highlighted is the flawed hierarchy of offences. The report states that the offence of actual bodily harm (ABH) sits between the offences of common assault and grievous bodily harm (GBH), yet the maximum sentence of five years is identical for both ABH </w:t>
      </w:r>
      <w:r w:rsidR="000F149D">
        <w:rPr>
          <w:rFonts w:ascii="Arial" w:hAnsi="Arial" w:cs="Arial"/>
          <w:sz w:val="24"/>
          <w:szCs w:val="24"/>
        </w:rPr>
        <w:lastRenderedPageBreak/>
        <w:t xml:space="preserve">and GBH but is only six months for common assault. This can cause difficulties when charging an offender if the offences overlap (Law Commission, 2015, p.3). The report also </w:t>
      </w:r>
      <w:r w:rsidR="000E0815">
        <w:rPr>
          <w:rFonts w:ascii="Arial" w:hAnsi="Arial" w:cs="Arial"/>
          <w:sz w:val="24"/>
          <w:szCs w:val="24"/>
        </w:rPr>
        <w:t>highlights the outdated offences, as the Act contains offences such as “</w:t>
      </w:r>
      <w:r w:rsidR="000E0815" w:rsidRPr="000E0815">
        <w:rPr>
          <w:rFonts w:ascii="Arial" w:hAnsi="Arial" w:cs="Arial"/>
          <w:sz w:val="24"/>
          <w:szCs w:val="24"/>
        </w:rPr>
        <w:t>assaulting a clergyman in the discharge of his duties</w:t>
      </w:r>
      <w:r w:rsidR="000E0815">
        <w:rPr>
          <w:rFonts w:ascii="Arial" w:hAnsi="Arial" w:cs="Arial"/>
          <w:sz w:val="24"/>
          <w:szCs w:val="24"/>
        </w:rPr>
        <w:t>” (Law Commission, 2015, p.5)</w:t>
      </w:r>
      <w:r w:rsidR="00AE1C04">
        <w:rPr>
          <w:rFonts w:ascii="Arial" w:hAnsi="Arial" w:cs="Arial"/>
          <w:sz w:val="24"/>
          <w:szCs w:val="24"/>
        </w:rPr>
        <w:t>.</w:t>
      </w:r>
      <w:r w:rsidR="00AE7C11">
        <w:rPr>
          <w:rFonts w:ascii="Arial" w:hAnsi="Arial" w:cs="Arial"/>
          <w:sz w:val="24"/>
          <w:szCs w:val="24"/>
        </w:rPr>
        <w:t xml:space="preserve"> </w:t>
      </w:r>
      <w:r w:rsidR="00E975EB">
        <w:rPr>
          <w:rFonts w:ascii="Arial" w:hAnsi="Arial" w:cs="Arial"/>
          <w:sz w:val="24"/>
          <w:szCs w:val="24"/>
        </w:rPr>
        <w:t xml:space="preserve">The Commission put together a Home Office draft Bill back in 1998 which included </w:t>
      </w:r>
      <w:r w:rsidR="00713498">
        <w:rPr>
          <w:rFonts w:ascii="Arial" w:hAnsi="Arial" w:cs="Arial"/>
          <w:sz w:val="24"/>
          <w:szCs w:val="24"/>
        </w:rPr>
        <w:t>a few</w:t>
      </w:r>
      <w:r w:rsidR="00E975EB">
        <w:rPr>
          <w:rFonts w:ascii="Arial" w:hAnsi="Arial" w:cs="Arial"/>
          <w:sz w:val="24"/>
          <w:szCs w:val="24"/>
        </w:rPr>
        <w:t xml:space="preserve"> changes to the current Act including changes to offences causing injury, creating an offence to replace assault and battery, and creating offences relating to threats to kill and torture (Law Commission, 2015, pp 42-43).</w:t>
      </w:r>
    </w:p>
    <w:p w14:paraId="25238B05" w14:textId="27F53A99" w:rsidR="008D69D3" w:rsidRDefault="008D69D3" w:rsidP="009C7EA3">
      <w:pPr>
        <w:spacing w:line="360" w:lineRule="auto"/>
        <w:jc w:val="both"/>
        <w:rPr>
          <w:rFonts w:ascii="Arial" w:hAnsi="Arial" w:cs="Arial"/>
          <w:sz w:val="24"/>
          <w:szCs w:val="24"/>
        </w:rPr>
      </w:pPr>
      <w:r>
        <w:rPr>
          <w:rFonts w:ascii="Arial" w:hAnsi="Arial" w:cs="Arial"/>
          <w:sz w:val="24"/>
          <w:szCs w:val="24"/>
        </w:rPr>
        <w:t>Criticisms for the hierarchy of offences have not only come from the Law Commission</w:t>
      </w:r>
      <w:r w:rsidR="00DE72E3">
        <w:rPr>
          <w:rFonts w:ascii="Arial" w:hAnsi="Arial" w:cs="Arial"/>
          <w:sz w:val="24"/>
          <w:szCs w:val="24"/>
        </w:rPr>
        <w:t>. Gardner (1994) has also criticised the Act for not being able to define and organise the offences</w:t>
      </w:r>
      <w:r w:rsidR="005A4F9A">
        <w:rPr>
          <w:rFonts w:ascii="Arial" w:hAnsi="Arial" w:cs="Arial"/>
          <w:sz w:val="24"/>
          <w:szCs w:val="24"/>
        </w:rPr>
        <w:t>, saying that the hierarchy of the offences within the Act are irrational. He goes on to say that section 18 (</w:t>
      </w:r>
      <w:r w:rsidR="005A4F9A" w:rsidRPr="005A4F9A">
        <w:rPr>
          <w:rFonts w:ascii="Arial" w:hAnsi="Arial" w:cs="Arial"/>
          <w:sz w:val="24"/>
          <w:szCs w:val="24"/>
        </w:rPr>
        <w:t>Shooting or attempting to shoot, or wounding with intent to do grievous bodily harm</w:t>
      </w:r>
      <w:r w:rsidR="005A4F9A">
        <w:rPr>
          <w:rFonts w:ascii="Arial" w:hAnsi="Arial" w:cs="Arial"/>
          <w:sz w:val="24"/>
          <w:szCs w:val="24"/>
        </w:rPr>
        <w:t>) is essentially an aggravated version of section 20 (</w:t>
      </w:r>
      <w:r w:rsidR="005A4F9A" w:rsidRPr="005A4F9A">
        <w:rPr>
          <w:rFonts w:ascii="Arial" w:hAnsi="Arial" w:cs="Arial"/>
          <w:sz w:val="24"/>
          <w:szCs w:val="24"/>
        </w:rPr>
        <w:t>Inflicting bodily injury, with or without weapon</w:t>
      </w:r>
      <w:r w:rsidR="005A4F9A">
        <w:rPr>
          <w:rFonts w:ascii="Arial" w:hAnsi="Arial" w:cs="Arial"/>
          <w:sz w:val="24"/>
          <w:szCs w:val="24"/>
        </w:rPr>
        <w:t>), however despite this there are some key differences that appear to not bear any relation to the aggravation (Gardner, 1994, p.504)</w:t>
      </w:r>
      <w:r w:rsidR="005746A4">
        <w:rPr>
          <w:rFonts w:ascii="Arial" w:hAnsi="Arial" w:cs="Arial"/>
          <w:sz w:val="24"/>
          <w:szCs w:val="24"/>
        </w:rPr>
        <w:t>.</w:t>
      </w:r>
      <w:r w:rsidR="00767AD2">
        <w:rPr>
          <w:rFonts w:ascii="Arial" w:hAnsi="Arial" w:cs="Arial"/>
          <w:sz w:val="24"/>
          <w:szCs w:val="24"/>
        </w:rPr>
        <w:t xml:space="preserve"> A similar problem exists when looking at section 20 and section 47</w:t>
      </w:r>
      <w:r w:rsidR="00CE166C">
        <w:rPr>
          <w:rFonts w:ascii="Arial" w:hAnsi="Arial" w:cs="Arial"/>
          <w:sz w:val="24"/>
          <w:szCs w:val="24"/>
        </w:rPr>
        <w:t xml:space="preserve"> (Assault occasioning bodily harm) as section 20 appears to be a more severe crime, yet despite this both have equal maximum custodial sentences of five years (Eugenicos, 2017)</w:t>
      </w:r>
      <w:r w:rsidR="005746A4">
        <w:rPr>
          <w:rFonts w:ascii="Arial" w:hAnsi="Arial" w:cs="Arial"/>
          <w:sz w:val="24"/>
          <w:szCs w:val="24"/>
        </w:rPr>
        <w:t xml:space="preserve"> </w:t>
      </w:r>
      <w:r w:rsidR="003B01E5">
        <w:rPr>
          <w:rFonts w:ascii="Arial" w:hAnsi="Arial" w:cs="Arial"/>
          <w:sz w:val="24"/>
          <w:szCs w:val="24"/>
        </w:rPr>
        <w:t>An event held at Bangor University where Law Commissioner Professor Ormerod discussed the need to reform the Act, and the importance of creating a logical hierarchy of clearly defined offences so that prosecutors will be able to make efficient use of court time (Bangor Law School, 2015).</w:t>
      </w:r>
      <w:r w:rsidR="005A4F9A">
        <w:rPr>
          <w:rFonts w:ascii="Arial" w:hAnsi="Arial" w:cs="Arial"/>
          <w:sz w:val="24"/>
          <w:szCs w:val="24"/>
        </w:rPr>
        <w:t xml:space="preserve"> </w:t>
      </w:r>
    </w:p>
    <w:p w14:paraId="46B3A6F3" w14:textId="508C6F21" w:rsidR="00042EF8" w:rsidRPr="008A4E27" w:rsidRDefault="00042EF8" w:rsidP="009C7EA3">
      <w:pPr>
        <w:spacing w:line="360" w:lineRule="auto"/>
        <w:jc w:val="both"/>
        <w:rPr>
          <w:rFonts w:ascii="Arial" w:hAnsi="Arial" w:cs="Arial"/>
          <w:sz w:val="24"/>
          <w:szCs w:val="24"/>
        </w:rPr>
      </w:pPr>
      <w:r>
        <w:rPr>
          <w:rFonts w:ascii="Arial" w:hAnsi="Arial" w:cs="Arial"/>
          <w:sz w:val="24"/>
          <w:szCs w:val="24"/>
        </w:rPr>
        <w:t xml:space="preserve">The hierarchy of offences being blurred can cause issues when it comes to sentencing, as with some cases the difference in offences can be very small, yet the sentence for those offences can differ greatly. For example, the offence of battery carries a maximum sentence of six months, whereas the very similar offence of ABH carries a maximum sentence of five years. With this wide gap between sentences, one would assume that the offences would be vastly different, yet both are incredibly similar. In the case of </w:t>
      </w:r>
      <w:r w:rsidRPr="00042EF8">
        <w:rPr>
          <w:rFonts w:ascii="Arial" w:hAnsi="Arial" w:cs="Arial"/>
          <w:i/>
          <w:iCs/>
          <w:sz w:val="24"/>
          <w:szCs w:val="24"/>
        </w:rPr>
        <w:t>Faulkner</w:t>
      </w:r>
      <w:r>
        <w:rPr>
          <w:rFonts w:ascii="Arial" w:hAnsi="Arial" w:cs="Arial"/>
          <w:i/>
          <w:iCs/>
          <w:sz w:val="24"/>
          <w:szCs w:val="24"/>
        </w:rPr>
        <w:t xml:space="preserve"> v Talbot </w:t>
      </w:r>
      <w:r>
        <w:rPr>
          <w:rFonts w:ascii="Arial" w:hAnsi="Arial" w:cs="Arial"/>
          <w:sz w:val="24"/>
          <w:szCs w:val="24"/>
        </w:rPr>
        <w:t>[1981], it was determined that battery need not be hostile</w:t>
      </w:r>
      <w:r w:rsidR="00E919EB">
        <w:rPr>
          <w:rFonts w:ascii="Arial" w:hAnsi="Arial" w:cs="Arial"/>
          <w:sz w:val="24"/>
          <w:szCs w:val="24"/>
        </w:rPr>
        <w:t xml:space="preserve"> for it to take place, only if it is any form of touching without consent. </w:t>
      </w:r>
      <w:r w:rsidR="008A4E27">
        <w:rPr>
          <w:rFonts w:ascii="Arial" w:hAnsi="Arial" w:cs="Arial"/>
          <w:sz w:val="24"/>
          <w:szCs w:val="24"/>
        </w:rPr>
        <w:t xml:space="preserve">ABH only differs from battery when any hurt or injury interferes with the health or comfort of a person, as can be seen in the case of </w:t>
      </w:r>
      <w:r w:rsidR="008A4E27">
        <w:rPr>
          <w:rFonts w:ascii="Arial" w:hAnsi="Arial" w:cs="Arial"/>
          <w:i/>
          <w:iCs/>
          <w:sz w:val="24"/>
          <w:szCs w:val="24"/>
        </w:rPr>
        <w:t xml:space="preserve">R v Donovan </w:t>
      </w:r>
      <w:r w:rsidR="008A4E27">
        <w:rPr>
          <w:rFonts w:ascii="Arial" w:hAnsi="Arial" w:cs="Arial"/>
          <w:sz w:val="24"/>
          <w:szCs w:val="24"/>
        </w:rPr>
        <w:t xml:space="preserve">[1934]. With very similar criteria </w:t>
      </w:r>
      <w:r w:rsidR="008A4E27">
        <w:rPr>
          <w:rFonts w:ascii="Arial" w:hAnsi="Arial" w:cs="Arial"/>
          <w:sz w:val="24"/>
          <w:szCs w:val="24"/>
        </w:rPr>
        <w:lastRenderedPageBreak/>
        <w:t xml:space="preserve">needing to be met to charge a defendant with either of these offences, it can be difficult to decide which one to charge a defendant with </w:t>
      </w:r>
      <w:r w:rsidR="0016660F">
        <w:rPr>
          <w:rFonts w:ascii="Arial" w:hAnsi="Arial" w:cs="Arial"/>
          <w:sz w:val="24"/>
          <w:szCs w:val="24"/>
        </w:rPr>
        <w:t xml:space="preserve">when </w:t>
      </w:r>
      <w:r w:rsidR="008A4E27">
        <w:rPr>
          <w:rFonts w:ascii="Arial" w:hAnsi="Arial" w:cs="Arial"/>
          <w:sz w:val="24"/>
          <w:szCs w:val="24"/>
        </w:rPr>
        <w:t>in court.</w:t>
      </w:r>
    </w:p>
    <w:p w14:paraId="1F705FA5" w14:textId="7AFD2776" w:rsidR="00AE1C04" w:rsidRDefault="00AE1C04" w:rsidP="009C7EA3">
      <w:pPr>
        <w:spacing w:line="360" w:lineRule="auto"/>
        <w:jc w:val="both"/>
        <w:rPr>
          <w:rFonts w:ascii="Arial" w:hAnsi="Arial" w:cs="Arial"/>
          <w:sz w:val="24"/>
          <w:szCs w:val="24"/>
        </w:rPr>
      </w:pPr>
      <w:r>
        <w:rPr>
          <w:rFonts w:ascii="Arial" w:hAnsi="Arial" w:cs="Arial"/>
          <w:sz w:val="24"/>
          <w:szCs w:val="24"/>
        </w:rPr>
        <w:t>Another criticism of the Act is the use of outdated language</w:t>
      </w:r>
      <w:r w:rsidR="00E73188">
        <w:rPr>
          <w:rFonts w:ascii="Arial" w:hAnsi="Arial" w:cs="Arial"/>
          <w:sz w:val="24"/>
          <w:szCs w:val="24"/>
        </w:rPr>
        <w:t xml:space="preserve"> that often needs interpretation by the courts. One example of this is the use of the words ‘grievous’ and ‘malicious’, these words are not often used in modern times and have been said to cause some confusion. The term grievous </w:t>
      </w:r>
      <w:r w:rsidR="000246DD">
        <w:rPr>
          <w:rFonts w:ascii="Arial" w:hAnsi="Arial" w:cs="Arial"/>
          <w:sz w:val="24"/>
          <w:szCs w:val="24"/>
        </w:rPr>
        <w:t xml:space="preserve">is said to mean </w:t>
      </w:r>
      <w:r w:rsidR="00DE72E3">
        <w:rPr>
          <w:rFonts w:ascii="Arial" w:hAnsi="Arial" w:cs="Arial"/>
          <w:sz w:val="24"/>
          <w:szCs w:val="24"/>
        </w:rPr>
        <w:t>serious</w:t>
      </w:r>
      <w:r w:rsidR="000246DD">
        <w:rPr>
          <w:rFonts w:ascii="Arial" w:hAnsi="Arial" w:cs="Arial"/>
          <w:sz w:val="24"/>
          <w:szCs w:val="24"/>
        </w:rPr>
        <w:t xml:space="preserve"> within legal terms, however the term malicious differs to that of what people think. </w:t>
      </w:r>
      <w:r w:rsidR="00C741A9">
        <w:rPr>
          <w:rFonts w:ascii="Arial" w:hAnsi="Arial" w:cs="Arial"/>
          <w:sz w:val="24"/>
          <w:szCs w:val="24"/>
        </w:rPr>
        <w:t xml:space="preserve">People often interpret malicious to meaning evil (Smith, 2014), whereas within the courts and the legal system it is defined as acting with intent or </w:t>
      </w:r>
      <w:r w:rsidR="006207C9">
        <w:rPr>
          <w:rFonts w:ascii="Arial" w:hAnsi="Arial" w:cs="Arial"/>
          <w:sz w:val="24"/>
          <w:szCs w:val="24"/>
        </w:rPr>
        <w:t xml:space="preserve">recklessness, as can be seen in the case of </w:t>
      </w:r>
      <w:r w:rsidR="006207C9" w:rsidRPr="006207C9">
        <w:rPr>
          <w:rFonts w:ascii="Arial" w:hAnsi="Arial" w:cs="Arial"/>
          <w:i/>
          <w:iCs/>
          <w:sz w:val="24"/>
          <w:szCs w:val="24"/>
        </w:rPr>
        <w:t>Willers v Joyce and another</w:t>
      </w:r>
      <w:r w:rsidR="006207C9" w:rsidRPr="006207C9">
        <w:rPr>
          <w:rFonts w:ascii="Arial" w:hAnsi="Arial" w:cs="Arial"/>
          <w:sz w:val="24"/>
          <w:szCs w:val="24"/>
        </w:rPr>
        <w:t xml:space="preserve"> [2016]</w:t>
      </w:r>
      <w:r w:rsidR="006207C9">
        <w:rPr>
          <w:rFonts w:ascii="Arial" w:hAnsi="Arial" w:cs="Arial"/>
          <w:sz w:val="24"/>
          <w:szCs w:val="24"/>
        </w:rPr>
        <w:t xml:space="preserve">. </w:t>
      </w:r>
      <w:r w:rsidR="008425DB">
        <w:rPr>
          <w:rFonts w:ascii="Arial" w:hAnsi="Arial" w:cs="Arial"/>
          <w:sz w:val="24"/>
          <w:szCs w:val="24"/>
        </w:rPr>
        <w:t xml:space="preserve">The use of the word ‘assault’ also causes confusion, as people often think that an assault must be physical, but this is not the case. </w:t>
      </w:r>
      <w:r w:rsidR="00A02C20">
        <w:rPr>
          <w:rFonts w:ascii="Arial" w:hAnsi="Arial" w:cs="Arial"/>
          <w:sz w:val="24"/>
          <w:szCs w:val="24"/>
        </w:rPr>
        <w:t xml:space="preserve">The case of </w:t>
      </w:r>
      <w:r w:rsidR="00A02C20">
        <w:rPr>
          <w:rFonts w:ascii="Arial" w:hAnsi="Arial" w:cs="Arial"/>
          <w:i/>
          <w:iCs/>
          <w:sz w:val="24"/>
          <w:szCs w:val="24"/>
        </w:rPr>
        <w:t xml:space="preserve">R v Ireland </w:t>
      </w:r>
      <w:r w:rsidR="00A02C20">
        <w:rPr>
          <w:rFonts w:ascii="Arial" w:hAnsi="Arial" w:cs="Arial"/>
          <w:sz w:val="24"/>
          <w:szCs w:val="24"/>
        </w:rPr>
        <w:t>[1997] is a prime example of this where the defendant made a series of silent telephone calls towards his victims meaning no physical assault took place. The defendant was charged under section 47 of the Offences Against the Person Act which is “</w:t>
      </w:r>
      <w:r w:rsidR="007032D0">
        <w:rPr>
          <w:rFonts w:ascii="Arial" w:hAnsi="Arial" w:cs="Arial"/>
          <w:sz w:val="24"/>
          <w:szCs w:val="24"/>
        </w:rPr>
        <w:t>a</w:t>
      </w:r>
      <w:r w:rsidR="00A02C20">
        <w:rPr>
          <w:rFonts w:ascii="Arial" w:hAnsi="Arial" w:cs="Arial"/>
          <w:sz w:val="24"/>
          <w:szCs w:val="24"/>
        </w:rPr>
        <w:t>ssault occasioning bodily harm” (legislation.gov.uk, 2021). The defendant appealed this decision by stating that no physical injury took place and that a psychiatric injury is not bodily harm, however his conviction was upheld</w:t>
      </w:r>
      <w:r w:rsidR="00694E8D">
        <w:rPr>
          <w:rFonts w:ascii="Arial" w:hAnsi="Arial" w:cs="Arial"/>
          <w:sz w:val="24"/>
          <w:szCs w:val="24"/>
        </w:rPr>
        <w:t>.</w:t>
      </w:r>
      <w:r w:rsidR="001C5BD2">
        <w:rPr>
          <w:rFonts w:ascii="Arial" w:hAnsi="Arial" w:cs="Arial"/>
          <w:sz w:val="24"/>
          <w:szCs w:val="24"/>
        </w:rPr>
        <w:t xml:space="preserve"> This case shows that an assault does not have to be physical, yet a common misconception of the word ‘assault’ is that a physical assault must take place for there to be a conviction.</w:t>
      </w:r>
    </w:p>
    <w:p w14:paraId="6D3C2543" w14:textId="77777777" w:rsidR="00A36362" w:rsidRDefault="00A36362" w:rsidP="009C7EA3">
      <w:pPr>
        <w:spacing w:line="360" w:lineRule="auto"/>
        <w:jc w:val="both"/>
        <w:rPr>
          <w:rFonts w:ascii="Arial" w:hAnsi="Arial" w:cs="Arial"/>
          <w:sz w:val="24"/>
          <w:szCs w:val="24"/>
        </w:rPr>
      </w:pPr>
    </w:p>
    <w:p w14:paraId="3E11DF72" w14:textId="77777777" w:rsidR="007B10FD" w:rsidRDefault="00D91973" w:rsidP="009C7EA3">
      <w:pPr>
        <w:spacing w:line="360" w:lineRule="auto"/>
        <w:jc w:val="both"/>
        <w:rPr>
          <w:rFonts w:ascii="Arial" w:hAnsi="Arial" w:cs="Arial"/>
          <w:sz w:val="24"/>
          <w:szCs w:val="24"/>
        </w:rPr>
      </w:pPr>
      <w:r>
        <w:rPr>
          <w:rFonts w:ascii="Arial" w:hAnsi="Arial" w:cs="Arial"/>
          <w:sz w:val="24"/>
          <w:szCs w:val="24"/>
        </w:rPr>
        <w:t xml:space="preserve">The term ‘inflict’ has caused some levels of confusion in the courts. The term was first used in the case of </w:t>
      </w:r>
      <w:r>
        <w:rPr>
          <w:rFonts w:ascii="Arial" w:hAnsi="Arial" w:cs="Arial"/>
          <w:i/>
          <w:iCs/>
          <w:sz w:val="24"/>
          <w:szCs w:val="24"/>
        </w:rPr>
        <w:t xml:space="preserve">R v Clarence </w:t>
      </w:r>
      <w:r w:rsidR="00CC7772">
        <w:rPr>
          <w:rFonts w:ascii="Arial" w:hAnsi="Arial" w:cs="Arial"/>
          <w:sz w:val="24"/>
          <w:szCs w:val="24"/>
        </w:rPr>
        <w:t>(</w:t>
      </w:r>
      <w:r>
        <w:rPr>
          <w:rFonts w:ascii="Arial" w:hAnsi="Arial" w:cs="Arial"/>
          <w:sz w:val="24"/>
          <w:szCs w:val="24"/>
        </w:rPr>
        <w:t>1889</w:t>
      </w:r>
      <w:r w:rsidR="00CC7772">
        <w:rPr>
          <w:rFonts w:ascii="Arial" w:hAnsi="Arial" w:cs="Arial"/>
          <w:sz w:val="24"/>
          <w:szCs w:val="24"/>
        </w:rPr>
        <w:t>)</w:t>
      </w:r>
      <w:r>
        <w:rPr>
          <w:rFonts w:ascii="Arial" w:hAnsi="Arial" w:cs="Arial"/>
          <w:sz w:val="24"/>
          <w:szCs w:val="24"/>
        </w:rPr>
        <w:t xml:space="preserve"> where the defendant was convicted of unlawfully inflicting GBH upon his wife by knowingly infecting her with a sexually transmitted disease, though the conviction was quashed as the sexual intercourse was consensual therefore not deemed an assault. </w:t>
      </w:r>
      <w:r w:rsidR="00CC7772">
        <w:rPr>
          <w:rFonts w:ascii="Arial" w:hAnsi="Arial" w:cs="Arial"/>
          <w:sz w:val="24"/>
          <w:szCs w:val="24"/>
        </w:rPr>
        <w:t xml:space="preserve">Things get a little more confusing when looking at a further two cases, as the word ‘inflict’ appeared to have different meanings for both cases. In the case of </w:t>
      </w:r>
      <w:r w:rsidR="00CC7772">
        <w:rPr>
          <w:rFonts w:ascii="Arial" w:hAnsi="Arial" w:cs="Arial"/>
          <w:i/>
          <w:iCs/>
          <w:sz w:val="24"/>
          <w:szCs w:val="24"/>
        </w:rPr>
        <w:t xml:space="preserve">R v Wilson </w:t>
      </w:r>
      <w:r w:rsidR="00CC7772">
        <w:rPr>
          <w:rFonts w:ascii="Arial" w:hAnsi="Arial" w:cs="Arial"/>
          <w:sz w:val="24"/>
          <w:szCs w:val="24"/>
        </w:rPr>
        <w:t xml:space="preserve">[1984] it was said that GBH may only be inflicted if the assault was a direct application of force, however this differs from the case of </w:t>
      </w:r>
      <w:r w:rsidR="00CC7772">
        <w:rPr>
          <w:rFonts w:ascii="Arial" w:hAnsi="Arial" w:cs="Arial"/>
          <w:i/>
          <w:iCs/>
          <w:sz w:val="24"/>
          <w:szCs w:val="24"/>
        </w:rPr>
        <w:t>R v Martin (</w:t>
      </w:r>
      <w:r w:rsidR="00CC7772" w:rsidRPr="00CC7772">
        <w:rPr>
          <w:rFonts w:ascii="Arial" w:hAnsi="Arial" w:cs="Arial"/>
          <w:sz w:val="24"/>
          <w:szCs w:val="24"/>
        </w:rPr>
        <w:t>1</w:t>
      </w:r>
      <w:r w:rsidR="00CC7772">
        <w:rPr>
          <w:rFonts w:ascii="Arial" w:hAnsi="Arial" w:cs="Arial"/>
          <w:sz w:val="24"/>
          <w:szCs w:val="24"/>
        </w:rPr>
        <w:t>881) where the defendant was charged with inflicting a bodily injury even though the force was indirectly applied</w:t>
      </w:r>
      <w:r w:rsidR="00D0051B">
        <w:rPr>
          <w:rFonts w:ascii="Arial" w:hAnsi="Arial" w:cs="Arial"/>
          <w:sz w:val="24"/>
          <w:szCs w:val="24"/>
        </w:rPr>
        <w:t xml:space="preserve"> and was charged under section 20 of </w:t>
      </w:r>
      <w:r w:rsidR="005A4F9A">
        <w:rPr>
          <w:rFonts w:ascii="Arial" w:hAnsi="Arial" w:cs="Arial"/>
          <w:sz w:val="24"/>
          <w:szCs w:val="24"/>
        </w:rPr>
        <w:t>the Act.</w:t>
      </w:r>
      <w:r w:rsidR="003B01E5">
        <w:rPr>
          <w:rFonts w:ascii="Arial" w:hAnsi="Arial" w:cs="Arial"/>
          <w:sz w:val="24"/>
          <w:szCs w:val="24"/>
        </w:rPr>
        <w:t xml:space="preserve"> Having the same word being interpreted in different ways is clearly going to cause some confusion, however </w:t>
      </w:r>
      <w:r w:rsidR="003D71EF">
        <w:rPr>
          <w:rFonts w:ascii="Arial" w:hAnsi="Arial" w:cs="Arial"/>
          <w:sz w:val="24"/>
          <w:szCs w:val="24"/>
        </w:rPr>
        <w:t xml:space="preserve">the term has been somewhat clarified in the case </w:t>
      </w:r>
      <w:r w:rsidR="003D71EF">
        <w:rPr>
          <w:rFonts w:ascii="Arial" w:hAnsi="Arial" w:cs="Arial"/>
          <w:sz w:val="24"/>
          <w:szCs w:val="24"/>
        </w:rPr>
        <w:lastRenderedPageBreak/>
        <w:t xml:space="preserve">of </w:t>
      </w:r>
      <w:r w:rsidR="003D71EF">
        <w:rPr>
          <w:rFonts w:ascii="Arial" w:hAnsi="Arial" w:cs="Arial"/>
          <w:i/>
          <w:iCs/>
          <w:sz w:val="24"/>
          <w:szCs w:val="24"/>
        </w:rPr>
        <w:t xml:space="preserve">R v Burstow </w:t>
      </w:r>
      <w:r w:rsidR="003D71EF">
        <w:rPr>
          <w:rFonts w:ascii="Arial" w:hAnsi="Arial" w:cs="Arial"/>
          <w:sz w:val="24"/>
          <w:szCs w:val="24"/>
        </w:rPr>
        <w:t>[1997]. In this case, the defendant had a relationship with a woman, however he could not accept the decision that she decided to end it, thus made a series of telephone calls (both silent and abusive), took photos of her and distributed offensive cards to her neighbours. The questions raised around this case were as to whether the defendant could be charged under section 20 as there was no direct or indirect application of force. The word inflict within section 20 was interpreted to simply mean ‘cause’, meaning there was no requirement for physical force for the defendant to be charged.</w:t>
      </w:r>
    </w:p>
    <w:p w14:paraId="30FF46E7" w14:textId="6D1F1B80" w:rsidR="003B567B" w:rsidRDefault="003B567B" w:rsidP="009C7EA3">
      <w:pPr>
        <w:spacing w:line="360" w:lineRule="auto"/>
        <w:jc w:val="both"/>
        <w:rPr>
          <w:rFonts w:ascii="Arial" w:hAnsi="Arial" w:cs="Arial"/>
          <w:sz w:val="24"/>
          <w:szCs w:val="24"/>
        </w:rPr>
      </w:pPr>
      <w:r>
        <w:rPr>
          <w:rFonts w:ascii="Arial" w:hAnsi="Arial" w:cs="Arial"/>
          <w:sz w:val="24"/>
          <w:szCs w:val="24"/>
        </w:rPr>
        <w:t xml:space="preserve">While there is plenty of support for the reform of the Act, there has been criticisms towards the way it has been handled. </w:t>
      </w:r>
      <w:r w:rsidR="00B944BA">
        <w:rPr>
          <w:rFonts w:ascii="Arial" w:hAnsi="Arial" w:cs="Arial"/>
          <w:sz w:val="24"/>
          <w:szCs w:val="24"/>
        </w:rPr>
        <w:t>It has been said that the Law Commission’s recommendations need a more extensive review of non-fatal offences within the Act as they only cover the core offences (</w:t>
      </w:r>
      <w:r w:rsidR="00B944BA" w:rsidRPr="00B944BA">
        <w:rPr>
          <w:rFonts w:ascii="Arial" w:hAnsi="Arial" w:cs="Arial"/>
          <w:sz w:val="24"/>
          <w:szCs w:val="24"/>
        </w:rPr>
        <w:t>Demetriou</w:t>
      </w:r>
      <w:r w:rsidR="00B944BA">
        <w:rPr>
          <w:rFonts w:ascii="Arial" w:hAnsi="Arial" w:cs="Arial"/>
          <w:sz w:val="24"/>
          <w:szCs w:val="24"/>
        </w:rPr>
        <w:t>, 2016, p. 199).</w:t>
      </w:r>
      <w:r>
        <w:rPr>
          <w:rFonts w:ascii="Arial" w:hAnsi="Arial" w:cs="Arial"/>
          <w:sz w:val="24"/>
          <w:szCs w:val="24"/>
        </w:rPr>
        <w:t xml:space="preserve"> </w:t>
      </w:r>
      <w:r w:rsidR="009F1A37">
        <w:rPr>
          <w:rFonts w:ascii="Arial" w:hAnsi="Arial" w:cs="Arial"/>
          <w:sz w:val="24"/>
          <w:szCs w:val="24"/>
        </w:rPr>
        <w:t xml:space="preserve">It was argued that the recommendations were a good starting point, however a lot more needs to be done. </w:t>
      </w:r>
      <w:r w:rsidR="00E975EB">
        <w:rPr>
          <w:rFonts w:ascii="Arial" w:hAnsi="Arial" w:cs="Arial"/>
          <w:sz w:val="24"/>
          <w:szCs w:val="24"/>
        </w:rPr>
        <w:t xml:space="preserve">The Law Commission has also been criticised for taking too long to implement changes, as the draft Bill that was put together back in 1998 to reform certain aspects of the Act has still not been implemented (Gibson, </w:t>
      </w:r>
      <w:r w:rsidR="00D852A6">
        <w:rPr>
          <w:rFonts w:ascii="Arial" w:hAnsi="Arial" w:cs="Arial"/>
          <w:sz w:val="24"/>
          <w:szCs w:val="24"/>
        </w:rPr>
        <w:t>2016, p.1)</w:t>
      </w:r>
      <w:r w:rsidR="00EF62E3">
        <w:rPr>
          <w:rFonts w:ascii="Arial" w:hAnsi="Arial" w:cs="Arial"/>
          <w:sz w:val="24"/>
          <w:szCs w:val="24"/>
        </w:rPr>
        <w:t xml:space="preserve">. </w:t>
      </w:r>
      <w:r w:rsidR="00A74CAA">
        <w:rPr>
          <w:rFonts w:ascii="Arial" w:hAnsi="Arial" w:cs="Arial"/>
          <w:sz w:val="24"/>
          <w:szCs w:val="24"/>
        </w:rPr>
        <w:t>Finally, the Commission is said to offer “</w:t>
      </w:r>
      <w:r w:rsidR="00A74CAA" w:rsidRPr="00A74CAA">
        <w:rPr>
          <w:rFonts w:ascii="Arial" w:hAnsi="Arial" w:cs="Arial"/>
          <w:sz w:val="24"/>
          <w:szCs w:val="24"/>
        </w:rPr>
        <w:t>no decisive advance over the 1861 Act in the particular respects in which they are claimed to represent a decisive advance</w:t>
      </w:r>
      <w:r w:rsidR="00A74CAA">
        <w:rPr>
          <w:rFonts w:ascii="Arial" w:hAnsi="Arial" w:cs="Arial"/>
          <w:sz w:val="24"/>
          <w:szCs w:val="24"/>
        </w:rPr>
        <w:t>” (Gardner, 1994, p.521)</w:t>
      </w:r>
      <w:r w:rsidR="001A113B">
        <w:rPr>
          <w:rFonts w:ascii="Arial" w:hAnsi="Arial" w:cs="Arial"/>
          <w:sz w:val="24"/>
          <w:szCs w:val="24"/>
        </w:rPr>
        <w:t>, which again shows that the Commissions recommendations are limited in comparison to what needs to be done to bring the Act up to date with the modern world.</w:t>
      </w:r>
    </w:p>
    <w:p w14:paraId="5D6EFA08" w14:textId="2AD708B2" w:rsidR="001A113B" w:rsidRDefault="00D94253" w:rsidP="009C7EA3">
      <w:pPr>
        <w:spacing w:line="360" w:lineRule="auto"/>
        <w:jc w:val="both"/>
        <w:rPr>
          <w:rFonts w:ascii="Arial" w:hAnsi="Arial" w:cs="Arial"/>
          <w:sz w:val="24"/>
          <w:szCs w:val="24"/>
        </w:rPr>
      </w:pPr>
      <w:r>
        <w:rPr>
          <w:rFonts w:ascii="Arial" w:hAnsi="Arial" w:cs="Arial"/>
          <w:sz w:val="24"/>
          <w:szCs w:val="24"/>
        </w:rPr>
        <w:t xml:space="preserve">In conclusion, it is clear to see that aspects of the Offences Against the Person Act 1861 need reforming to bring it up to standard with modern Britain as aspects of it are clearly outdated. Firstly, the Act contains many outdated offences that are not relevant in modern times, and while these </w:t>
      </w:r>
      <w:r w:rsidR="006C0BE6">
        <w:rPr>
          <w:rFonts w:ascii="Arial" w:hAnsi="Arial" w:cs="Arial"/>
          <w:sz w:val="24"/>
          <w:szCs w:val="24"/>
        </w:rPr>
        <w:t>are not</w:t>
      </w:r>
      <w:r>
        <w:rPr>
          <w:rFonts w:ascii="Arial" w:hAnsi="Arial" w:cs="Arial"/>
          <w:sz w:val="24"/>
          <w:szCs w:val="24"/>
        </w:rPr>
        <w:t xml:space="preserve"> necessarily a big issue as they are just generally ignored</w:t>
      </w:r>
      <w:r w:rsidR="006C0BE6">
        <w:rPr>
          <w:rFonts w:ascii="Arial" w:hAnsi="Arial" w:cs="Arial"/>
          <w:sz w:val="24"/>
          <w:szCs w:val="24"/>
        </w:rPr>
        <w:t>, it is one of the key points mentioned in many papers when discussing the need for reform. The hierarchy of offences is a bigger issue with the Act, as it is sometimes difficult to decide what section of the Act fits the crime that was committed as they can often overlap, such as Actual Bodily Harm and Battery. This problem extends further when it comes to sentencing, as the sentence for both ABH and Battery differ greatly, whereas the crimes do not. Finally, the confusing terminology within the Act is seen as outdated and confusing as a lot of the terms used in the Act are not often used in modern times</w:t>
      </w:r>
      <w:r w:rsidR="009A04F0">
        <w:rPr>
          <w:rFonts w:ascii="Arial" w:hAnsi="Arial" w:cs="Arial"/>
          <w:sz w:val="24"/>
          <w:szCs w:val="24"/>
        </w:rPr>
        <w:t xml:space="preserve">, such as the terms ‘grievous’ and ‘malicious’. Steps have been carried out to try and bring the Act up to date, with the </w:t>
      </w:r>
      <w:r w:rsidR="009A04F0">
        <w:rPr>
          <w:rFonts w:ascii="Arial" w:hAnsi="Arial" w:cs="Arial"/>
          <w:sz w:val="24"/>
          <w:szCs w:val="24"/>
        </w:rPr>
        <w:lastRenderedPageBreak/>
        <w:t>likes of the Law Commission’s recommendations for reforming the Act. While the acts of the Commission are a step in the right direction, a lot more needs to be done to bring the Act up to date with modern times</w:t>
      </w:r>
      <w:r w:rsidR="00044F00">
        <w:rPr>
          <w:rFonts w:ascii="Arial" w:hAnsi="Arial" w:cs="Arial"/>
          <w:sz w:val="24"/>
          <w:szCs w:val="24"/>
        </w:rPr>
        <w:t>. Despite this, reform appears to be unlikely to happen anytime soon, as the changes outlined in the Home Office draft Bill created back in 1998 are yet to be implemented to this day, which shows that reforming this Act is going to be a long process.</w:t>
      </w:r>
    </w:p>
    <w:p w14:paraId="16754C0A" w14:textId="2CF2D807" w:rsidR="009C7EA3" w:rsidRDefault="009C7EA3" w:rsidP="009C7EA3">
      <w:pPr>
        <w:spacing w:line="360" w:lineRule="auto"/>
        <w:jc w:val="both"/>
        <w:rPr>
          <w:rFonts w:ascii="Arial" w:hAnsi="Arial" w:cs="Arial"/>
          <w:sz w:val="24"/>
          <w:szCs w:val="24"/>
        </w:rPr>
      </w:pPr>
    </w:p>
    <w:p w14:paraId="7B564773" w14:textId="38000ED9" w:rsidR="009C7EA3" w:rsidRDefault="009C7EA3" w:rsidP="009C7EA3">
      <w:pPr>
        <w:spacing w:line="360" w:lineRule="auto"/>
        <w:jc w:val="both"/>
        <w:rPr>
          <w:rFonts w:ascii="Arial" w:hAnsi="Arial" w:cs="Arial"/>
          <w:sz w:val="24"/>
          <w:szCs w:val="24"/>
        </w:rPr>
      </w:pPr>
    </w:p>
    <w:p w14:paraId="75466F46" w14:textId="2A27C578" w:rsidR="009C7EA3" w:rsidRDefault="009C7EA3" w:rsidP="009C7EA3">
      <w:pPr>
        <w:spacing w:line="360" w:lineRule="auto"/>
        <w:jc w:val="both"/>
        <w:rPr>
          <w:rFonts w:ascii="Arial" w:hAnsi="Arial" w:cs="Arial"/>
          <w:sz w:val="24"/>
          <w:szCs w:val="24"/>
        </w:rPr>
      </w:pPr>
    </w:p>
    <w:p w14:paraId="52CF5BF1" w14:textId="78071419" w:rsidR="009C7EA3" w:rsidRDefault="009C7EA3" w:rsidP="009C7EA3">
      <w:pPr>
        <w:spacing w:line="360" w:lineRule="auto"/>
        <w:jc w:val="both"/>
        <w:rPr>
          <w:rFonts w:ascii="Arial" w:hAnsi="Arial" w:cs="Arial"/>
          <w:sz w:val="24"/>
          <w:szCs w:val="24"/>
        </w:rPr>
      </w:pPr>
    </w:p>
    <w:p w14:paraId="429B0455" w14:textId="50021775" w:rsidR="009C7EA3" w:rsidRDefault="009C7EA3" w:rsidP="009C7EA3">
      <w:pPr>
        <w:spacing w:line="360" w:lineRule="auto"/>
        <w:jc w:val="both"/>
        <w:rPr>
          <w:rFonts w:ascii="Arial" w:hAnsi="Arial" w:cs="Arial"/>
          <w:sz w:val="24"/>
          <w:szCs w:val="24"/>
        </w:rPr>
      </w:pPr>
    </w:p>
    <w:p w14:paraId="7B4AB087" w14:textId="7B6320C1" w:rsidR="009C7EA3" w:rsidRDefault="009C7EA3" w:rsidP="009C7EA3">
      <w:pPr>
        <w:spacing w:line="360" w:lineRule="auto"/>
        <w:jc w:val="both"/>
        <w:rPr>
          <w:rFonts w:ascii="Arial" w:hAnsi="Arial" w:cs="Arial"/>
          <w:sz w:val="24"/>
          <w:szCs w:val="24"/>
        </w:rPr>
      </w:pPr>
    </w:p>
    <w:p w14:paraId="24EC73BE" w14:textId="1E20FB98" w:rsidR="009C7EA3" w:rsidRDefault="009C7EA3" w:rsidP="009C7EA3">
      <w:pPr>
        <w:spacing w:line="360" w:lineRule="auto"/>
        <w:jc w:val="both"/>
        <w:rPr>
          <w:rFonts w:ascii="Arial" w:hAnsi="Arial" w:cs="Arial"/>
          <w:sz w:val="24"/>
          <w:szCs w:val="24"/>
        </w:rPr>
      </w:pPr>
    </w:p>
    <w:p w14:paraId="7260B934" w14:textId="03ADE892" w:rsidR="009C7EA3" w:rsidRDefault="009C7EA3" w:rsidP="009C7EA3">
      <w:pPr>
        <w:spacing w:line="360" w:lineRule="auto"/>
        <w:jc w:val="both"/>
        <w:rPr>
          <w:rFonts w:ascii="Arial" w:hAnsi="Arial" w:cs="Arial"/>
          <w:sz w:val="24"/>
          <w:szCs w:val="24"/>
        </w:rPr>
      </w:pPr>
    </w:p>
    <w:p w14:paraId="41BFD313" w14:textId="771155EB" w:rsidR="009C7EA3" w:rsidRDefault="009C7EA3" w:rsidP="009C7EA3">
      <w:pPr>
        <w:spacing w:line="360" w:lineRule="auto"/>
        <w:jc w:val="both"/>
        <w:rPr>
          <w:rFonts w:ascii="Arial" w:hAnsi="Arial" w:cs="Arial"/>
          <w:sz w:val="24"/>
          <w:szCs w:val="24"/>
        </w:rPr>
      </w:pPr>
    </w:p>
    <w:p w14:paraId="6F1A064A" w14:textId="547030B4" w:rsidR="009C7EA3" w:rsidRDefault="009C7EA3" w:rsidP="009C7EA3">
      <w:pPr>
        <w:spacing w:line="360" w:lineRule="auto"/>
        <w:jc w:val="both"/>
        <w:rPr>
          <w:rFonts w:ascii="Arial" w:hAnsi="Arial" w:cs="Arial"/>
          <w:sz w:val="24"/>
          <w:szCs w:val="24"/>
        </w:rPr>
      </w:pPr>
    </w:p>
    <w:p w14:paraId="6F0951EA" w14:textId="539866C2" w:rsidR="009C7EA3" w:rsidRDefault="009C7EA3" w:rsidP="009C7EA3">
      <w:pPr>
        <w:spacing w:line="360" w:lineRule="auto"/>
        <w:jc w:val="both"/>
        <w:rPr>
          <w:rFonts w:ascii="Arial" w:hAnsi="Arial" w:cs="Arial"/>
          <w:sz w:val="24"/>
          <w:szCs w:val="24"/>
        </w:rPr>
      </w:pPr>
    </w:p>
    <w:p w14:paraId="18AAF7EC" w14:textId="71F5CB3C" w:rsidR="009C7EA3" w:rsidRDefault="009C7EA3" w:rsidP="009C7EA3">
      <w:pPr>
        <w:spacing w:line="360" w:lineRule="auto"/>
        <w:jc w:val="both"/>
        <w:rPr>
          <w:rFonts w:ascii="Arial" w:hAnsi="Arial" w:cs="Arial"/>
          <w:sz w:val="24"/>
          <w:szCs w:val="24"/>
        </w:rPr>
      </w:pPr>
    </w:p>
    <w:p w14:paraId="7D82A6F8" w14:textId="184C60C5" w:rsidR="009C7EA3" w:rsidRDefault="009C7EA3" w:rsidP="009C7EA3">
      <w:pPr>
        <w:spacing w:line="360" w:lineRule="auto"/>
        <w:jc w:val="both"/>
        <w:rPr>
          <w:rFonts w:ascii="Arial" w:hAnsi="Arial" w:cs="Arial"/>
          <w:sz w:val="24"/>
          <w:szCs w:val="24"/>
        </w:rPr>
      </w:pPr>
    </w:p>
    <w:p w14:paraId="452935F7" w14:textId="59081ABF" w:rsidR="009C7EA3" w:rsidRDefault="009C7EA3" w:rsidP="009C7EA3">
      <w:pPr>
        <w:spacing w:line="360" w:lineRule="auto"/>
        <w:jc w:val="both"/>
        <w:rPr>
          <w:rFonts w:ascii="Arial" w:hAnsi="Arial" w:cs="Arial"/>
          <w:sz w:val="24"/>
          <w:szCs w:val="24"/>
        </w:rPr>
      </w:pPr>
    </w:p>
    <w:p w14:paraId="26F6FF4F" w14:textId="6CAD3F15" w:rsidR="009C7EA3" w:rsidRDefault="009C7EA3" w:rsidP="009C7EA3">
      <w:pPr>
        <w:spacing w:line="360" w:lineRule="auto"/>
        <w:jc w:val="both"/>
        <w:rPr>
          <w:rFonts w:ascii="Arial" w:hAnsi="Arial" w:cs="Arial"/>
          <w:sz w:val="24"/>
          <w:szCs w:val="24"/>
        </w:rPr>
      </w:pPr>
    </w:p>
    <w:p w14:paraId="4D59EA1C" w14:textId="0D771A27" w:rsidR="009C7EA3" w:rsidRDefault="009C7EA3" w:rsidP="009C7EA3">
      <w:pPr>
        <w:spacing w:line="360" w:lineRule="auto"/>
        <w:jc w:val="both"/>
        <w:rPr>
          <w:rFonts w:ascii="Arial" w:hAnsi="Arial" w:cs="Arial"/>
          <w:sz w:val="24"/>
          <w:szCs w:val="24"/>
        </w:rPr>
      </w:pPr>
    </w:p>
    <w:p w14:paraId="2D3305D0" w14:textId="1972C685" w:rsidR="009C7EA3" w:rsidRDefault="009C7EA3" w:rsidP="009C7EA3">
      <w:pPr>
        <w:spacing w:line="360" w:lineRule="auto"/>
        <w:jc w:val="both"/>
        <w:rPr>
          <w:rFonts w:ascii="Arial" w:hAnsi="Arial" w:cs="Arial"/>
          <w:sz w:val="24"/>
          <w:szCs w:val="24"/>
        </w:rPr>
      </w:pPr>
    </w:p>
    <w:p w14:paraId="63369A81" w14:textId="40D23DED" w:rsidR="009C7EA3" w:rsidRDefault="009C7EA3" w:rsidP="009C7EA3">
      <w:pPr>
        <w:spacing w:line="360" w:lineRule="auto"/>
        <w:jc w:val="both"/>
        <w:rPr>
          <w:rFonts w:ascii="Arial" w:hAnsi="Arial" w:cs="Arial"/>
          <w:sz w:val="24"/>
          <w:szCs w:val="24"/>
        </w:rPr>
      </w:pPr>
    </w:p>
    <w:p w14:paraId="5C9E78A0" w14:textId="46866F8F" w:rsidR="009C7EA3" w:rsidRDefault="009C7EA3" w:rsidP="009C7EA3">
      <w:pPr>
        <w:spacing w:line="360" w:lineRule="auto"/>
        <w:jc w:val="both"/>
        <w:rPr>
          <w:rFonts w:ascii="Arial" w:hAnsi="Arial" w:cs="Arial"/>
          <w:sz w:val="24"/>
          <w:szCs w:val="24"/>
        </w:rPr>
      </w:pPr>
    </w:p>
    <w:p w14:paraId="4B8A0A1A" w14:textId="77777777" w:rsidR="00C2367F" w:rsidRDefault="00C2367F" w:rsidP="009C7EA3">
      <w:pPr>
        <w:spacing w:line="360" w:lineRule="auto"/>
        <w:jc w:val="both"/>
        <w:rPr>
          <w:rFonts w:ascii="Arial" w:hAnsi="Arial" w:cs="Arial"/>
          <w:sz w:val="24"/>
          <w:szCs w:val="24"/>
        </w:rPr>
      </w:pPr>
    </w:p>
    <w:p w14:paraId="10845BBF" w14:textId="71119B91" w:rsidR="009C7EA3" w:rsidRDefault="009C7EA3" w:rsidP="009C7EA3">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191D79C8"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Bangor Law School (2015) Offences Against the Person – Modernising the Law on Violence, Available at: https://www.bangor.ac.uk/law/news/offences-against-the-person-modernising-the-law-on-violence-24868 (Accessed: 1st March 2021)</w:t>
      </w:r>
    </w:p>
    <w:p w14:paraId="1AD5BDC2"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Davis, J., E. (1861) Criminal Law Consolidation Statutes of the 24 and 25 of Victoria, Chapters 94 to 100, London: Butterworths</w:t>
      </w:r>
    </w:p>
    <w:p w14:paraId="14DD75A0"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Demetriou, S. (2016) Not Giving Up the Fight: A Review of the Law Commission’s Scoping Report on Non-fatal Offences Against the Person, The Journal of Criminal Law, 80(3), pp. 188–200</w:t>
      </w:r>
    </w:p>
    <w:p w14:paraId="0EF62CCE"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Eugenicos, A., M. (2017) Should We Reform the Offences Against the Person Act 1861?, The Journal of Criminal Law, Volume 81(1), pp.26-32</w:t>
      </w:r>
    </w:p>
    <w:p w14:paraId="15219EB9"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Faulkner v Talbot [1981] WLR 1528</w:t>
      </w:r>
    </w:p>
    <w:p w14:paraId="45D2E869"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Gardner, J. (1994). Rationality and the Rule of Law in Offences against the Person. The Cambridge Law Journal, 53(3), 502-523</w:t>
      </w:r>
    </w:p>
    <w:p w14:paraId="472AEFBE"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Gibson, M. (2016) Getting Their "Act" Together? Implementing Statutory Reform of Offences against the Person. Criminal Law Review (9). 597 – 617</w:t>
      </w:r>
    </w:p>
    <w:p w14:paraId="553C1F91"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Law Commission (2015) Reform of Offences against the Person, Available at: http://www.lawcom.gov.uk/app/uploads/2015/11/51950-LC-HC555_Web.pdf (Accessed: 27th February 2021)</w:t>
      </w:r>
    </w:p>
    <w:p w14:paraId="7E93EBD1"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Legislation.gov.uk (2021) Offences against the Person Act 1861, Available at: https://www.legislation.gov.uk/ukpga/Vict/24-25/100/contents (Accessed: 28th February 2021)</w:t>
      </w:r>
    </w:p>
    <w:p w14:paraId="0BCAB195"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 xml:space="preserve">Love, Samantha (2021) The Massively Outdated Offences Against the Person Act 1861 Shows How Well the Common Law System Works, Available at: https://www.oxford-royale.com/articles/offences-against-the-person-act-1861-needs-reform/ (Accessed: 26th February 2021) </w:t>
      </w:r>
    </w:p>
    <w:p w14:paraId="7A0B4FF5"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Petitions (2014) Update the Offences Against The Person Act 861, Available at: https://petition.parliament.uk/archived/petitions/51497 (Accessed: 26th February 2021)</w:t>
      </w:r>
    </w:p>
    <w:p w14:paraId="1F075800"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lastRenderedPageBreak/>
        <w:t>R v Burstow [1997] UKHL 34</w:t>
      </w:r>
    </w:p>
    <w:p w14:paraId="77C7C459"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R v Clarence (1889) 22 QB 23</w:t>
      </w:r>
    </w:p>
    <w:p w14:paraId="45C48E0E"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R v Donovan [1934] 2 KB 498</w:t>
      </w:r>
    </w:p>
    <w:p w14:paraId="208A9584"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R v Ireland [1997] 3 WLR 534</w:t>
      </w:r>
    </w:p>
    <w:p w14:paraId="7F96A80A"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R v Martin (1881) 8 QBD 54</w:t>
      </w:r>
    </w:p>
    <w:p w14:paraId="51B98596"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R v Wilson [1984] AC 242</w:t>
      </w:r>
    </w:p>
    <w:p w14:paraId="5546B25E"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 xml:space="preserve">Smith, E., R. (2014) Evil acts and malicious gossip: a multiagent model of the effects of gossip in socially distributed person perception, Available at: https://pubmed.ncbi.nlm.nih.gov/24727973/ (Accessed: 28th February 2021) </w:t>
      </w:r>
    </w:p>
    <w:p w14:paraId="1435A90D" w14:textId="77777777" w:rsidR="009C7EA3" w:rsidRPr="009C7EA3" w:rsidRDefault="009C7EA3" w:rsidP="009C7EA3">
      <w:pPr>
        <w:spacing w:line="360" w:lineRule="auto"/>
        <w:jc w:val="both"/>
        <w:rPr>
          <w:rFonts w:ascii="Arial" w:hAnsi="Arial" w:cs="Arial"/>
          <w:sz w:val="24"/>
          <w:szCs w:val="24"/>
        </w:rPr>
      </w:pPr>
      <w:r w:rsidRPr="009C7EA3">
        <w:rPr>
          <w:rFonts w:ascii="Arial" w:hAnsi="Arial" w:cs="Arial"/>
          <w:sz w:val="24"/>
          <w:szCs w:val="24"/>
        </w:rPr>
        <w:t>Willers v Joyce and another [2016] UKSC 43&amp;44</w:t>
      </w:r>
    </w:p>
    <w:p w14:paraId="3E05FCC7" w14:textId="77777777" w:rsidR="00122A98" w:rsidRDefault="00122A98">
      <w:pPr>
        <w:rPr>
          <w:rFonts w:ascii="Arial" w:hAnsi="Arial" w:cs="Arial"/>
          <w:sz w:val="24"/>
          <w:szCs w:val="24"/>
        </w:rPr>
      </w:pPr>
    </w:p>
    <w:p w14:paraId="645CEA28" w14:textId="77777777" w:rsidR="001C5BD2" w:rsidRPr="00A02C20" w:rsidRDefault="001C5BD2">
      <w:pPr>
        <w:rPr>
          <w:rFonts w:ascii="Arial" w:hAnsi="Arial" w:cs="Arial"/>
          <w:sz w:val="24"/>
          <w:szCs w:val="24"/>
        </w:rPr>
      </w:pPr>
    </w:p>
    <w:p w14:paraId="4094C9C6" w14:textId="77777777" w:rsidR="00AE1C04" w:rsidRDefault="00AE1C04">
      <w:pPr>
        <w:rPr>
          <w:rFonts w:ascii="Arial" w:hAnsi="Arial" w:cs="Arial"/>
          <w:sz w:val="24"/>
          <w:szCs w:val="24"/>
        </w:rPr>
      </w:pPr>
    </w:p>
    <w:p w14:paraId="4BE99E16" w14:textId="77777777" w:rsidR="006E26C0" w:rsidRDefault="006E26C0">
      <w:pPr>
        <w:rPr>
          <w:rFonts w:ascii="Arial" w:hAnsi="Arial" w:cs="Arial"/>
          <w:sz w:val="24"/>
          <w:szCs w:val="24"/>
        </w:rPr>
      </w:pPr>
    </w:p>
    <w:p w14:paraId="726AF7FA" w14:textId="77777777" w:rsidR="0077778D" w:rsidRPr="00565B59" w:rsidRDefault="0077778D">
      <w:pPr>
        <w:rPr>
          <w:rFonts w:ascii="Arial" w:hAnsi="Arial" w:cs="Arial"/>
          <w:sz w:val="24"/>
          <w:szCs w:val="24"/>
        </w:rPr>
      </w:pPr>
    </w:p>
    <w:sectPr w:rsidR="0077778D" w:rsidRPr="00565B5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0029B4" w14:textId="77777777" w:rsidR="00C92444" w:rsidRDefault="00C92444" w:rsidP="009C7EA3">
      <w:pPr>
        <w:spacing w:after="0" w:line="240" w:lineRule="auto"/>
      </w:pPr>
      <w:r>
        <w:separator/>
      </w:r>
    </w:p>
  </w:endnote>
  <w:endnote w:type="continuationSeparator" w:id="0">
    <w:p w14:paraId="1BFC21E3" w14:textId="77777777" w:rsidR="00C92444" w:rsidRDefault="00C92444" w:rsidP="009C7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27F2F0" w14:textId="77777777" w:rsidR="00C92444" w:rsidRDefault="00C92444" w:rsidP="009C7EA3">
      <w:pPr>
        <w:spacing w:after="0" w:line="240" w:lineRule="auto"/>
      </w:pPr>
      <w:r>
        <w:separator/>
      </w:r>
    </w:p>
  </w:footnote>
  <w:footnote w:type="continuationSeparator" w:id="0">
    <w:p w14:paraId="111AF090" w14:textId="77777777" w:rsidR="00C92444" w:rsidRDefault="00C92444" w:rsidP="009C7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9F82E6" w14:textId="34BC367C" w:rsidR="009C7EA3" w:rsidRDefault="009C7EA3">
    <w:pPr>
      <w:pStyle w:val="Header"/>
    </w:pPr>
    <w:r>
      <w:t>BMPL4004                                                                                                                                           Daniel Jones</w:t>
    </w:r>
  </w:p>
  <w:p w14:paraId="39A7A932" w14:textId="499131F8" w:rsidR="009C7EA3" w:rsidRDefault="009C7EA3">
    <w:pPr>
      <w:pStyle w:val="Header"/>
    </w:pPr>
    <w:r>
      <w:ptab w:relativeTo="margin" w:alignment="center" w:leader="none"/>
    </w: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B59"/>
    <w:rsid w:val="000246DD"/>
    <w:rsid w:val="00042EF8"/>
    <w:rsid w:val="00044F00"/>
    <w:rsid w:val="000E0815"/>
    <w:rsid w:val="000F149D"/>
    <w:rsid w:val="00122A98"/>
    <w:rsid w:val="00164650"/>
    <w:rsid w:val="0016660F"/>
    <w:rsid w:val="001873EC"/>
    <w:rsid w:val="001A113B"/>
    <w:rsid w:val="001B0516"/>
    <w:rsid w:val="001C5BD2"/>
    <w:rsid w:val="00225FC5"/>
    <w:rsid w:val="002E7467"/>
    <w:rsid w:val="003A0A51"/>
    <w:rsid w:val="003B01E5"/>
    <w:rsid w:val="003B567B"/>
    <w:rsid w:val="003D71EF"/>
    <w:rsid w:val="005025A7"/>
    <w:rsid w:val="00565B59"/>
    <w:rsid w:val="005746A4"/>
    <w:rsid w:val="005A4F9A"/>
    <w:rsid w:val="006207C9"/>
    <w:rsid w:val="0067348A"/>
    <w:rsid w:val="00694E8D"/>
    <w:rsid w:val="006C0BE6"/>
    <w:rsid w:val="006E26C0"/>
    <w:rsid w:val="006F444B"/>
    <w:rsid w:val="007032D0"/>
    <w:rsid w:val="00713498"/>
    <w:rsid w:val="00746BA7"/>
    <w:rsid w:val="00767AD2"/>
    <w:rsid w:val="0077778D"/>
    <w:rsid w:val="007B10FD"/>
    <w:rsid w:val="007C0979"/>
    <w:rsid w:val="007D7825"/>
    <w:rsid w:val="008425DB"/>
    <w:rsid w:val="008A4E27"/>
    <w:rsid w:val="008D4E2F"/>
    <w:rsid w:val="008D69D3"/>
    <w:rsid w:val="009A04F0"/>
    <w:rsid w:val="009C7EA3"/>
    <w:rsid w:val="009F1A37"/>
    <w:rsid w:val="00A02C20"/>
    <w:rsid w:val="00A36362"/>
    <w:rsid w:val="00A74CAA"/>
    <w:rsid w:val="00AE1C04"/>
    <w:rsid w:val="00AE7C11"/>
    <w:rsid w:val="00B944BA"/>
    <w:rsid w:val="00C2367F"/>
    <w:rsid w:val="00C741A9"/>
    <w:rsid w:val="00C92444"/>
    <w:rsid w:val="00CC7772"/>
    <w:rsid w:val="00CE166C"/>
    <w:rsid w:val="00D0051B"/>
    <w:rsid w:val="00D07AB9"/>
    <w:rsid w:val="00D41811"/>
    <w:rsid w:val="00D852A6"/>
    <w:rsid w:val="00D91973"/>
    <w:rsid w:val="00D94253"/>
    <w:rsid w:val="00DE72E3"/>
    <w:rsid w:val="00E73188"/>
    <w:rsid w:val="00E919EB"/>
    <w:rsid w:val="00E975EB"/>
    <w:rsid w:val="00EF62E3"/>
    <w:rsid w:val="00F20C71"/>
    <w:rsid w:val="00F41C01"/>
    <w:rsid w:val="00F57E46"/>
    <w:rsid w:val="00FA348E"/>
    <w:rsid w:val="00FF7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84E2"/>
  <w15:chartTrackingRefBased/>
  <w15:docId w15:val="{3F6C0A78-D465-45B9-B22A-94B2BDBAE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EA3"/>
  </w:style>
  <w:style w:type="paragraph" w:styleId="Footer">
    <w:name w:val="footer"/>
    <w:basedOn w:val="Normal"/>
    <w:link w:val="FooterChar"/>
    <w:uiPriority w:val="99"/>
    <w:unhideWhenUsed/>
    <w:rsid w:val="009C7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935</TotalTime>
  <Pages>7</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cp:lastModifiedBy>
  <cp:revision>31</cp:revision>
  <dcterms:created xsi:type="dcterms:W3CDTF">2021-02-23T11:53:00Z</dcterms:created>
  <dcterms:modified xsi:type="dcterms:W3CDTF">2021-03-04T14:39:00Z</dcterms:modified>
</cp:coreProperties>
</file>