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3A136" w14:textId="36EC937F" w:rsidR="00E84F50" w:rsidRPr="00E84F50" w:rsidRDefault="00E84F50" w:rsidP="00E84F50">
      <w:pPr>
        <w:jc w:val="center"/>
        <w:rPr>
          <w:sz w:val="28"/>
          <w:szCs w:val="32"/>
        </w:rPr>
      </w:pPr>
      <w:r w:rsidRPr="00E84F50">
        <w:rPr>
          <w:sz w:val="28"/>
          <w:szCs w:val="32"/>
        </w:rPr>
        <w:t>BMHP6026 – Digital Transformation in the Health and Care Professions</w:t>
      </w:r>
    </w:p>
    <w:p w14:paraId="308A9254" w14:textId="25EA039B" w:rsidR="00E84F50" w:rsidRPr="00E84F50" w:rsidRDefault="00E84F50" w:rsidP="00E84F50">
      <w:pPr>
        <w:jc w:val="center"/>
        <w:rPr>
          <w:sz w:val="28"/>
          <w:szCs w:val="32"/>
        </w:rPr>
      </w:pPr>
      <w:r w:rsidRPr="00E84F50">
        <w:rPr>
          <w:bCs/>
          <w:sz w:val="28"/>
          <w:szCs w:val="32"/>
        </w:rPr>
        <w:t>Component 1: Written Report</w:t>
      </w:r>
    </w:p>
    <w:p w14:paraId="7F83EACD" w14:textId="5CF3B716" w:rsidR="00E84F50" w:rsidRPr="00E84F50" w:rsidRDefault="00E84F50" w:rsidP="00E84F50">
      <w:pPr>
        <w:jc w:val="center"/>
        <w:rPr>
          <w:sz w:val="28"/>
          <w:szCs w:val="32"/>
        </w:rPr>
      </w:pPr>
      <w:r w:rsidRPr="00E84F50">
        <w:rPr>
          <w:sz w:val="28"/>
          <w:szCs w:val="32"/>
        </w:rPr>
        <w:t>Critical Evaluation of the NHS COVID-19 App as a Digital Transformation in Health and Social Care</w:t>
      </w:r>
    </w:p>
    <w:p w14:paraId="3CF1295A" w14:textId="6401CE18" w:rsidR="00E84F50" w:rsidRPr="00E84F50" w:rsidRDefault="00E84F50" w:rsidP="00E84F50">
      <w:pPr>
        <w:jc w:val="center"/>
        <w:rPr>
          <w:sz w:val="28"/>
          <w:szCs w:val="32"/>
        </w:rPr>
      </w:pPr>
      <w:r w:rsidRPr="00E84F50">
        <w:rPr>
          <w:sz w:val="28"/>
          <w:szCs w:val="32"/>
        </w:rPr>
        <w:t>Student Name:</w:t>
      </w:r>
      <w:r w:rsidR="00062036">
        <w:rPr>
          <w:sz w:val="28"/>
          <w:szCs w:val="32"/>
        </w:rPr>
        <w:t xml:space="preserve">Bushra Aslam </w:t>
      </w:r>
    </w:p>
    <w:p w14:paraId="00802BBD" w14:textId="75375D75" w:rsidR="00E84F50" w:rsidRPr="00E84F50" w:rsidRDefault="00E84F50" w:rsidP="00E84F50">
      <w:pPr>
        <w:jc w:val="center"/>
        <w:rPr>
          <w:sz w:val="28"/>
          <w:szCs w:val="32"/>
        </w:rPr>
      </w:pPr>
      <w:r w:rsidRPr="00E84F50">
        <w:rPr>
          <w:sz w:val="28"/>
          <w:szCs w:val="32"/>
        </w:rPr>
        <w:t>Student ID:</w:t>
      </w:r>
      <w:r w:rsidR="00062036">
        <w:rPr>
          <w:sz w:val="28"/>
          <w:szCs w:val="32"/>
        </w:rPr>
        <w:t>2018406</w:t>
      </w:r>
    </w:p>
    <w:p w14:paraId="3E2F3D67" w14:textId="577441DA" w:rsidR="00E84F50" w:rsidRPr="00E84F50" w:rsidRDefault="00DF4C12" w:rsidP="00E84F50">
      <w:pPr>
        <w:jc w:val="center"/>
        <w:rPr>
          <w:sz w:val="28"/>
          <w:szCs w:val="32"/>
        </w:rPr>
      </w:pPr>
      <w:r>
        <w:rPr>
          <w:sz w:val="28"/>
          <w:szCs w:val="32"/>
        </w:rPr>
        <w:t xml:space="preserve">Lecture </w:t>
      </w:r>
      <w:proofErr w:type="spellStart"/>
      <w:r>
        <w:rPr>
          <w:sz w:val="28"/>
          <w:szCs w:val="32"/>
        </w:rPr>
        <w:t>Name:</w:t>
      </w:r>
      <w:r w:rsidR="005C5194">
        <w:rPr>
          <w:sz w:val="28"/>
          <w:szCs w:val="32"/>
        </w:rPr>
        <w:t>Martin</w:t>
      </w:r>
      <w:proofErr w:type="spellEnd"/>
      <w:r w:rsidR="005C5194">
        <w:rPr>
          <w:sz w:val="28"/>
          <w:szCs w:val="32"/>
        </w:rPr>
        <w:t xml:space="preserve"> </w:t>
      </w:r>
      <w:proofErr w:type="spellStart"/>
      <w:r w:rsidR="005C5194">
        <w:rPr>
          <w:sz w:val="28"/>
          <w:szCs w:val="32"/>
        </w:rPr>
        <w:t>svejda</w:t>
      </w:r>
      <w:proofErr w:type="spellEnd"/>
    </w:p>
    <w:p w14:paraId="68FD6AB6" w14:textId="77777777" w:rsidR="00E84F50" w:rsidRPr="00E84F50" w:rsidRDefault="00E84F50" w:rsidP="00E84F50"/>
    <w:p w14:paraId="6E800A37" w14:textId="77777777" w:rsidR="00E84F50" w:rsidRDefault="00E84F50">
      <w:pPr>
        <w:spacing w:line="278" w:lineRule="auto"/>
        <w:jc w:val="left"/>
        <w:rPr>
          <w:b/>
          <w:bCs/>
        </w:rPr>
      </w:pPr>
      <w:r>
        <w:rPr>
          <w:b/>
          <w:bCs/>
        </w:rPr>
        <w:br w:type="page"/>
      </w:r>
    </w:p>
    <w:sdt>
      <w:sdtPr>
        <w:rPr>
          <w:rFonts w:ascii="Times New Roman" w:eastAsiaTheme="minorHAnsi" w:hAnsi="Times New Roman" w:cstheme="minorBidi"/>
          <w:color w:val="auto"/>
          <w:kern w:val="2"/>
          <w:sz w:val="22"/>
          <w:szCs w:val="24"/>
          <w14:ligatures w14:val="standardContextual"/>
        </w:rPr>
        <w:id w:val="-1481763254"/>
        <w:docPartObj>
          <w:docPartGallery w:val="Table of Contents"/>
          <w:docPartUnique/>
        </w:docPartObj>
      </w:sdtPr>
      <w:sdtEndPr>
        <w:rPr>
          <w:b/>
          <w:bCs/>
          <w:noProof/>
        </w:rPr>
      </w:sdtEndPr>
      <w:sdtContent>
        <w:p w14:paraId="02814295" w14:textId="5569B87D" w:rsidR="006137B2" w:rsidRDefault="006137B2">
          <w:pPr>
            <w:pStyle w:val="TOCHeading"/>
          </w:pPr>
          <w:r>
            <w:t>Table of Contents</w:t>
          </w:r>
        </w:p>
        <w:p w14:paraId="67BA5A36" w14:textId="6EF7D23C" w:rsidR="006137B2" w:rsidRDefault="006137B2">
          <w:pPr>
            <w:pStyle w:val="TOC1"/>
            <w:tabs>
              <w:tab w:val="right" w:leader="dot" w:pos="9350"/>
            </w:tabs>
            <w:rPr>
              <w:rFonts w:asciiTheme="minorHAnsi" w:eastAsiaTheme="minorEastAsia" w:hAnsiTheme="minorHAnsi"/>
              <w:noProof/>
              <w:sz w:val="24"/>
            </w:rPr>
          </w:pPr>
          <w:r>
            <w:fldChar w:fldCharType="begin"/>
          </w:r>
          <w:r>
            <w:instrText xml:space="preserve"> TOC \o "1-3" \h \z \u </w:instrText>
          </w:r>
          <w:r>
            <w:fldChar w:fldCharType="separate"/>
          </w:r>
          <w:hyperlink w:anchor="_Toc231057371" w:history="1">
            <w:r w:rsidRPr="002F2071">
              <w:rPr>
                <w:rStyle w:val="Hyperlink"/>
                <w:noProof/>
              </w:rPr>
              <w:t>Introduction</w:t>
            </w:r>
            <w:r>
              <w:rPr>
                <w:noProof/>
                <w:webHidden/>
              </w:rPr>
              <w:tab/>
            </w:r>
            <w:r>
              <w:rPr>
                <w:noProof/>
                <w:webHidden/>
              </w:rPr>
              <w:fldChar w:fldCharType="begin"/>
            </w:r>
            <w:r>
              <w:rPr>
                <w:noProof/>
                <w:webHidden/>
              </w:rPr>
              <w:instrText xml:space="preserve"> PAGEREF _Toc231057371 \h </w:instrText>
            </w:r>
            <w:r>
              <w:rPr>
                <w:noProof/>
                <w:webHidden/>
              </w:rPr>
            </w:r>
            <w:r>
              <w:rPr>
                <w:noProof/>
                <w:webHidden/>
              </w:rPr>
              <w:fldChar w:fldCharType="separate"/>
            </w:r>
            <w:r>
              <w:rPr>
                <w:noProof/>
                <w:webHidden/>
              </w:rPr>
              <w:t>2</w:t>
            </w:r>
            <w:r>
              <w:rPr>
                <w:noProof/>
                <w:webHidden/>
              </w:rPr>
              <w:fldChar w:fldCharType="end"/>
            </w:r>
          </w:hyperlink>
        </w:p>
        <w:p w14:paraId="7323AFE4" w14:textId="7AE033CB" w:rsidR="006137B2" w:rsidRDefault="006137B2">
          <w:pPr>
            <w:pStyle w:val="TOC1"/>
            <w:tabs>
              <w:tab w:val="right" w:leader="dot" w:pos="9350"/>
            </w:tabs>
            <w:rPr>
              <w:rFonts w:asciiTheme="minorHAnsi" w:eastAsiaTheme="minorEastAsia" w:hAnsiTheme="minorHAnsi"/>
              <w:noProof/>
              <w:sz w:val="24"/>
            </w:rPr>
          </w:pPr>
          <w:hyperlink w:anchor="_Toc231057372" w:history="1">
            <w:r w:rsidRPr="002F2071">
              <w:rPr>
                <w:rStyle w:val="Hyperlink"/>
                <w:noProof/>
              </w:rPr>
              <w:t>Workforce</w:t>
            </w:r>
            <w:r>
              <w:rPr>
                <w:noProof/>
                <w:webHidden/>
              </w:rPr>
              <w:tab/>
            </w:r>
            <w:r>
              <w:rPr>
                <w:noProof/>
                <w:webHidden/>
              </w:rPr>
              <w:fldChar w:fldCharType="begin"/>
            </w:r>
            <w:r>
              <w:rPr>
                <w:noProof/>
                <w:webHidden/>
              </w:rPr>
              <w:instrText xml:space="preserve"> PAGEREF _Toc231057372 \h </w:instrText>
            </w:r>
            <w:r>
              <w:rPr>
                <w:noProof/>
                <w:webHidden/>
              </w:rPr>
            </w:r>
            <w:r>
              <w:rPr>
                <w:noProof/>
                <w:webHidden/>
              </w:rPr>
              <w:fldChar w:fldCharType="separate"/>
            </w:r>
            <w:r>
              <w:rPr>
                <w:noProof/>
                <w:webHidden/>
              </w:rPr>
              <w:t>2</w:t>
            </w:r>
            <w:r>
              <w:rPr>
                <w:noProof/>
                <w:webHidden/>
              </w:rPr>
              <w:fldChar w:fldCharType="end"/>
            </w:r>
          </w:hyperlink>
        </w:p>
        <w:p w14:paraId="3B1FBBB5" w14:textId="79D876D1" w:rsidR="006137B2" w:rsidRDefault="006137B2">
          <w:pPr>
            <w:pStyle w:val="TOC1"/>
            <w:tabs>
              <w:tab w:val="right" w:leader="dot" w:pos="9350"/>
            </w:tabs>
            <w:rPr>
              <w:rFonts w:asciiTheme="minorHAnsi" w:eastAsiaTheme="minorEastAsia" w:hAnsiTheme="minorHAnsi"/>
              <w:noProof/>
              <w:sz w:val="24"/>
            </w:rPr>
          </w:pPr>
          <w:hyperlink w:anchor="_Toc231057373" w:history="1">
            <w:r w:rsidRPr="002F2071">
              <w:rPr>
                <w:rStyle w:val="Hyperlink"/>
                <w:noProof/>
              </w:rPr>
              <w:t>Service Delivery</w:t>
            </w:r>
            <w:r>
              <w:rPr>
                <w:noProof/>
                <w:webHidden/>
              </w:rPr>
              <w:tab/>
            </w:r>
            <w:r>
              <w:rPr>
                <w:noProof/>
                <w:webHidden/>
              </w:rPr>
              <w:fldChar w:fldCharType="begin"/>
            </w:r>
            <w:r>
              <w:rPr>
                <w:noProof/>
                <w:webHidden/>
              </w:rPr>
              <w:instrText xml:space="preserve"> PAGEREF _Toc231057373 \h </w:instrText>
            </w:r>
            <w:r>
              <w:rPr>
                <w:noProof/>
                <w:webHidden/>
              </w:rPr>
            </w:r>
            <w:r>
              <w:rPr>
                <w:noProof/>
                <w:webHidden/>
              </w:rPr>
              <w:fldChar w:fldCharType="separate"/>
            </w:r>
            <w:r>
              <w:rPr>
                <w:noProof/>
                <w:webHidden/>
              </w:rPr>
              <w:t>3</w:t>
            </w:r>
            <w:r>
              <w:rPr>
                <w:noProof/>
                <w:webHidden/>
              </w:rPr>
              <w:fldChar w:fldCharType="end"/>
            </w:r>
          </w:hyperlink>
        </w:p>
        <w:p w14:paraId="4B70EE96" w14:textId="0F147A39" w:rsidR="006137B2" w:rsidRDefault="006137B2">
          <w:pPr>
            <w:pStyle w:val="TOC1"/>
            <w:tabs>
              <w:tab w:val="right" w:leader="dot" w:pos="9350"/>
            </w:tabs>
            <w:rPr>
              <w:rFonts w:asciiTheme="minorHAnsi" w:eastAsiaTheme="minorEastAsia" w:hAnsiTheme="minorHAnsi"/>
              <w:noProof/>
              <w:sz w:val="24"/>
            </w:rPr>
          </w:pPr>
          <w:hyperlink w:anchor="_Toc231057374" w:history="1">
            <w:r w:rsidRPr="002F2071">
              <w:rPr>
                <w:rStyle w:val="Hyperlink"/>
                <w:noProof/>
              </w:rPr>
              <w:t>Patient/Service User</w:t>
            </w:r>
            <w:r>
              <w:rPr>
                <w:noProof/>
                <w:webHidden/>
              </w:rPr>
              <w:tab/>
            </w:r>
            <w:r>
              <w:rPr>
                <w:noProof/>
                <w:webHidden/>
              </w:rPr>
              <w:fldChar w:fldCharType="begin"/>
            </w:r>
            <w:r>
              <w:rPr>
                <w:noProof/>
                <w:webHidden/>
              </w:rPr>
              <w:instrText xml:space="preserve"> PAGEREF _Toc231057374 \h </w:instrText>
            </w:r>
            <w:r>
              <w:rPr>
                <w:noProof/>
                <w:webHidden/>
              </w:rPr>
            </w:r>
            <w:r>
              <w:rPr>
                <w:noProof/>
                <w:webHidden/>
              </w:rPr>
              <w:fldChar w:fldCharType="separate"/>
            </w:r>
            <w:r>
              <w:rPr>
                <w:noProof/>
                <w:webHidden/>
              </w:rPr>
              <w:t>5</w:t>
            </w:r>
            <w:r>
              <w:rPr>
                <w:noProof/>
                <w:webHidden/>
              </w:rPr>
              <w:fldChar w:fldCharType="end"/>
            </w:r>
          </w:hyperlink>
        </w:p>
        <w:p w14:paraId="467DD68B" w14:textId="159DCA2D" w:rsidR="006137B2" w:rsidRDefault="006137B2">
          <w:pPr>
            <w:pStyle w:val="TOC1"/>
            <w:tabs>
              <w:tab w:val="right" w:leader="dot" w:pos="9350"/>
            </w:tabs>
            <w:rPr>
              <w:rFonts w:asciiTheme="minorHAnsi" w:eastAsiaTheme="minorEastAsia" w:hAnsiTheme="minorHAnsi"/>
              <w:noProof/>
              <w:sz w:val="24"/>
            </w:rPr>
          </w:pPr>
          <w:hyperlink w:anchor="_Toc231057375" w:history="1">
            <w:r w:rsidRPr="002F2071">
              <w:rPr>
                <w:rStyle w:val="Hyperlink"/>
                <w:noProof/>
              </w:rPr>
              <w:t>Community</w:t>
            </w:r>
            <w:r>
              <w:rPr>
                <w:noProof/>
                <w:webHidden/>
              </w:rPr>
              <w:tab/>
            </w:r>
            <w:r>
              <w:rPr>
                <w:noProof/>
                <w:webHidden/>
              </w:rPr>
              <w:fldChar w:fldCharType="begin"/>
            </w:r>
            <w:r>
              <w:rPr>
                <w:noProof/>
                <w:webHidden/>
              </w:rPr>
              <w:instrText xml:space="preserve"> PAGEREF _Toc231057375 \h </w:instrText>
            </w:r>
            <w:r>
              <w:rPr>
                <w:noProof/>
                <w:webHidden/>
              </w:rPr>
            </w:r>
            <w:r>
              <w:rPr>
                <w:noProof/>
                <w:webHidden/>
              </w:rPr>
              <w:fldChar w:fldCharType="separate"/>
            </w:r>
            <w:r>
              <w:rPr>
                <w:noProof/>
                <w:webHidden/>
              </w:rPr>
              <w:t>6</w:t>
            </w:r>
            <w:r>
              <w:rPr>
                <w:noProof/>
                <w:webHidden/>
              </w:rPr>
              <w:fldChar w:fldCharType="end"/>
            </w:r>
          </w:hyperlink>
        </w:p>
        <w:p w14:paraId="649C7B78" w14:textId="01025796" w:rsidR="006137B2" w:rsidRDefault="006137B2">
          <w:pPr>
            <w:pStyle w:val="TOC1"/>
            <w:tabs>
              <w:tab w:val="right" w:leader="dot" w:pos="9350"/>
            </w:tabs>
            <w:rPr>
              <w:rFonts w:asciiTheme="minorHAnsi" w:eastAsiaTheme="minorEastAsia" w:hAnsiTheme="minorHAnsi"/>
              <w:noProof/>
              <w:sz w:val="24"/>
            </w:rPr>
          </w:pPr>
          <w:hyperlink w:anchor="_Toc231057376" w:history="1">
            <w:r w:rsidRPr="002F2071">
              <w:rPr>
                <w:rStyle w:val="Hyperlink"/>
                <w:noProof/>
              </w:rPr>
              <w:t>Conclusion</w:t>
            </w:r>
            <w:r>
              <w:rPr>
                <w:noProof/>
                <w:webHidden/>
              </w:rPr>
              <w:tab/>
            </w:r>
            <w:r>
              <w:rPr>
                <w:noProof/>
                <w:webHidden/>
              </w:rPr>
              <w:fldChar w:fldCharType="begin"/>
            </w:r>
            <w:r>
              <w:rPr>
                <w:noProof/>
                <w:webHidden/>
              </w:rPr>
              <w:instrText xml:space="preserve"> PAGEREF _Toc231057376 \h </w:instrText>
            </w:r>
            <w:r>
              <w:rPr>
                <w:noProof/>
                <w:webHidden/>
              </w:rPr>
            </w:r>
            <w:r>
              <w:rPr>
                <w:noProof/>
                <w:webHidden/>
              </w:rPr>
              <w:fldChar w:fldCharType="separate"/>
            </w:r>
            <w:r>
              <w:rPr>
                <w:noProof/>
                <w:webHidden/>
              </w:rPr>
              <w:t>7</w:t>
            </w:r>
            <w:r>
              <w:rPr>
                <w:noProof/>
                <w:webHidden/>
              </w:rPr>
              <w:fldChar w:fldCharType="end"/>
            </w:r>
          </w:hyperlink>
        </w:p>
        <w:p w14:paraId="33E40E0B" w14:textId="623996CA" w:rsidR="006137B2" w:rsidRDefault="006137B2">
          <w:r>
            <w:rPr>
              <w:b/>
              <w:bCs/>
              <w:noProof/>
            </w:rPr>
            <w:fldChar w:fldCharType="end"/>
          </w:r>
        </w:p>
      </w:sdtContent>
    </w:sdt>
    <w:p w14:paraId="4614BF0D" w14:textId="77777777" w:rsidR="006137B2" w:rsidRDefault="006137B2" w:rsidP="00E84F50">
      <w:pPr>
        <w:pStyle w:val="Heading1"/>
      </w:pPr>
    </w:p>
    <w:p w14:paraId="1EE39652" w14:textId="77777777" w:rsidR="006137B2" w:rsidRDefault="006137B2">
      <w:pPr>
        <w:spacing w:line="278" w:lineRule="auto"/>
        <w:jc w:val="left"/>
        <w:rPr>
          <w:rFonts w:eastAsiaTheme="majorEastAsia" w:cstheme="majorBidi"/>
          <w:b/>
          <w:sz w:val="28"/>
          <w:szCs w:val="40"/>
          <w:u w:val="single"/>
        </w:rPr>
      </w:pPr>
      <w:bookmarkStart w:id="0" w:name="_Toc231057371"/>
      <w:r>
        <w:br w:type="page"/>
      </w:r>
    </w:p>
    <w:p w14:paraId="2A5B5070" w14:textId="51E6D0C2" w:rsidR="00E84F50" w:rsidRPr="00E84F50" w:rsidRDefault="00E84F50" w:rsidP="00E84F50">
      <w:pPr>
        <w:pStyle w:val="Heading1"/>
      </w:pPr>
      <w:r w:rsidRPr="00E84F50">
        <w:t>Introduction</w:t>
      </w:r>
      <w:bookmarkEnd w:id="0"/>
    </w:p>
    <w:p w14:paraId="1BCE3F6E" w14:textId="7DBAF147" w:rsidR="006137B2" w:rsidRPr="00E84F50" w:rsidRDefault="006137B2" w:rsidP="00E84F50">
      <w:r w:rsidRPr="006137B2">
        <w:t>The NHS COVID-19 app was launched across England and Wales on 24 September 2020 as a public health contact-tracing tool. The app had Bluetooth exposure notification, QR venue check-in, symptom checking, test booking, local risk alerts and isolation guidance. It was distinct to the general NHS App and was dedicated to the transmission control of COVID-19. GOV.UK mentions that the app was shut down on 27 April 2023 because it was no longer actively used. This report critically analyzes its implementation in the workforce, service delivery, patient/service user experience, and community impact. It takes into account both advantages and drawbacks based on official and academic evidence.</w:t>
      </w:r>
    </w:p>
    <w:p w14:paraId="33B05960" w14:textId="77777777" w:rsidR="00E84F50" w:rsidRPr="00E84F50" w:rsidRDefault="00E84F50" w:rsidP="00E84F50">
      <w:pPr>
        <w:pStyle w:val="Heading1"/>
      </w:pPr>
      <w:bookmarkStart w:id="1" w:name="_Toc231057372"/>
      <w:r w:rsidRPr="00E84F50">
        <w:t>Workforce</w:t>
      </w:r>
      <w:bookmarkEnd w:id="1"/>
    </w:p>
    <w:p w14:paraId="0895E243" w14:textId="77777777" w:rsidR="006137B2" w:rsidRDefault="006137B2" w:rsidP="006137B2">
      <w:r>
        <w:t>According to GOV.UK (2020), the NHS COVID-19 app was created to be used alongside traditional contact tracing in England and Wales. This demonstrates that the implementation of the workforce was not pegged on the replacement of workforce with technology. Rather, the app provided an online overlay to the workforce of Test and Trace. The coordination of public health teams, contact tracers, local authorities, venues and testing services had to be organized around the app notifications. The app warned individuals who were near confirmed cases through Bluetooth. It also enabled users to check symptoms, reserve tests and get isolation advice. This altered the practice of workforce since some of the tracing activities were automated and expedited. Nonetheless, it also demanded employees to describe the functionality of apps and answer the questions of the population.</w:t>
      </w:r>
    </w:p>
    <w:p w14:paraId="7915E201" w14:textId="77777777" w:rsidR="006137B2" w:rsidRDefault="006137B2" w:rsidP="006137B2">
      <w:proofErr w:type="spellStart"/>
      <w:r>
        <w:t>Wymant</w:t>
      </w:r>
      <w:proofErr w:type="spellEnd"/>
      <w:r>
        <w:t xml:space="preserve"> et al. (2021) found that the app sent around 1.7 million exposure notifications by December 2020. Their estimation of their modelling revealed that the app averted 284,000 to 594,000 COVID-19 cases in that initial stage. This fact substantiates the value of digital contact tracing to the workforce since notifications might be delivered quicker than a phone call. In the following year, Kendall et al. (2023) estimated that the app saved approximately one million cases during its initial year. According to these findings, the app was able to support the public health teams by expanding the tracing capacity. Nevertheless, the two studies were based on modelling as well as on assumptions and </w:t>
      </w:r>
      <w:proofErr w:type="spellStart"/>
      <w:r>
        <w:t>anonymised</w:t>
      </w:r>
      <w:proofErr w:type="spellEnd"/>
      <w:r>
        <w:t xml:space="preserve"> aggregate data. Thus, the evidence confirms the value of the workforce, but it is not able to indicate all the </w:t>
      </w:r>
      <w:proofErr w:type="spellStart"/>
      <w:r>
        <w:t>behaviours</w:t>
      </w:r>
      <w:proofErr w:type="spellEnd"/>
      <w:r>
        <w:t xml:space="preserve"> of individuals following the notification. </w:t>
      </w:r>
    </w:p>
    <w:p w14:paraId="578C2D02" w14:textId="77777777" w:rsidR="006137B2" w:rsidRDefault="006137B2" w:rsidP="006137B2">
      <w:r>
        <w:t>According to Palmer et al. (2024), ineffective communication was deemed as a significant impediment by professionals who participated in the response to the pandemic. Their interviewees also pointed out the privacy issues, technological access issues, digital literacy and improper use of apps. This indicates that implementation added additional communication burdens to health workers and leaders in charge of health. Employees were forced to foster trust, clarify messages of isolation and deal with misunderstandings regarding the functionality of the app. In the same study, there was no evident professional agreement on whether the app was a total success or not. This poses a significant constraint to transformation of workforce. The application made tracing faster, and its efficiency relied on the general awareness and communication supported by the staff.</w:t>
      </w:r>
    </w:p>
    <w:p w14:paraId="7F47FD09" w14:textId="37A78E41" w:rsidR="006137B2" w:rsidRPr="00E84F50" w:rsidRDefault="006137B2" w:rsidP="006137B2">
      <w:r>
        <w:t xml:space="preserve">The privacy impact assessment provided by the Department of Health and Social Care claimed that the app facilitated risk alerts, venue records, symptom checking and isolation tracking. These functions demonstrate that the workforce implementation was not confined to the clinicians and contact tracers. Hospitality establishments, educational institutions, daycare centers, employers and local governments joined the response of the public health. GOV.UK instructions on education settings revealed that there were premises that required QR posters by law. This expanded community and workplace responsibility in the compliance of the public health. The app thus has </w:t>
      </w:r>
      <w:proofErr w:type="spellStart"/>
      <w:r>
        <w:t>revolutionised</w:t>
      </w:r>
      <w:proofErr w:type="spellEnd"/>
      <w:r>
        <w:t xml:space="preserve"> workforce practice in that it spreads the work of tracing to numerous </w:t>
      </w:r>
      <w:proofErr w:type="spellStart"/>
      <w:r>
        <w:t>organisations</w:t>
      </w:r>
      <w:proofErr w:type="spellEnd"/>
      <w:r>
        <w:t>. But this also put a strain where employees had no time, no confidence or training.</w:t>
      </w:r>
    </w:p>
    <w:p w14:paraId="375CFE09" w14:textId="77777777" w:rsidR="00E84F50" w:rsidRPr="00E84F50" w:rsidRDefault="00E84F50" w:rsidP="00E84F50">
      <w:pPr>
        <w:pStyle w:val="Heading1"/>
      </w:pPr>
      <w:bookmarkStart w:id="2" w:name="_Toc231057373"/>
      <w:r w:rsidRPr="00E84F50">
        <w:t>Service Delivery</w:t>
      </w:r>
      <w:bookmarkEnd w:id="2"/>
    </w:p>
    <w:p w14:paraId="4CA42BAB" w14:textId="77777777" w:rsidR="006137B2" w:rsidRDefault="006137B2" w:rsidP="006137B2">
      <w:r>
        <w:t xml:space="preserve">GOV.UK (2020) explained that the NHS COVID-19 app is an app with Bluetooth contact tracing, postcode risk alerts and QR check-in. According to this official design, the delivery of services shifted to real-time digital risk notification, rather than reactive tracing calls. It would allow users to be informed of risks without the need to know the infected individual and wait until contact tracing is done manually. The app was also linked to symptom check, test booking and isolation guidance. This altered the provision of services since the guidelines of COVID-19 could be accessed via a smartphone. It also enabled public health services to scale up to reach users. Therefore, the app implemented digital transformation by making pandemic advice more immediate and </w:t>
      </w:r>
      <w:proofErr w:type="spellStart"/>
      <w:r>
        <w:t>decentralised</w:t>
      </w:r>
      <w:proofErr w:type="spellEnd"/>
      <w:r>
        <w:t xml:space="preserve">. </w:t>
      </w:r>
    </w:p>
    <w:p w14:paraId="512C28B2" w14:textId="77777777" w:rsidR="006137B2" w:rsidRDefault="006137B2" w:rsidP="006137B2">
      <w:r>
        <w:t xml:space="preserve">Kendall et al. (2023) discovered that those app users who received the notification recently had a higher probability of a positive result. This implies that the application was recognizing significant exposure risks as opposed to issuing chance alerts. Their analysis approximated that 1 million cases and 9,600 deaths would be averted the first year. This is a good indication that service delivery through apps helped in the reduction of transmission. </w:t>
      </w:r>
      <w:proofErr w:type="spellStart"/>
      <w:r>
        <w:t>Wymant</w:t>
      </w:r>
      <w:proofErr w:type="spellEnd"/>
      <w:r>
        <w:t xml:space="preserve"> et al. (2021) also discovered a one-percentage point higher uptake to reduce cases by either a modelled or statistical calculation. These studies endorse the service-delivery advantage of expeditious digital exposure notification. Nevertheless, Kendall et al. (2023) reported broad uncertainty intervals in their estimates, as well. It implies that the influence of the app was strong, although the magnitude is not clear. </w:t>
      </w:r>
    </w:p>
    <w:p w14:paraId="219DD54B" w14:textId="26220BE2" w:rsidR="006137B2" w:rsidRDefault="006137B2" w:rsidP="006137B2">
      <w:r>
        <w:t xml:space="preserve">QR check-in feature of the app also transformed service provision beyond traditional healthcare premises. GOV.UK advice indicated that venue check-in generated a digital place diary of visited locations by users. This may aid in contact tracing in case a user contracted COVID-19 or visited a high-risk place. The application thus bridged the gap between the health services of the people and the businesses, childcare and social places. This expanded the service provision of hospitals and GPs to daily communal places. But this system relied on the fact that people scan QR codes accurately and reliably. Palmer et al. (2024) discovered that ineffective communication and improper use decreased the effectiveness of apps. This demonstrates that digital service delivery demanded </w:t>
      </w:r>
      <w:proofErr w:type="spellStart"/>
      <w:r>
        <w:t>behavioural</w:t>
      </w:r>
      <w:proofErr w:type="spellEnd"/>
      <w:r>
        <w:t xml:space="preserve"> adherence and not just technical access.</w:t>
      </w:r>
    </w:p>
    <w:p w14:paraId="47A8B01F" w14:textId="77777777" w:rsidR="006137B2" w:rsidRDefault="006137B2" w:rsidP="006137B2">
      <w:pPr>
        <w:keepNext/>
      </w:pPr>
      <w:r>
        <w:rPr>
          <w:noProof/>
        </w:rPr>
        <w:drawing>
          <wp:inline distT="0" distB="0" distL="0" distR="0" wp14:anchorId="1BA10A9E" wp14:editId="33D1824E">
            <wp:extent cx="5943600" cy="3342640"/>
            <wp:effectExtent l="0" t="0" r="0" b="0"/>
            <wp:docPr id="1759984626" name="Picture 1" descr="Sample screenshots of the &quot;NHS COVID-19&quot; app's user interfac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screenshots of the &quot;NHS COVID-19&quot; app's user interface [17,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p>
    <w:p w14:paraId="24D2D183" w14:textId="1047EE8A" w:rsidR="006137B2" w:rsidRPr="00E84F50" w:rsidRDefault="006137B2" w:rsidP="006137B2">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NHS Covid-19 app screenshots (Panchal et al., 2021)</w:t>
      </w:r>
    </w:p>
    <w:p w14:paraId="2EE5B2FD" w14:textId="7C530E3B" w:rsidR="006137B2" w:rsidRPr="00E84F50" w:rsidRDefault="006137B2" w:rsidP="00E84F50">
      <w:r w:rsidRPr="006137B2">
        <w:t xml:space="preserve">In April 2023 the app was closed as the number of people using the app and the number of positive tests was falling. GOV.UK explained that a lesser access to testing led to lower positive outcomes being recorded in the app. This undermined the system of notification since exposure alerts were based on users reporting positive results. The shutdown reveals a significant shortcoming of the implementation of digital services. An effective time to use a public health app is when the testing and engagement rates are high. But, when testing </w:t>
      </w:r>
      <w:proofErr w:type="spellStart"/>
      <w:r w:rsidRPr="006137B2">
        <w:t>behaviour</w:t>
      </w:r>
      <w:proofErr w:type="spellEnd"/>
      <w:r w:rsidRPr="006137B2">
        <w:t xml:space="preserve">, the value of it declines with changes in the public concern and policy priorities. </w:t>
      </w:r>
    </w:p>
    <w:p w14:paraId="728314E8" w14:textId="77777777" w:rsidR="00E84F50" w:rsidRPr="00E84F50" w:rsidRDefault="00E84F50" w:rsidP="00E84F50">
      <w:pPr>
        <w:pStyle w:val="Heading1"/>
      </w:pPr>
      <w:bookmarkStart w:id="3" w:name="_Toc231057374"/>
      <w:r w:rsidRPr="00E84F50">
        <w:t>Patient/Service User</w:t>
      </w:r>
      <w:bookmarkEnd w:id="3"/>
    </w:p>
    <w:p w14:paraId="1C80A153" w14:textId="77777777" w:rsidR="006137B2" w:rsidRDefault="006137B2" w:rsidP="006137B2">
      <w:r>
        <w:t>GOV.UK (2022) stated that the NHS COVID-19 app allowed users to receive risk alerts and enter positive results. This demonstrates the fact that patients and service users were involved as active participants in the area of public health surveillance. After direct contact, users were not only provided with advice by professionals. The app was also used by them to warn other people anonymously when tested positive. This transformed the patient as an active participant to become a digital participant. It also provided personal symptom checking and isolation advice management tools to users. As such, self-management was encouraged through implementation in the face of the pandemic.</w:t>
      </w:r>
    </w:p>
    <w:p w14:paraId="0DB9B6BC" w14:textId="77777777" w:rsidR="006137B2" w:rsidRDefault="006137B2" w:rsidP="006137B2">
      <w:r>
        <w:t xml:space="preserve">Dowthwaite et al. (2021) discovered that NHS COVID-19 app adoption relied on the public trust. Their research revealed that adoption was associated with trust in the app and broader government response. This proves the fact that user experience was based on trust, rather than app design. Similar findings were made by Palmer et al. (2024), who found that privacy diminished trust in digital contact tracing. Interviewees were of the opinion that lack of good communication and transparency influenced public trust. These results dispel an easy interpretation of users not using the app due to technological issues. The political trust and privacy issue and communication with the masses also influenced the patient experience. </w:t>
      </w:r>
    </w:p>
    <w:p w14:paraId="28A40C03" w14:textId="77777777" w:rsidR="006137B2" w:rsidRDefault="006137B2" w:rsidP="006137B2">
      <w:r>
        <w:t xml:space="preserve">Panchal et al. (2021) utilized the perception and usage of various NHS COVID-19 applications features. They discovered that individuals utilized and interpreted the features of apps in various ways. This is important since service-user benefit was determined through the interpretation of exposure warning, QR check-ins and testing links by the users. Other users might have appreciated the app as it provided direct information and assurance. Others might have been anxious, confused or frustrated with isolation notifications. Palmer et al. (2024) also discovered that issues with delayed notifications and social support restricted adoption. This implies that the use of alerts was not sufficient without viable assistance of isolation. Thus, patient experience was influenced by the broader social implications of using app advice. </w:t>
      </w:r>
    </w:p>
    <w:p w14:paraId="7B2CD8D0" w14:textId="1955DBA8" w:rsidR="006137B2" w:rsidRPr="00E84F50" w:rsidRDefault="006137B2" w:rsidP="006137B2">
      <w:r>
        <w:t xml:space="preserve">The privacy design of the app tried to minimize patient concerns by using anonymous Bluetooth identifiers. GOV.UK explained that random IDs regenerated frequently and did not use GPS location tracking. This was significant as digital contact tracing can make people fear surveillance and abuse of information. Nevertheless, Samuel and Sims (2021) suggested that responsible innovation and actual public engagement is needed by the technologies in the field of public health. According to their work, privacy design is not sufficient to ensure that people accept it. The human beings should also be provided with clear explanations, trust and participation in the decision making. </w:t>
      </w:r>
    </w:p>
    <w:p w14:paraId="45B7D67A" w14:textId="77777777" w:rsidR="00E84F50" w:rsidRPr="00E84F50" w:rsidRDefault="00E84F50" w:rsidP="00E84F50">
      <w:pPr>
        <w:pStyle w:val="Heading1"/>
      </w:pPr>
      <w:bookmarkStart w:id="4" w:name="_Toc231057375"/>
      <w:r w:rsidRPr="00E84F50">
        <w:t>Community</w:t>
      </w:r>
      <w:bookmarkEnd w:id="4"/>
    </w:p>
    <w:p w14:paraId="76CCB4D4" w14:textId="77777777" w:rsidR="006137B2" w:rsidRDefault="006137B2" w:rsidP="006137B2">
      <w:r>
        <w:t xml:space="preserve">According to GOV.UK (2020), the app was released to shield users, close ones, and broader communities. This demonstrates that the NHS COVID-19 app was an intervention on the community level of public health. It relied on the collective participation instead of individual treatment. The application might warn foreigners who were on a bus, shop, workplace or place. This transformed the practice of community health as the contacts who were not known could be warned within a short time. It also backed local risk alerts, which were postcode district-based. Thus, the application bridged personal digital </w:t>
      </w:r>
      <w:proofErr w:type="spellStart"/>
      <w:r>
        <w:t>behaviour</w:t>
      </w:r>
      <w:proofErr w:type="spellEnd"/>
      <w:r>
        <w:t xml:space="preserve"> and broader population security.</w:t>
      </w:r>
    </w:p>
    <w:p w14:paraId="26421238" w14:textId="77777777" w:rsidR="006137B2" w:rsidRDefault="006137B2" w:rsidP="006137B2">
      <w:r>
        <w:t xml:space="preserve">Kendall et al. (2023) discovered that the public health effect of the app differed among local authorities in England and Wales. They said that variation was uptake, interaction with reporting, user clustering and local prevalence of the virus. This observation indicates that community good was not equally distributed in various locations. Regions with a higher uptake and reporting benefited more with digital contact tracing. Less protection was granted to the same app to areas with lower engagement or lower access. Palmer et al. (2024) discovered that access to technology and digital literacy posed obstacle to adoption. This implies that inequality within the community influenced the outcomes of implementation. It is thus necessary that digital public health tools have local inclusion strategies to be fair. </w:t>
      </w:r>
    </w:p>
    <w:p w14:paraId="4FC1A2B8" w14:textId="77777777" w:rsidR="006137B2" w:rsidRDefault="006137B2" w:rsidP="006137B2">
      <w:r>
        <w:t xml:space="preserve">QR check-in feature expanded community implementation to businesses, venues and public spaces. GOV.UK said that some companies in England would have to have official NHS QR posters. This altered the points of community services since tracing of public health had been included in the daily management of the venues. Education instructions also indicated that QR posters were applied to settings that were below the contact-detail regulations. This demonstrates that schools, childcare premises, businesses and public-facing </w:t>
      </w:r>
      <w:proofErr w:type="spellStart"/>
      <w:r>
        <w:t>organisations</w:t>
      </w:r>
      <w:proofErr w:type="spellEnd"/>
      <w:r>
        <w:t xml:space="preserve"> were to be involved in the implementation of the apps. Nevertheless, QR systems were reliant on compliance by venues and the willingness of the population to scan codes. Provided that individuals did not pay attention to posters, had out-of-date phones or did not understand the process, the community tracing became less strong. </w:t>
      </w:r>
    </w:p>
    <w:p w14:paraId="247966FF" w14:textId="528C4568" w:rsidR="006137B2" w:rsidRPr="00E84F50" w:rsidRDefault="006137B2" w:rsidP="006137B2">
      <w:r>
        <w:t xml:space="preserve">The fact that the app was shut down in April 2023 demonstrates that digital tools used by communities rely on broader public health situations. According to GOV.UK, vaccination and treatments, immunity and reduced active use were part of the reasons behind closure decisions. This does not imply that the app was not of community value at the time of the pandemic. Rather, it demonstrates that digital change should evolve with the change in the risk to the population health. </w:t>
      </w:r>
      <w:proofErr w:type="spellStart"/>
      <w:r>
        <w:t>Wymant</w:t>
      </w:r>
      <w:proofErr w:type="spellEnd"/>
      <w:r>
        <w:t xml:space="preserve"> et al. (2021) and Kendall et al. (2023) demonstrate that the app probably made a significant decrease in infections. Palmer et al. (2024) demonstrates that the next-generation apps should be more communicative, more accessible and socially supported. Thus, the community lesson is balanced. The NHS COVID-19 app safeguarded the community, yet the effect hinged upon trust, involvement and continued use.</w:t>
      </w:r>
    </w:p>
    <w:p w14:paraId="69944923" w14:textId="77777777" w:rsidR="00E84F50" w:rsidRPr="00E84F50" w:rsidRDefault="00E84F50" w:rsidP="00E84F50">
      <w:pPr>
        <w:pStyle w:val="Heading1"/>
      </w:pPr>
      <w:bookmarkStart w:id="5" w:name="_Toc231057376"/>
      <w:r w:rsidRPr="00E84F50">
        <w:t>Conclusion</w:t>
      </w:r>
      <w:bookmarkEnd w:id="5"/>
    </w:p>
    <w:p w14:paraId="48C27A9D" w14:textId="00BA0B60" w:rsidR="00E84F50" w:rsidRDefault="006137B2" w:rsidP="006137B2">
      <w:pPr>
        <w:rPr>
          <w:b/>
          <w:bCs/>
        </w:rPr>
      </w:pPr>
      <w:r w:rsidRPr="006137B2">
        <w:t xml:space="preserve">The NHS COVID-19 app is the best UK-based choice for this assignment because it has strong official and academic evidence. It was used as a contact-tracing app in England and Wales during the pandemic. There is evidence that it is effective in the first year of use in preventing infections, </w:t>
      </w:r>
      <w:proofErr w:type="spellStart"/>
      <w:r w:rsidRPr="006137B2">
        <w:t>hospitalisations</w:t>
      </w:r>
      <w:proofErr w:type="spellEnd"/>
      <w:r w:rsidRPr="006137B2">
        <w:t xml:space="preserve"> and deaths. It also transformed the workforce roles, service delivery, user </w:t>
      </w:r>
      <w:proofErr w:type="spellStart"/>
      <w:r w:rsidRPr="006137B2">
        <w:t>behaviour</w:t>
      </w:r>
      <w:proofErr w:type="spellEnd"/>
      <w:r w:rsidRPr="006137B2">
        <w:t xml:space="preserve"> and community participation. Nevertheless, other obstacles that the app had to cope with were trust, communication, digital exclusion, isolation support, and declining engagement. Hence, it can be rated as an effective yet constrained community health change. Its success was determined not only by technology, but by people and systems as well.</w:t>
      </w:r>
      <w:r w:rsidR="00E84F50">
        <w:rPr>
          <w:b/>
          <w:bCs/>
        </w:rPr>
        <w:br w:type="page"/>
      </w:r>
    </w:p>
    <w:p w14:paraId="791265AC" w14:textId="7AE89C56" w:rsidR="00E84F50" w:rsidRPr="00E84F50" w:rsidRDefault="00E84F50" w:rsidP="00E84F50">
      <w:pPr>
        <w:rPr>
          <w:b/>
          <w:bCs/>
        </w:rPr>
      </w:pPr>
      <w:r w:rsidRPr="00E84F50">
        <w:rPr>
          <w:b/>
          <w:bCs/>
        </w:rPr>
        <w:t xml:space="preserve">Reference </w:t>
      </w:r>
    </w:p>
    <w:p w14:paraId="2DC93FA1" w14:textId="59D149BE" w:rsidR="006137B2" w:rsidRPr="00E84F50" w:rsidRDefault="006137B2" w:rsidP="00E84F50">
      <w:r w:rsidRPr="00E84F50">
        <w:t>Department of Health and Social Care (2020) ‘NHS COVID-19 app launches across England and Wales’. Available at: https://www.gov.uk/government/news/nhs-covid-19-app-launches-across-england-and-wales</w:t>
      </w:r>
    </w:p>
    <w:p w14:paraId="1C9ADFA7" w14:textId="1E513FE5" w:rsidR="006137B2" w:rsidRPr="00E84F50" w:rsidRDefault="006137B2" w:rsidP="00E84F50">
      <w:r w:rsidRPr="00E84F50">
        <w:t xml:space="preserve">Department of Health and Social Care (2021) </w:t>
      </w:r>
      <w:r w:rsidRPr="00E84F50">
        <w:rPr>
          <w:i/>
          <w:iCs/>
        </w:rPr>
        <w:t>NHS COVID-19 app: early adopter evaluation report</w:t>
      </w:r>
      <w:r w:rsidRPr="00E84F50">
        <w:t>. Available at: https://assets.publishing.service.gov.uk/media/606dd8c48fa8f573570f6a7e/EA_report_April_2020.pdf</w:t>
      </w:r>
    </w:p>
    <w:p w14:paraId="7C82CD2D" w14:textId="415F6E70" w:rsidR="006137B2" w:rsidRPr="00E84F50" w:rsidRDefault="006137B2" w:rsidP="00E84F50">
      <w:r w:rsidRPr="00E84F50">
        <w:t xml:space="preserve">Department of Health and Social Care (2021) </w:t>
      </w:r>
      <w:r w:rsidRPr="00E84F50">
        <w:rPr>
          <w:i/>
          <w:iCs/>
        </w:rPr>
        <w:t>The NHS COVID-19 app: data protection impact assessment</w:t>
      </w:r>
      <w:r w:rsidRPr="00E84F50">
        <w:t>. Available at: https://assets.publishing.service.gov.uk/media/6447a8c6814c66000c8d05a1/NHS_COVID_19_App_DPIA_withdrawn.pdf</w:t>
      </w:r>
    </w:p>
    <w:p w14:paraId="41062A70" w14:textId="77777777" w:rsidR="006137B2" w:rsidRPr="00E84F50" w:rsidRDefault="006137B2" w:rsidP="00E84F50">
      <w:r w:rsidRPr="00E84F50">
        <w:t xml:space="preserve">Dowthwaite, L., Fischer, J., Perez Vallejos, E., Portillo, V., Nichele, E., Goulden, M. and McAuley, D. (2021) ‘Public adoption of and trust in the NHS COVID-19 contact tracing app in the United Kingdom: quantitative online survey study’, </w:t>
      </w:r>
      <w:r w:rsidRPr="00E84F50">
        <w:rPr>
          <w:i/>
          <w:iCs/>
        </w:rPr>
        <w:t>Journal of Medical Internet Research</w:t>
      </w:r>
      <w:r w:rsidRPr="00E84F50">
        <w:t xml:space="preserve">, 23(9), e29085. </w:t>
      </w:r>
      <w:proofErr w:type="spellStart"/>
      <w:r w:rsidRPr="00E84F50">
        <w:t>doi</w:t>
      </w:r>
      <w:proofErr w:type="spellEnd"/>
      <w:r w:rsidRPr="00E84F50">
        <w:t>: 10.2196/29085.</w:t>
      </w:r>
    </w:p>
    <w:p w14:paraId="2496E487" w14:textId="35732073" w:rsidR="006137B2" w:rsidRPr="00E84F50" w:rsidRDefault="006137B2" w:rsidP="00E84F50">
      <w:r w:rsidRPr="00E84F50">
        <w:t>GOV.UK (2021) ‘Use of the NHS COVID-19 app in education and childcare settings’. Available at: https://www.gov.uk/government/publications/use-of-the-nhs-covid-19-app-in-schools-and-further-education-colleges/use-of-the-nhs-covid-19-app-in-schools-and-further-education-colleges</w:t>
      </w:r>
    </w:p>
    <w:p w14:paraId="4BC9E0B7" w14:textId="3F0104EE" w:rsidR="006137B2" w:rsidRPr="00E84F50" w:rsidRDefault="006137B2" w:rsidP="00E84F50">
      <w:r w:rsidRPr="00E84F50">
        <w:t xml:space="preserve">GOV.UK (2023) </w:t>
      </w:r>
      <w:r w:rsidRPr="00E84F50">
        <w:rPr>
          <w:i/>
          <w:iCs/>
        </w:rPr>
        <w:t>NHS COVID-19 app statistics</w:t>
      </w:r>
      <w:r w:rsidRPr="00E84F50">
        <w:t>. Available at: https://www.gov.uk/government/publications/nhs-covid-19-app-statistics</w:t>
      </w:r>
    </w:p>
    <w:p w14:paraId="1ABEA5DF" w14:textId="60C8EDE5" w:rsidR="006137B2" w:rsidRPr="00E84F50" w:rsidRDefault="006137B2" w:rsidP="00E84F50">
      <w:r w:rsidRPr="00E84F50">
        <w:t xml:space="preserve">GOV.UK (2023) </w:t>
      </w:r>
      <w:r w:rsidRPr="00E84F50">
        <w:rPr>
          <w:i/>
          <w:iCs/>
        </w:rPr>
        <w:t>NHS COVID-19 app</w:t>
      </w:r>
      <w:r w:rsidRPr="00E84F50">
        <w:t>. Available at: https://www.gov.uk/government/collections/nhs-covid-19-app</w:t>
      </w:r>
    </w:p>
    <w:p w14:paraId="1EEE2A3D" w14:textId="77777777" w:rsidR="006137B2" w:rsidRPr="00E84F50" w:rsidRDefault="006137B2" w:rsidP="00E84F50">
      <w:r w:rsidRPr="00E84F50">
        <w:t xml:space="preserve">Kendall, M., Milsom, L., </w:t>
      </w:r>
      <w:proofErr w:type="spellStart"/>
      <w:r w:rsidRPr="00E84F50">
        <w:t>Abeler-Dörner</w:t>
      </w:r>
      <w:proofErr w:type="spellEnd"/>
      <w:r w:rsidRPr="00E84F50">
        <w:t xml:space="preserve">, L., </w:t>
      </w:r>
      <w:proofErr w:type="spellStart"/>
      <w:r w:rsidRPr="00E84F50">
        <w:t>Wymant</w:t>
      </w:r>
      <w:proofErr w:type="spellEnd"/>
      <w:r w:rsidRPr="00E84F50">
        <w:t xml:space="preserve">, C., Ferretti, L., Briers, M., Holmes, C., Bonsall, D., </w:t>
      </w:r>
      <w:proofErr w:type="spellStart"/>
      <w:r w:rsidRPr="00E84F50">
        <w:t>Abeler</w:t>
      </w:r>
      <w:proofErr w:type="spellEnd"/>
      <w:r w:rsidRPr="00E84F50">
        <w:t xml:space="preserve">, J. and Fraser, C. (2023) ‘Epidemiological impacts of the NHS COVID-19 app in England and Wales throughout its first year’, </w:t>
      </w:r>
      <w:r w:rsidRPr="00E84F50">
        <w:rPr>
          <w:i/>
          <w:iCs/>
        </w:rPr>
        <w:t>Nature Communications</w:t>
      </w:r>
      <w:r w:rsidRPr="00E84F50">
        <w:t xml:space="preserve">, 14, 858. </w:t>
      </w:r>
      <w:proofErr w:type="spellStart"/>
      <w:r w:rsidRPr="00E84F50">
        <w:t>doi</w:t>
      </w:r>
      <w:proofErr w:type="spellEnd"/>
      <w:r w:rsidRPr="00E84F50">
        <w:t>: 10.1038/s41467-023-36495-z.</w:t>
      </w:r>
    </w:p>
    <w:p w14:paraId="31D731EA" w14:textId="77777777" w:rsidR="006137B2" w:rsidRPr="00E84F50" w:rsidRDefault="006137B2" w:rsidP="00E84F50">
      <w:r w:rsidRPr="00E84F50">
        <w:t xml:space="preserve">Palmer, A., Sharma, S., Nagpal, J., Kimani, V., Mai, F. and Ahmed, Z. (2024) ‘Identifying barriers to the adoption of digital contact tracing apps in England: </w:t>
      </w:r>
      <w:proofErr w:type="spellStart"/>
      <w:r w:rsidRPr="00E84F50">
        <w:t>semistructured</w:t>
      </w:r>
      <w:proofErr w:type="spellEnd"/>
      <w:r w:rsidRPr="00E84F50">
        <w:t xml:space="preserve"> interview study with professionals involved in the pandemic response’, </w:t>
      </w:r>
      <w:r w:rsidRPr="00E84F50">
        <w:rPr>
          <w:i/>
          <w:iCs/>
        </w:rPr>
        <w:t>JMIR Formative Research</w:t>
      </w:r>
      <w:r w:rsidRPr="00E84F50">
        <w:t xml:space="preserve">, 8, e56000. </w:t>
      </w:r>
      <w:proofErr w:type="spellStart"/>
      <w:r w:rsidRPr="00E84F50">
        <w:t>doi</w:t>
      </w:r>
      <w:proofErr w:type="spellEnd"/>
      <w:r w:rsidRPr="00E84F50">
        <w:t>: 10.2196/56000.</w:t>
      </w:r>
    </w:p>
    <w:p w14:paraId="27A2A9FD" w14:textId="77777777" w:rsidR="006137B2" w:rsidRPr="00E84F50" w:rsidRDefault="006137B2" w:rsidP="00E84F50">
      <w:r w:rsidRPr="00E84F50">
        <w:t xml:space="preserve">Panchal, M., Singh, P., Rodriguez-Villegas, E. and Tansley, G. (2021) ‘Analysis of the factors affecting the adoption and compliance of the NHS COVID-19 mobile application: a national survey’, </w:t>
      </w:r>
      <w:r w:rsidRPr="00E84F50">
        <w:rPr>
          <w:i/>
          <w:iCs/>
        </w:rPr>
        <w:t>BMJ Open</w:t>
      </w:r>
      <w:r w:rsidRPr="00E84F50">
        <w:t xml:space="preserve">, 11, e053395. </w:t>
      </w:r>
      <w:proofErr w:type="spellStart"/>
      <w:r w:rsidRPr="00E84F50">
        <w:t>doi</w:t>
      </w:r>
      <w:proofErr w:type="spellEnd"/>
      <w:r w:rsidRPr="00E84F50">
        <w:t>: 10.1136/bmjopen-2021-053395.</w:t>
      </w:r>
    </w:p>
    <w:p w14:paraId="2660096E" w14:textId="77777777" w:rsidR="006137B2" w:rsidRDefault="006137B2" w:rsidP="006137B2">
      <w:r w:rsidRPr="006137B2">
        <w:t xml:space="preserve">Panchal, M., Singh, S., </w:t>
      </w:r>
      <w:r>
        <w:t>and</w:t>
      </w:r>
      <w:r w:rsidRPr="006137B2">
        <w:t xml:space="preserve"> Rodriguez-Villegas, E. (2021). Analysis of the factors affecting the adoption and compliance of the NHS COVID-19 mobile application: a national cross-sectional survey in England. </w:t>
      </w:r>
      <w:r w:rsidRPr="006137B2">
        <w:rPr>
          <w:i/>
          <w:iCs/>
        </w:rPr>
        <w:t>BMJ open</w:t>
      </w:r>
      <w:r w:rsidRPr="006137B2">
        <w:t>, </w:t>
      </w:r>
      <w:r w:rsidRPr="006137B2">
        <w:rPr>
          <w:i/>
          <w:iCs/>
        </w:rPr>
        <w:t>11</w:t>
      </w:r>
      <w:r w:rsidRPr="006137B2">
        <w:t>(8), e053395.</w:t>
      </w:r>
    </w:p>
    <w:p w14:paraId="4D56957B" w14:textId="77777777" w:rsidR="006137B2" w:rsidRPr="00E84F50" w:rsidRDefault="006137B2" w:rsidP="00E84F50">
      <w:r w:rsidRPr="00E84F50">
        <w:t xml:space="preserve">Samuel, G. and Sims, R. (2021) ‘COVID-19 contact tracing apps: UK public perceptions’, </w:t>
      </w:r>
      <w:r w:rsidRPr="00E84F50">
        <w:rPr>
          <w:i/>
          <w:iCs/>
        </w:rPr>
        <w:t>Critical Public Health</w:t>
      </w:r>
      <w:r w:rsidRPr="00E84F50">
        <w:t xml:space="preserve">, 31(1), pp. 31–43. </w:t>
      </w:r>
      <w:proofErr w:type="spellStart"/>
      <w:r w:rsidRPr="00E84F50">
        <w:t>doi</w:t>
      </w:r>
      <w:proofErr w:type="spellEnd"/>
      <w:r w:rsidRPr="00E84F50">
        <w:t>: 10.1080/09581596.2021.1909707.</w:t>
      </w:r>
    </w:p>
    <w:p w14:paraId="0DB16554" w14:textId="77777777" w:rsidR="006137B2" w:rsidRDefault="006137B2" w:rsidP="00E84F50">
      <w:proofErr w:type="spellStart"/>
      <w:r w:rsidRPr="00E84F50">
        <w:t>Wymant</w:t>
      </w:r>
      <w:proofErr w:type="spellEnd"/>
      <w:r w:rsidRPr="00E84F50">
        <w:t xml:space="preserve">, C., Ferretti, L., </w:t>
      </w:r>
      <w:proofErr w:type="spellStart"/>
      <w:r w:rsidRPr="00E84F50">
        <w:t>Tsallis</w:t>
      </w:r>
      <w:proofErr w:type="spellEnd"/>
      <w:r w:rsidRPr="00E84F50">
        <w:t xml:space="preserve">, D., </w:t>
      </w:r>
      <w:proofErr w:type="spellStart"/>
      <w:r w:rsidRPr="00E84F50">
        <w:t>Charalambides</w:t>
      </w:r>
      <w:proofErr w:type="spellEnd"/>
      <w:r w:rsidRPr="00E84F50">
        <w:t xml:space="preserve">, M., Abeler-Dörner, L., Bonsall, D., Hinch, R., Kendall, M., Milsom, L., Ayres, M., Holmes, C., Briers, M. and Fraser, C. (2021) ‘The epidemiological impact of the NHS COVID-19 app’, </w:t>
      </w:r>
      <w:r w:rsidRPr="00E84F50">
        <w:rPr>
          <w:i/>
          <w:iCs/>
        </w:rPr>
        <w:t>Nature</w:t>
      </w:r>
      <w:r w:rsidRPr="00E84F50">
        <w:t xml:space="preserve">, 594, pp. 408–412. </w:t>
      </w:r>
      <w:proofErr w:type="spellStart"/>
      <w:r w:rsidRPr="00E84F50">
        <w:t>doi</w:t>
      </w:r>
      <w:proofErr w:type="spellEnd"/>
      <w:r w:rsidRPr="00E84F50">
        <w:t>: 10.1038/s41586-021-03606-z.</w:t>
      </w:r>
    </w:p>
    <w:p w14:paraId="207C87F9" w14:textId="77777777" w:rsidR="006137B2" w:rsidRPr="00E84F50" w:rsidRDefault="006137B2" w:rsidP="00E84F50"/>
    <w:p w14:paraId="76695B66" w14:textId="77777777" w:rsidR="00A96F22" w:rsidRDefault="00A96F22"/>
    <w:sectPr w:rsidR="00A96F2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EACA5" w14:textId="77777777" w:rsidR="00281057" w:rsidRDefault="00281057" w:rsidP="00E84F50">
      <w:pPr>
        <w:spacing w:after="0" w:line="240" w:lineRule="auto"/>
      </w:pPr>
      <w:r>
        <w:separator/>
      </w:r>
    </w:p>
  </w:endnote>
  <w:endnote w:type="continuationSeparator" w:id="0">
    <w:p w14:paraId="2739B5B1" w14:textId="77777777" w:rsidR="00281057" w:rsidRDefault="00281057" w:rsidP="00E84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0A52B" w14:textId="77777777" w:rsidR="00281057" w:rsidRDefault="00281057" w:rsidP="00E84F50">
      <w:pPr>
        <w:spacing w:after="0" w:line="240" w:lineRule="auto"/>
      </w:pPr>
      <w:r>
        <w:separator/>
      </w:r>
    </w:p>
  </w:footnote>
  <w:footnote w:type="continuationSeparator" w:id="0">
    <w:p w14:paraId="03C187E2" w14:textId="77777777" w:rsidR="00281057" w:rsidRDefault="00281057" w:rsidP="00E84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76203"/>
      <w:docPartObj>
        <w:docPartGallery w:val="Page Numbers (Top of Page)"/>
        <w:docPartUnique/>
      </w:docPartObj>
    </w:sdtPr>
    <w:sdtEndPr>
      <w:rPr>
        <w:noProof/>
      </w:rPr>
    </w:sdtEndPr>
    <w:sdtContent>
      <w:p w14:paraId="11EF27C1" w14:textId="685AE743" w:rsidR="00E84F50" w:rsidRDefault="00E84F5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496B420" w14:textId="77777777" w:rsidR="00E84F50" w:rsidRDefault="00E84F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F50"/>
    <w:rsid w:val="00062036"/>
    <w:rsid w:val="00124B2E"/>
    <w:rsid w:val="00281057"/>
    <w:rsid w:val="003315FA"/>
    <w:rsid w:val="003863E3"/>
    <w:rsid w:val="00421890"/>
    <w:rsid w:val="0054453E"/>
    <w:rsid w:val="00555683"/>
    <w:rsid w:val="005C5194"/>
    <w:rsid w:val="006137B2"/>
    <w:rsid w:val="0062090C"/>
    <w:rsid w:val="006D01CD"/>
    <w:rsid w:val="00703E7A"/>
    <w:rsid w:val="00887C8C"/>
    <w:rsid w:val="008B0D35"/>
    <w:rsid w:val="00A0277F"/>
    <w:rsid w:val="00A96F22"/>
    <w:rsid w:val="00AD7B23"/>
    <w:rsid w:val="00AE2851"/>
    <w:rsid w:val="00C61749"/>
    <w:rsid w:val="00CC0DC0"/>
    <w:rsid w:val="00DF4C12"/>
    <w:rsid w:val="00E84F50"/>
    <w:rsid w:val="00EC2548"/>
    <w:rsid w:val="00EF0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464D"/>
  <w15:chartTrackingRefBased/>
  <w15:docId w15:val="{F7B5A4E2-1392-4A41-A22A-AFCA6A7AC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F50"/>
    <w:pPr>
      <w:spacing w:line="360" w:lineRule="auto"/>
      <w:jc w:val="both"/>
    </w:pPr>
    <w:rPr>
      <w:rFonts w:ascii="Times New Roman" w:hAnsi="Times New Roman"/>
      <w:sz w:val="22"/>
    </w:rPr>
  </w:style>
  <w:style w:type="paragraph" w:styleId="Heading1">
    <w:name w:val="heading 1"/>
    <w:basedOn w:val="Normal"/>
    <w:next w:val="Normal"/>
    <w:link w:val="Heading1Char"/>
    <w:uiPriority w:val="9"/>
    <w:qFormat/>
    <w:rsid w:val="00E84F50"/>
    <w:pPr>
      <w:keepNext/>
      <w:keepLines/>
      <w:spacing w:before="360" w:after="80"/>
      <w:jc w:val="left"/>
      <w:outlineLvl w:val="0"/>
    </w:pPr>
    <w:rPr>
      <w:rFonts w:eastAsiaTheme="majorEastAsia" w:cstheme="majorBidi"/>
      <w:b/>
      <w:sz w:val="28"/>
      <w:szCs w:val="40"/>
      <w:u w:val="single"/>
    </w:rPr>
  </w:style>
  <w:style w:type="paragraph" w:styleId="Heading2">
    <w:name w:val="heading 2"/>
    <w:basedOn w:val="Normal"/>
    <w:next w:val="Normal"/>
    <w:link w:val="Heading2Char"/>
    <w:uiPriority w:val="9"/>
    <w:semiHidden/>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D7B2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E84F5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4F5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84F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84F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84F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84F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F50"/>
    <w:rPr>
      <w:rFonts w:ascii="Times New Roman" w:eastAsiaTheme="majorEastAsia" w:hAnsi="Times New Roman" w:cstheme="majorBidi"/>
      <w:b/>
      <w:sz w:val="28"/>
      <w:szCs w:val="40"/>
      <w:u w:val="single"/>
    </w:rPr>
  </w:style>
  <w:style w:type="character" w:customStyle="1" w:styleId="Heading2Char">
    <w:name w:val="Heading 2 Char"/>
    <w:basedOn w:val="DefaultParagraphFont"/>
    <w:link w:val="Heading2"/>
    <w:uiPriority w:val="9"/>
    <w:semiHidden/>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rsid w:val="00AD7B23"/>
    <w:rPr>
      <w:rFonts w:ascii="Arial" w:eastAsiaTheme="majorEastAsia" w:hAnsi="Arial" w:cstheme="majorBidi"/>
      <w:i/>
      <w:szCs w:val="28"/>
    </w:rPr>
  </w:style>
  <w:style w:type="paragraph" w:styleId="Caption">
    <w:name w:val="caption"/>
    <w:basedOn w:val="Normal"/>
    <w:next w:val="Normal"/>
    <w:uiPriority w:val="35"/>
    <w:unhideWhenUsed/>
    <w:qFormat/>
    <w:rsid w:val="003315FA"/>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E84F5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4F5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4F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F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F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F50"/>
    <w:rPr>
      <w:rFonts w:eastAsiaTheme="majorEastAsia" w:cstheme="majorBidi"/>
      <w:color w:val="272727" w:themeColor="text1" w:themeTint="D8"/>
    </w:rPr>
  </w:style>
  <w:style w:type="paragraph" w:styleId="Title">
    <w:name w:val="Title"/>
    <w:basedOn w:val="Normal"/>
    <w:next w:val="Normal"/>
    <w:link w:val="TitleChar"/>
    <w:uiPriority w:val="10"/>
    <w:qFormat/>
    <w:rsid w:val="00E84F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F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F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F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F50"/>
    <w:pPr>
      <w:spacing w:before="160"/>
      <w:jc w:val="center"/>
    </w:pPr>
    <w:rPr>
      <w:i/>
      <w:iCs/>
      <w:color w:val="404040" w:themeColor="text1" w:themeTint="BF"/>
    </w:rPr>
  </w:style>
  <w:style w:type="character" w:customStyle="1" w:styleId="QuoteChar">
    <w:name w:val="Quote Char"/>
    <w:basedOn w:val="DefaultParagraphFont"/>
    <w:link w:val="Quote"/>
    <w:uiPriority w:val="29"/>
    <w:rsid w:val="00E84F50"/>
    <w:rPr>
      <w:rFonts w:ascii="Arial" w:hAnsi="Arial"/>
      <w:i/>
      <w:iCs/>
      <w:color w:val="404040" w:themeColor="text1" w:themeTint="BF"/>
    </w:rPr>
  </w:style>
  <w:style w:type="paragraph" w:styleId="ListParagraph">
    <w:name w:val="List Paragraph"/>
    <w:basedOn w:val="Normal"/>
    <w:uiPriority w:val="34"/>
    <w:qFormat/>
    <w:rsid w:val="00E84F50"/>
    <w:pPr>
      <w:ind w:left="720"/>
      <w:contextualSpacing/>
    </w:pPr>
  </w:style>
  <w:style w:type="character" w:styleId="IntenseEmphasis">
    <w:name w:val="Intense Emphasis"/>
    <w:basedOn w:val="DefaultParagraphFont"/>
    <w:uiPriority w:val="21"/>
    <w:qFormat/>
    <w:rsid w:val="00E84F50"/>
    <w:rPr>
      <w:i/>
      <w:iCs/>
      <w:color w:val="2F5496" w:themeColor="accent1" w:themeShade="BF"/>
    </w:rPr>
  </w:style>
  <w:style w:type="paragraph" w:styleId="IntenseQuote">
    <w:name w:val="Intense Quote"/>
    <w:basedOn w:val="Normal"/>
    <w:next w:val="Normal"/>
    <w:link w:val="IntenseQuoteChar"/>
    <w:uiPriority w:val="30"/>
    <w:qFormat/>
    <w:rsid w:val="00E84F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4F50"/>
    <w:rPr>
      <w:rFonts w:ascii="Arial" w:hAnsi="Arial"/>
      <w:i/>
      <w:iCs/>
      <w:color w:val="2F5496" w:themeColor="accent1" w:themeShade="BF"/>
    </w:rPr>
  </w:style>
  <w:style w:type="character" w:styleId="IntenseReference">
    <w:name w:val="Intense Reference"/>
    <w:basedOn w:val="DefaultParagraphFont"/>
    <w:uiPriority w:val="32"/>
    <w:qFormat/>
    <w:rsid w:val="00E84F50"/>
    <w:rPr>
      <w:b/>
      <w:bCs/>
      <w:smallCaps/>
      <w:color w:val="2F5496" w:themeColor="accent1" w:themeShade="BF"/>
      <w:spacing w:val="5"/>
    </w:rPr>
  </w:style>
  <w:style w:type="character" w:styleId="Hyperlink">
    <w:name w:val="Hyperlink"/>
    <w:basedOn w:val="DefaultParagraphFont"/>
    <w:uiPriority w:val="99"/>
    <w:unhideWhenUsed/>
    <w:rsid w:val="00E84F50"/>
    <w:rPr>
      <w:color w:val="0563C1" w:themeColor="hyperlink"/>
      <w:u w:val="single"/>
    </w:rPr>
  </w:style>
  <w:style w:type="character" w:styleId="UnresolvedMention">
    <w:name w:val="Unresolved Mention"/>
    <w:basedOn w:val="DefaultParagraphFont"/>
    <w:uiPriority w:val="99"/>
    <w:semiHidden/>
    <w:unhideWhenUsed/>
    <w:rsid w:val="00E84F50"/>
    <w:rPr>
      <w:color w:val="605E5C"/>
      <w:shd w:val="clear" w:color="auto" w:fill="E1DFDD"/>
    </w:rPr>
  </w:style>
  <w:style w:type="paragraph" w:styleId="Header">
    <w:name w:val="header"/>
    <w:basedOn w:val="Normal"/>
    <w:link w:val="HeaderChar"/>
    <w:uiPriority w:val="99"/>
    <w:unhideWhenUsed/>
    <w:rsid w:val="00E84F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50"/>
    <w:rPr>
      <w:rFonts w:ascii="Times New Roman" w:hAnsi="Times New Roman"/>
      <w:sz w:val="22"/>
    </w:rPr>
  </w:style>
  <w:style w:type="paragraph" w:styleId="Footer">
    <w:name w:val="footer"/>
    <w:basedOn w:val="Normal"/>
    <w:link w:val="FooterChar"/>
    <w:uiPriority w:val="99"/>
    <w:unhideWhenUsed/>
    <w:rsid w:val="00E84F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50"/>
    <w:rPr>
      <w:rFonts w:ascii="Times New Roman" w:hAnsi="Times New Roman"/>
      <w:sz w:val="22"/>
    </w:rPr>
  </w:style>
  <w:style w:type="paragraph" w:styleId="TOCHeading">
    <w:name w:val="TOC Heading"/>
    <w:basedOn w:val="Heading1"/>
    <w:next w:val="Normal"/>
    <w:uiPriority w:val="39"/>
    <w:unhideWhenUsed/>
    <w:qFormat/>
    <w:rsid w:val="006137B2"/>
    <w:pPr>
      <w:spacing w:before="240" w:after="0" w:line="259" w:lineRule="auto"/>
      <w:outlineLvl w:val="9"/>
    </w:pPr>
    <w:rPr>
      <w:rFonts w:asciiTheme="majorHAnsi" w:hAnsiTheme="majorHAnsi"/>
      <w:b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6137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Bushra Aslam</cp:lastModifiedBy>
  <cp:revision>2</cp:revision>
  <dcterms:created xsi:type="dcterms:W3CDTF">2026-07-03T13:57:00Z</dcterms:created>
  <dcterms:modified xsi:type="dcterms:W3CDTF">2026-07-03T13:57:00Z</dcterms:modified>
</cp:coreProperties>
</file>