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FDE6D" w14:textId="77777777" w:rsidR="007B12FA" w:rsidRPr="007B12FA" w:rsidRDefault="007B12FA" w:rsidP="004E6F72">
      <w:pPr>
        <w:spacing w:after="0"/>
        <w:jc w:val="both"/>
        <w:rPr>
          <w:b/>
          <w:bCs/>
          <w:sz w:val="24"/>
          <w:szCs w:val="24"/>
        </w:rPr>
      </w:pPr>
      <w:r w:rsidRPr="007B12FA">
        <w:rPr>
          <w:b/>
          <w:bCs/>
          <w:sz w:val="24"/>
          <w:szCs w:val="24"/>
        </w:rPr>
        <w:t>Assignment – Myths and Mythology</w:t>
      </w:r>
    </w:p>
    <w:p w14:paraId="068C4D66" w14:textId="77777777" w:rsidR="007B12FA" w:rsidRDefault="007B12FA" w:rsidP="004E6F72">
      <w:pPr>
        <w:spacing w:after="0"/>
        <w:jc w:val="both"/>
      </w:pPr>
    </w:p>
    <w:p w14:paraId="7E0C1BB3" w14:textId="77777777" w:rsidR="007B12FA" w:rsidRPr="007B12FA" w:rsidRDefault="007B12FA" w:rsidP="004E6F72">
      <w:pPr>
        <w:spacing w:after="0"/>
        <w:jc w:val="both"/>
        <w:rPr>
          <w:b/>
          <w:bCs/>
          <w:sz w:val="24"/>
          <w:szCs w:val="24"/>
        </w:rPr>
      </w:pPr>
      <w:r w:rsidRPr="007B12FA">
        <w:rPr>
          <w:b/>
          <w:bCs/>
          <w:sz w:val="24"/>
          <w:szCs w:val="24"/>
        </w:rPr>
        <w:t>Michael Leather 2218482</w:t>
      </w:r>
    </w:p>
    <w:p w14:paraId="70748A8D" w14:textId="77777777" w:rsidR="007B12FA" w:rsidRDefault="007B12FA" w:rsidP="004E6F72">
      <w:pPr>
        <w:spacing w:after="0"/>
        <w:jc w:val="both"/>
      </w:pPr>
    </w:p>
    <w:p w14:paraId="273EF798" w14:textId="1EA21DE8" w:rsidR="007B12FA" w:rsidRDefault="007B12FA" w:rsidP="004E6F72">
      <w:pPr>
        <w:spacing w:after="0"/>
        <w:jc w:val="both"/>
      </w:pPr>
      <w:r>
        <w:t xml:space="preserve">I have opted for option one set by Jane Cartwright, based on an extract from the fourth branch of the Mabinogion, as translated by Sioned Davies. </w:t>
      </w:r>
    </w:p>
    <w:p w14:paraId="308BE597" w14:textId="01F39AC4" w:rsidR="004E6F72" w:rsidRDefault="004E6F72" w:rsidP="004E6F72">
      <w:pPr>
        <w:spacing w:after="0"/>
        <w:jc w:val="both"/>
      </w:pPr>
    </w:p>
    <w:p w14:paraId="7984FA8F" w14:textId="0F4B8453" w:rsidR="004E6F72" w:rsidRDefault="004E6F72" w:rsidP="004E6F72">
      <w:pPr>
        <w:spacing w:after="0"/>
        <w:jc w:val="both"/>
      </w:pPr>
      <w:r>
        <w:t xml:space="preserve">The extract above comes from the fourth branch of the Mabinogion, which is part of an </w:t>
      </w:r>
      <w:r w:rsidR="005B7477">
        <w:t>eleven-part</w:t>
      </w:r>
      <w:r>
        <w:t xml:space="preserve"> writing of Welsh mythology that has its origins set between early 11</w:t>
      </w:r>
      <w:r w:rsidRPr="004E6F72">
        <w:rPr>
          <w:vertAlign w:val="superscript"/>
        </w:rPr>
        <w:t>th</w:t>
      </w:r>
      <w:r>
        <w:t xml:space="preserve"> to late 12</w:t>
      </w:r>
      <w:r w:rsidRPr="004E6F72">
        <w:rPr>
          <w:vertAlign w:val="superscript"/>
        </w:rPr>
        <w:t>th</w:t>
      </w:r>
      <w:r>
        <w:t xml:space="preserve"> century and is borne initially out of ‘oral tradition’. This was then recorded in writings using the middle Welsh language, (This has similarities with modern day Welsh), in two books; </w:t>
      </w:r>
      <w:r w:rsidR="002C4E46">
        <w:t>The White book of Rhyddech (c1350) which is held in the National Library in Aberystwyth and the Red Book of Hergest (c1400). This was then translated, most notably by Lady Charlotte Quest in the 1800’s. The relevance of this introduction is to get some perspective of the extract. Firstly</w:t>
      </w:r>
      <w:r w:rsidR="005B7477">
        <w:t>,</w:t>
      </w:r>
      <w:r w:rsidR="002C4E46">
        <w:t xml:space="preserve"> it comes from stories told by travelling</w:t>
      </w:r>
      <w:r w:rsidR="00B209B4">
        <w:t xml:space="preserve"> professional story tellers, (Cyfarwydd’s).</w:t>
      </w:r>
      <w:r w:rsidR="005B7477">
        <w:t xml:space="preserve"> </w:t>
      </w:r>
      <w:r w:rsidR="00B209B4">
        <w:t>These myths have then been written down, and translated many times, often shaped by the translator’s opinion of it. This latest extract is from a Book by Sioned Davies</w:t>
      </w:r>
      <w:r w:rsidR="00B209B4" w:rsidRPr="008A36CD">
        <w:rPr>
          <w:rStyle w:val="FootnoteReference"/>
          <w:b/>
          <w:bCs/>
          <w:color w:val="FF0000"/>
          <w:sz w:val="24"/>
          <w:szCs w:val="24"/>
        </w:rPr>
        <w:footnoteReference w:id="1"/>
      </w:r>
      <w:r w:rsidR="00B209B4">
        <w:t>.</w:t>
      </w:r>
    </w:p>
    <w:p w14:paraId="3433523D" w14:textId="70BDA86D" w:rsidR="00B209B4" w:rsidRDefault="00B209B4" w:rsidP="004E6F72">
      <w:pPr>
        <w:spacing w:after="0"/>
        <w:jc w:val="both"/>
      </w:pPr>
      <w:r>
        <w:t>We further need to read earlier passages of the fourth Branch because the characters mentioned have already had an influence on the extracts main character, Math of Mathonwy.</w:t>
      </w:r>
    </w:p>
    <w:p w14:paraId="5BC0FF18" w14:textId="60DB8491" w:rsidR="00B209B4" w:rsidRDefault="00EC5AB3" w:rsidP="004E6F72">
      <w:pPr>
        <w:spacing w:after="0"/>
        <w:jc w:val="both"/>
      </w:pPr>
      <w:r>
        <w:t>The extract starts with “</w:t>
      </w:r>
      <w:r w:rsidRPr="00EC5AB3">
        <w:rPr>
          <w:i/>
          <w:iCs/>
        </w:rPr>
        <w:t>After they had got themselves ready, they came to Math</w:t>
      </w:r>
      <w:r>
        <w:t>.” The “They” is referring to the sons of D</w:t>
      </w:r>
      <w:r w:rsidR="0031160B">
        <w:rPr>
          <w:rFonts w:cstheme="minorHAnsi"/>
        </w:rPr>
        <w:t>ô</w:t>
      </w:r>
      <w:r>
        <w:t>n, Gilfaethwy and Gwydion</w:t>
      </w:r>
      <w:r w:rsidR="006627C4">
        <w:t xml:space="preserve">, nephews of Math, </w:t>
      </w:r>
      <w:r>
        <w:t>who had been sent to inspect Maths land as he couldn’t because the story states that he would not live unless his feet were in the lap of a virgin except in times of war</w:t>
      </w:r>
      <w:r w:rsidR="0031160B">
        <w:t>, presumably making it difficult for him to leave his court</w:t>
      </w:r>
      <w:r>
        <w:t xml:space="preserve">. </w:t>
      </w:r>
      <w:r w:rsidR="006627C4">
        <w:t xml:space="preserve">The said virgin on this </w:t>
      </w:r>
      <w:r w:rsidR="005B7477">
        <w:t>occasion</w:t>
      </w:r>
      <w:r w:rsidR="006627C4">
        <w:t xml:space="preserve"> was a woman called Goewin from Arfon. Gilfaethwy was also in love with Goewin. The two nephews conspired a war which led to Math having to leave Goewin and her being subsequently raped by Gilfaethwy in his absence. On finding this out through a confession by Goewin, the 2 nephews were banished by shape</w:t>
      </w:r>
      <w:r w:rsidR="00811F97">
        <w:t>shifters, mentioned in other parts of the Mabinogion as having the ability to physically transform persons or objects into something else,</w:t>
      </w:r>
      <w:r w:rsidR="006627C4">
        <w:t xml:space="preserve"> in </w:t>
      </w:r>
      <w:r w:rsidR="00811F97">
        <w:t xml:space="preserve">this case in </w:t>
      </w:r>
      <w:r w:rsidR="006627C4">
        <w:t>the form of Deer, wild boar and then wolves</w:t>
      </w:r>
      <w:r w:rsidR="00811F97">
        <w:t>, each for a year</w:t>
      </w:r>
      <w:r w:rsidR="006627C4">
        <w:t xml:space="preserve">. </w:t>
      </w:r>
      <w:r w:rsidR="00E07A7E">
        <w:t>In the extract, Math shows forgiveness</w:t>
      </w:r>
      <w:r w:rsidR="00811F97">
        <w:t xml:space="preserve"> after their banishment</w:t>
      </w:r>
      <w:r w:rsidR="00E07A7E">
        <w:t xml:space="preserve"> by bathing them and offering them friendship which within the Mabinogion is </w:t>
      </w:r>
      <w:r w:rsidR="00811F97">
        <w:t xml:space="preserve">the medieval </w:t>
      </w:r>
      <w:r w:rsidR="00E07A7E">
        <w:t xml:space="preserve">means of reconciliation. There is a similar </w:t>
      </w:r>
      <w:r w:rsidR="00BF3CAF">
        <w:t>situation in the first branch between Pwyll and Arawn</w:t>
      </w:r>
      <w:r w:rsidR="00BF3CAF" w:rsidRPr="008A36CD">
        <w:rPr>
          <w:rStyle w:val="FootnoteReference"/>
          <w:b/>
          <w:bCs/>
          <w:color w:val="FF0000"/>
          <w:sz w:val="24"/>
          <w:szCs w:val="24"/>
        </w:rPr>
        <w:footnoteReference w:id="2"/>
      </w:r>
      <w:r w:rsidR="00BF3CAF">
        <w:t>.</w:t>
      </w:r>
    </w:p>
    <w:p w14:paraId="55F1AD9B" w14:textId="164AC79C" w:rsidR="006627C4" w:rsidRDefault="006627C4" w:rsidP="004E6F72">
      <w:pPr>
        <w:spacing w:after="0"/>
        <w:jc w:val="both"/>
      </w:pPr>
    </w:p>
    <w:p w14:paraId="5F8E7B79" w14:textId="77777777" w:rsidR="00423A1F" w:rsidRDefault="002E4649" w:rsidP="004E6F72">
      <w:pPr>
        <w:spacing w:after="0"/>
        <w:jc w:val="both"/>
      </w:pPr>
      <w:r>
        <w:t xml:space="preserve">It would be significant at this point to explain the significance of Goewin’s virginity besides the obvious abhorrent rape. </w:t>
      </w:r>
      <w:r w:rsidR="00842043">
        <w:t xml:space="preserve"> The purity of</w:t>
      </w:r>
      <w:r>
        <w:t xml:space="preserve"> </w:t>
      </w:r>
      <w:r w:rsidR="00582A62">
        <w:t>virgin</w:t>
      </w:r>
      <w:r w:rsidR="00CF18E8">
        <w:t>al state of the female line</w:t>
      </w:r>
      <w:r w:rsidR="00582A62">
        <w:t xml:space="preserve"> in medieval times was important to families as the daughters of the family were a ‘commodity’</w:t>
      </w:r>
      <w:r w:rsidR="00CF18E8">
        <w:t xml:space="preserve"> which had worth and</w:t>
      </w:r>
      <w:r w:rsidR="00582A62">
        <w:t xml:space="preserve"> belonged to the father. This ‘ownership’ </w:t>
      </w:r>
      <w:r w:rsidR="00CF18E8">
        <w:t xml:space="preserve">of the female </w:t>
      </w:r>
      <w:r w:rsidR="00582A62">
        <w:t xml:space="preserve">transferred upon marriage to the new husband and if it was found that her virginity was already lost, this was </w:t>
      </w:r>
      <w:r w:rsidR="00CF18E8">
        <w:t xml:space="preserve">referred to as </w:t>
      </w:r>
      <w:r w:rsidR="00582A62">
        <w:t>the Law of the false virgin</w:t>
      </w:r>
      <w:r w:rsidR="00582A62" w:rsidRPr="008A36CD">
        <w:rPr>
          <w:rStyle w:val="FootnoteReference"/>
          <w:b/>
          <w:bCs/>
          <w:color w:val="FF0000"/>
          <w:sz w:val="24"/>
          <w:szCs w:val="24"/>
        </w:rPr>
        <w:footnoteReference w:id="3"/>
      </w:r>
      <w:r w:rsidR="00582A62">
        <w:t xml:space="preserve"> and demanded payment from the family </w:t>
      </w:r>
      <w:r w:rsidR="00423A1F">
        <w:t xml:space="preserve">to the territorial Lord </w:t>
      </w:r>
      <w:r w:rsidR="00582A62">
        <w:t>called amobr</w:t>
      </w:r>
      <w:r w:rsidR="0002606A" w:rsidRPr="008A36CD">
        <w:rPr>
          <w:rStyle w:val="FootnoteReference"/>
          <w:b/>
          <w:bCs/>
          <w:color w:val="FF0000"/>
          <w:sz w:val="24"/>
          <w:szCs w:val="24"/>
        </w:rPr>
        <w:footnoteReference w:id="4"/>
      </w:r>
      <w:r w:rsidR="00582A62">
        <w:t xml:space="preserve"> or marriage fee.</w:t>
      </w:r>
      <w:r w:rsidR="0002606A">
        <w:t xml:space="preserve"> </w:t>
      </w:r>
      <w:r w:rsidR="00CF18E8">
        <w:t xml:space="preserve">This payment would continue until the woman was </w:t>
      </w:r>
      <w:r w:rsidR="00FC02A1">
        <w:t>labelled a prostitute.</w:t>
      </w:r>
      <w:r w:rsidR="00423A1F">
        <w:t xml:space="preserve"> </w:t>
      </w:r>
    </w:p>
    <w:p w14:paraId="3EE5DC9D" w14:textId="2D0D0F8E" w:rsidR="0002606A" w:rsidRDefault="0002606A" w:rsidP="004E6F72">
      <w:pPr>
        <w:spacing w:after="0"/>
        <w:jc w:val="both"/>
      </w:pPr>
      <w:r>
        <w:t xml:space="preserve">In the case of Goewin, as she was the foot holder of Math, a practice followed by Royalty within the </w:t>
      </w:r>
      <w:r w:rsidR="0031160B">
        <w:t>Welsh</w:t>
      </w:r>
      <w:r>
        <w:t xml:space="preserve"> courts to protect them until they retired to bed</w:t>
      </w:r>
      <w:r w:rsidR="00423A1F">
        <w:t xml:space="preserve"> it was not within a marriage that the rape had </w:t>
      </w:r>
      <w:r w:rsidR="00423A1F">
        <w:lastRenderedPageBreak/>
        <w:t>an effect, but according to myth, it would result in the loss of her powers to protect Math.</w:t>
      </w:r>
      <w:r w:rsidRPr="008A36CD">
        <w:rPr>
          <w:rStyle w:val="FootnoteReference"/>
          <w:b/>
          <w:bCs/>
          <w:color w:val="FF0000"/>
          <w:sz w:val="24"/>
          <w:szCs w:val="24"/>
        </w:rPr>
        <w:footnoteReference w:id="5"/>
      </w:r>
      <w:r>
        <w:t xml:space="preserve"> and with </w:t>
      </w:r>
      <w:r w:rsidR="007B12FA">
        <w:t>h</w:t>
      </w:r>
      <w:r>
        <w:t xml:space="preserve">is obligation as the </w:t>
      </w:r>
      <w:r w:rsidR="007B12FA">
        <w:t>L</w:t>
      </w:r>
      <w:r>
        <w:t xml:space="preserve">ord of the </w:t>
      </w:r>
      <w:r w:rsidR="007B12FA">
        <w:t>Land</w:t>
      </w:r>
      <w:r>
        <w:t xml:space="preserve"> to protect his virgins from rape</w:t>
      </w:r>
      <w:r w:rsidR="00B20C4A">
        <w:t>, and having failed to do so in Goewin’s case, Math does the honourable thing and makes her his wife</w:t>
      </w:r>
      <w:r w:rsidR="00423A1F">
        <w:t>.</w:t>
      </w:r>
      <w:r w:rsidR="00B20C4A">
        <w:t xml:space="preserve"> </w:t>
      </w:r>
      <w:r w:rsidR="00423A1F">
        <w:t>W</w:t>
      </w:r>
      <w:r w:rsidR="0031160B">
        <w:t>hether</w:t>
      </w:r>
      <w:r w:rsidR="00B20C4A">
        <w:t xml:space="preserve"> this is because of his obligation or because she was, as described, the fairest maiden of her time, is open to interpretation. Wife or not, she was no longer a virgin so Math sought another to fulfil the post of Foot Holder. The rogue nephews</w:t>
      </w:r>
      <w:r w:rsidR="00423A1F">
        <w:t xml:space="preserve"> who had already conspired against Math for their own ends</w:t>
      </w:r>
      <w:r w:rsidR="00B20C4A">
        <w:t xml:space="preserve">, particularly Gwydion, offer up their sister Aranrhod for the position. To qualify she had to undergo a virginity test. She was first asked if she was a virgin to which she replied </w:t>
      </w:r>
      <w:r w:rsidR="0031160B">
        <w:t>“That</w:t>
      </w:r>
      <w:r w:rsidR="00B20C4A">
        <w:t xml:space="preserve"> is my belief”. This response indicates to me that she was totally naïve to what constituted sexual intercourse </w:t>
      </w:r>
      <w:r w:rsidR="0031160B">
        <w:t>or was being evasive in the knowledge that she was not a virgin; a fact I’m sure the two nephews were aware of but were again trying to curry favour and win access to the court of Math.</w:t>
      </w:r>
      <w:r w:rsidR="00423A1F">
        <w:t xml:space="preserve"> The physical test is by </w:t>
      </w:r>
      <w:r w:rsidR="00580E09">
        <w:t>stepping over the magic wand that Math produces.</w:t>
      </w:r>
      <w:r w:rsidR="00B20C4A">
        <w:t xml:space="preserve"> </w:t>
      </w:r>
    </w:p>
    <w:p w14:paraId="4D5C0936" w14:textId="2867D6E4" w:rsidR="00AD425C" w:rsidRDefault="005C7855" w:rsidP="004E6F72">
      <w:pPr>
        <w:spacing w:after="0"/>
        <w:jc w:val="both"/>
      </w:pPr>
      <w:r>
        <w:t>Aranrhod fails her virginity test spectacularly with evidence of, not one, but 2 previous pregnancies</w:t>
      </w:r>
      <w:r w:rsidR="008A36CD">
        <w:t xml:space="preserve"> or the birth of twins, the difference in size</w:t>
      </w:r>
      <w:r w:rsidR="00423A1F">
        <w:t xml:space="preserve"> of the boy a</w:t>
      </w:r>
      <w:r w:rsidR="008A36CD">
        <w:t xml:space="preserve"> suggests the former</w:t>
      </w:r>
      <w:r>
        <w:t>. The first comes in the form of a</w:t>
      </w:r>
      <w:r w:rsidR="007E489B">
        <w:t xml:space="preserve"> </w:t>
      </w:r>
      <w:r w:rsidR="007A2B85">
        <w:t xml:space="preserve">large </w:t>
      </w:r>
      <w:r w:rsidR="007E489B">
        <w:t>sturdy</w:t>
      </w:r>
      <w:r w:rsidR="00E95DEA">
        <w:t xml:space="preserve"> </w:t>
      </w:r>
      <w:r w:rsidR="00AD425C">
        <w:t>fair-haired</w:t>
      </w:r>
      <w:r w:rsidR="00E95DEA">
        <w:t xml:space="preserve"> boy. The fact that he was dropped</w:t>
      </w:r>
      <w:r w:rsidR="000D21B9">
        <w:t xml:space="preserve"> suggests that he was of an age </w:t>
      </w:r>
      <w:r w:rsidR="00AD425C">
        <w:t>small enough</w:t>
      </w:r>
      <w:r w:rsidR="00B30729">
        <w:t xml:space="preserve"> </w:t>
      </w:r>
      <w:r w:rsidR="00AD425C">
        <w:t>to be</w:t>
      </w:r>
      <w:r w:rsidR="00B30729">
        <w:t xml:space="preserve"> hidden within Aranrhod</w:t>
      </w:r>
      <w:r w:rsidR="003820EF">
        <w:t>’s clothing</w:t>
      </w:r>
      <w:r w:rsidR="00AD425C">
        <w:t xml:space="preserve"> but old enough to stand and walk</w:t>
      </w:r>
      <w:r w:rsidR="006E2F01">
        <w:t>.</w:t>
      </w:r>
      <w:r w:rsidR="00AD425C">
        <w:t xml:space="preserve"> The mention of the fair hair could well be a reference to the boys’ origins; whether that be from Math, through incest with one of the nephews or an unknown. Lack of descriptive detail of the other characters leaves this to supposition. The fact that as she runs away, an even smaller object was dropped, which transpires to be another infant would hint at the close proximity of Aranrhod’s indiscretions.</w:t>
      </w:r>
    </w:p>
    <w:p w14:paraId="2B75CE07" w14:textId="36A49539" w:rsidR="00AD425C" w:rsidRDefault="00AD425C" w:rsidP="004E6F72">
      <w:pPr>
        <w:spacing w:after="0"/>
        <w:jc w:val="both"/>
      </w:pPr>
      <w:r>
        <w:t>The fact that Gwydion is the one who recovers the smaller object and secrets it away shows the protective nature of himself to his sister</w:t>
      </w:r>
      <w:r w:rsidR="00E07A7E">
        <w:t xml:space="preserve"> through either family loyalty or the fact that he may well be the father through incest. He goes onto take the child from the hiding place and give him to a woman in the local town to raise with her own.</w:t>
      </w:r>
    </w:p>
    <w:p w14:paraId="62FD78E2" w14:textId="4971D5C5" w:rsidR="00E07A7E" w:rsidRDefault="00E07A7E" w:rsidP="004E6F72">
      <w:pPr>
        <w:spacing w:after="0"/>
        <w:jc w:val="both"/>
      </w:pPr>
      <w:r>
        <w:t xml:space="preserve">In the matter of the </w:t>
      </w:r>
      <w:r w:rsidR="00BF3CAF">
        <w:t>Fair-haired</w:t>
      </w:r>
      <w:r>
        <w:t xml:space="preserve"> </w:t>
      </w:r>
      <w:r w:rsidR="009028F1">
        <w:t>boy, Math</w:t>
      </w:r>
      <w:r w:rsidR="00BF3CAF">
        <w:t xml:space="preserve"> takes him and baptizes him and calls him Dylan.</w:t>
      </w:r>
      <w:r w:rsidR="009028F1">
        <w:t xml:space="preserve"> The myth describes how he runs off to the sea and is later killed by Gofannon. The significance of this is not expanded on in the text but as Gofannon is also a son of D</w:t>
      </w:r>
      <w:r w:rsidR="00B50CE4">
        <w:rPr>
          <w:rFonts w:cstheme="minorHAnsi"/>
        </w:rPr>
        <w:t>ô</w:t>
      </w:r>
      <w:r w:rsidR="009028F1">
        <w:t>n</w:t>
      </w:r>
      <w:r w:rsidR="009028F1" w:rsidRPr="008A36CD">
        <w:rPr>
          <w:rStyle w:val="FootnoteReference"/>
          <w:b/>
          <w:bCs/>
          <w:color w:val="FF0000"/>
          <w:sz w:val="24"/>
          <w:szCs w:val="24"/>
        </w:rPr>
        <w:footnoteReference w:id="6"/>
      </w:r>
      <w:r w:rsidR="009028F1">
        <w:t>, and therefore brother to the aforementioned nephews of Math, I believe that it may well indicate that he, Gofannon, killed Dylan deliberately as a way of covering up the family secret of an incestuous birth.</w:t>
      </w:r>
    </w:p>
    <w:p w14:paraId="2F22B611" w14:textId="761247DB" w:rsidR="00532168" w:rsidRDefault="00532168" w:rsidP="004E6F72">
      <w:pPr>
        <w:spacing w:after="0"/>
        <w:jc w:val="both"/>
      </w:pPr>
      <w:r>
        <w:t xml:space="preserve">I must also address the subject of the baptism of Dylan. Within the Mabinogion, there are many references to God in the exchanges between characters, and I believe this reflects the religious side of the story teller’s tale. In using this, the story teller casts a moral and virtuous thread to the story. </w:t>
      </w:r>
      <w:proofErr w:type="gramStart"/>
      <w:r>
        <w:t>So</w:t>
      </w:r>
      <w:proofErr w:type="gramEnd"/>
      <w:r>
        <w:t xml:space="preserve"> it follows in the rise of Christianity, baptism was becoming accepted as the way to cleanse and wash away the wrong doings of the past. In this case, I believe Math was admonishing Dylan of the wrong doings of Aranrhod in the similar way he did the same of the 3 sons of the two nephews that were born</w:t>
      </w:r>
      <w:r w:rsidR="00DE11B0">
        <w:t xml:space="preserve"> during their punishment, thereby showing the righteous and forgiving nature of the lord of the land.</w:t>
      </w:r>
    </w:p>
    <w:p w14:paraId="6E55E544" w14:textId="365BA634" w:rsidR="00C83828" w:rsidRDefault="00C83828" w:rsidP="004E6F72">
      <w:pPr>
        <w:spacing w:after="0"/>
        <w:jc w:val="both"/>
      </w:pPr>
      <w:r>
        <w:t>This part of the extract also describes the means by which Gofannon killed Dylan as one of the “Three Unfortunate Blows”.</w:t>
      </w:r>
      <w:r w:rsidR="00B408FD">
        <w:t xml:space="preserve"> I have attempted to research the significance of these three unfortunate blows and why this death particularly warranted inclusion. Unfortunately looking in Rachel Bromwich’s book</w:t>
      </w:r>
      <w:r w:rsidR="00B408FD" w:rsidRPr="00B36FE4">
        <w:rPr>
          <w:rStyle w:val="FootnoteReference"/>
          <w:b/>
          <w:bCs/>
          <w:color w:val="FF0000"/>
          <w:sz w:val="24"/>
          <w:szCs w:val="24"/>
        </w:rPr>
        <w:footnoteReference w:id="7"/>
      </w:r>
      <w:r w:rsidR="00B408FD">
        <w:t xml:space="preserve">, I found this difficult and confusing due to my lack of knowledge of the Welsh language and her </w:t>
      </w:r>
      <w:r w:rsidR="00B408FD">
        <w:lastRenderedPageBreak/>
        <w:t>complicated abbreviated referencing system. However, an internet search revealed a web site that listed the three harmful blows</w:t>
      </w:r>
      <w:r w:rsidR="00B408FD" w:rsidRPr="00B36FE4">
        <w:rPr>
          <w:rStyle w:val="FootnoteReference"/>
          <w:b/>
          <w:bCs/>
          <w:color w:val="FF0000"/>
          <w:sz w:val="24"/>
          <w:szCs w:val="24"/>
        </w:rPr>
        <w:footnoteReference w:id="8"/>
      </w:r>
      <w:r w:rsidR="00B408FD">
        <w:t xml:space="preserve"> and this one was not amongst them.</w:t>
      </w:r>
    </w:p>
    <w:p w14:paraId="5B2C4996" w14:textId="77DBFEED" w:rsidR="009F2614" w:rsidRDefault="009F2614" w:rsidP="004E6F72">
      <w:pPr>
        <w:spacing w:after="0"/>
        <w:jc w:val="both"/>
      </w:pPr>
      <w:r>
        <w:t>What the extract does say is that Dylan’s full title is Dylan Eil Ton which means ‘Son of Wave</w:t>
      </w:r>
      <w:r w:rsidR="004C0D2E">
        <w:t>’</w:t>
      </w:r>
      <w:r w:rsidR="004C0D2E" w:rsidRPr="00B36FE4">
        <w:rPr>
          <w:rStyle w:val="FootnoteReference"/>
          <w:b/>
          <w:bCs/>
          <w:color w:val="FF0000"/>
          <w:sz w:val="24"/>
          <w:szCs w:val="24"/>
        </w:rPr>
        <w:footnoteReference w:id="9"/>
      </w:r>
      <w:r w:rsidR="004C0D2E">
        <w:t xml:space="preserve">. There is a moralistic interpretation to this as Dylan is described as </w:t>
      </w:r>
      <w:r w:rsidR="00F57BD0">
        <w:t>d</w:t>
      </w:r>
      <w:r w:rsidR="004C0D2E">
        <w:t xml:space="preserve">ark and his </w:t>
      </w:r>
      <w:r w:rsidR="00F57BD0">
        <w:t>b</w:t>
      </w:r>
      <w:r w:rsidR="004C0D2E">
        <w:t>rother, saved by Gwydion, given away and later named Lleu Llaw Gyffes</w:t>
      </w:r>
      <w:r w:rsidR="00846D24">
        <w:t xml:space="preserve"> further on in the </w:t>
      </w:r>
      <w:r w:rsidR="00F57BD0">
        <w:t>F</w:t>
      </w:r>
      <w:r w:rsidR="00846D24">
        <w:t xml:space="preserve">ourth Branch, is the light. There is some suggestion that the pair </w:t>
      </w:r>
      <w:r w:rsidR="00CF18E8">
        <w:t>were</w:t>
      </w:r>
      <w:r w:rsidR="00846D24">
        <w:t xml:space="preserve"> twins</w:t>
      </w:r>
      <w:r w:rsidR="00CF18E8">
        <w:t>, but this may be to add credence to the sub text of them representing dark and light</w:t>
      </w:r>
      <w:r w:rsidR="00846D24">
        <w:t>.</w:t>
      </w:r>
    </w:p>
    <w:p w14:paraId="78F09DD5" w14:textId="41E3F5C8" w:rsidR="00F57BD0" w:rsidRDefault="00F57BD0" w:rsidP="004E6F72">
      <w:pPr>
        <w:spacing w:after="0"/>
        <w:jc w:val="both"/>
      </w:pPr>
    </w:p>
    <w:p w14:paraId="6158C7CE" w14:textId="603CC46A" w:rsidR="00F57BD0" w:rsidRPr="00B36FE4" w:rsidRDefault="00F57BD0" w:rsidP="004E6F72">
      <w:pPr>
        <w:spacing w:after="0"/>
        <w:jc w:val="both"/>
        <w:rPr>
          <w:b/>
          <w:bCs/>
          <w:sz w:val="24"/>
          <w:szCs w:val="24"/>
        </w:rPr>
      </w:pPr>
      <w:r w:rsidRPr="00B36FE4">
        <w:rPr>
          <w:b/>
          <w:bCs/>
          <w:sz w:val="24"/>
          <w:szCs w:val="24"/>
        </w:rPr>
        <w:t>Observations</w:t>
      </w:r>
    </w:p>
    <w:p w14:paraId="1647F37F" w14:textId="7D199476" w:rsidR="00F57BD0" w:rsidRDefault="00F57BD0" w:rsidP="004E6F72">
      <w:pPr>
        <w:spacing w:after="0"/>
        <w:jc w:val="both"/>
      </w:pPr>
    </w:p>
    <w:p w14:paraId="59617CF5" w14:textId="7503E64A" w:rsidR="00915465" w:rsidRDefault="00915465" w:rsidP="004E6F72">
      <w:pPr>
        <w:spacing w:after="0"/>
        <w:jc w:val="both"/>
      </w:pPr>
      <w:r>
        <w:t>Having read the tales of the Mabinogion and looked into the fourth Branch</w:t>
      </w:r>
      <w:r w:rsidR="00DE11B0">
        <w:t>,</w:t>
      </w:r>
      <w:r>
        <w:t xml:space="preserve"> particularly the assignment extract, I have some hypothesises / interpretations that may or may not be proven with further research. Firstly Math, son of Mathonwy</w:t>
      </w:r>
      <w:r w:rsidR="00376FA2">
        <w:t xml:space="preserve"> </w:t>
      </w:r>
      <w:r>
        <w:t>is landed gentry, described as lord over Gwynedd which we know is a sizeable part of Wales today. So</w:t>
      </w:r>
      <w:r w:rsidR="00376FA2">
        <w:t>,</w:t>
      </w:r>
      <w:r>
        <w:t xml:space="preserve"> it is no surprise that he feels his status befits the attendance of a virginal footholder, similar to those who attended Welsh Kings</w:t>
      </w:r>
      <w:r w:rsidR="00CE4F55">
        <w:t xml:space="preserve">. The myth behind the need for a footholder to stop him from dying may well cover up a complacent and lackadaisical attitude coupled with a naivety that those around him would serve him dutifully and with honour which would explain his misguided faith in his </w:t>
      </w:r>
      <w:r w:rsidR="00B50CE4">
        <w:t>nephews.</w:t>
      </w:r>
      <w:r>
        <w:t xml:space="preserve"> He comes across as </w:t>
      </w:r>
      <w:r w:rsidR="00376FA2">
        <w:t>a kind and forgiving Lord who, whilst following the protocols, sometimes compassionately finds another solution as in the case of Aranrhods pregnancy by baptizing Dylan, his marriage to Goewin</w:t>
      </w:r>
      <w:r w:rsidR="00CE4F55">
        <w:t xml:space="preserve"> after she has been raped</w:t>
      </w:r>
      <w:r w:rsidR="00376FA2">
        <w:t xml:space="preserve"> and allowing his nephews back into his court despite the rape of Goewin. The sons of D</w:t>
      </w:r>
      <w:r w:rsidR="00376FA2">
        <w:rPr>
          <w:rFonts w:cstheme="minorHAnsi"/>
        </w:rPr>
        <w:t>ô</w:t>
      </w:r>
      <w:r w:rsidR="00376FA2">
        <w:t>n and the rest of that immediate family, whilst related to the Lord of Gwynedd, are clearly not of the moral standing as shown by their conspiratol nature and moral disregard in their sexual activities which I suspect involved incest with Aranrhod</w:t>
      </w:r>
      <w:r w:rsidR="00CE4F55">
        <w:t xml:space="preserve"> which would in today’s parlance, label them as ‘the black sheep of the family’</w:t>
      </w:r>
      <w:r w:rsidR="00376FA2">
        <w:t>.</w:t>
      </w:r>
    </w:p>
    <w:p w14:paraId="0B198DC3" w14:textId="6E603353" w:rsidR="00CE4F55" w:rsidRDefault="00CE4F55" w:rsidP="004E6F72">
      <w:pPr>
        <w:spacing w:after="0"/>
        <w:jc w:val="both"/>
      </w:pPr>
    </w:p>
    <w:p w14:paraId="7B9DEDE9" w14:textId="221A40A8" w:rsidR="00CE4F55" w:rsidRDefault="00CE4F55" w:rsidP="004E6F72">
      <w:pPr>
        <w:spacing w:after="0"/>
        <w:jc w:val="both"/>
      </w:pPr>
      <w:r>
        <w:t xml:space="preserve">As for the Mabinogion, it would be right to remember that these myths and legends are borne out of the oral tradition of the </w:t>
      </w:r>
      <w:r w:rsidR="00DE11B0">
        <w:t>p</w:t>
      </w:r>
      <w:r>
        <w:t>rofessional story tellers that would move from place to place and were one of the sources of news and entertainment of the day. Their living was earnt by way of their reputation and the</w:t>
      </w:r>
      <w:r w:rsidR="00B50CE4">
        <w:t xml:space="preserve"> quality of their tales. The myths themselves have an under</w:t>
      </w:r>
      <w:r w:rsidR="00D96C0C">
        <w:t>t</w:t>
      </w:r>
      <w:r w:rsidR="00B50CE4">
        <w:t xml:space="preserve">one of moral value as well as the mystic of magic. </w:t>
      </w:r>
      <w:r w:rsidR="00D96C0C">
        <w:t>T</w:t>
      </w:r>
      <w:r w:rsidR="00B50CE4">
        <w:t>he b</w:t>
      </w:r>
      <w:r w:rsidR="00D96C0C">
        <w:t>elief</w:t>
      </w:r>
      <w:r w:rsidR="00B50CE4">
        <w:t xml:space="preserve"> </w:t>
      </w:r>
      <w:r w:rsidR="00D96C0C">
        <w:t>that</w:t>
      </w:r>
      <w:r w:rsidR="00B50CE4">
        <w:t xml:space="preserve"> the stories are based on real places</w:t>
      </w:r>
      <w:r w:rsidR="00D96C0C">
        <w:t>,</w:t>
      </w:r>
      <w:r w:rsidR="00B50CE4">
        <w:t xml:space="preserve"> and some historical people </w:t>
      </w:r>
      <w:r w:rsidR="00D96C0C">
        <w:t>existed</w:t>
      </w:r>
      <w:r w:rsidR="00B50CE4">
        <w:t xml:space="preserve"> is probably not in doubt as this gives the stories credence. The consequences and actions that beset some of the characters are clearly fantastical but in medieval Wales would strike fear of repercussions into the uneducated masses should any of them decide to try their hand and break the moral and/or lawful codes.</w:t>
      </w:r>
      <w:r w:rsidR="0035572C">
        <w:t xml:space="preserve"> </w:t>
      </w:r>
    </w:p>
    <w:p w14:paraId="5229CC3F" w14:textId="05BE4D9E" w:rsidR="0035572C" w:rsidRDefault="0035572C" w:rsidP="004E6F72">
      <w:pPr>
        <w:spacing w:after="0"/>
        <w:jc w:val="both"/>
      </w:pPr>
      <w:r>
        <w:t xml:space="preserve">The characters are all </w:t>
      </w:r>
      <w:r w:rsidR="00D96C0C">
        <w:t xml:space="preserve">portrayed as </w:t>
      </w:r>
      <w:r>
        <w:t xml:space="preserve">from seats of </w:t>
      </w:r>
      <w:r w:rsidR="00D96C0C">
        <w:t>p</w:t>
      </w:r>
      <w:r>
        <w:t>ower and privilege</w:t>
      </w:r>
      <w:r w:rsidR="00D96C0C">
        <w:t>.</w:t>
      </w:r>
      <w:r>
        <w:t xml:space="preserve"> </w:t>
      </w:r>
      <w:r w:rsidR="00D96C0C">
        <w:t>T</w:t>
      </w:r>
      <w:r>
        <w:t xml:space="preserve">his adds an insight to worlds </w:t>
      </w:r>
      <w:r w:rsidR="00D96C0C">
        <w:t>that</w:t>
      </w:r>
      <w:r w:rsidR="00D96C0C">
        <w:t xml:space="preserve"> the majority of the story tellers’ audiences</w:t>
      </w:r>
      <w:r w:rsidR="00D96C0C">
        <w:t xml:space="preserve"> </w:t>
      </w:r>
      <w:r>
        <w:t>would never be privy to.</w:t>
      </w:r>
    </w:p>
    <w:p w14:paraId="66904CF3" w14:textId="32BE3D04" w:rsidR="0035572C" w:rsidRDefault="0035572C" w:rsidP="004E6F72">
      <w:pPr>
        <w:spacing w:after="0"/>
        <w:jc w:val="both"/>
      </w:pPr>
      <w:r>
        <w:t>The fact that these myths were then since recorded was, rightly, the next logical step in recording these for prosperity by the literary people of the time. Now unless the same story tellers were the same people that recorded the myths onto parchment, there would most definitely been some changes</w:t>
      </w:r>
      <w:r w:rsidR="00D96C0C">
        <w:t>. Different interpretations</w:t>
      </w:r>
      <w:r>
        <w:t xml:space="preserve"> and omissions. This becomes apparent when you look at the translations where there are pieces of the stor</w:t>
      </w:r>
      <w:r w:rsidR="007B12FA">
        <w:t>ies</w:t>
      </w:r>
      <w:r>
        <w:t xml:space="preserve"> that end abruptly when in truth, a story teller would elaborate on the unanswered questions.</w:t>
      </w:r>
      <w:r w:rsidR="00D96C0C">
        <w:t xml:space="preserve"> </w:t>
      </w:r>
      <w:proofErr w:type="gramStart"/>
      <w:r w:rsidR="00D96C0C">
        <w:t>Also</w:t>
      </w:r>
      <w:proofErr w:type="gramEnd"/>
      <w:r w:rsidR="00D96C0C">
        <w:t xml:space="preserve"> there are subtle differences in the translation of the spoken word, e.g. Aranrhods response when asked if she was a </w:t>
      </w:r>
      <w:r w:rsidR="007C75DF">
        <w:t xml:space="preserve">virgin. The extract says “that is my </w:t>
      </w:r>
      <w:r w:rsidR="007C75DF">
        <w:lastRenderedPageBreak/>
        <w:t>belief” and another article gives the wording as “</w:t>
      </w:r>
      <w:r w:rsidR="007C75DF">
        <w:t>'I know not but that I am</w:t>
      </w:r>
      <w:r w:rsidR="007C75DF">
        <w:t>”</w:t>
      </w:r>
      <w:r w:rsidR="007C75DF" w:rsidRPr="00107C1A">
        <w:rPr>
          <w:rStyle w:val="FootnoteReference"/>
          <w:b/>
          <w:bCs/>
          <w:color w:val="FF0000"/>
          <w:sz w:val="24"/>
          <w:szCs w:val="24"/>
        </w:rPr>
        <w:footnoteReference w:id="10"/>
      </w:r>
      <w:r w:rsidR="00107C1A">
        <w:t>. I am aware that these documents are of great significance to the Welsh culture and identity and there are regular conferences to debate and discuss them. Would it not be prudent to start accepting</w:t>
      </w:r>
      <w:r w:rsidR="00C45796">
        <w:t xml:space="preserve"> </w:t>
      </w:r>
      <w:r w:rsidR="00107C1A">
        <w:t xml:space="preserve">certain parts as </w:t>
      </w:r>
      <w:r w:rsidR="00C45796">
        <w:t>“</w:t>
      </w:r>
      <w:r w:rsidR="00107C1A">
        <w:t>written in stone</w:t>
      </w:r>
      <w:r w:rsidR="00C45796">
        <w:t>”</w:t>
      </w:r>
      <w:r w:rsidR="00107C1A">
        <w:t xml:space="preserve"> </w:t>
      </w:r>
      <w:r w:rsidR="00C45796">
        <w:t>which would cement the myths and</w:t>
      </w:r>
      <w:r w:rsidR="00107C1A">
        <w:t xml:space="preserve"> avoid the dilution</w:t>
      </w:r>
      <w:r w:rsidR="00C45796">
        <w:t xml:space="preserve"> and vagueness of the content which would become the subject of further debate. </w:t>
      </w:r>
    </w:p>
    <w:p w14:paraId="0301F364" w14:textId="77777777" w:rsidR="0035572C" w:rsidRDefault="0035572C" w:rsidP="004E6F72">
      <w:pPr>
        <w:spacing w:after="0"/>
        <w:jc w:val="both"/>
      </w:pPr>
    </w:p>
    <w:p w14:paraId="42EC77F6" w14:textId="47379F37" w:rsidR="00C45796" w:rsidRDefault="00C45796">
      <w:r>
        <w:br w:type="page"/>
      </w:r>
    </w:p>
    <w:p w14:paraId="34192706" w14:textId="02485860" w:rsidR="00582A62" w:rsidRPr="00B36FE4" w:rsidRDefault="00B36FE4" w:rsidP="004E6F72">
      <w:pPr>
        <w:spacing w:after="0"/>
        <w:jc w:val="both"/>
        <w:rPr>
          <w:b/>
          <w:bCs/>
          <w:sz w:val="24"/>
          <w:szCs w:val="24"/>
        </w:rPr>
      </w:pPr>
      <w:r w:rsidRPr="00B36FE4">
        <w:rPr>
          <w:b/>
          <w:bCs/>
          <w:sz w:val="24"/>
          <w:szCs w:val="24"/>
        </w:rPr>
        <w:lastRenderedPageBreak/>
        <w:t>Bibliography</w:t>
      </w:r>
    </w:p>
    <w:p w14:paraId="2C731F23" w14:textId="0A097914" w:rsidR="00B36FE4" w:rsidRDefault="00B36FE4" w:rsidP="004E6F72">
      <w:pPr>
        <w:spacing w:after="0"/>
        <w:jc w:val="both"/>
      </w:pPr>
    </w:p>
    <w:p w14:paraId="313AE5C2" w14:textId="5554A654" w:rsidR="00B36FE4" w:rsidRDefault="00B36FE4" w:rsidP="00B36FE4">
      <w:pPr>
        <w:pStyle w:val="ListParagraph"/>
        <w:numPr>
          <w:ilvl w:val="0"/>
          <w:numId w:val="1"/>
        </w:numPr>
        <w:spacing w:after="0"/>
      </w:pPr>
      <w:r>
        <w:t>Ancienttexts.org by Mary Jones,</w:t>
      </w:r>
      <w:r w:rsidR="00C64DC5">
        <w:t xml:space="preserve">  </w:t>
      </w:r>
      <w:hyperlink r:id="rId8" w:history="1">
        <w:r w:rsidR="00C64DC5" w:rsidRPr="00295FB8">
          <w:rPr>
            <w:rStyle w:val="Hyperlink"/>
          </w:rPr>
          <w:t>https://www.ancienttexts.org/library/celtic/ctexts/index.html</w:t>
        </w:r>
      </w:hyperlink>
      <w:r>
        <w:t xml:space="preserve"> accessed 11th Dec 2022 8.58am</w:t>
      </w:r>
    </w:p>
    <w:p w14:paraId="2876AB44" w14:textId="5D661B87" w:rsidR="00B36FE4" w:rsidRDefault="00B36FE4" w:rsidP="00B36FE4">
      <w:pPr>
        <w:pStyle w:val="ListParagraph"/>
        <w:numPr>
          <w:ilvl w:val="0"/>
          <w:numId w:val="1"/>
        </w:numPr>
        <w:spacing w:after="0"/>
        <w:jc w:val="both"/>
      </w:pPr>
      <w:r w:rsidRPr="00B36FE4">
        <w:t>Bromwich, Rachel., The Triads of the Island of Britain, 1xxii, 2nd Edition, University of Wales Press, 2014</w:t>
      </w:r>
    </w:p>
    <w:p w14:paraId="13E627FA" w14:textId="511217AA" w:rsidR="00B36FE4" w:rsidRDefault="00B36FE4" w:rsidP="00B36FE4">
      <w:pPr>
        <w:pStyle w:val="ListParagraph"/>
        <w:numPr>
          <w:ilvl w:val="0"/>
          <w:numId w:val="1"/>
        </w:numPr>
        <w:spacing w:after="0"/>
        <w:jc w:val="both"/>
      </w:pPr>
      <w:r w:rsidRPr="00B36FE4">
        <w:t>Canney, Maurice Arthur., An Encyclopaedia of Religions, p167, G Routledge and Sons Ltd, 1921</w:t>
      </w:r>
    </w:p>
    <w:p w14:paraId="3E22B950" w14:textId="535181DC" w:rsidR="00B36FE4" w:rsidRDefault="00B36FE4" w:rsidP="00C64DC5">
      <w:pPr>
        <w:pStyle w:val="FootnoteText"/>
        <w:numPr>
          <w:ilvl w:val="0"/>
          <w:numId w:val="1"/>
        </w:numPr>
      </w:pPr>
      <w:r>
        <w:t xml:space="preserve">Cartwright, Jane. </w:t>
      </w:r>
      <w:r w:rsidRPr="0002606A">
        <w:rPr>
          <w:i/>
          <w:iCs/>
        </w:rPr>
        <w:t>Virginity and Chastity Tests in Medieval Welsh Prose</w:t>
      </w:r>
      <w:r>
        <w:t>, Ch 4 p59, Medieval Virginities, Cardiff University of Wales Press, 2003</w:t>
      </w:r>
    </w:p>
    <w:p w14:paraId="481F035F" w14:textId="22CDEF12" w:rsidR="00B36FE4" w:rsidRDefault="00B36FE4" w:rsidP="00B36FE4">
      <w:pPr>
        <w:pStyle w:val="ListParagraph"/>
        <w:numPr>
          <w:ilvl w:val="0"/>
          <w:numId w:val="1"/>
        </w:numPr>
        <w:spacing w:after="0"/>
        <w:jc w:val="both"/>
      </w:pPr>
      <w:r>
        <w:t>Davies Sioned, The Mabinogion, p54, 1</w:t>
      </w:r>
      <w:r w:rsidRPr="00BF3CAF">
        <w:rPr>
          <w:vertAlign w:val="superscript"/>
        </w:rPr>
        <w:t>st</w:t>
      </w:r>
      <w:r>
        <w:t xml:space="preserve"> Ed, Oxford Press 2007</w:t>
      </w:r>
    </w:p>
    <w:p w14:paraId="51593CB0" w14:textId="4E1BA977" w:rsidR="00B36FE4" w:rsidRDefault="00B36FE4" w:rsidP="00B36FE4">
      <w:pPr>
        <w:pStyle w:val="ListParagraph"/>
        <w:numPr>
          <w:ilvl w:val="0"/>
          <w:numId w:val="1"/>
        </w:numPr>
        <w:spacing w:after="0"/>
        <w:jc w:val="both"/>
      </w:pPr>
      <w:r>
        <w:t>Davies, Sioned, The Mabinogion, p4, 1</w:t>
      </w:r>
      <w:r w:rsidRPr="00BF3CAF">
        <w:rPr>
          <w:vertAlign w:val="superscript"/>
        </w:rPr>
        <w:t>st</w:t>
      </w:r>
      <w:r>
        <w:t xml:space="preserve"> Ed Oxford Press 2007</w:t>
      </w:r>
    </w:p>
    <w:p w14:paraId="16410649" w14:textId="476FF416" w:rsidR="00C64DC5" w:rsidRDefault="00C64DC5" w:rsidP="00B36FE4">
      <w:pPr>
        <w:pStyle w:val="ListParagraph"/>
        <w:numPr>
          <w:ilvl w:val="0"/>
          <w:numId w:val="1"/>
        </w:numPr>
        <w:spacing w:after="0"/>
        <w:jc w:val="both"/>
      </w:pPr>
      <w:r>
        <w:t>Edwards, Owen &amp; Russell, The Welsh King &amp; His Court, Cambridge University of Wales Press, 2000</w:t>
      </w:r>
    </w:p>
    <w:p w14:paraId="2CF3CCE8" w14:textId="2B7DD270" w:rsidR="00C64DC5" w:rsidRDefault="00C64DC5" w:rsidP="00B16DFD">
      <w:pPr>
        <w:pStyle w:val="ListParagraph"/>
        <w:numPr>
          <w:ilvl w:val="0"/>
          <w:numId w:val="1"/>
        </w:numPr>
        <w:spacing w:after="0"/>
        <w:jc w:val="both"/>
      </w:pPr>
      <w:r>
        <w:t xml:space="preserve">The History Corner, </w:t>
      </w:r>
      <w:hyperlink r:id="rId9" w:history="1">
        <w:r w:rsidRPr="007B2415">
          <w:rPr>
            <w:rStyle w:val="Hyperlink"/>
          </w:rPr>
          <w:t>https://www.thehistorycorner.org/articles-by-the-team/the-importance-of-virginity-in-the-middle-ages</w:t>
        </w:r>
      </w:hyperlink>
      <w:r>
        <w:t xml:space="preserve"> accessed 10th Dec 2022 @ 9.48am</w:t>
      </w:r>
    </w:p>
    <w:sectPr w:rsidR="00C64DC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80AB3" w14:textId="77777777" w:rsidR="00D1345C" w:rsidRDefault="00D1345C" w:rsidP="00B209B4">
      <w:pPr>
        <w:spacing w:after="0" w:line="240" w:lineRule="auto"/>
      </w:pPr>
      <w:r>
        <w:separator/>
      </w:r>
    </w:p>
  </w:endnote>
  <w:endnote w:type="continuationSeparator" w:id="0">
    <w:p w14:paraId="7EFE312D" w14:textId="77777777" w:rsidR="00D1345C" w:rsidRDefault="00D1345C" w:rsidP="00B20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7731641"/>
      <w:docPartObj>
        <w:docPartGallery w:val="Page Numbers (Bottom of Page)"/>
        <w:docPartUnique/>
      </w:docPartObj>
    </w:sdtPr>
    <w:sdtEndPr>
      <w:rPr>
        <w:noProof/>
      </w:rPr>
    </w:sdtEndPr>
    <w:sdtContent>
      <w:p w14:paraId="28409CC9" w14:textId="613187A8" w:rsidR="00C64DC5" w:rsidRDefault="00C64D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CFFB20" w14:textId="77777777" w:rsidR="00C64DC5" w:rsidRDefault="00C64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05624" w14:textId="77777777" w:rsidR="00D1345C" w:rsidRDefault="00D1345C" w:rsidP="00B209B4">
      <w:pPr>
        <w:spacing w:after="0" w:line="240" w:lineRule="auto"/>
      </w:pPr>
      <w:r>
        <w:separator/>
      </w:r>
    </w:p>
  </w:footnote>
  <w:footnote w:type="continuationSeparator" w:id="0">
    <w:p w14:paraId="609526B0" w14:textId="77777777" w:rsidR="00D1345C" w:rsidRDefault="00D1345C" w:rsidP="00B209B4">
      <w:pPr>
        <w:spacing w:after="0" w:line="240" w:lineRule="auto"/>
      </w:pPr>
      <w:r>
        <w:continuationSeparator/>
      </w:r>
    </w:p>
  </w:footnote>
  <w:footnote w:id="1">
    <w:p w14:paraId="3A5DF0E8" w14:textId="5219D55D" w:rsidR="00B209B4" w:rsidRDefault="00B209B4">
      <w:pPr>
        <w:pStyle w:val="FootnoteText"/>
      </w:pPr>
      <w:r>
        <w:rPr>
          <w:rStyle w:val="FootnoteReference"/>
        </w:rPr>
        <w:footnoteRef/>
      </w:r>
      <w:r>
        <w:t xml:space="preserve"> </w:t>
      </w:r>
      <w:bookmarkStart w:id="0" w:name="_Hlk121649541"/>
      <w:r>
        <w:t>Davies Sioned, The Mabinogion, p54,</w:t>
      </w:r>
      <w:r w:rsidR="00BF3CAF">
        <w:t xml:space="preserve"> 1</w:t>
      </w:r>
      <w:r w:rsidR="00BF3CAF" w:rsidRPr="00BF3CAF">
        <w:rPr>
          <w:vertAlign w:val="superscript"/>
        </w:rPr>
        <w:t>st</w:t>
      </w:r>
      <w:r w:rsidR="00BF3CAF">
        <w:t xml:space="preserve"> Ed,</w:t>
      </w:r>
      <w:r>
        <w:t xml:space="preserve"> Oxford Press 2007</w:t>
      </w:r>
      <w:bookmarkEnd w:id="0"/>
      <w:r>
        <w:t xml:space="preserve"> </w:t>
      </w:r>
    </w:p>
  </w:footnote>
  <w:footnote w:id="2">
    <w:p w14:paraId="4429C3D2" w14:textId="72F87A4C" w:rsidR="00BF3CAF" w:rsidRDefault="00BF3CAF">
      <w:pPr>
        <w:pStyle w:val="FootnoteText"/>
      </w:pPr>
      <w:r>
        <w:rPr>
          <w:rStyle w:val="FootnoteReference"/>
        </w:rPr>
        <w:footnoteRef/>
      </w:r>
      <w:r>
        <w:t xml:space="preserve"> </w:t>
      </w:r>
      <w:bookmarkStart w:id="1" w:name="_Hlk121649571"/>
      <w:r>
        <w:t>Davies, Sioned, The Mabinogion, p4, 1</w:t>
      </w:r>
      <w:r w:rsidRPr="00BF3CAF">
        <w:rPr>
          <w:vertAlign w:val="superscript"/>
        </w:rPr>
        <w:t>st</w:t>
      </w:r>
      <w:r>
        <w:t xml:space="preserve"> Ed Oxford Press 2007</w:t>
      </w:r>
      <w:bookmarkEnd w:id="1"/>
    </w:p>
  </w:footnote>
  <w:footnote w:id="3">
    <w:p w14:paraId="386727F1" w14:textId="26699785" w:rsidR="0002606A" w:rsidRDefault="00582A62">
      <w:pPr>
        <w:pStyle w:val="FootnoteText"/>
      </w:pPr>
      <w:r>
        <w:rPr>
          <w:rStyle w:val="FootnoteReference"/>
        </w:rPr>
        <w:footnoteRef/>
      </w:r>
      <w:r>
        <w:t xml:space="preserve"> </w:t>
      </w:r>
      <w:bookmarkStart w:id="2" w:name="_Hlk121649694"/>
      <w:r>
        <w:t>The History Corner</w:t>
      </w:r>
      <w:r w:rsidR="0002606A">
        <w:t xml:space="preserve">, </w:t>
      </w:r>
      <w:hyperlink r:id="rId1" w:history="1">
        <w:r w:rsidR="0002606A" w:rsidRPr="007B2415">
          <w:rPr>
            <w:rStyle w:val="Hyperlink"/>
          </w:rPr>
          <w:t>https://www.thehistorycorner.org/articles-by-the-team/the-importance-of-virginity-in-the-middle-ages</w:t>
        </w:r>
      </w:hyperlink>
      <w:r w:rsidR="0002606A">
        <w:t xml:space="preserve"> accessed 10th Dec 2022 @ 9.48am</w:t>
      </w:r>
      <w:bookmarkEnd w:id="2"/>
    </w:p>
  </w:footnote>
  <w:footnote w:id="4">
    <w:p w14:paraId="176CD806" w14:textId="67985D14" w:rsidR="0002606A" w:rsidRDefault="0002606A">
      <w:pPr>
        <w:pStyle w:val="FootnoteText"/>
      </w:pPr>
      <w:r>
        <w:rPr>
          <w:rStyle w:val="FootnoteReference"/>
        </w:rPr>
        <w:footnoteRef/>
      </w:r>
      <w:r>
        <w:t xml:space="preserve"> </w:t>
      </w:r>
      <w:bookmarkStart w:id="3" w:name="_Hlk121649620"/>
      <w:bookmarkStart w:id="4" w:name="_Hlk121760835"/>
      <w:r>
        <w:t xml:space="preserve">Cartwright, Jane. </w:t>
      </w:r>
      <w:r w:rsidRPr="0002606A">
        <w:rPr>
          <w:i/>
          <w:iCs/>
        </w:rPr>
        <w:t>Virginity and Chastity Tests in Medieval Welsh Prose</w:t>
      </w:r>
      <w:r>
        <w:t>, Ch 4 p59, Medieval Virginities, Cardiff University of Wales Press, 2003</w:t>
      </w:r>
      <w:bookmarkEnd w:id="4"/>
    </w:p>
    <w:bookmarkEnd w:id="3"/>
  </w:footnote>
  <w:footnote w:id="5">
    <w:p w14:paraId="286DEC30" w14:textId="181CDAD0" w:rsidR="0002606A" w:rsidRDefault="0002606A">
      <w:pPr>
        <w:pStyle w:val="FootnoteText"/>
      </w:pPr>
      <w:r>
        <w:rPr>
          <w:rStyle w:val="FootnoteReference"/>
        </w:rPr>
        <w:footnoteRef/>
      </w:r>
      <w:r>
        <w:t xml:space="preserve"> </w:t>
      </w:r>
      <w:bookmarkStart w:id="5" w:name="_Hlk121649664"/>
      <w:r>
        <w:t>Edwards, Owen &amp; Russell, The Welsh King &amp; His Court, Cambridge University of Wales Press, 2000</w:t>
      </w:r>
      <w:bookmarkEnd w:id="5"/>
    </w:p>
  </w:footnote>
  <w:footnote w:id="6">
    <w:p w14:paraId="30B04EE1" w14:textId="2A6583C4" w:rsidR="009028F1" w:rsidRDefault="009028F1">
      <w:pPr>
        <w:pStyle w:val="FootnoteText"/>
      </w:pPr>
      <w:r>
        <w:rPr>
          <w:rStyle w:val="FootnoteReference"/>
        </w:rPr>
        <w:footnoteRef/>
      </w:r>
      <w:r>
        <w:t xml:space="preserve"> </w:t>
      </w:r>
      <w:bookmarkStart w:id="6" w:name="_Hlk121649355"/>
      <w:r>
        <w:t>Canney, Maurice A</w:t>
      </w:r>
      <w:r w:rsidR="00B50CE4">
        <w:t>r</w:t>
      </w:r>
      <w:r>
        <w:t>thur., An Encyclopaedia of Religions, p167, G Routledge and Sons Ltd, 1921</w:t>
      </w:r>
      <w:bookmarkEnd w:id="6"/>
    </w:p>
  </w:footnote>
  <w:footnote w:id="7">
    <w:p w14:paraId="1F9A3723" w14:textId="543DF791" w:rsidR="00B408FD" w:rsidRDefault="00B408FD">
      <w:pPr>
        <w:pStyle w:val="FootnoteText"/>
      </w:pPr>
      <w:r>
        <w:rPr>
          <w:rStyle w:val="FootnoteReference"/>
        </w:rPr>
        <w:footnoteRef/>
      </w:r>
      <w:r>
        <w:t xml:space="preserve"> Bromwich, Rachel., The Triads of the Island of Brita</w:t>
      </w:r>
      <w:r w:rsidR="00B50CE4">
        <w:t>i</w:t>
      </w:r>
      <w:r>
        <w:t>n, 1xxii, 2</w:t>
      </w:r>
      <w:r w:rsidRPr="00B408FD">
        <w:rPr>
          <w:vertAlign w:val="superscript"/>
        </w:rPr>
        <w:t>nd</w:t>
      </w:r>
      <w:r>
        <w:t xml:space="preserve"> Edition, University of Wales Press, 2014</w:t>
      </w:r>
    </w:p>
  </w:footnote>
  <w:footnote w:id="8">
    <w:p w14:paraId="13831EA0" w14:textId="1C071B1C" w:rsidR="00B408FD" w:rsidRDefault="00B408FD">
      <w:pPr>
        <w:pStyle w:val="FootnoteText"/>
      </w:pPr>
      <w:r>
        <w:rPr>
          <w:rStyle w:val="FootnoteReference"/>
        </w:rPr>
        <w:footnoteRef/>
      </w:r>
      <w:r>
        <w:t xml:space="preserve"> </w:t>
      </w:r>
      <w:bookmarkStart w:id="7" w:name="_Hlk121649397"/>
      <w:r>
        <w:t>Ancienttexts.org by Mary Jones</w:t>
      </w:r>
      <w:r w:rsidR="009F2614">
        <w:t xml:space="preserve">, </w:t>
      </w:r>
      <w:hyperlink r:id="rId2" w:history="1">
        <w:r w:rsidR="009F2614" w:rsidRPr="00876EF6">
          <w:rPr>
            <w:rStyle w:val="Hyperlink"/>
          </w:rPr>
          <w:t>https://www.ancienttexts.org/library/celtic/ctexts/index.html</w:t>
        </w:r>
      </w:hyperlink>
      <w:r w:rsidR="009F2614">
        <w:t xml:space="preserve"> accessed 11th Dec 2022 8.58am</w:t>
      </w:r>
      <w:bookmarkEnd w:id="7"/>
    </w:p>
  </w:footnote>
  <w:footnote w:id="9">
    <w:p w14:paraId="63359DF1" w14:textId="097324FC" w:rsidR="004C0D2E" w:rsidRDefault="004C0D2E">
      <w:pPr>
        <w:pStyle w:val="FootnoteText"/>
      </w:pPr>
      <w:r>
        <w:rPr>
          <w:rStyle w:val="FootnoteReference"/>
        </w:rPr>
        <w:footnoteRef/>
      </w:r>
      <w:r>
        <w:t xml:space="preserve"> </w:t>
      </w:r>
      <w:r w:rsidR="00846D24">
        <w:t>Mackillop, James, Dictionary of Celtic Mythology, p86, Oxford University Press, 1998</w:t>
      </w:r>
    </w:p>
  </w:footnote>
  <w:footnote w:id="10">
    <w:p w14:paraId="35F5E80A" w14:textId="020395A3" w:rsidR="007C75DF" w:rsidRDefault="007C75DF">
      <w:pPr>
        <w:pStyle w:val="FootnoteText"/>
      </w:pPr>
      <w:r>
        <w:rPr>
          <w:rStyle w:val="FootnoteReference"/>
        </w:rPr>
        <w:footnoteRef/>
      </w:r>
      <w:r>
        <w:t xml:space="preserve"> </w:t>
      </w:r>
      <w:r>
        <w:t xml:space="preserve">Cartwright, Jane. </w:t>
      </w:r>
      <w:r w:rsidRPr="0002606A">
        <w:rPr>
          <w:i/>
          <w:iCs/>
        </w:rPr>
        <w:t>Virginity and Chastity Tests in Medieval Welsh Prose</w:t>
      </w:r>
      <w:r>
        <w:t>, Ch 4 p59, Medieval Virginities, Cardiff University of Wales Press, 2003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D159F4"/>
    <w:multiLevelType w:val="hybridMultilevel"/>
    <w:tmpl w:val="72E8C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527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72"/>
    <w:rsid w:val="0002606A"/>
    <w:rsid w:val="000D21B9"/>
    <w:rsid w:val="00107C1A"/>
    <w:rsid w:val="001500B6"/>
    <w:rsid w:val="002C4E46"/>
    <w:rsid w:val="002E4649"/>
    <w:rsid w:val="0031160B"/>
    <w:rsid w:val="00312C7C"/>
    <w:rsid w:val="00316B3D"/>
    <w:rsid w:val="0035572C"/>
    <w:rsid w:val="00376FA2"/>
    <w:rsid w:val="003820EF"/>
    <w:rsid w:val="00423A1F"/>
    <w:rsid w:val="004C0D2E"/>
    <w:rsid w:val="004E6F72"/>
    <w:rsid w:val="00532168"/>
    <w:rsid w:val="00580E09"/>
    <w:rsid w:val="00582A62"/>
    <w:rsid w:val="005B7477"/>
    <w:rsid w:val="005C7855"/>
    <w:rsid w:val="006627C4"/>
    <w:rsid w:val="006E2F01"/>
    <w:rsid w:val="00764665"/>
    <w:rsid w:val="007A2B85"/>
    <w:rsid w:val="007B12FA"/>
    <w:rsid w:val="007C75DF"/>
    <w:rsid w:val="007E489B"/>
    <w:rsid w:val="00811F97"/>
    <w:rsid w:val="00832831"/>
    <w:rsid w:val="00842043"/>
    <w:rsid w:val="00846D24"/>
    <w:rsid w:val="008A36CD"/>
    <w:rsid w:val="008B1B38"/>
    <w:rsid w:val="009028F1"/>
    <w:rsid w:val="00915465"/>
    <w:rsid w:val="009F2614"/>
    <w:rsid w:val="00AD425C"/>
    <w:rsid w:val="00B041B6"/>
    <w:rsid w:val="00B209B4"/>
    <w:rsid w:val="00B20C4A"/>
    <w:rsid w:val="00B30729"/>
    <w:rsid w:val="00B36FE4"/>
    <w:rsid w:val="00B408FD"/>
    <w:rsid w:val="00B50CE4"/>
    <w:rsid w:val="00BF3CAF"/>
    <w:rsid w:val="00C45796"/>
    <w:rsid w:val="00C64DC5"/>
    <w:rsid w:val="00C83828"/>
    <w:rsid w:val="00CE4F55"/>
    <w:rsid w:val="00CF18E8"/>
    <w:rsid w:val="00D1345C"/>
    <w:rsid w:val="00D96C0C"/>
    <w:rsid w:val="00DE11B0"/>
    <w:rsid w:val="00E07A7E"/>
    <w:rsid w:val="00E95DEA"/>
    <w:rsid w:val="00EC5AB3"/>
    <w:rsid w:val="00F57BD0"/>
    <w:rsid w:val="00FC0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239C4"/>
  <w15:chartTrackingRefBased/>
  <w15:docId w15:val="{8D6794B8-3A5F-40DD-9B83-324FC4187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209B4"/>
    <w:pPr>
      <w:spacing w:after="0" w:line="240" w:lineRule="auto"/>
    </w:pPr>
    <w:rPr>
      <w:sz w:val="20"/>
      <w:szCs w:val="20"/>
    </w:rPr>
  </w:style>
  <w:style w:type="character" w:customStyle="1" w:styleId="FootnoteTextChar">
    <w:name w:val="Footnote Text Char"/>
    <w:basedOn w:val="DefaultParagraphFont"/>
    <w:link w:val="FootnoteText"/>
    <w:uiPriority w:val="99"/>
    <w:rsid w:val="00B209B4"/>
    <w:rPr>
      <w:sz w:val="20"/>
      <w:szCs w:val="20"/>
    </w:rPr>
  </w:style>
  <w:style w:type="character" w:styleId="FootnoteReference">
    <w:name w:val="footnote reference"/>
    <w:basedOn w:val="DefaultParagraphFont"/>
    <w:uiPriority w:val="99"/>
    <w:semiHidden/>
    <w:unhideWhenUsed/>
    <w:rsid w:val="00B209B4"/>
    <w:rPr>
      <w:vertAlign w:val="superscript"/>
    </w:rPr>
  </w:style>
  <w:style w:type="character" w:styleId="Hyperlink">
    <w:name w:val="Hyperlink"/>
    <w:basedOn w:val="DefaultParagraphFont"/>
    <w:uiPriority w:val="99"/>
    <w:unhideWhenUsed/>
    <w:rsid w:val="00582A62"/>
    <w:rPr>
      <w:color w:val="0563C1" w:themeColor="hyperlink"/>
      <w:u w:val="single"/>
    </w:rPr>
  </w:style>
  <w:style w:type="character" w:styleId="UnresolvedMention">
    <w:name w:val="Unresolved Mention"/>
    <w:basedOn w:val="DefaultParagraphFont"/>
    <w:uiPriority w:val="99"/>
    <w:semiHidden/>
    <w:unhideWhenUsed/>
    <w:rsid w:val="00582A62"/>
    <w:rPr>
      <w:color w:val="605E5C"/>
      <w:shd w:val="clear" w:color="auto" w:fill="E1DFDD"/>
    </w:rPr>
  </w:style>
  <w:style w:type="paragraph" w:styleId="ListParagraph">
    <w:name w:val="List Paragraph"/>
    <w:basedOn w:val="Normal"/>
    <w:uiPriority w:val="34"/>
    <w:qFormat/>
    <w:rsid w:val="00B36FE4"/>
    <w:pPr>
      <w:ind w:left="720"/>
      <w:contextualSpacing/>
    </w:pPr>
  </w:style>
  <w:style w:type="paragraph" w:styleId="Header">
    <w:name w:val="header"/>
    <w:basedOn w:val="Normal"/>
    <w:link w:val="HeaderChar"/>
    <w:uiPriority w:val="99"/>
    <w:unhideWhenUsed/>
    <w:rsid w:val="00C64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DC5"/>
  </w:style>
  <w:style w:type="paragraph" w:styleId="Footer">
    <w:name w:val="footer"/>
    <w:basedOn w:val="Normal"/>
    <w:link w:val="FooterChar"/>
    <w:uiPriority w:val="99"/>
    <w:unhideWhenUsed/>
    <w:rsid w:val="00C64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81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texts.org/library/celtic/ctexts/index.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historycorner.org/articles-by-the-team/the-importance-of-virginity-in-the-middle-age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ancienttexts.org/library/celtic/ctexts/index.html" TargetMode="External"/><Relationship Id="rId1" Type="http://schemas.openxmlformats.org/officeDocument/2006/relationships/hyperlink" Target="https://www.thehistorycorner.org/articles-by-the-team/the-importance-of-virginity-in-the-middle-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4C0EBE-FA4A-4485-AC4F-5D26EDE71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5</Pages>
  <Words>1853</Words>
  <Characters>10565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dc:creator>
  <cp:keywords/>
  <dc:description/>
  <cp:lastModifiedBy>Michael</cp:lastModifiedBy>
  <cp:revision>17</cp:revision>
  <dcterms:created xsi:type="dcterms:W3CDTF">2022-12-10T07:27:00Z</dcterms:created>
  <dcterms:modified xsi:type="dcterms:W3CDTF">2022-12-12T18:16:00Z</dcterms:modified>
</cp:coreProperties>
</file>