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The biggest driver of future poverty in the UK is the educational attainment of children when they leave full-time education (Barnard, 2018). Regrettably, there are numerous social elements that impact on a learner’s ability to access education. The 1944 Education Act introduced free education for children up to the age of fifteen, (later increased to sixteen) and there have been many amendments since. Yet, seventy years on there are many questions being raised about how and why the education system is still failing so many individuals today? </w:t>
      </w:r>
      <w:proofErr w:type="spellStart"/>
      <w:r>
        <w:rPr>
          <w:rStyle w:val="spellingerror"/>
          <w:rFonts w:ascii="Calibri" w:hAnsi="Calibri" w:cs="Calibri"/>
        </w:rPr>
        <w:t>Wightwick</w:t>
      </w:r>
      <w:proofErr w:type="spellEnd"/>
      <w:r>
        <w:rPr>
          <w:rStyle w:val="normaltextrun"/>
          <w:rFonts w:ascii="Calibri" w:hAnsi="Calibri" w:cs="Calibri"/>
        </w:rPr>
        <w:t> (2018) talks about the devastating effect, where one in three children living in poverty in Wales is falling behind with their education by the age of five, with little or no chance of catch up.</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Poverty is a key element as statistics continue to show, with children from poorer backgrounds attainment being considerably lower than those more privileged. This is particularly worrying when poverty affecting couples with young children is on the rise. Since 2010, children from lower-income families have been catching up with those better-off on educational attainment but remain less likely to leave school with good qualifications. </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The Equality Act 2010 introduced a duty to try and protect individuals from these socio-economic inequalities as highlighted by </w:t>
      </w:r>
      <w:r>
        <w:rPr>
          <w:rStyle w:val="normaltextrun"/>
          <w:rFonts w:ascii="Calibri" w:hAnsi="Calibri" w:cs="Calibri"/>
          <w:lang w:val="en-US"/>
        </w:rPr>
        <w:t>Government Equalities Office in (The Equality Act, making equality real</w:t>
      </w:r>
      <w:r>
        <w:rPr>
          <w:rStyle w:val="normaltextrun"/>
          <w:rFonts w:ascii="Calibri" w:hAnsi="Calibri" w:cs="Calibri"/>
          <w:i/>
          <w:iCs/>
          <w:lang w:val="en-US"/>
        </w:rPr>
        <w:t> </w:t>
      </w:r>
      <w:r>
        <w:rPr>
          <w:rStyle w:val="normaltextrun"/>
          <w:rFonts w:ascii="Calibri" w:hAnsi="Calibri" w:cs="Calibri"/>
          <w:lang w:val="en-US"/>
        </w:rPr>
        <w:t>2011)</w:t>
      </w:r>
      <w:r>
        <w:rPr>
          <w:rStyle w:val="normaltextrun"/>
          <w:rFonts w:ascii="Calibri" w:hAnsi="Calibri" w:cs="Calibri"/>
        </w:rPr>
        <w:t xml:space="preserve">. While unemployment has fallen significantly in Wales over the last twenty years, poverty remains higher than in the rest of the UK, and since 2003/06 the risk of poverty has risen, even among working families. Barnard (2018) states there has been a considerable improvement in the working- age poverty group, whereby the number of people out of work has fallen, percentage </w:t>
      </w:r>
      <w:proofErr w:type="spellStart"/>
      <w:r>
        <w:rPr>
          <w:rStyle w:val="normaltextrun"/>
          <w:rFonts w:ascii="Calibri" w:hAnsi="Calibri" w:cs="Calibri"/>
        </w:rPr>
        <w:t>inemployment</w:t>
      </w:r>
      <w:proofErr w:type="spellEnd"/>
      <w:r>
        <w:rPr>
          <w:rStyle w:val="normaltextrun"/>
          <w:rFonts w:ascii="Calibri" w:hAnsi="Calibri" w:cs="Calibri"/>
        </w:rPr>
        <w:t xml:space="preserve"> has risen, and adults' proficiencies have developed. However, this has not resulted in a reduction in poverty levels and the risk is still increasing for these households. The reasoning behind this is the reduction in working-age benefits, increase in the cost of living and quality of work available. Also, the poverty rate for disabled people in Wales is 17% more than for non-disabled, which is the highest in the UK. Another concern is the amount of people who do not have savings or have not invested in pensions, thus lowering their prospects and increasing their risk of ending up in poverty in the future. </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T</w:t>
      </w:r>
      <w:r>
        <w:rPr>
          <w:rStyle w:val="normaltextrun"/>
          <w:rFonts w:ascii="Calibri" w:hAnsi="Calibri" w:cs="Calibri"/>
        </w:rPr>
        <w:t>his can be linked to numerous factors, including poor self-esteem. If a person doubts themselves or is continuously fed negative thoughts, it can reduce their chances of success at any stage in their lives. Young people and parents from rich and poor families not only differ in how well they perform in exams, they also show differences in family background characteristics, including education, family size, ethnicity and their attitudes and behaviours which helps explain the large gaps in attainment (</w:t>
      </w:r>
      <w:r>
        <w:rPr>
          <w:rStyle w:val="normaltextrun"/>
          <w:rFonts w:ascii="Calibri" w:hAnsi="Calibri" w:cs="Calibri"/>
          <w:color w:val="000000"/>
        </w:rPr>
        <w:t>Goodman and Gregg, 2010, p. 35)</w:t>
      </w:r>
      <w:r>
        <w:rPr>
          <w:rStyle w:val="normaltextrun"/>
          <w:rFonts w:ascii="Calibri" w:hAnsi="Calibri" w:cs="Calibri"/>
        </w:rPr>
        <w:t>.</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The most significant expenditure for all households is rent or mortgage payments, which reinforces the need for a good education and livelihood. These are fundamentals, which if not met can have a negative impact on a family's relationship and their physical and mental well-being, as this determines what money they have left to live off. According to Barnard (2018), Department for Communities and Local Government, dwelling stock statistics show private and housing association rentals have gone up as opposed to rentals from local authorities and owner-occupied properties which have come down. 13% of working-age adults in Wales now spend more than a third of their income (including housing benefit) on housing costs, compared to the UK which is 16%. Housing benefits and help for homeless has had some bearing on the connection between poverty and poor housing conditions. In 2002 Welsh Government introduced the Welsh Housing Quality Standard (WHQS) whereby all social landlords must improve their housing stock by 2020. </w:t>
      </w:r>
      <w:r>
        <w:rPr>
          <w:rStyle w:val="normaltextrun"/>
          <w:rFonts w:ascii="Calibri" w:hAnsi="Calibri" w:cs="Calibri"/>
          <w:color w:val="000000"/>
        </w:rPr>
        <w:t xml:space="preserve">Housing costs are lower in </w:t>
      </w:r>
      <w:r>
        <w:rPr>
          <w:rStyle w:val="normaltextrun"/>
          <w:rFonts w:ascii="Calibri" w:hAnsi="Calibri" w:cs="Calibri"/>
          <w:color w:val="000000"/>
        </w:rPr>
        <w:lastRenderedPageBreak/>
        <w:t>Wales, meaning a smaller proportion of households spend more than a third of their income on housing compared to the whole of the UK. However, the proportion of those in the poorest fifth of the population in Wales has risen to 42% and is particularly high in the growing private rental sector. </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The stresses of living in a low-income household has an undesirable effect on families that may result in the collapse of relationships between couples or parents and children. Social networks play a vital role in people's lives, be it with family, friends or in a wider circle, as they can provide support and knowledge in times of hardship and help recover a situation and prospects. Geographical areas and ethnicity both relate closely to these circumstances. People on lower incomes are more likely to experience poor physical and mental health, with the pressures from having little or no money. This in turn can affect their ability to find and retain employment. Disabled people are also at risk, as they may be faced with extra costs for basic living support. Life expectancy is lower for people from deprived and certain geographical areas, while mind-sets acquired from parents' generational experiences, lack of or poor education, expectations and pre-conceived ideas can also affect a child’s ambitions to progress into higher education. </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In 2012 the Welsh Government invested £32.4 million on the Pupil Deprivation Grant (PDG) to lower the effect of poverty in education. This resulted in schools receiving an additional £450 for pupils eligible for free school meals between the age of five and fifteen. The Welsh Government saw this as a way of improving the performance in low achievers as opposed to supplementing a family's income, Estyn believed it should be spent specifically on the underprivileged to tackle the additional obstacles they encounter as a result of poor living conditions Barnard (2018). In 2014-2015 funding was doubled for a year to escalate the level of improvement and introduce a Deprivation Programmes with two key areas Family and Community Engagement and Workforce Development.</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The primary focus for the introduction of free school meals was to help ease the financial stress for families and provide them with additional quality time together. This supports cases where family members are skipping meals at home or in school, simply because there is insufficient food available. Other motivations were to ensure children received a balanced diet from a selection of good quality foods. This was seen to increase their social skills, provide more energy, help with concentration and awareness levels and enhance their appearance, regardless of their socio-economic differences Barnard (2018). </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Results for children eligible for free school meals are 14% lower, however the gap has reduced from 26% since 2005. The education system in Wales has been reasonably successful in improving overall attainment and reducing the gap between children from richer and poorer backgrounds by age eleven. However, children receiving free school meals are still substantially less likely to gain five or more </w:t>
      </w:r>
      <w:r>
        <w:rPr>
          <w:rStyle w:val="normaltextrun"/>
          <w:rFonts w:ascii="Calibri" w:hAnsi="Calibri" w:cs="Calibri"/>
          <w:color w:val="000000"/>
        </w:rPr>
        <w:t>good GCSEs compared to those who do not, meaning that they are less likely to gain higher qualifications and get a job, to avoid the risk of poverty as adults.  </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Children from deprived backgrounds may also be exposed to bullying or social exclusion purely down to their socio-economic status.  For example, at home they may not have enough age appropriate books to read or have restricted access to equipment such as the internet and computers. Uniforms may be ill-fitting second-hand or unclean, with poor inadequate footwear and the absence of PE kit. Lack of funds also restricts extra-curriculum activities and school trips which others may take for granted. </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Knowles and Lander (2012) recognise children come with an accumulation of requirements. For teachers to meet their prerequisite needs they must consider their own upbringings, </w:t>
      </w:r>
      <w:r>
        <w:rPr>
          <w:rStyle w:val="normaltextrun"/>
          <w:rFonts w:ascii="Calibri" w:hAnsi="Calibri" w:cs="Calibri"/>
        </w:rPr>
        <w:lastRenderedPageBreak/>
        <w:t>values and beliefs to ensure they do not unintentionally take their preconceived perceptions into the classroom which could have a detrimental effect on pupils' success. </w:t>
      </w:r>
      <w:r>
        <w:rPr>
          <w:rStyle w:val="normaltextrun"/>
          <w:rFonts w:ascii="Calibri" w:hAnsi="Calibri" w:cs="Calibri"/>
          <w:lang w:val="en-US"/>
        </w:rPr>
        <w:t>Even though figures show poverty rates going down, this is not the picture reflected by some teachers who believe things are getting worse in extreme areas. Schools are having to fill the gaps left by the continuous cuts within social services and council departments Adams (2018).</w:t>
      </w:r>
      <w:r>
        <w:rPr>
          <w:rStyle w:val="normaltextrun"/>
          <w:rFonts w:ascii="Calibri" w:hAnsi="Calibri" w:cs="Calibri"/>
        </w:rPr>
        <w:t> (BBC, 2017) states that girls too poor to buy sanitary protection are regularly missing school, which is then reflected in their attendance and performance. Some teachers have even taken to buying sanitary towels out of their own money to avoid these issues. While others have been known to wash or purchase school uniforms for pupils, pay for financial advice and counselling services for parents or provide cash loans to families in distress.</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According to Barnard (2018), parental involvement is key to a child’s aspirations, attitudes, and behaviours (AABs). From conception through to school and their potential prospects in further education or employment. In Nov 2015 a new campaign called ‘Parenting. Give it time’ was launched by the Minister for Communities and Tackling Poverty (Welsh Government, 2017). Every family has its individual characteristics, its aim is to reassure parents of their self-worth and role as parents so they can in turn provide the support and encouragement required for their children to grow up in a safe and loving environment. It is not just intended for parents, but anyone with dependent children. Its purpose is to offer constructive advice and guidelines for families to interpret and implement in a way that works for them. This can include anything from a dedicated website and Facebook page, to various advice sheets, a booklet offering simple tips and activities to professional advice from appropriate organisations.</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The overriding factor in all of this is education. Education and attainment levels give a clear projection of an individual’s occupation, income and status with regards to poverty. In a report written by Jones (2013), he states that if the Welsh Government want to acknowledge their commitment, they need to do more to challenge the effects of poverty on low school achievers. While Estyn is concerned that too much of the money that is supposed to be helping to improve underprivileged pupils' levels and well-being is being spent on literacy and numeracy, instead of focusing on the key element which is poverty. One area discussed, was pupil’s limited support outside of school which may be down to their parents lack of or negative approach towards education. Many parents and children are wary of schools and services who are there to support them, so they need to work closely together in order to build on their trust. </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333333"/>
        </w:rPr>
        <w:t xml:space="preserve">Last year the Education Secretary announced the Welsh Governments intention to increase standards to reduce the attainment gap and deliver an education system that Welsh citizens could be proud of. With amendments being introduced to develop and sustain the way teachers are taught and the introduction of a new curriculum, due to be implemented from 2022, these transformations are well on their way. Six new Areas of Learning and Experience are being developed by over two hundred pioneer schools around Wales, with digital competencies being introduced in all areas of teaching and in the development of the curriculum. Schools have confirmed their support and are excited about their new part in its building. New standards have been created for Teaching and Leadership, along with a </w:t>
      </w:r>
      <w:bookmarkStart w:id="0" w:name="_GoBack"/>
      <w:bookmarkEnd w:id="0"/>
      <w:r>
        <w:rPr>
          <w:rStyle w:val="normaltextrun"/>
          <w:rFonts w:ascii="Calibri" w:hAnsi="Calibri" w:cs="Calibri"/>
          <w:color w:val="333333"/>
        </w:rPr>
        <w:t>National Academy for Education Leadership regardless of where they are in their career. Starting from 2019/2020 academic year, Initial Teacher Education programmes will be launched and there are plans for Employment Based Routes and part-time PGCE courses into teaching to ensure they are fully equipped ready for the new curriculum.</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333333"/>
        </w:rPr>
        <w:lastRenderedPageBreak/>
        <w:t>A £36 million investment will be used to build new classrooms to reduce the size of infant classes, which will see an additional eighty plus new teaching positions across Wales. While another £1.2 million will go towards appointing school business managers to help head teachers improve standards in developing schools.</w:t>
      </w:r>
      <w:r>
        <w:rPr>
          <w:rStyle w:val="eop"/>
          <w:rFonts w:ascii="Calibri" w:hAnsi="Calibri" w:cs="Calibri"/>
        </w:rPr>
        <w:t> </w:t>
      </w:r>
    </w:p>
    <w:p w:rsidR="0044075E" w:rsidRDefault="0044075E" w:rsidP="0044075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333333"/>
        </w:rPr>
        <w:t>Wales still has a substantial way to go, to eradicate the attainment gap in education, but with schools and teachers on board to deliver this robust programme, Williams (2018) is confident that Wales are well on their way to succeed in their mission to deliver the reforms required.</w:t>
      </w:r>
      <w:r>
        <w:rPr>
          <w:rStyle w:val="eop"/>
          <w:rFonts w:ascii="Calibri" w:hAnsi="Calibri" w:cs="Calibri"/>
        </w:rPr>
        <w:t> </w:t>
      </w:r>
    </w:p>
    <w:p w:rsidR="00FE024D" w:rsidRDefault="00FE024D"/>
    <w:sectPr w:rsidR="00FE02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75E"/>
    <w:rsid w:val="0044075E"/>
    <w:rsid w:val="00FE0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364E87-9506-429F-8A5B-3D8AC99F4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407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4075E"/>
  </w:style>
  <w:style w:type="character" w:customStyle="1" w:styleId="spellingerror">
    <w:name w:val="spellingerror"/>
    <w:basedOn w:val="DefaultParagraphFont"/>
    <w:rsid w:val="0044075E"/>
  </w:style>
  <w:style w:type="character" w:customStyle="1" w:styleId="eop">
    <w:name w:val="eop"/>
    <w:basedOn w:val="DefaultParagraphFont"/>
    <w:rsid w:val="00440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432005">
      <w:bodyDiv w:val="1"/>
      <w:marLeft w:val="0"/>
      <w:marRight w:val="0"/>
      <w:marTop w:val="0"/>
      <w:marBottom w:val="0"/>
      <w:divBdr>
        <w:top w:val="none" w:sz="0" w:space="0" w:color="auto"/>
        <w:left w:val="none" w:sz="0" w:space="0" w:color="auto"/>
        <w:bottom w:val="none" w:sz="0" w:space="0" w:color="auto"/>
        <w:right w:val="none" w:sz="0" w:space="0" w:color="auto"/>
      </w:divBdr>
      <w:divsChild>
        <w:div w:id="1587183200">
          <w:marLeft w:val="0"/>
          <w:marRight w:val="0"/>
          <w:marTop w:val="0"/>
          <w:marBottom w:val="0"/>
          <w:divBdr>
            <w:top w:val="none" w:sz="0" w:space="0" w:color="auto"/>
            <w:left w:val="none" w:sz="0" w:space="0" w:color="auto"/>
            <w:bottom w:val="none" w:sz="0" w:space="0" w:color="auto"/>
            <w:right w:val="none" w:sz="0" w:space="0" w:color="auto"/>
          </w:divBdr>
        </w:div>
        <w:div w:id="1442526300">
          <w:marLeft w:val="0"/>
          <w:marRight w:val="0"/>
          <w:marTop w:val="0"/>
          <w:marBottom w:val="0"/>
          <w:divBdr>
            <w:top w:val="none" w:sz="0" w:space="0" w:color="auto"/>
            <w:left w:val="none" w:sz="0" w:space="0" w:color="auto"/>
            <w:bottom w:val="none" w:sz="0" w:space="0" w:color="auto"/>
            <w:right w:val="none" w:sz="0" w:space="0" w:color="auto"/>
          </w:divBdr>
        </w:div>
        <w:div w:id="1436242333">
          <w:marLeft w:val="0"/>
          <w:marRight w:val="0"/>
          <w:marTop w:val="0"/>
          <w:marBottom w:val="0"/>
          <w:divBdr>
            <w:top w:val="none" w:sz="0" w:space="0" w:color="auto"/>
            <w:left w:val="none" w:sz="0" w:space="0" w:color="auto"/>
            <w:bottom w:val="none" w:sz="0" w:space="0" w:color="auto"/>
            <w:right w:val="none" w:sz="0" w:space="0" w:color="auto"/>
          </w:divBdr>
        </w:div>
        <w:div w:id="391735314">
          <w:marLeft w:val="0"/>
          <w:marRight w:val="0"/>
          <w:marTop w:val="0"/>
          <w:marBottom w:val="0"/>
          <w:divBdr>
            <w:top w:val="none" w:sz="0" w:space="0" w:color="auto"/>
            <w:left w:val="none" w:sz="0" w:space="0" w:color="auto"/>
            <w:bottom w:val="none" w:sz="0" w:space="0" w:color="auto"/>
            <w:right w:val="none" w:sz="0" w:space="0" w:color="auto"/>
          </w:divBdr>
        </w:div>
        <w:div w:id="530845835">
          <w:marLeft w:val="0"/>
          <w:marRight w:val="0"/>
          <w:marTop w:val="0"/>
          <w:marBottom w:val="0"/>
          <w:divBdr>
            <w:top w:val="none" w:sz="0" w:space="0" w:color="auto"/>
            <w:left w:val="none" w:sz="0" w:space="0" w:color="auto"/>
            <w:bottom w:val="none" w:sz="0" w:space="0" w:color="auto"/>
            <w:right w:val="none" w:sz="0" w:space="0" w:color="auto"/>
          </w:divBdr>
        </w:div>
        <w:div w:id="654988929">
          <w:marLeft w:val="0"/>
          <w:marRight w:val="0"/>
          <w:marTop w:val="0"/>
          <w:marBottom w:val="0"/>
          <w:divBdr>
            <w:top w:val="none" w:sz="0" w:space="0" w:color="auto"/>
            <w:left w:val="none" w:sz="0" w:space="0" w:color="auto"/>
            <w:bottom w:val="none" w:sz="0" w:space="0" w:color="auto"/>
            <w:right w:val="none" w:sz="0" w:space="0" w:color="auto"/>
          </w:divBdr>
        </w:div>
        <w:div w:id="1172917324">
          <w:marLeft w:val="0"/>
          <w:marRight w:val="0"/>
          <w:marTop w:val="0"/>
          <w:marBottom w:val="0"/>
          <w:divBdr>
            <w:top w:val="none" w:sz="0" w:space="0" w:color="auto"/>
            <w:left w:val="none" w:sz="0" w:space="0" w:color="auto"/>
            <w:bottom w:val="none" w:sz="0" w:space="0" w:color="auto"/>
            <w:right w:val="none" w:sz="0" w:space="0" w:color="auto"/>
          </w:divBdr>
        </w:div>
        <w:div w:id="471102467">
          <w:marLeft w:val="0"/>
          <w:marRight w:val="0"/>
          <w:marTop w:val="0"/>
          <w:marBottom w:val="0"/>
          <w:divBdr>
            <w:top w:val="none" w:sz="0" w:space="0" w:color="auto"/>
            <w:left w:val="none" w:sz="0" w:space="0" w:color="auto"/>
            <w:bottom w:val="none" w:sz="0" w:space="0" w:color="auto"/>
            <w:right w:val="none" w:sz="0" w:space="0" w:color="auto"/>
          </w:divBdr>
        </w:div>
        <w:div w:id="1095858110">
          <w:marLeft w:val="0"/>
          <w:marRight w:val="0"/>
          <w:marTop w:val="0"/>
          <w:marBottom w:val="0"/>
          <w:divBdr>
            <w:top w:val="none" w:sz="0" w:space="0" w:color="auto"/>
            <w:left w:val="none" w:sz="0" w:space="0" w:color="auto"/>
            <w:bottom w:val="none" w:sz="0" w:space="0" w:color="auto"/>
            <w:right w:val="none" w:sz="0" w:space="0" w:color="auto"/>
          </w:divBdr>
        </w:div>
        <w:div w:id="1310480170">
          <w:marLeft w:val="0"/>
          <w:marRight w:val="0"/>
          <w:marTop w:val="0"/>
          <w:marBottom w:val="0"/>
          <w:divBdr>
            <w:top w:val="none" w:sz="0" w:space="0" w:color="auto"/>
            <w:left w:val="none" w:sz="0" w:space="0" w:color="auto"/>
            <w:bottom w:val="none" w:sz="0" w:space="0" w:color="auto"/>
            <w:right w:val="none" w:sz="0" w:space="0" w:color="auto"/>
          </w:divBdr>
        </w:div>
        <w:div w:id="165093031">
          <w:marLeft w:val="0"/>
          <w:marRight w:val="0"/>
          <w:marTop w:val="0"/>
          <w:marBottom w:val="0"/>
          <w:divBdr>
            <w:top w:val="none" w:sz="0" w:space="0" w:color="auto"/>
            <w:left w:val="none" w:sz="0" w:space="0" w:color="auto"/>
            <w:bottom w:val="none" w:sz="0" w:space="0" w:color="auto"/>
            <w:right w:val="none" w:sz="0" w:space="0" w:color="auto"/>
          </w:divBdr>
        </w:div>
        <w:div w:id="47000177">
          <w:marLeft w:val="0"/>
          <w:marRight w:val="0"/>
          <w:marTop w:val="0"/>
          <w:marBottom w:val="0"/>
          <w:divBdr>
            <w:top w:val="none" w:sz="0" w:space="0" w:color="auto"/>
            <w:left w:val="none" w:sz="0" w:space="0" w:color="auto"/>
            <w:bottom w:val="none" w:sz="0" w:space="0" w:color="auto"/>
            <w:right w:val="none" w:sz="0" w:space="0" w:color="auto"/>
          </w:divBdr>
        </w:div>
        <w:div w:id="1415080402">
          <w:marLeft w:val="0"/>
          <w:marRight w:val="0"/>
          <w:marTop w:val="0"/>
          <w:marBottom w:val="0"/>
          <w:divBdr>
            <w:top w:val="none" w:sz="0" w:space="0" w:color="auto"/>
            <w:left w:val="none" w:sz="0" w:space="0" w:color="auto"/>
            <w:bottom w:val="none" w:sz="0" w:space="0" w:color="auto"/>
            <w:right w:val="none" w:sz="0" w:space="0" w:color="auto"/>
          </w:divBdr>
        </w:div>
        <w:div w:id="1120077335">
          <w:marLeft w:val="0"/>
          <w:marRight w:val="0"/>
          <w:marTop w:val="0"/>
          <w:marBottom w:val="0"/>
          <w:divBdr>
            <w:top w:val="none" w:sz="0" w:space="0" w:color="auto"/>
            <w:left w:val="none" w:sz="0" w:space="0" w:color="auto"/>
            <w:bottom w:val="none" w:sz="0" w:space="0" w:color="auto"/>
            <w:right w:val="none" w:sz="0" w:space="0" w:color="auto"/>
          </w:divBdr>
        </w:div>
        <w:div w:id="757866135">
          <w:marLeft w:val="0"/>
          <w:marRight w:val="0"/>
          <w:marTop w:val="0"/>
          <w:marBottom w:val="0"/>
          <w:divBdr>
            <w:top w:val="none" w:sz="0" w:space="0" w:color="auto"/>
            <w:left w:val="none" w:sz="0" w:space="0" w:color="auto"/>
            <w:bottom w:val="none" w:sz="0" w:space="0" w:color="auto"/>
            <w:right w:val="none" w:sz="0" w:space="0" w:color="auto"/>
          </w:divBdr>
        </w:div>
        <w:div w:id="282466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1874</Words>
  <Characters>10683</Characters>
  <Application>Microsoft Office Word</Application>
  <DocSecurity>0</DocSecurity>
  <Lines>89</Lines>
  <Paragraphs>25</Paragraphs>
  <ScaleCrop>false</ScaleCrop>
  <Company/>
  <LinksUpToDate>false</LinksUpToDate>
  <CharactersWithSpaces>12532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dc:creator>
  <cp:keywords/>
  <dc:description/>
  <cp:lastModifiedBy>Lesley</cp:lastModifiedBy>
  <cp:revision>1</cp:revision>
  <dcterms:created xsi:type="dcterms:W3CDTF">2019-02-25T20:35:00Z</dcterms:created>
  <dcterms:modified xsi:type="dcterms:W3CDTF">2019-02-25T20:36:00Z</dcterms:modified>
</cp:coreProperties>
</file>