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CB4EB" w14:textId="47A86021" w:rsidR="006A096C" w:rsidRPr="00C14EF4" w:rsidRDefault="007E68EE">
      <w:pPr>
        <w:spacing w:line="278" w:lineRule="auto"/>
        <w:jc w:val="left"/>
        <w:rPr>
          <w:color w:val="000000" w:themeColor="text1"/>
        </w:rPr>
      </w:pPr>
      <w:r w:rsidRPr="00C14EF4">
        <w:rPr>
          <w:rFonts w:cs="Arial"/>
          <w:noProof/>
          <w:color w:val="000000" w:themeColor="text1"/>
        </w:rPr>
        <w:drawing>
          <wp:anchor distT="0" distB="0" distL="114300" distR="114300" simplePos="0" relativeHeight="251659264" behindDoc="0" locked="0" layoutInCell="1" allowOverlap="1" wp14:anchorId="217CB845" wp14:editId="0BEF9031">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BD53358" w14:textId="77777777" w:rsidR="006A096C" w:rsidRPr="00C14EF4" w:rsidRDefault="006A096C">
      <w:pPr>
        <w:spacing w:line="278" w:lineRule="auto"/>
        <w:jc w:val="left"/>
        <w:rPr>
          <w:color w:val="000000" w:themeColor="text1"/>
        </w:rPr>
      </w:pPr>
    </w:p>
    <w:p w14:paraId="5CB4BDCC" w14:textId="77777777" w:rsidR="007E68EE" w:rsidRPr="00C14EF4" w:rsidRDefault="007E68EE">
      <w:pPr>
        <w:spacing w:line="278" w:lineRule="auto"/>
        <w:jc w:val="left"/>
        <w:rPr>
          <w:color w:val="000000" w:themeColor="text1"/>
        </w:rPr>
      </w:pPr>
    </w:p>
    <w:p w14:paraId="2F5F92AD" w14:textId="77777777" w:rsidR="00EE0F10" w:rsidRPr="00C14EF4" w:rsidRDefault="00EE0F10" w:rsidP="00EE0F10">
      <w:pPr>
        <w:jc w:val="center"/>
        <w:rPr>
          <w:b/>
          <w:bCs/>
          <w:color w:val="000000" w:themeColor="text1"/>
          <w:sz w:val="36"/>
          <w:szCs w:val="36"/>
        </w:rPr>
      </w:pPr>
    </w:p>
    <w:p w14:paraId="6791ABD3" w14:textId="288DBC31" w:rsidR="00EE0F10" w:rsidRPr="00C14EF4" w:rsidRDefault="00CF0E1E" w:rsidP="007D7E2E">
      <w:pPr>
        <w:rPr>
          <w:b/>
          <w:bCs/>
          <w:color w:val="000000" w:themeColor="text1"/>
          <w:sz w:val="36"/>
          <w:szCs w:val="36"/>
        </w:rPr>
      </w:pPr>
      <w:r>
        <w:rPr>
          <w:b/>
          <w:bCs/>
          <w:color w:val="000000" w:themeColor="text1"/>
          <w:sz w:val="36"/>
          <w:szCs w:val="36"/>
        </w:rPr>
        <w:t xml:space="preserve">Assignment </w:t>
      </w:r>
      <w:r w:rsidR="000B0E80">
        <w:rPr>
          <w:b/>
          <w:bCs/>
          <w:color w:val="000000" w:themeColor="text1"/>
          <w:sz w:val="36"/>
          <w:szCs w:val="36"/>
        </w:rPr>
        <w:t>Title:</w:t>
      </w:r>
    </w:p>
    <w:tbl>
      <w:tblPr>
        <w:tblStyle w:val="TableGrid"/>
        <w:tblW w:w="0" w:type="auto"/>
        <w:tblLook w:val="04A0" w:firstRow="1" w:lastRow="0" w:firstColumn="1" w:lastColumn="0" w:noHBand="0" w:noVBand="1"/>
      </w:tblPr>
      <w:tblGrid>
        <w:gridCol w:w="9350"/>
      </w:tblGrid>
      <w:tr w:rsidR="007D7E2E" w14:paraId="38E33DB1" w14:textId="77777777" w:rsidTr="007D7E2E">
        <w:tc>
          <w:tcPr>
            <w:tcW w:w="9350" w:type="dxa"/>
          </w:tcPr>
          <w:p w14:paraId="00CFA46B" w14:textId="11B55B30" w:rsidR="007D7E2E" w:rsidRDefault="007D7E2E" w:rsidP="007D7E2E">
            <w:pPr>
              <w:jc w:val="center"/>
              <w:rPr>
                <w:b/>
                <w:bCs/>
                <w:color w:val="000000" w:themeColor="text1"/>
                <w:sz w:val="36"/>
                <w:szCs w:val="36"/>
              </w:rPr>
            </w:pPr>
            <w:r w:rsidRPr="00C14EF4">
              <w:rPr>
                <w:b/>
                <w:bCs/>
                <w:color w:val="000000" w:themeColor="text1"/>
                <w:sz w:val="36"/>
                <w:szCs w:val="36"/>
              </w:rPr>
              <w:t>MARKETING ENVIRONMENT ANALYSIS OF ROYAL MAIL AND DHL EXPRESS UK</w:t>
            </w:r>
          </w:p>
        </w:tc>
      </w:tr>
    </w:tbl>
    <w:p w14:paraId="3C2C7346" w14:textId="77777777" w:rsidR="00CF0E1E" w:rsidRDefault="00CF0E1E" w:rsidP="00CF0E1E">
      <w:pPr>
        <w:rPr>
          <w:b/>
          <w:bCs/>
          <w:color w:val="000000" w:themeColor="text1"/>
          <w:sz w:val="36"/>
          <w:szCs w:val="36"/>
        </w:rPr>
      </w:pPr>
    </w:p>
    <w:tbl>
      <w:tblPr>
        <w:tblStyle w:val="TableGrid"/>
        <w:tblW w:w="9493" w:type="dxa"/>
        <w:tblLook w:val="04A0" w:firstRow="1" w:lastRow="0" w:firstColumn="1" w:lastColumn="0" w:noHBand="0" w:noVBand="1"/>
      </w:tblPr>
      <w:tblGrid>
        <w:gridCol w:w="1980"/>
        <w:gridCol w:w="3456"/>
        <w:gridCol w:w="2497"/>
        <w:gridCol w:w="1560"/>
      </w:tblGrid>
      <w:tr w:rsidR="00CF0E1E" w:rsidRPr="00CF0E1E" w14:paraId="6D268C6D" w14:textId="77777777">
        <w:tc>
          <w:tcPr>
            <w:tcW w:w="1980"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A0609EE" w14:textId="0CD51EAB" w:rsidR="00CF0E1E" w:rsidRPr="00CF0E1E" w:rsidRDefault="00CF0E1E" w:rsidP="00CF0E1E">
            <w:pPr>
              <w:spacing w:after="160"/>
              <w:rPr>
                <w:b/>
                <w:bCs/>
                <w:color w:val="000000" w:themeColor="text1"/>
              </w:rPr>
            </w:pPr>
            <w:r w:rsidRPr="00CF0E1E">
              <w:rPr>
                <w:b/>
                <w:bCs/>
                <w:color w:val="000000" w:themeColor="text1"/>
              </w:rPr>
              <w:t>Studen</w:t>
            </w:r>
            <w:r w:rsidR="00CB1EEA">
              <w:rPr>
                <w:b/>
                <w:bCs/>
                <w:color w:val="000000" w:themeColor="text1"/>
              </w:rPr>
              <w:t>t</w:t>
            </w:r>
            <w:r w:rsidRPr="00CF0E1E">
              <w:rPr>
                <w:b/>
                <w:bCs/>
                <w:color w:val="000000" w:themeColor="text1"/>
              </w:rPr>
              <w:t xml:space="preserve"> Nam</w:t>
            </w:r>
            <w:r w:rsidR="00CB1EEA">
              <w:rPr>
                <w:b/>
                <w:bCs/>
                <w:color w:val="000000" w:themeColor="text1"/>
              </w:rPr>
              <w:t>e</w:t>
            </w:r>
            <w:r w:rsidRPr="00CF0E1E">
              <w:rPr>
                <w:b/>
                <w:bCs/>
                <w:color w:val="000000" w:themeColor="text1"/>
              </w:rPr>
              <w:t>:</w:t>
            </w:r>
          </w:p>
        </w:tc>
        <w:tc>
          <w:tcPr>
            <w:tcW w:w="3456" w:type="dxa"/>
            <w:tcBorders>
              <w:top w:val="single" w:sz="4" w:space="0" w:color="auto"/>
              <w:left w:val="single" w:sz="4" w:space="0" w:color="auto"/>
              <w:bottom w:val="single" w:sz="4" w:space="0" w:color="auto"/>
              <w:right w:val="single" w:sz="4" w:space="0" w:color="auto"/>
            </w:tcBorders>
            <w:hideMark/>
          </w:tcPr>
          <w:p w14:paraId="44B7C734" w14:textId="0B4A7C1B" w:rsidR="00CF0E1E" w:rsidRPr="00CF0E1E" w:rsidRDefault="00CF0E1E" w:rsidP="00CF0E1E">
            <w:pPr>
              <w:spacing w:after="160"/>
              <w:rPr>
                <w:b/>
                <w:bCs/>
                <w:color w:val="000000" w:themeColor="text1"/>
              </w:rPr>
            </w:pPr>
            <w:r w:rsidRPr="00CF0E1E">
              <w:rPr>
                <w:b/>
                <w:bCs/>
                <w:color w:val="000000" w:themeColor="text1"/>
              </w:rPr>
              <w:t>Kesh</w:t>
            </w:r>
            <w:r w:rsidR="00CB1EEA">
              <w:rPr>
                <w:b/>
                <w:bCs/>
                <w:color w:val="000000" w:themeColor="text1"/>
              </w:rPr>
              <w:t>u</w:t>
            </w:r>
            <w:r w:rsidRPr="00CF0E1E">
              <w:rPr>
                <w:b/>
                <w:bCs/>
                <w:color w:val="000000" w:themeColor="text1"/>
              </w:rPr>
              <w:t xml:space="preserve"> Jivabha</w:t>
            </w:r>
            <w:r w:rsidR="00CB1EEA">
              <w:rPr>
                <w:b/>
                <w:bCs/>
                <w:color w:val="000000" w:themeColor="text1"/>
              </w:rPr>
              <w:t>i</w:t>
            </w:r>
            <w:r w:rsidRPr="00CF0E1E">
              <w:rPr>
                <w:b/>
                <w:bCs/>
                <w:color w:val="000000" w:themeColor="text1"/>
              </w:rPr>
              <w:t xml:space="preserve"> Karavadr</w:t>
            </w:r>
            <w:r w:rsidR="00CB1EEA">
              <w:rPr>
                <w:b/>
                <w:bCs/>
                <w:color w:val="000000" w:themeColor="text1"/>
              </w:rPr>
              <w:t>a</w:t>
            </w:r>
          </w:p>
        </w:tc>
        <w:tc>
          <w:tcPr>
            <w:tcW w:w="249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961E444" w14:textId="783F9B3C" w:rsidR="00CF0E1E" w:rsidRPr="00CF0E1E" w:rsidRDefault="00CF0E1E" w:rsidP="00CF0E1E">
            <w:pPr>
              <w:spacing w:after="160"/>
              <w:rPr>
                <w:b/>
                <w:bCs/>
                <w:color w:val="000000" w:themeColor="text1"/>
              </w:rPr>
            </w:pPr>
            <w:r w:rsidRPr="00CF0E1E">
              <w:rPr>
                <w:b/>
                <w:bCs/>
                <w:color w:val="000000" w:themeColor="text1"/>
              </w:rPr>
              <w:t>Studen</w:t>
            </w:r>
            <w:r w:rsidR="00CB1EEA">
              <w:rPr>
                <w:b/>
                <w:bCs/>
                <w:color w:val="000000" w:themeColor="text1"/>
              </w:rPr>
              <w:t>t</w:t>
            </w:r>
            <w:r w:rsidRPr="00CF0E1E">
              <w:rPr>
                <w:b/>
                <w:bCs/>
                <w:color w:val="000000" w:themeColor="text1"/>
              </w:rPr>
              <w:t xml:space="preserve"> I</w:t>
            </w:r>
            <w:r w:rsidR="00CB1EEA">
              <w:rPr>
                <w:b/>
                <w:bCs/>
                <w:color w:val="000000" w:themeColor="text1"/>
              </w:rPr>
              <w:t>D</w:t>
            </w:r>
            <w:r w:rsidRPr="00CF0E1E">
              <w:rPr>
                <w:b/>
                <w:bCs/>
                <w:color w:val="000000" w:themeColor="text1"/>
              </w:rPr>
              <w:t xml:space="preserve"> N</w:t>
            </w:r>
            <w:r w:rsidR="00CB1EEA">
              <w:rPr>
                <w:b/>
                <w:bCs/>
                <w:color w:val="000000" w:themeColor="text1"/>
              </w:rPr>
              <w:t>o</w:t>
            </w:r>
            <w:r w:rsidRPr="00CF0E1E">
              <w:rPr>
                <w:b/>
                <w:bCs/>
                <w:color w:val="000000" w:themeColor="text1"/>
              </w:rPr>
              <w:t>.:</w:t>
            </w:r>
          </w:p>
        </w:tc>
        <w:tc>
          <w:tcPr>
            <w:tcW w:w="1560" w:type="dxa"/>
            <w:tcBorders>
              <w:top w:val="single" w:sz="4" w:space="0" w:color="auto"/>
              <w:left w:val="single" w:sz="4" w:space="0" w:color="auto"/>
              <w:bottom w:val="single" w:sz="4" w:space="0" w:color="auto"/>
              <w:right w:val="single" w:sz="4" w:space="0" w:color="auto"/>
            </w:tcBorders>
            <w:hideMark/>
          </w:tcPr>
          <w:p w14:paraId="1B7EDE65" w14:textId="77777777" w:rsidR="00CF0E1E" w:rsidRPr="00CF0E1E" w:rsidRDefault="00CF0E1E" w:rsidP="00CF0E1E">
            <w:pPr>
              <w:spacing w:after="160"/>
              <w:rPr>
                <w:b/>
                <w:bCs/>
                <w:color w:val="000000" w:themeColor="text1"/>
              </w:rPr>
            </w:pPr>
            <w:r w:rsidRPr="00CF0E1E">
              <w:rPr>
                <w:b/>
                <w:bCs/>
                <w:color w:val="000000" w:themeColor="text1"/>
              </w:rPr>
              <w:t>2439531</w:t>
            </w:r>
          </w:p>
        </w:tc>
      </w:tr>
      <w:tr w:rsidR="00CF0E1E" w:rsidRPr="00CF0E1E" w14:paraId="30131C63" w14:textId="77777777">
        <w:tc>
          <w:tcPr>
            <w:tcW w:w="1980"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7AE6133A" w14:textId="7A6EB8DE" w:rsidR="00CF0E1E" w:rsidRPr="00CF0E1E" w:rsidRDefault="00CF0E1E" w:rsidP="00CF0E1E">
            <w:pPr>
              <w:spacing w:after="160"/>
              <w:rPr>
                <w:b/>
                <w:bCs/>
                <w:color w:val="000000" w:themeColor="text1"/>
              </w:rPr>
            </w:pPr>
            <w:r w:rsidRPr="00CF0E1E">
              <w:rPr>
                <w:b/>
                <w:bCs/>
                <w:color w:val="000000" w:themeColor="text1"/>
              </w:rPr>
              <w:t>Programm</w:t>
            </w:r>
            <w:r w:rsidR="00CB1EEA">
              <w:rPr>
                <w:b/>
                <w:bCs/>
                <w:color w:val="000000" w:themeColor="text1"/>
              </w:rPr>
              <w:t>e</w:t>
            </w:r>
            <w:r w:rsidRPr="00CF0E1E">
              <w:rPr>
                <w:b/>
                <w:bCs/>
                <w:color w:val="000000" w:themeColor="text1"/>
              </w:rPr>
              <w:t>:</w:t>
            </w:r>
          </w:p>
        </w:tc>
        <w:tc>
          <w:tcPr>
            <w:tcW w:w="7513" w:type="dxa"/>
            <w:gridSpan w:val="3"/>
            <w:tcBorders>
              <w:top w:val="single" w:sz="4" w:space="0" w:color="auto"/>
              <w:left w:val="single" w:sz="4" w:space="0" w:color="auto"/>
              <w:bottom w:val="single" w:sz="4" w:space="0" w:color="auto"/>
              <w:right w:val="single" w:sz="4" w:space="0" w:color="auto"/>
            </w:tcBorders>
            <w:hideMark/>
          </w:tcPr>
          <w:p w14:paraId="677C8BFB" w14:textId="53D4618C" w:rsidR="00CF0E1E" w:rsidRPr="00CF0E1E" w:rsidRDefault="00CF0E1E" w:rsidP="00CF0E1E">
            <w:pPr>
              <w:spacing w:after="160"/>
              <w:rPr>
                <w:b/>
                <w:bCs/>
                <w:color w:val="000000" w:themeColor="text1"/>
              </w:rPr>
            </w:pPr>
            <w:r w:rsidRPr="00CF0E1E">
              <w:rPr>
                <w:b/>
                <w:bCs/>
                <w:color w:val="000000" w:themeColor="text1"/>
              </w:rPr>
              <w:t>Maste</w:t>
            </w:r>
            <w:r w:rsidR="00CB1EEA">
              <w:rPr>
                <w:b/>
                <w:bCs/>
                <w:color w:val="000000" w:themeColor="text1"/>
              </w:rPr>
              <w:t>r</w:t>
            </w:r>
            <w:r w:rsidRPr="00CF0E1E">
              <w:rPr>
                <w:b/>
                <w:bCs/>
                <w:color w:val="000000" w:themeColor="text1"/>
              </w:rPr>
              <w:t xml:space="preserve"> o</w:t>
            </w:r>
            <w:r w:rsidR="00CB1EEA">
              <w:rPr>
                <w:b/>
                <w:bCs/>
                <w:color w:val="000000" w:themeColor="text1"/>
              </w:rPr>
              <w:t>f</w:t>
            </w:r>
            <w:r w:rsidRPr="00CF0E1E">
              <w:rPr>
                <w:b/>
                <w:bCs/>
                <w:color w:val="000000" w:themeColor="text1"/>
              </w:rPr>
              <w:t xml:space="preserve"> Busine</w:t>
            </w:r>
            <w:r w:rsidR="00CB1EEA">
              <w:rPr>
                <w:b/>
                <w:bCs/>
                <w:color w:val="000000" w:themeColor="text1"/>
              </w:rPr>
              <w:t>s</w:t>
            </w:r>
            <w:r w:rsidRPr="00CF0E1E">
              <w:rPr>
                <w:b/>
                <w:bCs/>
                <w:color w:val="000000" w:themeColor="text1"/>
              </w:rPr>
              <w:t>s Administratio</w:t>
            </w:r>
            <w:r w:rsidR="00CB1EEA">
              <w:rPr>
                <w:b/>
                <w:bCs/>
                <w:color w:val="000000" w:themeColor="text1"/>
              </w:rPr>
              <w:t>n</w:t>
            </w:r>
            <w:r w:rsidRPr="00CF0E1E">
              <w:rPr>
                <w:b/>
                <w:bCs/>
                <w:color w:val="000000" w:themeColor="text1"/>
              </w:rPr>
              <w:t xml:space="preserve"> – Internationa</w:t>
            </w:r>
            <w:r w:rsidR="00CB1EEA">
              <w:rPr>
                <w:b/>
                <w:bCs/>
                <w:color w:val="000000" w:themeColor="text1"/>
              </w:rPr>
              <w:t>l</w:t>
            </w:r>
            <w:r w:rsidRPr="00CF0E1E">
              <w:rPr>
                <w:b/>
                <w:bCs/>
                <w:color w:val="000000" w:themeColor="text1"/>
              </w:rPr>
              <w:t xml:space="preserve"> Busines</w:t>
            </w:r>
            <w:r w:rsidR="00CB1EEA">
              <w:rPr>
                <w:b/>
                <w:bCs/>
                <w:color w:val="000000" w:themeColor="text1"/>
              </w:rPr>
              <w:t>s</w:t>
            </w:r>
          </w:p>
        </w:tc>
      </w:tr>
      <w:tr w:rsidR="00CF0E1E" w:rsidRPr="00CF0E1E" w14:paraId="562FF0A8" w14:textId="77777777">
        <w:tc>
          <w:tcPr>
            <w:tcW w:w="1980"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6834D3A2" w14:textId="77777777" w:rsidR="00CF0E1E" w:rsidRPr="00CF0E1E" w:rsidRDefault="00CF0E1E" w:rsidP="00CF0E1E">
            <w:pPr>
              <w:spacing w:after="160"/>
              <w:rPr>
                <w:b/>
                <w:bCs/>
                <w:color w:val="000000" w:themeColor="text1"/>
              </w:rPr>
            </w:pPr>
            <w:r w:rsidRPr="00CF0E1E">
              <w:rPr>
                <w:b/>
                <w:bCs/>
                <w:color w:val="000000" w:themeColor="text1"/>
              </w:rPr>
              <w:t>Module:</w:t>
            </w:r>
          </w:p>
        </w:tc>
        <w:tc>
          <w:tcPr>
            <w:tcW w:w="3456" w:type="dxa"/>
            <w:tcBorders>
              <w:top w:val="single" w:sz="4" w:space="0" w:color="auto"/>
              <w:left w:val="single" w:sz="4" w:space="0" w:color="auto"/>
              <w:bottom w:val="single" w:sz="4" w:space="0" w:color="auto"/>
              <w:right w:val="single" w:sz="4" w:space="0" w:color="auto"/>
            </w:tcBorders>
            <w:hideMark/>
          </w:tcPr>
          <w:p w14:paraId="4DA7ED9B" w14:textId="617D270F" w:rsidR="00CF0E1E" w:rsidRPr="00CF0E1E" w:rsidRDefault="00CF0E1E" w:rsidP="00CF0E1E">
            <w:pPr>
              <w:spacing w:after="160"/>
              <w:rPr>
                <w:b/>
                <w:bCs/>
                <w:color w:val="000000" w:themeColor="text1"/>
              </w:rPr>
            </w:pPr>
            <w:r>
              <w:rPr>
                <w:b/>
                <w:bCs/>
                <w:color w:val="000000" w:themeColor="text1"/>
              </w:rPr>
              <w:t>Marketing</w:t>
            </w:r>
            <w:r w:rsidRPr="00CF0E1E">
              <w:rPr>
                <w:b/>
                <w:bCs/>
                <w:color w:val="000000" w:themeColor="text1"/>
              </w:rPr>
              <w:t xml:space="preserve"> Management</w:t>
            </w:r>
          </w:p>
        </w:tc>
        <w:tc>
          <w:tcPr>
            <w:tcW w:w="249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3E532189" w14:textId="77777777" w:rsidR="00CF0E1E" w:rsidRPr="00CF0E1E" w:rsidRDefault="00CF0E1E" w:rsidP="00CF0E1E">
            <w:pPr>
              <w:spacing w:after="160"/>
              <w:rPr>
                <w:b/>
                <w:bCs/>
                <w:color w:val="000000" w:themeColor="text1"/>
              </w:rPr>
            </w:pPr>
            <w:r w:rsidRPr="00CF0E1E">
              <w:rPr>
                <w:b/>
                <w:bCs/>
                <w:color w:val="000000" w:themeColor="text1"/>
              </w:rPr>
              <w:t>Module Code:</w:t>
            </w:r>
          </w:p>
        </w:tc>
        <w:tc>
          <w:tcPr>
            <w:tcW w:w="1560" w:type="dxa"/>
            <w:tcBorders>
              <w:top w:val="single" w:sz="4" w:space="0" w:color="auto"/>
              <w:left w:val="single" w:sz="4" w:space="0" w:color="auto"/>
              <w:bottom w:val="single" w:sz="4" w:space="0" w:color="auto"/>
              <w:right w:val="single" w:sz="4" w:space="0" w:color="auto"/>
            </w:tcBorders>
            <w:hideMark/>
          </w:tcPr>
          <w:p w14:paraId="163A5086" w14:textId="1A29BF66" w:rsidR="00CF0E1E" w:rsidRPr="00CF0E1E" w:rsidRDefault="00CF0E1E" w:rsidP="00CF0E1E">
            <w:pPr>
              <w:spacing w:after="160"/>
              <w:rPr>
                <w:b/>
                <w:bCs/>
                <w:color w:val="000000" w:themeColor="text1"/>
              </w:rPr>
            </w:pPr>
            <w:r w:rsidRPr="00CF0E1E">
              <w:rPr>
                <w:b/>
                <w:bCs/>
                <w:color w:val="000000" w:themeColor="text1"/>
              </w:rPr>
              <w:t>LCMB702</w:t>
            </w:r>
            <w:r>
              <w:rPr>
                <w:b/>
                <w:bCs/>
                <w:color w:val="000000" w:themeColor="text1"/>
              </w:rPr>
              <w:t>4</w:t>
            </w:r>
          </w:p>
        </w:tc>
      </w:tr>
      <w:tr w:rsidR="00CF0E1E" w:rsidRPr="00CF0E1E" w14:paraId="5833E871" w14:textId="77777777">
        <w:tc>
          <w:tcPr>
            <w:tcW w:w="1980"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8303DEB" w14:textId="77777777" w:rsidR="00CF0E1E" w:rsidRPr="00CF0E1E" w:rsidRDefault="00CF0E1E" w:rsidP="00CF0E1E">
            <w:pPr>
              <w:spacing w:after="160"/>
              <w:rPr>
                <w:b/>
                <w:bCs/>
                <w:color w:val="000000" w:themeColor="text1"/>
              </w:rPr>
            </w:pPr>
            <w:r w:rsidRPr="00CF0E1E">
              <w:rPr>
                <w:b/>
                <w:bCs/>
                <w:color w:val="000000" w:themeColor="text1"/>
              </w:rPr>
              <w:t>Lecturer:</w:t>
            </w:r>
          </w:p>
        </w:tc>
        <w:tc>
          <w:tcPr>
            <w:tcW w:w="3456" w:type="dxa"/>
            <w:tcBorders>
              <w:top w:val="single" w:sz="4" w:space="0" w:color="auto"/>
              <w:left w:val="single" w:sz="4" w:space="0" w:color="auto"/>
              <w:bottom w:val="single" w:sz="4" w:space="0" w:color="auto"/>
              <w:right w:val="single" w:sz="4" w:space="0" w:color="auto"/>
            </w:tcBorders>
            <w:hideMark/>
          </w:tcPr>
          <w:p w14:paraId="3DC40E87" w14:textId="626759BF" w:rsidR="00CF0E1E" w:rsidRPr="00CF0E1E" w:rsidRDefault="00CF0E1E" w:rsidP="00CF0E1E">
            <w:pPr>
              <w:spacing w:after="160"/>
              <w:rPr>
                <w:b/>
                <w:bCs/>
                <w:color w:val="000000" w:themeColor="text1"/>
              </w:rPr>
            </w:pPr>
            <w:r w:rsidRPr="00C14EF4">
              <w:rPr>
                <w:rFonts w:eastAsia="Times New Roman" w:cs="Arial"/>
                <w:b/>
                <w:color w:val="000000" w:themeColor="text1"/>
                <w:kern w:val="0"/>
                <w:sz w:val="22"/>
                <w:szCs w:val="22"/>
                <w:lang w:eastAsia="en-GB"/>
                <w14:ligatures w14:val="none"/>
              </w:rPr>
              <w:t>Dian Mayasari (Birmingha</w:t>
            </w:r>
            <w:r>
              <w:rPr>
                <w:rFonts w:eastAsia="Times New Roman" w:cs="Arial"/>
                <w:b/>
                <w:color w:val="000000" w:themeColor="text1"/>
                <w:kern w:val="0"/>
                <w:sz w:val="22"/>
                <w:szCs w:val="22"/>
                <w:lang w:eastAsia="en-GB"/>
                <w14:ligatures w14:val="none"/>
              </w:rPr>
              <w:t>m)</w:t>
            </w:r>
          </w:p>
        </w:tc>
        <w:tc>
          <w:tcPr>
            <w:tcW w:w="249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56E26B0" w14:textId="77777777" w:rsidR="00CF0E1E" w:rsidRPr="00CF0E1E" w:rsidRDefault="00CF0E1E" w:rsidP="00CF0E1E">
            <w:pPr>
              <w:spacing w:after="160"/>
              <w:rPr>
                <w:b/>
                <w:bCs/>
                <w:color w:val="000000" w:themeColor="text1"/>
              </w:rPr>
            </w:pPr>
            <w:r w:rsidRPr="00CF0E1E">
              <w:rPr>
                <w:b/>
                <w:bCs/>
                <w:color w:val="000000" w:themeColor="text1"/>
              </w:rPr>
              <w:t>Submission Date:</w:t>
            </w:r>
          </w:p>
        </w:tc>
        <w:tc>
          <w:tcPr>
            <w:tcW w:w="156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DCEF905" w14:textId="77777777" w:rsidR="00CF0E1E" w:rsidRPr="00CF0E1E" w:rsidRDefault="00CF0E1E" w:rsidP="00CF0E1E">
            <w:pPr>
              <w:spacing w:after="160"/>
              <w:rPr>
                <w:b/>
                <w:bCs/>
                <w:color w:val="000000" w:themeColor="text1"/>
              </w:rPr>
            </w:pPr>
            <w:r w:rsidRPr="00CF0E1E">
              <w:rPr>
                <w:b/>
                <w:bCs/>
                <w:color w:val="000000" w:themeColor="text1"/>
              </w:rPr>
              <w:t>17/10/2025</w:t>
            </w:r>
          </w:p>
        </w:tc>
      </w:tr>
    </w:tbl>
    <w:p w14:paraId="5B06FE14" w14:textId="484FE5B7" w:rsidR="003B4788" w:rsidRPr="00C14EF4" w:rsidRDefault="003B4788" w:rsidP="00CF0E1E">
      <w:pPr>
        <w:rPr>
          <w:b/>
          <w:bCs/>
          <w:color w:val="000000" w:themeColor="text1"/>
        </w:rPr>
      </w:pPr>
      <w:r w:rsidRPr="00C14EF4">
        <w:rPr>
          <w:b/>
          <w:bCs/>
          <w:color w:val="000000" w:themeColor="text1"/>
        </w:rPr>
        <w:br w:type="page"/>
      </w:r>
    </w:p>
    <w:sdt>
      <w:sdtPr>
        <w:rPr>
          <w:rFonts w:ascii="Arial" w:eastAsiaTheme="minorHAnsi" w:hAnsi="Arial" w:cstheme="minorBidi"/>
          <w:color w:val="auto"/>
          <w:kern w:val="2"/>
          <w:sz w:val="24"/>
          <w:szCs w:val="24"/>
          <w:lang w:val="en-GB"/>
          <w14:ligatures w14:val="standardContextual"/>
        </w:rPr>
        <w:id w:val="425936268"/>
        <w:docPartObj>
          <w:docPartGallery w:val="Table of Contents"/>
          <w:docPartUnique/>
        </w:docPartObj>
      </w:sdtPr>
      <w:sdtEndPr>
        <w:rPr>
          <w:b/>
          <w:bCs/>
          <w:noProof/>
          <w:color w:val="000000" w:themeColor="text1"/>
        </w:rPr>
      </w:sdtEndPr>
      <w:sdtContent>
        <w:p w14:paraId="573F7D64" w14:textId="77777777" w:rsidR="00644676" w:rsidRDefault="00DE37E2" w:rsidP="00F75A6F">
          <w:pPr>
            <w:pStyle w:val="TOCHeading"/>
            <w:rPr>
              <w:noProof/>
            </w:rPr>
          </w:pPr>
          <w:r w:rsidRPr="00C14EF4">
            <w:rPr>
              <w:b/>
              <w:bCs/>
            </w:rPr>
            <w:t>Table of Contents</w:t>
          </w:r>
          <w:r w:rsidRPr="00C14EF4">
            <w:fldChar w:fldCharType="begin"/>
          </w:r>
          <w:r w:rsidRPr="00C14EF4">
            <w:instrText xml:space="preserve"> TOC \o "1-3" \h \z \u </w:instrText>
          </w:r>
          <w:r w:rsidRPr="00C14EF4">
            <w:fldChar w:fldCharType="separate"/>
          </w:r>
        </w:p>
        <w:p w14:paraId="39BA47DC" w14:textId="06EA1965" w:rsidR="00644676" w:rsidRDefault="00644676">
          <w:pPr>
            <w:pStyle w:val="TOC1"/>
            <w:tabs>
              <w:tab w:val="right" w:leader="dot" w:pos="9350"/>
            </w:tabs>
            <w:rPr>
              <w:rFonts w:asciiTheme="minorHAnsi" w:eastAsiaTheme="minorEastAsia" w:hAnsiTheme="minorHAnsi"/>
              <w:noProof/>
              <w:lang w:val="en-IN" w:eastAsia="en-IN"/>
            </w:rPr>
          </w:pPr>
          <w:hyperlink w:anchor="_Toc211993365" w:history="1">
            <w:r w:rsidRPr="00B535CF">
              <w:rPr>
                <w:rStyle w:val="Hyperlink"/>
                <w:noProof/>
                <w:lang w:val="en-US"/>
              </w:rPr>
              <w:t>Introduction</w:t>
            </w:r>
            <w:r>
              <w:rPr>
                <w:noProof/>
                <w:webHidden/>
              </w:rPr>
              <w:tab/>
            </w:r>
            <w:r>
              <w:rPr>
                <w:noProof/>
                <w:webHidden/>
              </w:rPr>
              <w:fldChar w:fldCharType="begin"/>
            </w:r>
            <w:r>
              <w:rPr>
                <w:noProof/>
                <w:webHidden/>
              </w:rPr>
              <w:instrText xml:space="preserve"> PAGEREF _Toc211993365 \h </w:instrText>
            </w:r>
            <w:r>
              <w:rPr>
                <w:noProof/>
                <w:webHidden/>
              </w:rPr>
            </w:r>
            <w:r>
              <w:rPr>
                <w:noProof/>
                <w:webHidden/>
              </w:rPr>
              <w:fldChar w:fldCharType="separate"/>
            </w:r>
            <w:r>
              <w:rPr>
                <w:noProof/>
                <w:webHidden/>
              </w:rPr>
              <w:t>3</w:t>
            </w:r>
            <w:r>
              <w:rPr>
                <w:noProof/>
                <w:webHidden/>
              </w:rPr>
              <w:fldChar w:fldCharType="end"/>
            </w:r>
          </w:hyperlink>
        </w:p>
        <w:p w14:paraId="3A63974B" w14:textId="7F50981E" w:rsidR="00644676" w:rsidRDefault="00644676">
          <w:pPr>
            <w:pStyle w:val="TOC1"/>
            <w:tabs>
              <w:tab w:val="right" w:leader="dot" w:pos="9350"/>
            </w:tabs>
            <w:rPr>
              <w:rFonts w:asciiTheme="minorHAnsi" w:eastAsiaTheme="minorEastAsia" w:hAnsiTheme="minorHAnsi"/>
              <w:noProof/>
              <w:lang w:val="en-IN" w:eastAsia="en-IN"/>
            </w:rPr>
          </w:pPr>
          <w:hyperlink w:anchor="_Toc211993366" w:history="1">
            <w:r w:rsidRPr="00B535CF">
              <w:rPr>
                <w:rStyle w:val="Hyperlink"/>
                <w:noProof/>
                <w:lang w:val="en-US"/>
              </w:rPr>
              <w:t>Macro Marketing Environment: Overview</w:t>
            </w:r>
            <w:r>
              <w:rPr>
                <w:noProof/>
                <w:webHidden/>
              </w:rPr>
              <w:tab/>
            </w:r>
            <w:r>
              <w:rPr>
                <w:noProof/>
                <w:webHidden/>
              </w:rPr>
              <w:fldChar w:fldCharType="begin"/>
            </w:r>
            <w:r>
              <w:rPr>
                <w:noProof/>
                <w:webHidden/>
              </w:rPr>
              <w:instrText xml:space="preserve"> PAGEREF _Toc211993366 \h </w:instrText>
            </w:r>
            <w:r>
              <w:rPr>
                <w:noProof/>
                <w:webHidden/>
              </w:rPr>
            </w:r>
            <w:r>
              <w:rPr>
                <w:noProof/>
                <w:webHidden/>
              </w:rPr>
              <w:fldChar w:fldCharType="separate"/>
            </w:r>
            <w:r>
              <w:rPr>
                <w:noProof/>
                <w:webHidden/>
              </w:rPr>
              <w:t>3</w:t>
            </w:r>
            <w:r>
              <w:rPr>
                <w:noProof/>
                <w:webHidden/>
              </w:rPr>
              <w:fldChar w:fldCharType="end"/>
            </w:r>
          </w:hyperlink>
        </w:p>
        <w:p w14:paraId="19AFDFF5" w14:textId="69FE5895" w:rsidR="00644676" w:rsidRDefault="00644676">
          <w:pPr>
            <w:pStyle w:val="TOC1"/>
            <w:tabs>
              <w:tab w:val="right" w:leader="dot" w:pos="9350"/>
            </w:tabs>
            <w:rPr>
              <w:rFonts w:asciiTheme="minorHAnsi" w:eastAsiaTheme="minorEastAsia" w:hAnsiTheme="minorHAnsi"/>
              <w:noProof/>
              <w:lang w:val="en-IN" w:eastAsia="en-IN"/>
            </w:rPr>
          </w:pPr>
          <w:hyperlink w:anchor="_Toc211993367" w:history="1">
            <w:r w:rsidRPr="00B535CF">
              <w:rPr>
                <w:rStyle w:val="Hyperlink"/>
                <w:noProof/>
                <w:lang w:val="en-US"/>
              </w:rPr>
              <w:t>Task 1: Analysis of Macro Marketing Actors</w:t>
            </w:r>
            <w:r>
              <w:rPr>
                <w:noProof/>
                <w:webHidden/>
              </w:rPr>
              <w:tab/>
            </w:r>
            <w:r>
              <w:rPr>
                <w:noProof/>
                <w:webHidden/>
              </w:rPr>
              <w:fldChar w:fldCharType="begin"/>
            </w:r>
            <w:r>
              <w:rPr>
                <w:noProof/>
                <w:webHidden/>
              </w:rPr>
              <w:instrText xml:space="preserve"> PAGEREF _Toc211993367 \h </w:instrText>
            </w:r>
            <w:r>
              <w:rPr>
                <w:noProof/>
                <w:webHidden/>
              </w:rPr>
            </w:r>
            <w:r>
              <w:rPr>
                <w:noProof/>
                <w:webHidden/>
              </w:rPr>
              <w:fldChar w:fldCharType="separate"/>
            </w:r>
            <w:r>
              <w:rPr>
                <w:noProof/>
                <w:webHidden/>
              </w:rPr>
              <w:t>5</w:t>
            </w:r>
            <w:r>
              <w:rPr>
                <w:noProof/>
                <w:webHidden/>
              </w:rPr>
              <w:fldChar w:fldCharType="end"/>
            </w:r>
          </w:hyperlink>
        </w:p>
        <w:p w14:paraId="0B2F66F7" w14:textId="5C7F9125" w:rsidR="00644676" w:rsidRDefault="00644676">
          <w:pPr>
            <w:pStyle w:val="TOC2"/>
            <w:tabs>
              <w:tab w:val="right" w:leader="dot" w:pos="9350"/>
            </w:tabs>
            <w:rPr>
              <w:rFonts w:asciiTheme="minorHAnsi" w:eastAsiaTheme="minorEastAsia" w:hAnsiTheme="minorHAnsi"/>
              <w:noProof/>
              <w:lang w:val="en-IN" w:eastAsia="en-IN"/>
            </w:rPr>
          </w:pPr>
          <w:hyperlink w:anchor="_Toc211993368" w:history="1">
            <w:r w:rsidRPr="00B535CF">
              <w:rPr>
                <w:rStyle w:val="Hyperlink"/>
                <w:noProof/>
                <w:lang w:val="en-US"/>
              </w:rPr>
              <w:t>Technological Factors</w:t>
            </w:r>
            <w:r>
              <w:rPr>
                <w:noProof/>
                <w:webHidden/>
              </w:rPr>
              <w:tab/>
            </w:r>
            <w:r>
              <w:rPr>
                <w:noProof/>
                <w:webHidden/>
              </w:rPr>
              <w:fldChar w:fldCharType="begin"/>
            </w:r>
            <w:r>
              <w:rPr>
                <w:noProof/>
                <w:webHidden/>
              </w:rPr>
              <w:instrText xml:space="preserve"> PAGEREF _Toc211993368 \h </w:instrText>
            </w:r>
            <w:r>
              <w:rPr>
                <w:noProof/>
                <w:webHidden/>
              </w:rPr>
            </w:r>
            <w:r>
              <w:rPr>
                <w:noProof/>
                <w:webHidden/>
              </w:rPr>
              <w:fldChar w:fldCharType="separate"/>
            </w:r>
            <w:r>
              <w:rPr>
                <w:noProof/>
                <w:webHidden/>
              </w:rPr>
              <w:t>5</w:t>
            </w:r>
            <w:r>
              <w:rPr>
                <w:noProof/>
                <w:webHidden/>
              </w:rPr>
              <w:fldChar w:fldCharType="end"/>
            </w:r>
          </w:hyperlink>
        </w:p>
        <w:p w14:paraId="348DC49C" w14:textId="2BA926EC" w:rsidR="00644676" w:rsidRDefault="00644676">
          <w:pPr>
            <w:pStyle w:val="TOC2"/>
            <w:tabs>
              <w:tab w:val="right" w:leader="dot" w:pos="9350"/>
            </w:tabs>
            <w:rPr>
              <w:rFonts w:asciiTheme="minorHAnsi" w:eastAsiaTheme="minorEastAsia" w:hAnsiTheme="minorHAnsi"/>
              <w:noProof/>
              <w:lang w:val="en-IN" w:eastAsia="en-IN"/>
            </w:rPr>
          </w:pPr>
          <w:hyperlink w:anchor="_Toc211993369" w:history="1">
            <w:r w:rsidRPr="00B535CF">
              <w:rPr>
                <w:rStyle w:val="Hyperlink"/>
                <w:noProof/>
                <w:lang w:val="en-US"/>
              </w:rPr>
              <w:t>Political and Regulatory Factors</w:t>
            </w:r>
            <w:r>
              <w:rPr>
                <w:noProof/>
                <w:webHidden/>
              </w:rPr>
              <w:tab/>
            </w:r>
            <w:r>
              <w:rPr>
                <w:noProof/>
                <w:webHidden/>
              </w:rPr>
              <w:fldChar w:fldCharType="begin"/>
            </w:r>
            <w:r>
              <w:rPr>
                <w:noProof/>
                <w:webHidden/>
              </w:rPr>
              <w:instrText xml:space="preserve"> PAGEREF _Toc211993369 \h </w:instrText>
            </w:r>
            <w:r>
              <w:rPr>
                <w:noProof/>
                <w:webHidden/>
              </w:rPr>
            </w:r>
            <w:r>
              <w:rPr>
                <w:noProof/>
                <w:webHidden/>
              </w:rPr>
              <w:fldChar w:fldCharType="separate"/>
            </w:r>
            <w:r>
              <w:rPr>
                <w:noProof/>
                <w:webHidden/>
              </w:rPr>
              <w:t>6</w:t>
            </w:r>
            <w:r>
              <w:rPr>
                <w:noProof/>
                <w:webHidden/>
              </w:rPr>
              <w:fldChar w:fldCharType="end"/>
            </w:r>
          </w:hyperlink>
        </w:p>
        <w:p w14:paraId="3DBC54F6" w14:textId="22BCB778" w:rsidR="00644676" w:rsidRDefault="00644676">
          <w:pPr>
            <w:pStyle w:val="TOC1"/>
            <w:tabs>
              <w:tab w:val="right" w:leader="dot" w:pos="9350"/>
            </w:tabs>
            <w:rPr>
              <w:rFonts w:asciiTheme="minorHAnsi" w:eastAsiaTheme="minorEastAsia" w:hAnsiTheme="minorHAnsi"/>
              <w:noProof/>
              <w:lang w:val="en-IN" w:eastAsia="en-IN"/>
            </w:rPr>
          </w:pPr>
          <w:hyperlink w:anchor="_Toc211993370" w:history="1">
            <w:r w:rsidRPr="00B535CF">
              <w:rPr>
                <w:rStyle w:val="Hyperlink"/>
                <w:noProof/>
                <w:lang w:val="en-US"/>
              </w:rPr>
              <w:t>Task 2: Strategic Responses and Marketing Strategies</w:t>
            </w:r>
            <w:r>
              <w:rPr>
                <w:noProof/>
                <w:webHidden/>
              </w:rPr>
              <w:tab/>
            </w:r>
            <w:r>
              <w:rPr>
                <w:noProof/>
                <w:webHidden/>
              </w:rPr>
              <w:fldChar w:fldCharType="begin"/>
            </w:r>
            <w:r>
              <w:rPr>
                <w:noProof/>
                <w:webHidden/>
              </w:rPr>
              <w:instrText xml:space="preserve"> PAGEREF _Toc211993370 \h </w:instrText>
            </w:r>
            <w:r>
              <w:rPr>
                <w:noProof/>
                <w:webHidden/>
              </w:rPr>
            </w:r>
            <w:r>
              <w:rPr>
                <w:noProof/>
                <w:webHidden/>
              </w:rPr>
              <w:fldChar w:fldCharType="separate"/>
            </w:r>
            <w:r>
              <w:rPr>
                <w:noProof/>
                <w:webHidden/>
              </w:rPr>
              <w:t>8</w:t>
            </w:r>
            <w:r>
              <w:rPr>
                <w:noProof/>
                <w:webHidden/>
              </w:rPr>
              <w:fldChar w:fldCharType="end"/>
            </w:r>
          </w:hyperlink>
        </w:p>
        <w:p w14:paraId="7D14355C" w14:textId="2972384D" w:rsidR="00644676" w:rsidRDefault="00644676">
          <w:pPr>
            <w:pStyle w:val="TOC2"/>
            <w:tabs>
              <w:tab w:val="right" w:leader="dot" w:pos="9350"/>
            </w:tabs>
            <w:rPr>
              <w:rFonts w:asciiTheme="minorHAnsi" w:eastAsiaTheme="minorEastAsia" w:hAnsiTheme="minorHAnsi"/>
              <w:noProof/>
              <w:lang w:val="en-IN" w:eastAsia="en-IN"/>
            </w:rPr>
          </w:pPr>
          <w:hyperlink w:anchor="_Toc211993371" w:history="1">
            <w:r w:rsidRPr="00B535CF">
              <w:rPr>
                <w:rStyle w:val="Hyperlink"/>
                <w:noProof/>
                <w:lang w:val="en-US"/>
              </w:rPr>
              <w:t>Pioneering Firm: Royal Mail</w:t>
            </w:r>
            <w:r>
              <w:rPr>
                <w:noProof/>
                <w:webHidden/>
              </w:rPr>
              <w:tab/>
            </w:r>
            <w:r>
              <w:rPr>
                <w:noProof/>
                <w:webHidden/>
              </w:rPr>
              <w:fldChar w:fldCharType="begin"/>
            </w:r>
            <w:r>
              <w:rPr>
                <w:noProof/>
                <w:webHidden/>
              </w:rPr>
              <w:instrText xml:space="preserve"> PAGEREF _Toc211993371 \h </w:instrText>
            </w:r>
            <w:r>
              <w:rPr>
                <w:noProof/>
                <w:webHidden/>
              </w:rPr>
            </w:r>
            <w:r>
              <w:rPr>
                <w:noProof/>
                <w:webHidden/>
              </w:rPr>
              <w:fldChar w:fldCharType="separate"/>
            </w:r>
            <w:r>
              <w:rPr>
                <w:noProof/>
                <w:webHidden/>
              </w:rPr>
              <w:t>8</w:t>
            </w:r>
            <w:r>
              <w:rPr>
                <w:noProof/>
                <w:webHidden/>
              </w:rPr>
              <w:fldChar w:fldCharType="end"/>
            </w:r>
          </w:hyperlink>
        </w:p>
        <w:p w14:paraId="0B4FFC04" w14:textId="36E855EF" w:rsidR="00644676" w:rsidRDefault="00644676">
          <w:pPr>
            <w:pStyle w:val="TOC2"/>
            <w:tabs>
              <w:tab w:val="right" w:leader="dot" w:pos="9350"/>
            </w:tabs>
            <w:rPr>
              <w:rFonts w:asciiTheme="minorHAnsi" w:eastAsiaTheme="minorEastAsia" w:hAnsiTheme="minorHAnsi"/>
              <w:noProof/>
              <w:lang w:val="en-IN" w:eastAsia="en-IN"/>
            </w:rPr>
          </w:pPr>
          <w:hyperlink w:anchor="_Toc211993372" w:history="1">
            <w:r w:rsidRPr="00B535CF">
              <w:rPr>
                <w:rStyle w:val="Hyperlink"/>
                <w:noProof/>
                <w:lang w:val="en-US"/>
              </w:rPr>
              <w:t>Follower Firm: DHL Express</w:t>
            </w:r>
            <w:r>
              <w:rPr>
                <w:noProof/>
                <w:webHidden/>
              </w:rPr>
              <w:tab/>
            </w:r>
            <w:r>
              <w:rPr>
                <w:noProof/>
                <w:webHidden/>
              </w:rPr>
              <w:fldChar w:fldCharType="begin"/>
            </w:r>
            <w:r>
              <w:rPr>
                <w:noProof/>
                <w:webHidden/>
              </w:rPr>
              <w:instrText xml:space="preserve"> PAGEREF _Toc211993372 \h </w:instrText>
            </w:r>
            <w:r>
              <w:rPr>
                <w:noProof/>
                <w:webHidden/>
              </w:rPr>
            </w:r>
            <w:r>
              <w:rPr>
                <w:noProof/>
                <w:webHidden/>
              </w:rPr>
              <w:fldChar w:fldCharType="separate"/>
            </w:r>
            <w:r>
              <w:rPr>
                <w:noProof/>
                <w:webHidden/>
              </w:rPr>
              <w:t>10</w:t>
            </w:r>
            <w:r>
              <w:rPr>
                <w:noProof/>
                <w:webHidden/>
              </w:rPr>
              <w:fldChar w:fldCharType="end"/>
            </w:r>
          </w:hyperlink>
        </w:p>
        <w:p w14:paraId="1683E705" w14:textId="437DE775" w:rsidR="00644676" w:rsidRDefault="00644676">
          <w:pPr>
            <w:pStyle w:val="TOC1"/>
            <w:tabs>
              <w:tab w:val="right" w:leader="dot" w:pos="9350"/>
            </w:tabs>
            <w:rPr>
              <w:rFonts w:asciiTheme="minorHAnsi" w:eastAsiaTheme="minorEastAsia" w:hAnsiTheme="minorHAnsi"/>
              <w:noProof/>
              <w:lang w:val="en-IN" w:eastAsia="en-IN"/>
            </w:rPr>
          </w:pPr>
          <w:hyperlink w:anchor="_Toc211993373" w:history="1">
            <w:r w:rsidRPr="00B535CF">
              <w:rPr>
                <w:rStyle w:val="Hyperlink"/>
                <w:noProof/>
                <w:lang w:val="en-US"/>
              </w:rPr>
              <w:t>Comparative Discussion and Synthesis</w:t>
            </w:r>
            <w:r>
              <w:rPr>
                <w:noProof/>
                <w:webHidden/>
              </w:rPr>
              <w:tab/>
            </w:r>
            <w:r>
              <w:rPr>
                <w:noProof/>
                <w:webHidden/>
              </w:rPr>
              <w:fldChar w:fldCharType="begin"/>
            </w:r>
            <w:r>
              <w:rPr>
                <w:noProof/>
                <w:webHidden/>
              </w:rPr>
              <w:instrText xml:space="preserve"> PAGEREF _Toc211993373 \h </w:instrText>
            </w:r>
            <w:r>
              <w:rPr>
                <w:noProof/>
                <w:webHidden/>
              </w:rPr>
            </w:r>
            <w:r>
              <w:rPr>
                <w:noProof/>
                <w:webHidden/>
              </w:rPr>
              <w:fldChar w:fldCharType="separate"/>
            </w:r>
            <w:r>
              <w:rPr>
                <w:noProof/>
                <w:webHidden/>
              </w:rPr>
              <w:t>11</w:t>
            </w:r>
            <w:r>
              <w:rPr>
                <w:noProof/>
                <w:webHidden/>
              </w:rPr>
              <w:fldChar w:fldCharType="end"/>
            </w:r>
          </w:hyperlink>
        </w:p>
        <w:p w14:paraId="5D425BD1" w14:textId="3F4EFA96" w:rsidR="00644676" w:rsidRDefault="00644676">
          <w:pPr>
            <w:pStyle w:val="TOC1"/>
            <w:tabs>
              <w:tab w:val="right" w:leader="dot" w:pos="9350"/>
            </w:tabs>
            <w:rPr>
              <w:rFonts w:asciiTheme="minorHAnsi" w:eastAsiaTheme="minorEastAsia" w:hAnsiTheme="minorHAnsi"/>
              <w:noProof/>
              <w:lang w:val="en-IN" w:eastAsia="en-IN"/>
            </w:rPr>
          </w:pPr>
          <w:hyperlink w:anchor="_Toc211993374" w:history="1">
            <w:r w:rsidRPr="00B535CF">
              <w:rPr>
                <w:rStyle w:val="Hyperlink"/>
                <w:noProof/>
              </w:rPr>
              <w:t>Comparative Strategy Matrix: Royal Mail (Pioneer) vs DHL Express (Follower)</w:t>
            </w:r>
            <w:r>
              <w:rPr>
                <w:noProof/>
                <w:webHidden/>
              </w:rPr>
              <w:tab/>
            </w:r>
            <w:r>
              <w:rPr>
                <w:noProof/>
                <w:webHidden/>
              </w:rPr>
              <w:fldChar w:fldCharType="begin"/>
            </w:r>
            <w:r>
              <w:rPr>
                <w:noProof/>
                <w:webHidden/>
              </w:rPr>
              <w:instrText xml:space="preserve"> PAGEREF _Toc211993374 \h </w:instrText>
            </w:r>
            <w:r>
              <w:rPr>
                <w:noProof/>
                <w:webHidden/>
              </w:rPr>
            </w:r>
            <w:r>
              <w:rPr>
                <w:noProof/>
                <w:webHidden/>
              </w:rPr>
              <w:fldChar w:fldCharType="separate"/>
            </w:r>
            <w:r>
              <w:rPr>
                <w:noProof/>
                <w:webHidden/>
              </w:rPr>
              <w:t>12</w:t>
            </w:r>
            <w:r>
              <w:rPr>
                <w:noProof/>
                <w:webHidden/>
              </w:rPr>
              <w:fldChar w:fldCharType="end"/>
            </w:r>
          </w:hyperlink>
        </w:p>
        <w:p w14:paraId="55C9592F" w14:textId="3C3B1C3C" w:rsidR="00644676" w:rsidRDefault="00644676">
          <w:pPr>
            <w:pStyle w:val="TOC1"/>
            <w:tabs>
              <w:tab w:val="right" w:leader="dot" w:pos="9350"/>
            </w:tabs>
            <w:rPr>
              <w:rFonts w:asciiTheme="minorHAnsi" w:eastAsiaTheme="minorEastAsia" w:hAnsiTheme="minorHAnsi"/>
              <w:noProof/>
              <w:lang w:val="en-IN" w:eastAsia="en-IN"/>
            </w:rPr>
          </w:pPr>
          <w:hyperlink w:anchor="_Toc211993375" w:history="1">
            <w:r w:rsidRPr="00B535CF">
              <w:rPr>
                <w:rStyle w:val="Hyperlink"/>
                <w:noProof/>
                <w:lang w:val="en-US"/>
              </w:rPr>
              <w:t>Conclusion and Recommendations</w:t>
            </w:r>
            <w:r>
              <w:rPr>
                <w:noProof/>
                <w:webHidden/>
              </w:rPr>
              <w:tab/>
            </w:r>
            <w:r>
              <w:rPr>
                <w:noProof/>
                <w:webHidden/>
              </w:rPr>
              <w:fldChar w:fldCharType="begin"/>
            </w:r>
            <w:r>
              <w:rPr>
                <w:noProof/>
                <w:webHidden/>
              </w:rPr>
              <w:instrText xml:space="preserve"> PAGEREF _Toc211993375 \h </w:instrText>
            </w:r>
            <w:r>
              <w:rPr>
                <w:noProof/>
                <w:webHidden/>
              </w:rPr>
            </w:r>
            <w:r>
              <w:rPr>
                <w:noProof/>
                <w:webHidden/>
              </w:rPr>
              <w:fldChar w:fldCharType="separate"/>
            </w:r>
            <w:r>
              <w:rPr>
                <w:noProof/>
                <w:webHidden/>
              </w:rPr>
              <w:t>13</w:t>
            </w:r>
            <w:r>
              <w:rPr>
                <w:noProof/>
                <w:webHidden/>
              </w:rPr>
              <w:fldChar w:fldCharType="end"/>
            </w:r>
          </w:hyperlink>
        </w:p>
        <w:p w14:paraId="286F4E5F" w14:textId="03D6A196" w:rsidR="00644676" w:rsidRDefault="00644676">
          <w:pPr>
            <w:pStyle w:val="TOC1"/>
            <w:tabs>
              <w:tab w:val="right" w:leader="dot" w:pos="9350"/>
            </w:tabs>
            <w:rPr>
              <w:rFonts w:asciiTheme="minorHAnsi" w:eastAsiaTheme="minorEastAsia" w:hAnsiTheme="minorHAnsi"/>
              <w:noProof/>
              <w:lang w:val="en-IN" w:eastAsia="en-IN"/>
            </w:rPr>
          </w:pPr>
          <w:hyperlink w:anchor="_Toc211993376" w:history="1">
            <w:r w:rsidRPr="00B535CF">
              <w:rPr>
                <w:rStyle w:val="Hyperlink"/>
                <w:noProof/>
                <w:lang w:val="en-US"/>
              </w:rPr>
              <w:t>Reference List</w:t>
            </w:r>
            <w:r>
              <w:rPr>
                <w:noProof/>
                <w:webHidden/>
              </w:rPr>
              <w:tab/>
            </w:r>
            <w:r>
              <w:rPr>
                <w:noProof/>
                <w:webHidden/>
              </w:rPr>
              <w:fldChar w:fldCharType="begin"/>
            </w:r>
            <w:r>
              <w:rPr>
                <w:noProof/>
                <w:webHidden/>
              </w:rPr>
              <w:instrText xml:space="preserve"> PAGEREF _Toc211993376 \h </w:instrText>
            </w:r>
            <w:r>
              <w:rPr>
                <w:noProof/>
                <w:webHidden/>
              </w:rPr>
            </w:r>
            <w:r>
              <w:rPr>
                <w:noProof/>
                <w:webHidden/>
              </w:rPr>
              <w:fldChar w:fldCharType="separate"/>
            </w:r>
            <w:r>
              <w:rPr>
                <w:noProof/>
                <w:webHidden/>
              </w:rPr>
              <w:t>15</w:t>
            </w:r>
            <w:r>
              <w:rPr>
                <w:noProof/>
                <w:webHidden/>
              </w:rPr>
              <w:fldChar w:fldCharType="end"/>
            </w:r>
          </w:hyperlink>
        </w:p>
        <w:p w14:paraId="14DD86B5" w14:textId="6AB7F967" w:rsidR="00DE37E2" w:rsidRPr="00C14EF4" w:rsidRDefault="00DE37E2" w:rsidP="00BA4B46">
          <w:pPr>
            <w:rPr>
              <w:color w:val="000000" w:themeColor="text1"/>
            </w:rPr>
          </w:pPr>
          <w:r w:rsidRPr="00C14EF4">
            <w:rPr>
              <w:rFonts w:cs="Arial"/>
              <w:b/>
              <w:bCs/>
              <w:noProof/>
              <w:color w:val="000000" w:themeColor="text1"/>
            </w:rPr>
            <w:fldChar w:fldCharType="end"/>
          </w:r>
        </w:p>
      </w:sdtContent>
    </w:sdt>
    <w:p w14:paraId="5E69C963" w14:textId="598CEC9C" w:rsidR="00D15E56" w:rsidRPr="00C14EF4" w:rsidRDefault="003B4788">
      <w:pPr>
        <w:spacing w:line="278" w:lineRule="auto"/>
        <w:jc w:val="left"/>
        <w:rPr>
          <w:color w:val="000000" w:themeColor="text1"/>
        </w:rPr>
      </w:pPr>
      <w:r w:rsidRPr="00C14EF4">
        <w:rPr>
          <w:color w:val="000000" w:themeColor="text1"/>
        </w:rPr>
        <w:br w:type="page"/>
      </w:r>
    </w:p>
    <w:p w14:paraId="1465F700" w14:textId="5CB67315" w:rsidR="00146B14" w:rsidRPr="00C14EF4" w:rsidRDefault="00146B14" w:rsidP="00F75A6F">
      <w:pPr>
        <w:pStyle w:val="Heading1"/>
        <w:rPr>
          <w:lang w:val="en-US"/>
        </w:rPr>
      </w:pPr>
      <w:bookmarkStart w:id="0" w:name="_Toc211993365"/>
      <w:r w:rsidRPr="00C14EF4">
        <w:rPr>
          <w:lang w:val="en-US"/>
        </w:rPr>
        <w:lastRenderedPageBreak/>
        <w:t>Introduction</w:t>
      </w:r>
      <w:bookmarkEnd w:id="0"/>
    </w:p>
    <w:p w14:paraId="295A5508" w14:textId="5863D797" w:rsidR="0066435B" w:rsidRPr="00C14EF4" w:rsidRDefault="002F5BA6" w:rsidP="002F5BA6">
      <w:pPr>
        <w:rPr>
          <w:color w:val="000000" w:themeColor="text1"/>
        </w:rPr>
      </w:pPr>
      <w:r w:rsidRPr="00C14EF4">
        <w:rPr>
          <w:color w:val="000000" w:themeColor="text1"/>
        </w:rPr>
        <w:t xml:space="preserve">The </w:t>
      </w:r>
      <w:r w:rsidR="0066435B">
        <w:rPr>
          <w:color w:val="000000" w:themeColor="text1"/>
        </w:rPr>
        <w:t>UK parcel and DHL express delivery market has become vital to business and e-commerce, meeting the demand for fast and quality logistics.</w:t>
      </w:r>
    </w:p>
    <w:p w14:paraId="19770C12" w14:textId="208413BE" w:rsidR="002F5BA6" w:rsidRPr="0069627D" w:rsidRDefault="002F5BA6" w:rsidP="002F5BA6">
      <w:pPr>
        <w:rPr>
          <w:color w:val="000000" w:themeColor="text1"/>
        </w:rPr>
      </w:pPr>
      <w:r w:rsidRPr="00C14EF4">
        <w:rPr>
          <w:color w:val="000000" w:themeColor="text1"/>
        </w:rPr>
        <w:t xml:space="preserve">This difference is essential when it comes to the ways various companies compete in a fluctuating market environment. In this report, the author is going to discuss Royal Mail as the </w:t>
      </w:r>
      <w:r w:rsidR="00E8616A" w:rsidRPr="00C14EF4">
        <w:rPr>
          <w:color w:val="000000" w:themeColor="text1"/>
        </w:rPr>
        <w:t>first mover</w:t>
      </w:r>
      <w:r w:rsidRPr="00C14EF4">
        <w:rPr>
          <w:color w:val="000000" w:themeColor="text1"/>
        </w:rPr>
        <w:t xml:space="preserve"> and DHL Express as the follower in the UK delivery market.</w:t>
      </w:r>
      <w:r w:rsidR="0069627D">
        <w:rPr>
          <w:color w:val="000000" w:themeColor="text1"/>
        </w:rPr>
        <w:t xml:space="preserve"> </w:t>
      </w:r>
      <w:r w:rsidR="0085577D">
        <w:rPr>
          <w:color w:val="000000" w:themeColor="text1"/>
        </w:rPr>
        <w:t xml:space="preserve">This determines how the two organisations react to external </w:t>
      </w:r>
      <w:r w:rsidR="0069627D">
        <w:rPr>
          <w:color w:val="000000" w:themeColor="text1"/>
        </w:rPr>
        <w:t>macro-environmental forces affecting competitiveness and sustainability.</w:t>
      </w:r>
      <w:r w:rsidR="0085577D">
        <w:rPr>
          <w:color w:val="000000" w:themeColor="text1"/>
        </w:rPr>
        <w:t xml:space="preserve"> </w:t>
      </w:r>
      <w:r w:rsidRPr="00C14EF4">
        <w:rPr>
          <w:color w:val="000000" w:themeColor="text1"/>
        </w:rPr>
        <w:t xml:space="preserve">The two macro marketing actors that are </w:t>
      </w:r>
      <w:r w:rsidR="007D7E2E">
        <w:rPr>
          <w:color w:val="000000" w:themeColor="text1"/>
        </w:rPr>
        <w:t>analysed</w:t>
      </w:r>
      <w:r w:rsidRPr="00C14EF4">
        <w:rPr>
          <w:color w:val="000000" w:themeColor="text1"/>
        </w:rPr>
        <w:t xml:space="preserve"> are technological and political-legal forces</w:t>
      </w:r>
      <w:r w:rsidR="007D7E2E">
        <w:rPr>
          <w:color w:val="000000" w:themeColor="text1"/>
        </w:rPr>
        <w:t>,</w:t>
      </w:r>
      <w:r w:rsidRPr="00C14EF4">
        <w:rPr>
          <w:color w:val="000000" w:themeColor="text1"/>
        </w:rPr>
        <w:t xml:space="preserve"> and how they provide opportunities and threats, and how each of the firms is adapting strategically to repay long-term strength and operational efficiency in the market.</w:t>
      </w:r>
    </w:p>
    <w:p w14:paraId="2CE32A98" w14:textId="7DBE21BC" w:rsidR="00146B14" w:rsidRPr="00C14EF4" w:rsidRDefault="00146B14" w:rsidP="00F75A6F">
      <w:pPr>
        <w:pStyle w:val="Heading1"/>
        <w:rPr>
          <w:lang w:val="en-US"/>
        </w:rPr>
      </w:pPr>
      <w:bookmarkStart w:id="1" w:name="_Toc211993366"/>
      <w:r w:rsidRPr="00C14EF4">
        <w:rPr>
          <w:lang w:val="en-US"/>
        </w:rPr>
        <w:t>Macro Marketing Environment: Overview</w:t>
      </w:r>
      <w:bookmarkEnd w:id="1"/>
      <w:r w:rsidRPr="00C14EF4">
        <w:rPr>
          <w:lang w:val="en-US"/>
        </w:rPr>
        <w:t xml:space="preserve"> </w:t>
      </w:r>
    </w:p>
    <w:p w14:paraId="3A0F283D" w14:textId="7DBA212C" w:rsidR="007F1142" w:rsidRPr="00C14EF4" w:rsidRDefault="007F1142" w:rsidP="007F1142">
      <w:pPr>
        <w:rPr>
          <w:color w:val="000000" w:themeColor="text1"/>
        </w:rPr>
      </w:pPr>
      <w:r w:rsidRPr="00C14EF4">
        <w:rPr>
          <w:color w:val="000000" w:themeColor="text1"/>
        </w:rPr>
        <w:t xml:space="preserve">The macro marketing environment is a set of broad external forces that determine the capability of an organisation to serve its markets. In strategic marketing management, this environment has </w:t>
      </w:r>
      <w:r w:rsidR="007D7E2E">
        <w:rPr>
          <w:color w:val="000000" w:themeColor="text1"/>
        </w:rPr>
        <w:t>usually been</w:t>
      </w:r>
      <w:r w:rsidRPr="00C14EF4">
        <w:rPr>
          <w:color w:val="000000" w:themeColor="text1"/>
        </w:rPr>
        <w:t xml:space="preserve"> studied through the frameworks of PESTLE or DESTEP</w:t>
      </w:r>
      <w:r w:rsidR="007D7E2E">
        <w:rPr>
          <w:color w:val="000000" w:themeColor="text1"/>
        </w:rPr>
        <w:t>,</w:t>
      </w:r>
      <w:r w:rsidRPr="00C14EF4">
        <w:rPr>
          <w:color w:val="000000" w:themeColor="text1"/>
        </w:rPr>
        <w:t xml:space="preserve"> which classify the factors into politica</w:t>
      </w:r>
      <w:r w:rsidR="00644676">
        <w:rPr>
          <w:color w:val="000000" w:themeColor="text1"/>
        </w:rPr>
        <w:t>l</w:t>
      </w:r>
      <w:r w:rsidRPr="00C14EF4">
        <w:rPr>
          <w:color w:val="000000" w:themeColor="text1"/>
        </w:rPr>
        <w:t>, economi</w:t>
      </w:r>
      <w:r w:rsidR="00644676">
        <w:rPr>
          <w:color w:val="000000" w:themeColor="text1"/>
        </w:rPr>
        <w:t>c</w:t>
      </w:r>
      <w:r w:rsidRPr="00C14EF4">
        <w:rPr>
          <w:color w:val="000000" w:themeColor="text1"/>
        </w:rPr>
        <w:t>, socia</w:t>
      </w:r>
      <w:r w:rsidR="00644676">
        <w:rPr>
          <w:color w:val="000000" w:themeColor="text1"/>
        </w:rPr>
        <w:t>l</w:t>
      </w:r>
      <w:r w:rsidRPr="00C14EF4">
        <w:rPr>
          <w:color w:val="000000" w:themeColor="text1"/>
        </w:rPr>
        <w:t>, technologic</w:t>
      </w:r>
      <w:r w:rsidR="00644676">
        <w:rPr>
          <w:color w:val="000000" w:themeColor="text1"/>
        </w:rPr>
        <w:t>a</w:t>
      </w:r>
      <w:r w:rsidRPr="00C14EF4">
        <w:rPr>
          <w:color w:val="000000" w:themeColor="text1"/>
        </w:rPr>
        <w:t>l, leg</w:t>
      </w:r>
      <w:r w:rsidR="00644676">
        <w:rPr>
          <w:color w:val="000000" w:themeColor="text1"/>
        </w:rPr>
        <w:t>a</w:t>
      </w:r>
      <w:r w:rsidRPr="00C14EF4">
        <w:rPr>
          <w:color w:val="000000" w:themeColor="text1"/>
        </w:rPr>
        <w:t>l, and environmen</w:t>
      </w:r>
      <w:r w:rsidR="00644676">
        <w:rPr>
          <w:color w:val="000000" w:themeColor="text1"/>
        </w:rPr>
        <w:t>t</w:t>
      </w:r>
      <w:r w:rsidRPr="00C14EF4">
        <w:rPr>
          <w:color w:val="000000" w:themeColor="text1"/>
        </w:rPr>
        <w:t>al aspe</w:t>
      </w:r>
      <w:r w:rsidR="00644676">
        <w:rPr>
          <w:color w:val="000000" w:themeColor="text1"/>
        </w:rPr>
        <w:t>c</w:t>
      </w:r>
      <w:r w:rsidRPr="00C14EF4">
        <w:rPr>
          <w:color w:val="000000" w:themeColor="text1"/>
        </w:rPr>
        <w:t>ts. These forces are not directly under the control of a company</w:t>
      </w:r>
      <w:r w:rsidR="007D7E2E">
        <w:rPr>
          <w:color w:val="000000" w:themeColor="text1"/>
        </w:rPr>
        <w:t>,</w:t>
      </w:r>
      <w:r w:rsidRPr="00C14EF4">
        <w:rPr>
          <w:color w:val="000000" w:themeColor="text1"/>
        </w:rPr>
        <w:t xml:space="preserve"> but they directly influence consumer demand, prices, innovation and </w:t>
      </w:r>
      <w:r w:rsidR="007D7E2E">
        <w:rPr>
          <w:color w:val="000000" w:themeColor="text1"/>
        </w:rPr>
        <w:t>long-run</w:t>
      </w:r>
      <w:r w:rsidRPr="00C14EF4">
        <w:rPr>
          <w:color w:val="000000" w:themeColor="text1"/>
        </w:rPr>
        <w:t xml:space="preserve"> competitiveness. The knowledge of these external dynamics enables the firms to foresee change, handle risk, and create marketing strategies that respond to the changed conditions in the general economy.</w:t>
      </w:r>
    </w:p>
    <w:p w14:paraId="293D956C" w14:textId="56B43DA8" w:rsidR="00893276" w:rsidRPr="00C14EF4" w:rsidRDefault="00893276" w:rsidP="007F1142">
      <w:pPr>
        <w:rPr>
          <w:color w:val="000000" w:themeColor="text1"/>
          <w:lang w:val="en-US"/>
        </w:rPr>
      </w:pPr>
      <w:r w:rsidRPr="00C14EF4">
        <w:rPr>
          <w:noProof/>
          <w:color w:val="000000" w:themeColor="text1"/>
          <w:lang w:val="en-US"/>
        </w:rPr>
        <w:lastRenderedPageBreak/>
        <w:drawing>
          <wp:inline distT="0" distB="0" distL="0" distR="0" wp14:anchorId="07D7C170" wp14:editId="0CBF8DF4">
            <wp:extent cx="6199858" cy="3114675"/>
            <wp:effectExtent l="76200" t="76200" r="125095" b="123825"/>
            <wp:docPr id="879286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b="10688"/>
                    <a:stretch>
                      <a:fillRect/>
                    </a:stretch>
                  </pic:blipFill>
                  <pic:spPr bwMode="auto">
                    <a:xfrm>
                      <a:off x="0" y="0"/>
                      <a:ext cx="6213762" cy="312166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C3EAD20" w14:textId="34970B63" w:rsidR="00893276" w:rsidRPr="00C14EF4" w:rsidRDefault="00893276" w:rsidP="00893276">
      <w:pPr>
        <w:jc w:val="center"/>
        <w:rPr>
          <w:b/>
          <w:bCs/>
          <w:color w:val="000000" w:themeColor="text1"/>
          <w:lang w:val="en-US"/>
        </w:rPr>
      </w:pPr>
      <w:r w:rsidRPr="00C14EF4">
        <w:rPr>
          <w:b/>
          <w:bCs/>
          <w:color w:val="000000" w:themeColor="text1"/>
          <w:lang w:val="en-US"/>
        </w:rPr>
        <w:t>Figure 1:</w:t>
      </w:r>
      <w:r w:rsidRPr="00C14EF4">
        <w:rPr>
          <w:b/>
          <w:bCs/>
          <w:color w:val="000000" w:themeColor="text1"/>
        </w:rPr>
        <w:t xml:space="preserve"> </w:t>
      </w:r>
      <w:r w:rsidRPr="00C14EF4">
        <w:rPr>
          <w:b/>
          <w:bCs/>
          <w:color w:val="000000" w:themeColor="text1"/>
          <w:lang w:val="en-US"/>
        </w:rPr>
        <w:t>Europe Courier, Express, and Parcel Market</w:t>
      </w:r>
    </w:p>
    <w:p w14:paraId="3DCEBA9D" w14:textId="4AF39DC9" w:rsidR="001C0799" w:rsidRPr="00C14EF4" w:rsidRDefault="001C0799" w:rsidP="00893276">
      <w:pPr>
        <w:jc w:val="center"/>
        <w:rPr>
          <w:color w:val="000000" w:themeColor="text1"/>
          <w:lang w:val="en-US"/>
        </w:rPr>
      </w:pPr>
      <w:r w:rsidRPr="00C14EF4">
        <w:rPr>
          <w:color w:val="000000" w:themeColor="text1"/>
          <w:lang w:val="en-US"/>
        </w:rPr>
        <w:t>(Source: marketdataforecast.com, 2025)</w:t>
      </w:r>
    </w:p>
    <w:p w14:paraId="4B948C3E" w14:textId="689DC147" w:rsidR="004E4004" w:rsidRPr="00C14EF4" w:rsidRDefault="004E4004" w:rsidP="004E4004">
      <w:pPr>
        <w:rPr>
          <w:color w:val="000000" w:themeColor="text1"/>
          <w:lang w:val="en-US"/>
        </w:rPr>
      </w:pPr>
      <w:r w:rsidRPr="00C14EF4">
        <w:rPr>
          <w:color w:val="000000" w:themeColor="text1"/>
          <w:lang w:val="en-US"/>
        </w:rPr>
        <w:t xml:space="preserve">In the parcel and express delivery industry, macro-environmental scanning is fundamental because the sector is </w:t>
      </w:r>
      <w:r w:rsidR="007D7E2E">
        <w:rPr>
          <w:color w:val="000000" w:themeColor="text1"/>
          <w:lang w:val="en-US"/>
        </w:rPr>
        <w:t>susceptible</w:t>
      </w:r>
      <w:r w:rsidRPr="00C14EF4">
        <w:rPr>
          <w:color w:val="000000" w:themeColor="text1"/>
          <w:lang w:val="en-US"/>
        </w:rPr>
        <w:t xml:space="preserve"> to policy changes, global trade patterns, and technological </w:t>
      </w:r>
      <w:r w:rsidR="007D7E2E">
        <w:rPr>
          <w:color w:val="000000" w:themeColor="text1"/>
          <w:lang w:val="en-US"/>
        </w:rPr>
        <w:t>advancements</w:t>
      </w:r>
      <w:r w:rsidRPr="00C14EF4">
        <w:rPr>
          <w:color w:val="000000" w:themeColor="text1"/>
          <w:lang w:val="en-US"/>
        </w:rPr>
        <w:t>. Companies that ignore these drivers risk operational inefficiency and market decline, whereas those that integrate them into strategic planning can achieve differentiation and resilience</w:t>
      </w:r>
      <w:r w:rsidR="00EE4BBC" w:rsidRPr="00C14EF4">
        <w:rPr>
          <w:color w:val="000000" w:themeColor="text1"/>
          <w:lang w:val="en-US"/>
        </w:rPr>
        <w:t xml:space="preserve"> </w:t>
      </w:r>
      <w:r w:rsidR="00EE4BBC" w:rsidRPr="00C14EF4">
        <w:rPr>
          <w:color w:val="000000" w:themeColor="text1"/>
        </w:rPr>
        <w:t>(Zhong, Lomas and Worth, 2022)</w:t>
      </w:r>
      <w:r w:rsidRPr="00C14EF4">
        <w:rPr>
          <w:color w:val="000000" w:themeColor="text1"/>
          <w:lang w:val="en-US"/>
        </w:rPr>
        <w:t xml:space="preserve">. Among the six macro factors, </w:t>
      </w:r>
      <w:r w:rsidRPr="00C14EF4">
        <w:rPr>
          <w:b/>
          <w:bCs/>
          <w:color w:val="000000" w:themeColor="text1"/>
          <w:lang w:val="en-US"/>
        </w:rPr>
        <w:t>technological</w:t>
      </w:r>
      <w:r w:rsidRPr="00C14EF4">
        <w:rPr>
          <w:color w:val="000000" w:themeColor="text1"/>
          <w:lang w:val="en-US"/>
        </w:rPr>
        <w:t xml:space="preserve"> and </w:t>
      </w:r>
      <w:r w:rsidRPr="00C14EF4">
        <w:rPr>
          <w:b/>
          <w:bCs/>
          <w:color w:val="000000" w:themeColor="text1"/>
          <w:lang w:val="en-US"/>
        </w:rPr>
        <w:t>political-legal</w:t>
      </w:r>
      <w:r w:rsidRPr="00C14EF4">
        <w:rPr>
          <w:color w:val="000000" w:themeColor="text1"/>
          <w:lang w:val="en-US"/>
        </w:rPr>
        <w:t xml:space="preserve"> forces emerge as </w:t>
      </w:r>
      <w:r w:rsidR="0066435B">
        <w:rPr>
          <w:color w:val="000000" w:themeColor="text1"/>
          <w:lang w:val="en-US"/>
        </w:rPr>
        <w:t>crucial</w:t>
      </w:r>
      <w:r w:rsidRPr="00C14EF4">
        <w:rPr>
          <w:color w:val="000000" w:themeColor="text1"/>
          <w:lang w:val="en-US"/>
        </w:rPr>
        <w:t xml:space="preserve"> to the UK delivery sector. Technology dictates speed, transparency, and customer experience through innovations</w:t>
      </w:r>
      <w:r w:rsidR="0066435B">
        <w:rPr>
          <w:color w:val="000000" w:themeColor="text1"/>
          <w:lang w:val="en-US"/>
        </w:rPr>
        <w:t xml:space="preserve"> like</w:t>
      </w:r>
      <w:r w:rsidRPr="00C14EF4">
        <w:rPr>
          <w:color w:val="000000" w:themeColor="text1"/>
          <w:lang w:val="en-US"/>
        </w:rPr>
        <w:t xml:space="preserve"> automation, route </w:t>
      </w:r>
      <w:r w:rsidR="00592F95">
        <w:rPr>
          <w:color w:val="000000" w:themeColor="text1"/>
          <w:lang w:val="en-US"/>
        </w:rPr>
        <w:t>optimisation</w:t>
      </w:r>
      <w:r w:rsidRPr="00C14EF4">
        <w:rPr>
          <w:color w:val="000000" w:themeColor="text1"/>
          <w:lang w:val="en-US"/>
        </w:rPr>
        <w:t xml:space="preserve">, and data-driven service </w:t>
      </w:r>
      <w:r w:rsidR="00592F95">
        <w:rPr>
          <w:color w:val="000000" w:themeColor="text1"/>
          <w:lang w:val="en-US"/>
        </w:rPr>
        <w:t>customisation</w:t>
      </w:r>
      <w:r w:rsidRPr="00C14EF4">
        <w:rPr>
          <w:color w:val="000000" w:themeColor="text1"/>
          <w:lang w:val="en-US"/>
        </w:rPr>
        <w:t>. Political and legal influences determine the regulatory context for trade, labour, taxation, and sustainability, which are central to logistics operations and cost structures.</w:t>
      </w:r>
    </w:p>
    <w:p w14:paraId="1CD4FE44" w14:textId="567D5135" w:rsidR="004E4004" w:rsidRPr="00C14EF4" w:rsidRDefault="004E4004" w:rsidP="004E4004">
      <w:pPr>
        <w:rPr>
          <w:color w:val="000000" w:themeColor="text1"/>
          <w:lang w:val="en-US"/>
        </w:rPr>
      </w:pPr>
      <w:r w:rsidRPr="00C14EF4">
        <w:rPr>
          <w:color w:val="000000" w:themeColor="text1"/>
          <w:lang w:val="en-US"/>
        </w:rPr>
        <w:t>These two dimensions are especially relevant for competitive advantage and long-term sustainability. Technological progress fuels innovation and process efficiency, enabling firms to deliver faster and more reliably while reducing costs</w:t>
      </w:r>
      <w:r w:rsidR="00EE4BBC" w:rsidRPr="00C14EF4">
        <w:rPr>
          <w:color w:val="000000" w:themeColor="text1"/>
          <w:lang w:val="en-US"/>
        </w:rPr>
        <w:t xml:space="preserve"> </w:t>
      </w:r>
      <w:r w:rsidR="00EE4BBC" w:rsidRPr="00C14EF4">
        <w:rPr>
          <w:color w:val="000000" w:themeColor="text1"/>
        </w:rPr>
        <w:t>(Hassel and Sieker, 2022)</w:t>
      </w:r>
      <w:r w:rsidRPr="00C14EF4">
        <w:rPr>
          <w:color w:val="000000" w:themeColor="text1"/>
          <w:lang w:val="en-US"/>
        </w:rPr>
        <w:t xml:space="preserve">. </w:t>
      </w:r>
      <w:r w:rsidR="0066435B">
        <w:rPr>
          <w:color w:val="000000" w:themeColor="text1"/>
          <w:lang w:val="en-US"/>
        </w:rPr>
        <w:t>Simultaneously</w:t>
      </w:r>
      <w:r w:rsidRPr="00C14EF4">
        <w:rPr>
          <w:color w:val="000000" w:themeColor="text1"/>
          <w:lang w:val="en-US"/>
        </w:rPr>
        <w:t xml:space="preserve">, compliance with political and legal requirements safeguards reputation, </w:t>
      </w:r>
      <w:r w:rsidRPr="00C14EF4">
        <w:rPr>
          <w:color w:val="000000" w:themeColor="text1"/>
          <w:lang w:val="en-US"/>
        </w:rPr>
        <w:lastRenderedPageBreak/>
        <w:t>secures operational continuity, and promotes public trust. A clear grasp of these macro actors enables firms to translate environmental awareness into strategic foresight, ensuring alignment between market trends, regulatory realities, and corporate ambitions.</w:t>
      </w:r>
    </w:p>
    <w:p w14:paraId="3E687F86" w14:textId="63797738" w:rsidR="00146B14" w:rsidRPr="00C14EF4" w:rsidRDefault="00124A6A" w:rsidP="00F75A6F">
      <w:pPr>
        <w:pStyle w:val="Heading1"/>
        <w:rPr>
          <w:lang w:val="en-US"/>
        </w:rPr>
      </w:pPr>
      <w:bookmarkStart w:id="2" w:name="_Toc211993367"/>
      <w:r w:rsidRPr="00C14EF4">
        <w:rPr>
          <w:lang w:val="en-US"/>
        </w:rPr>
        <w:t xml:space="preserve">Task 1: </w:t>
      </w:r>
      <w:r w:rsidR="00146B14" w:rsidRPr="00C14EF4">
        <w:rPr>
          <w:lang w:val="en-US"/>
        </w:rPr>
        <w:t>Analysis of Macro Marketing Actors</w:t>
      </w:r>
      <w:bookmarkEnd w:id="2"/>
      <w:r w:rsidR="00146B14" w:rsidRPr="00C14EF4">
        <w:rPr>
          <w:lang w:val="en-US"/>
        </w:rPr>
        <w:t xml:space="preserve"> </w:t>
      </w:r>
    </w:p>
    <w:p w14:paraId="2DC69CFD" w14:textId="3C6EE317" w:rsidR="009F67A2" w:rsidRPr="00C14EF4" w:rsidRDefault="009F67A2" w:rsidP="009F67A2">
      <w:pPr>
        <w:pStyle w:val="Heading2"/>
        <w:rPr>
          <w:lang w:val="en-US"/>
        </w:rPr>
      </w:pPr>
      <w:bookmarkStart w:id="3" w:name="_Toc211993368"/>
      <w:r w:rsidRPr="00C14EF4">
        <w:rPr>
          <w:lang w:val="en-US"/>
        </w:rPr>
        <w:t>Technological Factors</w:t>
      </w:r>
      <w:bookmarkEnd w:id="3"/>
      <w:r w:rsidRPr="00C14EF4">
        <w:rPr>
          <w:lang w:val="en-US"/>
        </w:rPr>
        <w:t xml:space="preserve"> </w:t>
      </w:r>
    </w:p>
    <w:p w14:paraId="37815F31" w14:textId="6CE7C6C5" w:rsidR="009F67A2" w:rsidRPr="00C14EF4" w:rsidRDefault="009F67A2" w:rsidP="009F67A2">
      <w:pPr>
        <w:rPr>
          <w:color w:val="000000" w:themeColor="text1"/>
          <w:lang w:val="en-US"/>
        </w:rPr>
      </w:pPr>
      <w:r w:rsidRPr="00C14EF4">
        <w:rPr>
          <w:color w:val="000000" w:themeColor="text1"/>
          <w:lang w:val="en-US"/>
        </w:rPr>
        <w:t xml:space="preserve">Digital transformation is reshaping UK parcel and express delivery as customers demand precise tracking, shorter delivery windows, and effortless returns. The strategic backbone is an integrated data platform that connects order capture, sortation, fleet dispatch, customer communication, and reverse logistics into a single flow. Automation in hubs reduces error and dwell time, while robotics and computer vision increase throughput and safety at peak. Artificial intelligence improves demand forecasting, dynamic route optimisation, and proactive exception handling, which together raise on-time performance and reduce </w:t>
      </w:r>
      <w:r w:rsidR="00E8616A" w:rsidRPr="00C14EF4">
        <w:rPr>
          <w:color w:val="000000" w:themeColor="text1"/>
          <w:lang w:val="en-US"/>
        </w:rPr>
        <w:t>costs</w:t>
      </w:r>
      <w:r w:rsidRPr="00C14EF4">
        <w:rPr>
          <w:color w:val="000000" w:themeColor="text1"/>
          <w:lang w:val="en-US"/>
        </w:rPr>
        <w:t xml:space="preserve"> to serve. At the last mile, innovations such as micro-fulfilment nodes, parcel lockers, dynamic delivery windows, and crowdsourced capacity improve density and customer convenience, while telematics and IoT sensors enhance fleet utilisation and compliance.</w:t>
      </w:r>
    </w:p>
    <w:p w14:paraId="6FC21219" w14:textId="6FB8C10B" w:rsidR="00CF057A" w:rsidRPr="00C14EF4" w:rsidRDefault="00CF057A" w:rsidP="00CF057A">
      <w:pPr>
        <w:jc w:val="center"/>
        <w:rPr>
          <w:color w:val="000000" w:themeColor="text1"/>
          <w:lang w:val="en-US"/>
        </w:rPr>
      </w:pPr>
      <w:r w:rsidRPr="00C14EF4">
        <w:rPr>
          <w:noProof/>
          <w:color w:val="000000" w:themeColor="text1"/>
        </w:rPr>
        <w:drawing>
          <wp:inline distT="0" distB="0" distL="0" distR="0" wp14:anchorId="2F8D4E02" wp14:editId="04B7046E">
            <wp:extent cx="3219450" cy="1684021"/>
            <wp:effectExtent l="76200" t="76200" r="133350" b="125730"/>
            <wp:docPr id="1416183520" name="Picture 3" descr="Know the Macro Environment – Learning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now the Macro Environment – Learning Portfoli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29521" cy="16892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C2D6CB" w14:textId="7EF1CECB" w:rsidR="00CF057A" w:rsidRPr="00C14EF4" w:rsidRDefault="00CF057A" w:rsidP="00CF057A">
      <w:pPr>
        <w:jc w:val="center"/>
        <w:rPr>
          <w:b/>
          <w:bCs/>
          <w:color w:val="000000" w:themeColor="text1"/>
          <w:lang w:val="en-US"/>
        </w:rPr>
      </w:pPr>
      <w:r w:rsidRPr="00C14EF4">
        <w:rPr>
          <w:b/>
          <w:bCs/>
          <w:color w:val="000000" w:themeColor="text1"/>
          <w:lang w:val="en-US"/>
        </w:rPr>
        <w:t>Figure 2:</w:t>
      </w:r>
      <w:r w:rsidR="00957804" w:rsidRPr="00C14EF4">
        <w:rPr>
          <w:b/>
          <w:bCs/>
          <w:color w:val="000000" w:themeColor="text1"/>
        </w:rPr>
        <w:t xml:space="preserve"> </w:t>
      </w:r>
      <w:r w:rsidR="00957804" w:rsidRPr="00C14EF4">
        <w:rPr>
          <w:b/>
          <w:bCs/>
          <w:color w:val="000000" w:themeColor="text1"/>
          <w:lang w:val="en-US"/>
        </w:rPr>
        <w:t>Macro Marketing Actors</w:t>
      </w:r>
    </w:p>
    <w:p w14:paraId="4D14ECAE" w14:textId="18A7BB59" w:rsidR="00957804" w:rsidRPr="00C14EF4" w:rsidRDefault="00957804" w:rsidP="00CF057A">
      <w:pPr>
        <w:jc w:val="center"/>
        <w:rPr>
          <w:color w:val="000000" w:themeColor="text1"/>
          <w:lang w:val="en-US"/>
        </w:rPr>
      </w:pPr>
      <w:r w:rsidRPr="00C14EF4">
        <w:rPr>
          <w:color w:val="000000" w:themeColor="text1"/>
          <w:lang w:val="en-US"/>
        </w:rPr>
        <w:t>(Source:</w:t>
      </w:r>
      <w:r w:rsidRPr="00C14EF4">
        <w:rPr>
          <w:color w:val="000000" w:themeColor="text1"/>
        </w:rPr>
        <w:t xml:space="preserve"> </w:t>
      </w:r>
      <w:r w:rsidRPr="00C14EF4">
        <w:rPr>
          <w:color w:val="000000" w:themeColor="text1"/>
          <w:lang w:val="en-US"/>
        </w:rPr>
        <w:t>carlymjones.wordpress.com, 2025)</w:t>
      </w:r>
    </w:p>
    <w:p w14:paraId="792DA700" w14:textId="0A04F72E" w:rsidR="009F67A2" w:rsidRPr="00C14EF4" w:rsidRDefault="009F67A2" w:rsidP="009F67A2">
      <w:pPr>
        <w:rPr>
          <w:color w:val="000000" w:themeColor="text1"/>
          <w:lang w:val="en-US"/>
        </w:rPr>
      </w:pPr>
      <w:r w:rsidRPr="00C14EF4">
        <w:rPr>
          <w:color w:val="000000" w:themeColor="text1"/>
          <w:lang w:val="en-US"/>
        </w:rPr>
        <w:t xml:space="preserve">For pioneers, technology amplifies an installed base and a reputation for reliability. Royal Mail can leverage national coverage and deep operational data to </w:t>
      </w:r>
      <w:r w:rsidR="00592F95">
        <w:rPr>
          <w:color w:val="000000" w:themeColor="text1"/>
          <w:lang w:val="en-US"/>
        </w:rPr>
        <w:t>personalise</w:t>
      </w:r>
      <w:r w:rsidRPr="00C14EF4">
        <w:rPr>
          <w:color w:val="000000" w:themeColor="text1"/>
          <w:lang w:val="en-US"/>
        </w:rPr>
        <w:t xml:space="preserve"> service, </w:t>
      </w:r>
      <w:r w:rsidR="00592F95">
        <w:rPr>
          <w:color w:val="000000" w:themeColor="text1"/>
          <w:lang w:val="en-US"/>
        </w:rPr>
        <w:t>stabilise</w:t>
      </w:r>
      <w:r w:rsidRPr="00C14EF4">
        <w:rPr>
          <w:color w:val="000000" w:themeColor="text1"/>
          <w:lang w:val="en-US"/>
        </w:rPr>
        <w:t xml:space="preserve"> quality, and </w:t>
      </w:r>
      <w:r w:rsidR="00592F95">
        <w:rPr>
          <w:color w:val="000000" w:themeColor="text1"/>
          <w:lang w:val="en-US"/>
        </w:rPr>
        <w:t>monetise</w:t>
      </w:r>
      <w:r w:rsidRPr="00C14EF4">
        <w:rPr>
          <w:color w:val="000000" w:themeColor="text1"/>
          <w:lang w:val="en-US"/>
        </w:rPr>
        <w:t xml:space="preserve"> value-added options such as timed delivery and carbon-</w:t>
      </w:r>
      <w:r w:rsidRPr="00C14EF4">
        <w:rPr>
          <w:color w:val="000000" w:themeColor="text1"/>
          <w:lang w:val="en-US"/>
        </w:rPr>
        <w:lastRenderedPageBreak/>
        <w:t xml:space="preserve">aware choices. Opportunities include </w:t>
      </w:r>
      <w:r w:rsidR="00592F95">
        <w:rPr>
          <w:color w:val="000000" w:themeColor="text1"/>
          <w:lang w:val="en-US"/>
        </w:rPr>
        <w:t>modernising</w:t>
      </w:r>
      <w:r w:rsidRPr="00C14EF4">
        <w:rPr>
          <w:color w:val="000000" w:themeColor="text1"/>
          <w:lang w:val="en-US"/>
        </w:rPr>
        <w:t xml:space="preserve"> core platforms, consolidating datasets for real-time visibility, deploying computer vision for dimensioning and damage detection, and automating depots to smooth seasonal volatility. Threats </w:t>
      </w:r>
      <w:r w:rsidR="00592F95">
        <w:rPr>
          <w:color w:val="000000" w:themeColor="text1"/>
          <w:lang w:val="en-US"/>
        </w:rPr>
        <w:t>centre</w:t>
      </w:r>
      <w:r w:rsidRPr="00C14EF4">
        <w:rPr>
          <w:color w:val="000000" w:themeColor="text1"/>
          <w:lang w:val="en-US"/>
        </w:rPr>
        <w:t xml:space="preserve"> on legacy constraints</w:t>
      </w:r>
      <w:r w:rsidR="00EE4BBC" w:rsidRPr="00C14EF4">
        <w:rPr>
          <w:color w:val="000000" w:themeColor="text1"/>
          <w:lang w:val="en-US"/>
        </w:rPr>
        <w:t xml:space="preserve"> </w:t>
      </w:r>
      <w:r w:rsidR="00EE4BBC" w:rsidRPr="00C14EF4">
        <w:rPr>
          <w:color w:val="000000" w:themeColor="text1"/>
        </w:rPr>
        <w:t>(Brand and Dencik, 2025)</w:t>
      </w:r>
      <w:r w:rsidRPr="00C14EF4">
        <w:rPr>
          <w:color w:val="000000" w:themeColor="text1"/>
          <w:lang w:val="en-US"/>
        </w:rPr>
        <w:t xml:space="preserve">. Technical debt, heterogeneous systems, and </w:t>
      </w:r>
      <w:r w:rsidR="00E8616A" w:rsidRPr="00C14EF4">
        <w:rPr>
          <w:color w:val="000000" w:themeColor="text1"/>
          <w:lang w:val="en-US"/>
        </w:rPr>
        <w:t>complex</w:t>
      </w:r>
      <w:r w:rsidRPr="00C14EF4">
        <w:rPr>
          <w:color w:val="000000" w:themeColor="text1"/>
          <w:lang w:val="en-US"/>
        </w:rPr>
        <w:t xml:space="preserve"> estate can slow deployment, fragment the customer experience, and raise cybersecurity exposure. Pioneers also face higher change-management burdens when retraining large workforces and aligning processes across many sites.</w:t>
      </w:r>
    </w:p>
    <w:p w14:paraId="676CA0C9" w14:textId="3E83BF5C" w:rsidR="009F67A2" w:rsidRPr="00C14EF4" w:rsidRDefault="009F67A2" w:rsidP="009F67A2">
      <w:pPr>
        <w:rPr>
          <w:color w:val="000000" w:themeColor="text1"/>
          <w:lang w:val="en-US"/>
        </w:rPr>
      </w:pPr>
      <w:r w:rsidRPr="00C14EF4">
        <w:rPr>
          <w:color w:val="000000" w:themeColor="text1"/>
          <w:lang w:val="en-US"/>
        </w:rPr>
        <w:t xml:space="preserve">Followers approach the frontier differently. DHL Express in the UK can benchmark global solutions, </w:t>
      </w:r>
      <w:r w:rsidR="00E8616A">
        <w:rPr>
          <w:color w:val="000000" w:themeColor="text1"/>
          <w:lang w:val="en-US"/>
        </w:rPr>
        <w:t>lift-tested</w:t>
      </w:r>
      <w:r w:rsidRPr="00C14EF4">
        <w:rPr>
          <w:color w:val="000000" w:themeColor="text1"/>
          <w:lang w:val="en-US"/>
        </w:rPr>
        <w:t xml:space="preserve"> modules from international operations, and scale faster with fewer legacy barriers. Opportunities arise in adaptive integration, where cloud applications, APIs, and partner marketplaces shorten time to value and enable rapid service pilots</w:t>
      </w:r>
      <w:r w:rsidR="00EE4BBC" w:rsidRPr="00C14EF4">
        <w:rPr>
          <w:color w:val="000000" w:themeColor="text1"/>
          <w:lang w:val="en-US"/>
        </w:rPr>
        <w:t xml:space="preserve"> </w:t>
      </w:r>
      <w:r w:rsidR="00EE4BBC" w:rsidRPr="00C14EF4">
        <w:rPr>
          <w:color w:val="000000" w:themeColor="text1"/>
        </w:rPr>
        <w:t>(Oukropec, 2024)</w:t>
      </w:r>
      <w:r w:rsidRPr="00C14EF4">
        <w:rPr>
          <w:color w:val="000000" w:themeColor="text1"/>
          <w:lang w:val="en-US"/>
        </w:rPr>
        <w:t xml:space="preserve">. The follower can </w:t>
      </w:r>
      <w:r w:rsidR="00592F95">
        <w:rPr>
          <w:color w:val="000000" w:themeColor="text1"/>
          <w:lang w:val="en-US"/>
        </w:rPr>
        <w:t>specialise</w:t>
      </w:r>
      <w:r w:rsidRPr="00C14EF4">
        <w:rPr>
          <w:color w:val="000000" w:themeColor="text1"/>
          <w:lang w:val="en-US"/>
        </w:rPr>
        <w:t xml:space="preserve"> in premium time-definite niches, use analytics for lane profitability, and adopt last-mile innovations once performance and compliance are proven. Risks include dependence on global templates that may not fit UK regulatory nuance, constraints on data schemas, and vendor lock-in that can limit differentiation.</w:t>
      </w:r>
    </w:p>
    <w:p w14:paraId="4D612D8A" w14:textId="11B84E51" w:rsidR="009F67A2" w:rsidRPr="00C14EF4" w:rsidRDefault="009F67A2" w:rsidP="009F67A2">
      <w:pPr>
        <w:rPr>
          <w:color w:val="000000" w:themeColor="text1"/>
          <w:lang w:val="en-US"/>
        </w:rPr>
      </w:pPr>
      <w:r w:rsidRPr="00C14EF4">
        <w:rPr>
          <w:color w:val="000000" w:themeColor="text1"/>
          <w:lang w:val="en-US"/>
        </w:rPr>
        <w:t xml:space="preserve">Two theoretical lenses clarify these dynamics. Diffusion of innovation indicates </w:t>
      </w:r>
      <w:r w:rsidR="007D7E2E">
        <w:rPr>
          <w:color w:val="000000" w:themeColor="text1"/>
          <w:lang w:val="en-US"/>
        </w:rPr>
        <w:t xml:space="preserve">that </w:t>
      </w:r>
      <w:r w:rsidRPr="00C14EF4">
        <w:rPr>
          <w:color w:val="000000" w:themeColor="text1"/>
          <w:lang w:val="en-US"/>
        </w:rPr>
        <w:t xml:space="preserve">pioneers absorb uncertainty and shape category definitions, while followers compete through accelerated imitation, cost discipline, and targeted differentiation when norms </w:t>
      </w:r>
      <w:r w:rsidR="00592F95">
        <w:rPr>
          <w:color w:val="000000" w:themeColor="text1"/>
          <w:lang w:val="en-US"/>
        </w:rPr>
        <w:t>stabilise</w:t>
      </w:r>
      <w:r w:rsidRPr="00C14EF4">
        <w:rPr>
          <w:color w:val="000000" w:themeColor="text1"/>
          <w:lang w:val="en-US"/>
        </w:rPr>
        <w:t xml:space="preserve">. Dynamic capabilities </w:t>
      </w:r>
      <w:r w:rsidR="00592F95">
        <w:rPr>
          <w:color w:val="000000" w:themeColor="text1"/>
          <w:lang w:val="en-US"/>
        </w:rPr>
        <w:t>emphasise</w:t>
      </w:r>
      <w:r w:rsidRPr="00C14EF4">
        <w:rPr>
          <w:color w:val="000000" w:themeColor="text1"/>
          <w:lang w:val="en-US"/>
        </w:rPr>
        <w:t xml:space="preserve"> routines that convert signals into advantage: sensing technological shifts, seizing them through investment and alliances, and reconfiguring assets such as fleets, depots, and data pipelines</w:t>
      </w:r>
      <w:r w:rsidR="00EE4BBC" w:rsidRPr="00C14EF4">
        <w:rPr>
          <w:color w:val="000000" w:themeColor="text1"/>
          <w:lang w:val="en-US"/>
        </w:rPr>
        <w:t xml:space="preserve"> </w:t>
      </w:r>
      <w:r w:rsidR="00EE4BBC" w:rsidRPr="00C14EF4">
        <w:rPr>
          <w:color w:val="000000" w:themeColor="text1"/>
        </w:rPr>
        <w:t>(Gomez, Perez-Aradros and Salazar, 2022)</w:t>
      </w:r>
      <w:r w:rsidRPr="00C14EF4">
        <w:rPr>
          <w:color w:val="000000" w:themeColor="text1"/>
          <w:lang w:val="en-US"/>
        </w:rPr>
        <w:t xml:space="preserve">. Applied to Royal Mail, priorities include platform renewal, device upgrades, and data governance to unlock network effects. Applied to DHL Express, priorities include fast integration, selective </w:t>
      </w:r>
      <w:r w:rsidR="00592F95">
        <w:rPr>
          <w:color w:val="000000" w:themeColor="text1"/>
          <w:lang w:val="en-US"/>
        </w:rPr>
        <w:t>localisation</w:t>
      </w:r>
      <w:r w:rsidRPr="00C14EF4">
        <w:rPr>
          <w:color w:val="000000" w:themeColor="text1"/>
          <w:lang w:val="en-US"/>
        </w:rPr>
        <w:t>, and disciplined scaling of proven tools to sustain premium reliability and customer experience.</w:t>
      </w:r>
    </w:p>
    <w:p w14:paraId="241CDDE7" w14:textId="1801E8DE" w:rsidR="009F67A2" w:rsidRPr="00C14EF4" w:rsidRDefault="009F67A2" w:rsidP="009F67A2">
      <w:pPr>
        <w:pStyle w:val="Heading2"/>
        <w:rPr>
          <w:lang w:val="en-US"/>
        </w:rPr>
      </w:pPr>
      <w:bookmarkStart w:id="4" w:name="_Toc211993369"/>
      <w:r w:rsidRPr="00C14EF4">
        <w:rPr>
          <w:lang w:val="en-US"/>
        </w:rPr>
        <w:t>Political and Regulatory Factors</w:t>
      </w:r>
      <w:bookmarkEnd w:id="4"/>
      <w:r w:rsidRPr="00C14EF4">
        <w:rPr>
          <w:lang w:val="en-US"/>
        </w:rPr>
        <w:t xml:space="preserve"> </w:t>
      </w:r>
    </w:p>
    <w:p w14:paraId="0279A76F" w14:textId="4FC55672" w:rsidR="009F67A2" w:rsidRPr="00C14EF4" w:rsidRDefault="009F67A2" w:rsidP="009F67A2">
      <w:pPr>
        <w:rPr>
          <w:color w:val="000000" w:themeColor="text1"/>
          <w:lang w:val="en-US"/>
        </w:rPr>
      </w:pPr>
      <w:r w:rsidRPr="00C14EF4">
        <w:rPr>
          <w:color w:val="000000" w:themeColor="text1"/>
          <w:lang w:val="en-US"/>
        </w:rPr>
        <w:t xml:space="preserve">Political and regulatory conditions frame how delivery networks operate, price, and invest. In the UK, post-Brexit customs processes, trade agreements, cabotage rules, and data transfer regimes shape cross-border flows and documentation. Environmental policy </w:t>
      </w:r>
      <w:r w:rsidRPr="00C14EF4">
        <w:rPr>
          <w:color w:val="000000" w:themeColor="text1"/>
          <w:lang w:val="en-US"/>
        </w:rPr>
        <w:lastRenderedPageBreak/>
        <w:t xml:space="preserve">influences fleet strategy through emissions standards, low- and zero-emission zones, and incentives for electric vehicles and alternative fuels. Labour regulation, including working-time rules, health and safety obligations, and evolving models for gig work, </w:t>
      </w:r>
      <w:r w:rsidR="00592F95">
        <w:rPr>
          <w:color w:val="000000" w:themeColor="text1"/>
          <w:lang w:val="en-US"/>
        </w:rPr>
        <w:t>affects</w:t>
      </w:r>
      <w:r w:rsidRPr="00C14EF4">
        <w:rPr>
          <w:color w:val="000000" w:themeColor="text1"/>
          <w:lang w:val="en-US"/>
        </w:rPr>
        <w:t xml:space="preserve"> flexibility, cost, and service reliability</w:t>
      </w:r>
      <w:r w:rsidR="00EE4BBC" w:rsidRPr="00C14EF4">
        <w:rPr>
          <w:color w:val="000000" w:themeColor="text1"/>
          <w:lang w:val="en-US"/>
        </w:rPr>
        <w:t xml:space="preserve"> </w:t>
      </w:r>
      <w:r w:rsidR="00EE4BBC" w:rsidRPr="00C14EF4">
        <w:rPr>
          <w:color w:val="000000" w:themeColor="text1"/>
        </w:rPr>
        <w:t>(Fontanelli, 2023)</w:t>
      </w:r>
      <w:r w:rsidRPr="00C14EF4">
        <w:rPr>
          <w:color w:val="000000" w:themeColor="text1"/>
          <w:lang w:val="en-US"/>
        </w:rPr>
        <w:t xml:space="preserve">. Consumer protection rules on transparency, redress, and data privacy determine how firms design notifications, tracking, and </w:t>
      </w:r>
      <w:r w:rsidR="00E8616A">
        <w:rPr>
          <w:color w:val="000000" w:themeColor="text1"/>
          <w:lang w:val="en-US"/>
        </w:rPr>
        <w:t>complaint</w:t>
      </w:r>
      <w:r w:rsidRPr="00C14EF4">
        <w:rPr>
          <w:color w:val="000000" w:themeColor="text1"/>
          <w:lang w:val="en-US"/>
        </w:rPr>
        <w:t xml:space="preserve"> handling. Together, these instruments drive compliance effort, capital allocation, and reputational outcomes.</w:t>
      </w:r>
    </w:p>
    <w:p w14:paraId="10190FDD" w14:textId="64C0FF5E" w:rsidR="009F67A2" w:rsidRPr="00C14EF4" w:rsidRDefault="009F67A2" w:rsidP="009F67A2">
      <w:pPr>
        <w:rPr>
          <w:color w:val="000000" w:themeColor="text1"/>
          <w:lang w:val="en-US"/>
        </w:rPr>
      </w:pPr>
      <w:r w:rsidRPr="00C14EF4">
        <w:rPr>
          <w:color w:val="000000" w:themeColor="text1"/>
          <w:lang w:val="en-US"/>
        </w:rPr>
        <w:t xml:space="preserve">Operational costs are sensitive to these </w:t>
      </w:r>
      <w:r w:rsidR="00E8616A" w:rsidRPr="00C14EF4">
        <w:rPr>
          <w:color w:val="000000" w:themeColor="text1"/>
          <w:lang w:val="en-US"/>
        </w:rPr>
        <w:t>levels</w:t>
      </w:r>
      <w:r w:rsidRPr="00C14EF4">
        <w:rPr>
          <w:color w:val="000000" w:themeColor="text1"/>
          <w:lang w:val="en-US"/>
        </w:rPr>
        <w:t>. Border formalities add processing steps, technology investment, and potential delay risk, which influence service design and pricing. Environmental regulation redirects capital into low-emission vehicles, charging infrastructure, and depot upgrades, with medium-term efficiency gains but near-term cost pressure</w:t>
      </w:r>
      <w:r w:rsidR="00EE4BBC" w:rsidRPr="00C14EF4">
        <w:rPr>
          <w:color w:val="000000" w:themeColor="text1"/>
          <w:lang w:val="en-US"/>
        </w:rPr>
        <w:t xml:space="preserve"> </w:t>
      </w:r>
      <w:r w:rsidR="00EE4BBC" w:rsidRPr="00C14EF4">
        <w:rPr>
          <w:color w:val="000000" w:themeColor="text1"/>
        </w:rPr>
        <w:t>(Abdul Mumin, Yakubu and Adam, 2025)</w:t>
      </w:r>
      <w:r w:rsidRPr="00C14EF4">
        <w:rPr>
          <w:color w:val="000000" w:themeColor="text1"/>
          <w:lang w:val="en-US"/>
        </w:rPr>
        <w:t>. Market entry and service expansion depend on licensing, security regimes, and local access rules, which can favour incumbents with established compliance capabilities.</w:t>
      </w:r>
    </w:p>
    <w:p w14:paraId="6F7899FB" w14:textId="2E9461CC" w:rsidR="00272EB8" w:rsidRPr="00C14EF4" w:rsidRDefault="00272EB8" w:rsidP="00272EB8">
      <w:pPr>
        <w:jc w:val="center"/>
        <w:rPr>
          <w:color w:val="000000" w:themeColor="text1"/>
          <w:lang w:val="en-US"/>
        </w:rPr>
      </w:pPr>
      <w:r w:rsidRPr="00C14EF4">
        <w:rPr>
          <w:noProof/>
          <w:color w:val="000000" w:themeColor="text1"/>
        </w:rPr>
        <w:drawing>
          <wp:inline distT="0" distB="0" distL="0" distR="0" wp14:anchorId="4FBCD469" wp14:editId="5289A1C1">
            <wp:extent cx="3762022" cy="3114675"/>
            <wp:effectExtent l="76200" t="76200" r="124460" b="123825"/>
            <wp:docPr id="535428188" name="Picture 6" descr="Brexit's Impact On Cross-Border Ecommerce Logistics in UK/E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rexit's Impact On Cross-Border Ecommerce Logistics in UK/EU"/>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1637"/>
                    <a:stretch>
                      <a:fillRect/>
                    </a:stretch>
                  </pic:blipFill>
                  <pic:spPr bwMode="auto">
                    <a:xfrm>
                      <a:off x="0" y="0"/>
                      <a:ext cx="3767834" cy="3119487"/>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5F0F856" w14:textId="43F34765" w:rsidR="00272EB8" w:rsidRPr="00C14EF4" w:rsidRDefault="00272EB8" w:rsidP="00272EB8">
      <w:pPr>
        <w:jc w:val="center"/>
        <w:rPr>
          <w:b/>
          <w:bCs/>
          <w:color w:val="000000" w:themeColor="text1"/>
          <w:lang w:val="en-US"/>
        </w:rPr>
      </w:pPr>
      <w:r w:rsidRPr="00C14EF4">
        <w:rPr>
          <w:b/>
          <w:bCs/>
          <w:color w:val="000000" w:themeColor="text1"/>
          <w:lang w:val="en-US"/>
        </w:rPr>
        <w:t>Figure 3:</w:t>
      </w:r>
      <w:r w:rsidRPr="00C14EF4">
        <w:rPr>
          <w:b/>
          <w:bCs/>
          <w:color w:val="000000" w:themeColor="text1"/>
        </w:rPr>
        <w:t xml:space="preserve"> </w:t>
      </w:r>
      <w:r w:rsidRPr="00C14EF4">
        <w:rPr>
          <w:b/>
          <w:bCs/>
          <w:color w:val="000000" w:themeColor="text1"/>
          <w:lang w:val="en-US"/>
        </w:rPr>
        <w:t xml:space="preserve">Brexit Customs &amp; Border Flow for E-commerce Parcels </w:t>
      </w:r>
    </w:p>
    <w:p w14:paraId="0C77632F" w14:textId="7097E1DE" w:rsidR="00272EB8" w:rsidRPr="00C14EF4" w:rsidRDefault="000E16DB" w:rsidP="00272EB8">
      <w:pPr>
        <w:jc w:val="center"/>
        <w:rPr>
          <w:color w:val="000000" w:themeColor="text1"/>
          <w:lang w:val="en-US"/>
        </w:rPr>
      </w:pPr>
      <w:r w:rsidRPr="00C14EF4">
        <w:rPr>
          <w:color w:val="000000" w:themeColor="text1"/>
          <w:lang w:val="en-US"/>
        </w:rPr>
        <w:t>(</w:t>
      </w:r>
      <w:r w:rsidR="00272EB8" w:rsidRPr="00C14EF4">
        <w:rPr>
          <w:color w:val="000000" w:themeColor="text1"/>
          <w:lang w:val="en-US"/>
        </w:rPr>
        <w:t xml:space="preserve">Source: </w:t>
      </w:r>
      <w:r w:rsidRPr="00C14EF4">
        <w:rPr>
          <w:color w:val="000000" w:themeColor="text1"/>
          <w:lang w:val="en-US"/>
        </w:rPr>
        <w:t>en.codept.de, 2025)</w:t>
      </w:r>
    </w:p>
    <w:p w14:paraId="2C825027" w14:textId="1D2121D3" w:rsidR="009F67A2" w:rsidRPr="00C14EF4" w:rsidRDefault="009F67A2" w:rsidP="009F67A2">
      <w:pPr>
        <w:rPr>
          <w:color w:val="000000" w:themeColor="text1"/>
          <w:lang w:val="en-US"/>
        </w:rPr>
      </w:pPr>
      <w:r w:rsidRPr="00C14EF4">
        <w:rPr>
          <w:color w:val="000000" w:themeColor="text1"/>
          <w:lang w:val="en-US"/>
        </w:rPr>
        <w:lastRenderedPageBreak/>
        <w:t xml:space="preserve">Pioneers and followers experience these pressures differently. Royal Mail, as a pioneer with universal service obligations, faces high visibility and a broad compliance perimeter. This can be an advantage when regulation tightens, since established processes, recognised governance, and stakeholder relationships can reduce approval frictions and enable constructive policy influence. Royal Mail can leverage </w:t>
      </w:r>
      <w:r w:rsidR="00E8616A" w:rsidRPr="00C14EF4">
        <w:rPr>
          <w:color w:val="000000" w:themeColor="text1"/>
          <w:lang w:val="en-US"/>
        </w:rPr>
        <w:t>scales</w:t>
      </w:r>
      <w:r w:rsidRPr="00C14EF4">
        <w:rPr>
          <w:color w:val="000000" w:themeColor="text1"/>
          <w:lang w:val="en-US"/>
        </w:rPr>
        <w:t xml:space="preserve"> to pilot green fleets in regulated zones, standardise compliance training, and embed privacy-by-design in customer interfaces. The challenge lies in adapting legacy processes swiftly when rules shift, managing cost pass-through in a price-sensitive market, and negotiating workforce change within formal structures.</w:t>
      </w:r>
    </w:p>
    <w:p w14:paraId="7C9074BE" w14:textId="21182722" w:rsidR="006047E0" w:rsidRPr="00C14EF4" w:rsidRDefault="009F67A2" w:rsidP="006047E0">
      <w:pPr>
        <w:rPr>
          <w:color w:val="000000" w:themeColor="text1"/>
        </w:rPr>
      </w:pPr>
      <w:r w:rsidRPr="00C14EF4">
        <w:rPr>
          <w:color w:val="000000" w:themeColor="text1"/>
          <w:lang w:val="en-US"/>
        </w:rPr>
        <w:t>DHL Express, as a follower in the UK, benefits from global compliance playbooks and border expertise, which support consistent execution in customs and security regimes. The follower can enter or expand by aligning global standards to UK specifics, deploying specialised brokerage capabilities, and focusing on segments where regulatory clarity supports premium service</w:t>
      </w:r>
      <w:r w:rsidR="00EE4BBC" w:rsidRPr="00C14EF4">
        <w:rPr>
          <w:color w:val="000000" w:themeColor="text1"/>
          <w:lang w:val="en-US"/>
        </w:rPr>
        <w:t xml:space="preserve"> </w:t>
      </w:r>
      <w:r w:rsidR="00EE4BBC" w:rsidRPr="00C14EF4">
        <w:rPr>
          <w:color w:val="000000" w:themeColor="text1"/>
        </w:rPr>
        <w:t>(Agyabeng-Mensah et al., 2021)</w:t>
      </w:r>
      <w:r w:rsidRPr="00C14EF4">
        <w:rPr>
          <w:color w:val="000000" w:themeColor="text1"/>
          <w:lang w:val="en-US"/>
        </w:rPr>
        <w:t xml:space="preserve">. </w:t>
      </w:r>
      <w:r w:rsidR="006047E0" w:rsidRPr="00C14EF4">
        <w:rPr>
          <w:color w:val="000000" w:themeColor="text1"/>
        </w:rPr>
        <w:t xml:space="preserve">Network flexibility enables the targeted investment into the zero-emission corridors and city-centre consolidation that can be adjusted to the local policy. Among the risks are the fact that global templates have to be adjusted to the local expectations of the labour force, there is the risk of duplicates in assurance activities, and the risk of policy divergence across jurisdictions that complicate system </w:t>
      </w:r>
      <w:r w:rsidR="007D7E2E">
        <w:rPr>
          <w:color w:val="000000" w:themeColor="text1"/>
        </w:rPr>
        <w:t>set-up</w:t>
      </w:r>
      <w:r w:rsidR="006047E0" w:rsidRPr="00C14EF4">
        <w:rPr>
          <w:color w:val="000000" w:themeColor="text1"/>
        </w:rPr>
        <w:t xml:space="preserve">. </w:t>
      </w:r>
    </w:p>
    <w:p w14:paraId="4CDB9EB9" w14:textId="37C644F7" w:rsidR="006047E0" w:rsidRPr="00C14EF4" w:rsidRDefault="006047E0" w:rsidP="006047E0">
      <w:pPr>
        <w:rPr>
          <w:color w:val="000000" w:themeColor="text1"/>
          <w:lang w:val="en-US"/>
        </w:rPr>
      </w:pPr>
      <w:r w:rsidRPr="00C14EF4">
        <w:rPr>
          <w:color w:val="000000" w:themeColor="text1"/>
        </w:rPr>
        <w:t xml:space="preserve">Perpetually, political-legal expertise is a tactical distinction. The first mover can translate credibility and access by </w:t>
      </w:r>
      <w:r w:rsidR="007D7E2E">
        <w:rPr>
          <w:color w:val="000000" w:themeColor="text1"/>
        </w:rPr>
        <w:t>stakeholders</w:t>
      </w:r>
      <w:r w:rsidRPr="00C14EF4">
        <w:rPr>
          <w:color w:val="000000" w:themeColor="text1"/>
        </w:rPr>
        <w:t xml:space="preserve"> into practical regulation that can influence and first-mover compliance signalling. The follower </w:t>
      </w:r>
      <w:r w:rsidR="007D7E2E">
        <w:rPr>
          <w:color w:val="000000" w:themeColor="text1"/>
        </w:rPr>
        <w:t>can</w:t>
      </w:r>
      <w:r w:rsidRPr="00C14EF4">
        <w:rPr>
          <w:color w:val="000000" w:themeColor="text1"/>
        </w:rPr>
        <w:t xml:space="preserve"> transform the concept of portability and speed into premium services that comply with a high degree of stringent service commitments and cost and risk management through administrative </w:t>
      </w:r>
      <w:r w:rsidR="007D7E2E">
        <w:rPr>
          <w:color w:val="000000" w:themeColor="text1"/>
        </w:rPr>
        <w:t>rules</w:t>
      </w:r>
      <w:r w:rsidRPr="00C14EF4">
        <w:rPr>
          <w:color w:val="000000" w:themeColor="text1"/>
        </w:rPr>
        <w:t>.</w:t>
      </w:r>
    </w:p>
    <w:p w14:paraId="3C9823C3" w14:textId="36403EED" w:rsidR="00146B14" w:rsidRPr="00C14EF4" w:rsidRDefault="0025487C" w:rsidP="00F75A6F">
      <w:pPr>
        <w:pStyle w:val="Heading1"/>
        <w:rPr>
          <w:lang w:val="en-US"/>
        </w:rPr>
      </w:pPr>
      <w:bookmarkStart w:id="5" w:name="_Toc211993370"/>
      <w:r w:rsidRPr="00C14EF4">
        <w:rPr>
          <w:lang w:val="en-US"/>
        </w:rPr>
        <w:t xml:space="preserve">Task 2: </w:t>
      </w:r>
      <w:r w:rsidR="00146B14" w:rsidRPr="00C14EF4">
        <w:rPr>
          <w:lang w:val="en-US"/>
        </w:rPr>
        <w:t>Strategic Responses and Marketing Strategies</w:t>
      </w:r>
      <w:bookmarkEnd w:id="5"/>
      <w:r w:rsidR="00146B14" w:rsidRPr="00C14EF4">
        <w:rPr>
          <w:lang w:val="en-US"/>
        </w:rPr>
        <w:t xml:space="preserve"> </w:t>
      </w:r>
    </w:p>
    <w:p w14:paraId="14D2A60A" w14:textId="1B62C73B" w:rsidR="008C5530" w:rsidRPr="00C14EF4" w:rsidRDefault="008C5530" w:rsidP="008C5530">
      <w:pPr>
        <w:pStyle w:val="Heading2"/>
        <w:rPr>
          <w:lang w:val="en-US"/>
        </w:rPr>
      </w:pPr>
      <w:bookmarkStart w:id="6" w:name="_Toc211993371"/>
      <w:r w:rsidRPr="00C14EF4">
        <w:rPr>
          <w:lang w:val="en-US"/>
        </w:rPr>
        <w:t>Pioneering Firm: Royal Mail</w:t>
      </w:r>
      <w:bookmarkEnd w:id="6"/>
      <w:r w:rsidRPr="00C14EF4">
        <w:rPr>
          <w:lang w:val="en-US"/>
        </w:rPr>
        <w:t xml:space="preserve"> </w:t>
      </w:r>
    </w:p>
    <w:p w14:paraId="24B64349" w14:textId="7CAFD019" w:rsidR="003A0639" w:rsidRPr="00C14EF4" w:rsidRDefault="003A0639" w:rsidP="003A0639">
      <w:pPr>
        <w:rPr>
          <w:color w:val="000000" w:themeColor="text1"/>
        </w:rPr>
      </w:pPr>
      <w:r w:rsidRPr="00C14EF4">
        <w:rPr>
          <w:color w:val="000000" w:themeColor="text1"/>
        </w:rPr>
        <w:t xml:space="preserve">The strategic reaction of Royal Mail to the change in technology and </w:t>
      </w:r>
      <w:r w:rsidR="007D7E2E">
        <w:rPr>
          <w:color w:val="000000" w:themeColor="text1"/>
        </w:rPr>
        <w:t>regulation</w:t>
      </w:r>
      <w:r w:rsidRPr="00C14EF4">
        <w:rPr>
          <w:color w:val="000000" w:themeColor="text1"/>
        </w:rPr>
        <w:t xml:space="preserve"> under the impact of new laws will be focused on redesigning the fundamental systems and maintaining national coverage. The business priority is </w:t>
      </w:r>
      <w:r w:rsidR="007D7E2E">
        <w:rPr>
          <w:color w:val="000000" w:themeColor="text1"/>
        </w:rPr>
        <w:t>end-to-end</w:t>
      </w:r>
      <w:r w:rsidRPr="00C14EF4">
        <w:rPr>
          <w:color w:val="000000" w:themeColor="text1"/>
        </w:rPr>
        <w:t xml:space="preserve"> digitalisation: </w:t>
      </w:r>
      <w:r w:rsidRPr="00C14EF4">
        <w:rPr>
          <w:color w:val="000000" w:themeColor="text1"/>
        </w:rPr>
        <w:lastRenderedPageBreak/>
        <w:t xml:space="preserve">computer-vision-controlled sortation, data-driven network control to balance flows, handheld devices to provide dynamic routing and reliable proof of delivery, and customer interfaces with live tracking, safe place options and streamlined returns. These improvements reduce the cycle time, stabilise the quality at the peak and provide more valuable data on operations to enable planning and designing processes. The innovation of last-mile focuses on out-of-home alternatives, parcel lockers, and </w:t>
      </w:r>
      <w:r w:rsidR="007D7E2E">
        <w:rPr>
          <w:color w:val="000000" w:themeColor="text1"/>
        </w:rPr>
        <w:t>data-informed</w:t>
      </w:r>
      <w:r w:rsidRPr="00C14EF4">
        <w:rPr>
          <w:color w:val="000000" w:themeColor="text1"/>
        </w:rPr>
        <w:t xml:space="preserve"> delivery windows that boost the first-time success and enhance stop density. The direction is supported by regulation. </w:t>
      </w:r>
    </w:p>
    <w:p w14:paraId="7F401FB5" w14:textId="2ED97502" w:rsidR="003A0639" w:rsidRPr="00C14EF4" w:rsidRDefault="003A0639" w:rsidP="003A0639">
      <w:pPr>
        <w:rPr>
          <w:color w:val="000000" w:themeColor="text1"/>
        </w:rPr>
      </w:pPr>
      <w:r w:rsidRPr="00C14EF4">
        <w:rPr>
          <w:color w:val="000000" w:themeColor="text1"/>
        </w:rPr>
        <w:t xml:space="preserve">The policies of clean air and urban emissions guide the electrification of fleets and the development of charging at depots, as well as the privacy requirements influence consent, retention, and transparency in the notifications and tracking. Royal Mail specifies a green logistics roadmap, which stages zero-emission routes in congestive regions, and optimises linehaul to reduce empty miles as well as modernising depot energy management (Said, Aeschliman and Stathopoulos, 2023). At the level of commercial pricing, it gets less crude with time-sensitive values, guaranteed delivery, and sustainability offered at value levels. Major senders have their contracts entirely changed with performance credits and less-carbon options in place, and the product design streamlines returns and makes </w:t>
      </w:r>
      <w:r w:rsidR="007D7E2E">
        <w:rPr>
          <w:color w:val="000000" w:themeColor="text1"/>
        </w:rPr>
        <w:t xml:space="preserve">the </w:t>
      </w:r>
      <w:r w:rsidRPr="00C14EF4">
        <w:rPr>
          <w:color w:val="000000" w:themeColor="text1"/>
        </w:rPr>
        <w:t xml:space="preserve">benefits by service level more understandable. </w:t>
      </w:r>
    </w:p>
    <w:p w14:paraId="768ED95D" w14:textId="01236D53" w:rsidR="008C5530" w:rsidRPr="00C14EF4" w:rsidRDefault="003A0639" w:rsidP="003A0639">
      <w:pPr>
        <w:rPr>
          <w:color w:val="000000" w:themeColor="text1"/>
        </w:rPr>
      </w:pPr>
      <w:r w:rsidRPr="00C14EF4">
        <w:rPr>
          <w:color w:val="000000" w:themeColor="text1"/>
        </w:rPr>
        <w:t>Create penetration in the market by enhancing reliability and experience in the current segments. The product development is seen in windows, which are time definite, locker access, and delivery options</w:t>
      </w:r>
      <w:r w:rsidR="007D7E2E">
        <w:rPr>
          <w:color w:val="000000" w:themeColor="text1"/>
        </w:rPr>
        <w:t>,</w:t>
      </w:r>
      <w:r w:rsidRPr="00C14EF4">
        <w:rPr>
          <w:color w:val="000000" w:themeColor="text1"/>
        </w:rPr>
        <w:t xml:space="preserve"> which are carbon conscious. Engagement in partnerships on the networks of </w:t>
      </w:r>
      <w:r w:rsidR="007D7E2E">
        <w:rPr>
          <w:color w:val="000000" w:themeColor="text1"/>
        </w:rPr>
        <w:t>out-of-home</w:t>
      </w:r>
      <w:r w:rsidRPr="00C14EF4">
        <w:rPr>
          <w:color w:val="000000" w:themeColor="text1"/>
        </w:rPr>
        <w:t xml:space="preserve"> and digital returns </w:t>
      </w:r>
      <w:r w:rsidR="007D7E2E">
        <w:rPr>
          <w:color w:val="000000" w:themeColor="text1"/>
        </w:rPr>
        <w:t>suggests</w:t>
      </w:r>
      <w:r w:rsidRPr="00C14EF4">
        <w:rPr>
          <w:color w:val="000000" w:themeColor="text1"/>
        </w:rPr>
        <w:t xml:space="preserve"> connected diversification into convenience ecosystems that </w:t>
      </w:r>
      <w:r w:rsidR="007D7E2E">
        <w:rPr>
          <w:color w:val="000000" w:themeColor="text1"/>
        </w:rPr>
        <w:t>minimise</w:t>
      </w:r>
      <w:r w:rsidRPr="00C14EF4">
        <w:rPr>
          <w:color w:val="000000" w:themeColor="text1"/>
        </w:rPr>
        <w:t xml:space="preserve"> friction throughout the experience. The portfolio is a combination of differentiation by visibility, convenience, and sustainability and selective cost leadership by automation, enhanced density, and the reduced number of re-delivery attempts through the prism of Porter. The anticipated results are concerned with the consistency of services, brand confidence, and the innovation throughput. The correct tracking and reduced defects enhance the position of the pioneer among households and enterprise shippers. The environmental development enhances eligibility in tenders that </w:t>
      </w:r>
      <w:r w:rsidR="007D7E2E">
        <w:rPr>
          <w:color w:val="000000" w:themeColor="text1"/>
        </w:rPr>
        <w:t>prioritise</w:t>
      </w:r>
      <w:r w:rsidRPr="00C14EF4">
        <w:rPr>
          <w:color w:val="000000" w:themeColor="text1"/>
        </w:rPr>
        <w:t xml:space="preserve"> the performance of </w:t>
      </w:r>
      <w:r w:rsidR="00E8616A" w:rsidRPr="00C14EF4">
        <w:rPr>
          <w:color w:val="000000" w:themeColor="text1"/>
        </w:rPr>
        <w:t>carbon and</w:t>
      </w:r>
      <w:r w:rsidRPr="00C14EF4">
        <w:rPr>
          <w:color w:val="000000" w:themeColor="text1"/>
        </w:rPr>
        <w:t xml:space="preserve"> reduces the risk of fuel and </w:t>
      </w:r>
      <w:r w:rsidRPr="00C14EF4">
        <w:rPr>
          <w:color w:val="000000" w:themeColor="text1"/>
        </w:rPr>
        <w:lastRenderedPageBreak/>
        <w:t>compliance in the medium-term.</w:t>
      </w:r>
      <w:r w:rsidR="008C5530" w:rsidRPr="00C14EF4">
        <w:rPr>
          <w:color w:val="000000" w:themeColor="text1"/>
          <w:lang w:val="en-US"/>
        </w:rPr>
        <w:t xml:space="preserve"> Principal risks include technical debt, integration complexity across a large estate, and the change-management burden of retraining and process realignment at scale.</w:t>
      </w:r>
    </w:p>
    <w:p w14:paraId="6135CEE0" w14:textId="2B44BD5C" w:rsidR="008C5530" w:rsidRPr="00C14EF4" w:rsidRDefault="008C5530" w:rsidP="008C5530">
      <w:pPr>
        <w:pStyle w:val="Heading2"/>
        <w:rPr>
          <w:lang w:val="en-US"/>
        </w:rPr>
      </w:pPr>
      <w:bookmarkStart w:id="7" w:name="_Toc211993372"/>
      <w:r w:rsidRPr="00C14EF4">
        <w:rPr>
          <w:lang w:val="en-US"/>
        </w:rPr>
        <w:t>Follower Firm: DHL Express</w:t>
      </w:r>
      <w:bookmarkEnd w:id="7"/>
      <w:r w:rsidRPr="00C14EF4">
        <w:rPr>
          <w:lang w:val="en-US"/>
        </w:rPr>
        <w:t xml:space="preserve"> </w:t>
      </w:r>
    </w:p>
    <w:p w14:paraId="684E5E95" w14:textId="6E16EC9E" w:rsidR="008C5530" w:rsidRPr="00C14EF4" w:rsidRDefault="008C5530" w:rsidP="008C5530">
      <w:pPr>
        <w:rPr>
          <w:color w:val="000000" w:themeColor="text1"/>
          <w:lang w:val="en-US"/>
        </w:rPr>
      </w:pPr>
      <w:r w:rsidRPr="00C14EF4">
        <w:rPr>
          <w:color w:val="000000" w:themeColor="text1"/>
          <w:lang w:val="en-US"/>
        </w:rPr>
        <w:t>DHL Express approaches the same macro conditions with adaptive and imitative strategies that prioritise speed, portability, and selective localisation. As a follower in the UK market, it leverages proven global modules for automation, data platforms, brokerage, and compliance, integrating them rapidly into local operations. Operationally, it deploys dynamic route optimisation, advanced shipment visibility, and robust exception analytics while piloting last-mile options, such as parcel lockers and scheduled delivery windows, once performance and compliance are validated</w:t>
      </w:r>
      <w:r w:rsidR="00EE4BBC" w:rsidRPr="00C14EF4">
        <w:rPr>
          <w:color w:val="000000" w:themeColor="text1"/>
          <w:lang w:val="en-US"/>
        </w:rPr>
        <w:t xml:space="preserve"> </w:t>
      </w:r>
      <w:r w:rsidR="00EE4BBC" w:rsidRPr="00C14EF4">
        <w:rPr>
          <w:color w:val="000000" w:themeColor="text1"/>
        </w:rPr>
        <w:t>(Chari et al., 2022)</w:t>
      </w:r>
      <w:r w:rsidRPr="00C14EF4">
        <w:rPr>
          <w:color w:val="000000" w:themeColor="text1"/>
          <w:lang w:val="en-US"/>
        </w:rPr>
        <w:t>. This reduces uncertainty and shortens time to value. At the edge, cloud-first integration and strong API capabilities enable faster onboarding of senders, partners, and out-of-home networks, supporting agile service configuration for premium time-definite segments.</w:t>
      </w:r>
    </w:p>
    <w:p w14:paraId="5813AD10" w14:textId="6E0CDB8A" w:rsidR="002C17B1" w:rsidRPr="00C14EF4" w:rsidRDefault="002C17B1" w:rsidP="002C17B1">
      <w:pPr>
        <w:jc w:val="center"/>
        <w:rPr>
          <w:color w:val="000000" w:themeColor="text1"/>
          <w:lang w:val="en-US"/>
        </w:rPr>
      </w:pPr>
      <w:r w:rsidRPr="00C14EF4">
        <w:rPr>
          <w:noProof/>
          <w:color w:val="000000" w:themeColor="text1"/>
        </w:rPr>
        <w:drawing>
          <wp:inline distT="0" distB="0" distL="0" distR="0" wp14:anchorId="401FC106" wp14:editId="06E3D0A2">
            <wp:extent cx="4124325" cy="1338643"/>
            <wp:effectExtent l="76200" t="76200" r="123825" b="128270"/>
            <wp:docPr id="1551375920" name="Picture 5" descr="Deutsche Post: Free Cash Flow Remains Strong (OTCMKTS:DPSGY)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utsche Post: Free Cash Flow Remains Strong (OTCMKTS:DPSGY) | Seeking Alph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4268" cy="1341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6C28B6" w14:textId="3F2EE86D" w:rsidR="002C17B1" w:rsidRPr="00C14EF4" w:rsidRDefault="002C17B1" w:rsidP="002C17B1">
      <w:pPr>
        <w:jc w:val="center"/>
        <w:rPr>
          <w:b/>
          <w:bCs/>
          <w:color w:val="000000" w:themeColor="text1"/>
          <w:lang w:val="en-US"/>
        </w:rPr>
      </w:pPr>
      <w:r w:rsidRPr="00C14EF4">
        <w:rPr>
          <w:b/>
          <w:bCs/>
          <w:color w:val="000000" w:themeColor="text1"/>
          <w:lang w:val="en-US"/>
        </w:rPr>
        <w:t xml:space="preserve">Figure </w:t>
      </w:r>
      <w:r w:rsidR="000E16DB" w:rsidRPr="00C14EF4">
        <w:rPr>
          <w:b/>
          <w:bCs/>
          <w:color w:val="000000" w:themeColor="text1"/>
          <w:lang w:val="en-US"/>
        </w:rPr>
        <w:t>4</w:t>
      </w:r>
      <w:r w:rsidRPr="00C14EF4">
        <w:rPr>
          <w:b/>
          <w:bCs/>
          <w:color w:val="000000" w:themeColor="text1"/>
          <w:lang w:val="en-US"/>
        </w:rPr>
        <w:t>:</w:t>
      </w:r>
      <w:r w:rsidRPr="00C14EF4">
        <w:rPr>
          <w:b/>
          <w:bCs/>
          <w:color w:val="000000" w:themeColor="text1"/>
        </w:rPr>
        <w:t xml:space="preserve"> </w:t>
      </w:r>
      <w:r w:rsidRPr="00C14EF4">
        <w:rPr>
          <w:b/>
          <w:bCs/>
          <w:color w:val="000000" w:themeColor="text1"/>
          <w:lang w:val="en-US"/>
        </w:rPr>
        <w:t>DHL Express macro conditions</w:t>
      </w:r>
    </w:p>
    <w:p w14:paraId="5C4DAF08" w14:textId="2BD1A014" w:rsidR="002C17B1" w:rsidRPr="00C14EF4" w:rsidRDefault="002C17B1" w:rsidP="002C17B1">
      <w:pPr>
        <w:jc w:val="center"/>
        <w:rPr>
          <w:color w:val="000000" w:themeColor="text1"/>
          <w:lang w:val="en-US"/>
        </w:rPr>
      </w:pPr>
      <w:r w:rsidRPr="00C14EF4">
        <w:rPr>
          <w:color w:val="000000" w:themeColor="text1"/>
          <w:lang w:val="en-US"/>
        </w:rPr>
        <w:t>(Source:</w:t>
      </w:r>
      <w:r w:rsidRPr="00C14EF4">
        <w:rPr>
          <w:color w:val="000000" w:themeColor="text1"/>
        </w:rPr>
        <w:t xml:space="preserve"> </w:t>
      </w:r>
      <w:r w:rsidRPr="00C14EF4">
        <w:rPr>
          <w:color w:val="000000" w:themeColor="text1"/>
          <w:lang w:val="en-US"/>
        </w:rPr>
        <w:t>seekingalpha.com, 2023)</w:t>
      </w:r>
    </w:p>
    <w:p w14:paraId="218F79F5" w14:textId="0DE06CCF" w:rsidR="008C5530" w:rsidRPr="00C14EF4" w:rsidRDefault="008C5530" w:rsidP="008C5530">
      <w:pPr>
        <w:rPr>
          <w:color w:val="000000" w:themeColor="text1"/>
          <w:lang w:val="en-US"/>
        </w:rPr>
      </w:pPr>
      <w:r w:rsidRPr="00C14EF4">
        <w:rPr>
          <w:color w:val="000000" w:themeColor="text1"/>
          <w:lang w:val="en-US"/>
        </w:rPr>
        <w:t xml:space="preserve">Under tightening environmental and labour rules, DHL Express emphasises targeted electrification in urban corridors, consolidated drop density through lockers and access points, and </w:t>
      </w:r>
      <w:r w:rsidR="00E8616A">
        <w:rPr>
          <w:color w:val="000000" w:themeColor="text1"/>
          <w:lang w:val="en-US"/>
        </w:rPr>
        <w:t>data-led</w:t>
      </w:r>
      <w:r w:rsidRPr="00C14EF4">
        <w:rPr>
          <w:color w:val="000000" w:themeColor="text1"/>
          <w:lang w:val="en-US"/>
        </w:rPr>
        <w:t xml:space="preserve"> energy management at facilities. Compliance playbooks from other jurisdictions are adapted to UK specifics, supporting consistent execution in customs, security, and data protection. Commercially, pricing aligns to guaranteed speed, reliability, and specialist handling, with transparent surcharges for regulatory and sustainability requirements</w:t>
      </w:r>
      <w:r w:rsidR="0012264C" w:rsidRPr="00C14EF4">
        <w:rPr>
          <w:color w:val="000000" w:themeColor="text1"/>
          <w:lang w:val="en-US"/>
        </w:rPr>
        <w:t xml:space="preserve"> </w:t>
      </w:r>
      <w:r w:rsidR="0012264C" w:rsidRPr="00C14EF4">
        <w:rPr>
          <w:color w:val="000000" w:themeColor="text1"/>
        </w:rPr>
        <w:t>(Royal Mail, 2025)</w:t>
      </w:r>
      <w:r w:rsidRPr="00C14EF4">
        <w:rPr>
          <w:color w:val="000000" w:themeColor="text1"/>
          <w:lang w:val="en-US"/>
        </w:rPr>
        <w:t xml:space="preserve">. Product design concentrates on customer-centric </w:t>
      </w:r>
      <w:r w:rsidRPr="00C14EF4">
        <w:rPr>
          <w:color w:val="000000" w:themeColor="text1"/>
          <w:lang w:val="en-US"/>
        </w:rPr>
        <w:lastRenderedPageBreak/>
        <w:t>innovation: proactive notifications, self-serve options, flexible delivery changes, and streamlined returns that minimise effort for both senders and receivers.</w:t>
      </w:r>
    </w:p>
    <w:p w14:paraId="18468133" w14:textId="77777777" w:rsidR="008C5530" w:rsidRPr="00C14EF4" w:rsidRDefault="008C5530" w:rsidP="008C5530">
      <w:pPr>
        <w:rPr>
          <w:color w:val="000000" w:themeColor="text1"/>
          <w:lang w:val="en-US"/>
        </w:rPr>
      </w:pPr>
      <w:r w:rsidRPr="00C14EF4">
        <w:rPr>
          <w:color w:val="000000" w:themeColor="text1"/>
          <w:lang w:val="en-US"/>
        </w:rPr>
        <w:t>Viewed through Ansoff, the approach prioritises market penetration in premium sub-segments by refining reliability and convenience, with selective product development in visibility features and delivery control. Related diversification appears where service bundles integrate brokerage, duty handling, and post-purchase support for cross-border e-commerce. Through Porter, differentiation is anchored in assured speed, consistent quality, and customer experience, supported by cost discipline from modular global platforms and replicable processes.</w:t>
      </w:r>
    </w:p>
    <w:p w14:paraId="63D74928" w14:textId="0EA6F79A" w:rsidR="008C5530" w:rsidRPr="00C14EF4" w:rsidRDefault="008C5530" w:rsidP="008C5530">
      <w:pPr>
        <w:rPr>
          <w:color w:val="000000" w:themeColor="text1"/>
          <w:lang w:val="en-US"/>
        </w:rPr>
      </w:pPr>
      <w:r w:rsidRPr="00C14EF4">
        <w:rPr>
          <w:color w:val="000000" w:themeColor="text1"/>
          <w:lang w:val="en-US"/>
        </w:rPr>
        <w:t>Follower strategy literature highlights second-</w:t>
      </w:r>
      <w:r w:rsidR="00E8616A" w:rsidRPr="00C14EF4">
        <w:rPr>
          <w:color w:val="000000" w:themeColor="text1"/>
          <w:lang w:val="en-US"/>
        </w:rPr>
        <w:t>move</w:t>
      </w:r>
      <w:r w:rsidRPr="00C14EF4">
        <w:rPr>
          <w:color w:val="000000" w:themeColor="text1"/>
          <w:lang w:val="en-US"/>
        </w:rPr>
        <w:t xml:space="preserve"> advantage and benchmarking. DHL Express benefits by observing pioneer investments, copying what works, and avoiding costly missteps, while reallocating capital to high-yield corridors and customer features. Benchmarking of processes, unit costs, and service outcomes across its global network underpins disciplined scaling and rapid performance convergence. Comparative performance depends on execution: the follower can excel in agility, premium reliability, and customer-centric design, though risks include over-reliance on global templates that require careful localisation, vendor lock-in that </w:t>
      </w:r>
      <w:r w:rsidR="007D7E2E" w:rsidRPr="00C14EF4">
        <w:rPr>
          <w:color w:val="000000" w:themeColor="text1"/>
          <w:lang w:val="en-US"/>
        </w:rPr>
        <w:t>limit’s</w:t>
      </w:r>
      <w:r w:rsidRPr="00C14EF4">
        <w:rPr>
          <w:color w:val="000000" w:themeColor="text1"/>
          <w:lang w:val="en-US"/>
        </w:rPr>
        <w:t xml:space="preserve"> distinctiveness, and potential lag in green infrastructure compared with ambitious local pioneers.</w:t>
      </w:r>
    </w:p>
    <w:p w14:paraId="4659E97F" w14:textId="67DD4457" w:rsidR="00146B14" w:rsidRPr="00C14EF4" w:rsidRDefault="00146B14" w:rsidP="00F75A6F">
      <w:pPr>
        <w:pStyle w:val="Heading1"/>
        <w:rPr>
          <w:lang w:val="en-US"/>
        </w:rPr>
      </w:pPr>
      <w:bookmarkStart w:id="8" w:name="_Toc211993373"/>
      <w:r w:rsidRPr="00C14EF4">
        <w:rPr>
          <w:lang w:val="en-US"/>
        </w:rPr>
        <w:t>Comparative Discussion and Synthesis</w:t>
      </w:r>
      <w:bookmarkEnd w:id="8"/>
      <w:r w:rsidRPr="00C14EF4">
        <w:rPr>
          <w:lang w:val="en-US"/>
        </w:rPr>
        <w:t xml:space="preserve"> </w:t>
      </w:r>
    </w:p>
    <w:p w14:paraId="7F95ACEB" w14:textId="739040F6" w:rsidR="00FF4DE2" w:rsidRPr="00C14EF4" w:rsidRDefault="005C07B7" w:rsidP="00FF4DE2">
      <w:pPr>
        <w:rPr>
          <w:color w:val="000000" w:themeColor="text1"/>
        </w:rPr>
      </w:pPr>
      <w:r w:rsidRPr="00C14EF4">
        <w:rPr>
          <w:color w:val="000000" w:themeColor="text1"/>
          <w:lang w:val="en-US"/>
        </w:rPr>
        <w:t xml:space="preserve">The analysis shows that both Royal Mail and DHL Express operate within the same macro </w:t>
      </w:r>
      <w:r w:rsidR="005F69C1" w:rsidRPr="00C14EF4">
        <w:rPr>
          <w:color w:val="000000" w:themeColor="text1"/>
          <w:lang w:val="en-US"/>
        </w:rPr>
        <w:t>environment</w:t>
      </w:r>
      <w:r w:rsidR="005F69C1">
        <w:rPr>
          <w:color w:val="000000" w:themeColor="text1"/>
          <w:lang w:val="en-US"/>
        </w:rPr>
        <w:t xml:space="preserve"> yet</w:t>
      </w:r>
      <w:r w:rsidRPr="00C14EF4">
        <w:rPr>
          <w:color w:val="000000" w:themeColor="text1"/>
          <w:lang w:val="en-US"/>
        </w:rPr>
        <w:t xml:space="preserve"> </w:t>
      </w:r>
      <w:r w:rsidR="00592F95" w:rsidRPr="00C14EF4">
        <w:rPr>
          <w:color w:val="000000" w:themeColor="text1"/>
          <w:lang w:val="en-US"/>
        </w:rPr>
        <w:t>pursuing</w:t>
      </w:r>
      <w:r w:rsidRPr="00C14EF4">
        <w:rPr>
          <w:color w:val="000000" w:themeColor="text1"/>
          <w:lang w:val="en-US"/>
        </w:rPr>
        <w:t xml:space="preserve"> distinct pathways to competitiveness. Royal Mail’s pioneering role </w:t>
      </w:r>
      <w:r w:rsidR="005F69C1" w:rsidRPr="00C14EF4">
        <w:rPr>
          <w:color w:val="000000" w:themeColor="text1"/>
          <w:lang w:val="en-US"/>
        </w:rPr>
        <w:t>emphasizes</w:t>
      </w:r>
      <w:r w:rsidRPr="00C14EF4">
        <w:rPr>
          <w:color w:val="000000" w:themeColor="text1"/>
          <w:lang w:val="en-US"/>
        </w:rPr>
        <w:t xml:space="preserve"> technological renewal within an established national network, balancing innovation with the challenge of legacy systems and large-scale workforce adaptation. Its risk tolerance is moderate, grounded in stability and regulatory accountability, while innovation speed is constrained by </w:t>
      </w:r>
      <w:r w:rsidR="005F69C1" w:rsidRPr="00C14EF4">
        <w:rPr>
          <w:color w:val="000000" w:themeColor="text1"/>
          <w:lang w:val="en-US"/>
        </w:rPr>
        <w:t>organizational</w:t>
      </w:r>
      <w:r w:rsidRPr="00C14EF4">
        <w:rPr>
          <w:color w:val="000000" w:themeColor="text1"/>
          <w:lang w:val="en-US"/>
        </w:rPr>
        <w:t xml:space="preserve"> size and public service obligations. </w:t>
      </w:r>
      <w:r w:rsidR="00FF4DE2" w:rsidRPr="00C14EF4">
        <w:rPr>
          <w:color w:val="000000" w:themeColor="text1"/>
        </w:rPr>
        <w:t xml:space="preserve">As a follower, DHL Express is more agile and uses proven technologies by incorporating and enhancing them based on modular integration and selective localisation. It has a smaller domestic presence and international network, which facilitates quick experimentation and benchmarking (DHL Express, 2025). </w:t>
      </w:r>
    </w:p>
    <w:p w14:paraId="64A39B95" w14:textId="5842EBCF" w:rsidR="00FE5B88" w:rsidRPr="00C14EF4" w:rsidRDefault="00FE5B88" w:rsidP="00FE5B88">
      <w:pPr>
        <w:jc w:val="center"/>
        <w:rPr>
          <w:color w:val="000000" w:themeColor="text1"/>
        </w:rPr>
      </w:pPr>
      <w:r w:rsidRPr="00C14EF4">
        <w:rPr>
          <w:noProof/>
          <w:color w:val="000000" w:themeColor="text1"/>
        </w:rPr>
        <w:lastRenderedPageBreak/>
        <w:drawing>
          <wp:inline distT="0" distB="0" distL="0" distR="0" wp14:anchorId="16128963" wp14:editId="068E867F">
            <wp:extent cx="3733800" cy="1890037"/>
            <wp:effectExtent l="76200" t="76200" r="133350" b="129540"/>
            <wp:docPr id="1621642438" name="Picture 4" descr="UK Green Logistics Market Size &amp; Outlook,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K Green Logistics Market Size &amp; Outlook, 203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47992" cy="18972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6DB29D" w14:textId="1FF5E80B" w:rsidR="00FE5B88" w:rsidRPr="00C14EF4" w:rsidRDefault="00FE5B88" w:rsidP="00FE5B88">
      <w:pPr>
        <w:jc w:val="center"/>
        <w:rPr>
          <w:b/>
          <w:bCs/>
          <w:color w:val="000000" w:themeColor="text1"/>
        </w:rPr>
      </w:pPr>
      <w:r w:rsidRPr="00C14EF4">
        <w:rPr>
          <w:b/>
          <w:bCs/>
          <w:color w:val="000000" w:themeColor="text1"/>
        </w:rPr>
        <w:t xml:space="preserve">Figure </w:t>
      </w:r>
      <w:r w:rsidR="000E16DB" w:rsidRPr="00C14EF4">
        <w:rPr>
          <w:b/>
          <w:bCs/>
          <w:color w:val="000000" w:themeColor="text1"/>
        </w:rPr>
        <w:t>5</w:t>
      </w:r>
      <w:r w:rsidRPr="00C14EF4">
        <w:rPr>
          <w:b/>
          <w:bCs/>
          <w:color w:val="000000" w:themeColor="text1"/>
        </w:rPr>
        <w:t>: Green Logistics in the UK</w:t>
      </w:r>
    </w:p>
    <w:p w14:paraId="45353726" w14:textId="243B7EB9" w:rsidR="00FE5B88" w:rsidRPr="00C14EF4" w:rsidRDefault="00FE5B88" w:rsidP="00FE5B88">
      <w:pPr>
        <w:jc w:val="center"/>
        <w:rPr>
          <w:color w:val="000000" w:themeColor="text1"/>
        </w:rPr>
      </w:pPr>
      <w:r w:rsidRPr="00C14EF4">
        <w:rPr>
          <w:color w:val="000000" w:themeColor="text1"/>
        </w:rPr>
        <w:t>(Source: grandviewresearch.com, 2024)</w:t>
      </w:r>
    </w:p>
    <w:p w14:paraId="2C17AF9B" w14:textId="556DCE93" w:rsidR="00FF4DE2" w:rsidRDefault="00FF4DE2" w:rsidP="00FF4DE2">
      <w:pPr>
        <w:rPr>
          <w:color w:val="000000" w:themeColor="text1"/>
        </w:rPr>
      </w:pPr>
      <w:r w:rsidRPr="00C14EF4">
        <w:rPr>
          <w:color w:val="000000" w:themeColor="text1"/>
        </w:rPr>
        <w:t>In principle, first movers take uncertainty and establish industry practices, whereas second movers take advantage of learning processes and timing benefits where the payoffs of innovation become clear. In dynamic environments</w:t>
      </w:r>
      <w:r w:rsidR="007D7E2E">
        <w:rPr>
          <w:color w:val="000000" w:themeColor="text1"/>
        </w:rPr>
        <w:t>,</w:t>
      </w:r>
      <w:r w:rsidRPr="00C14EF4">
        <w:rPr>
          <w:color w:val="000000" w:themeColor="text1"/>
        </w:rPr>
        <w:t xml:space="preserve"> the success aspect does not rely much on the order of entry but </w:t>
      </w:r>
      <w:r w:rsidR="007D7E2E">
        <w:rPr>
          <w:color w:val="000000" w:themeColor="text1"/>
        </w:rPr>
        <w:t xml:space="preserve">on </w:t>
      </w:r>
      <w:r w:rsidRPr="00C14EF4">
        <w:rPr>
          <w:color w:val="000000" w:themeColor="text1"/>
        </w:rPr>
        <w:t xml:space="preserve">the dynamic capabilities of the firm to sense, capture and </w:t>
      </w:r>
      <w:r w:rsidR="007D7E2E">
        <w:rPr>
          <w:color w:val="000000" w:themeColor="text1"/>
        </w:rPr>
        <w:t>reorganise</w:t>
      </w:r>
      <w:r w:rsidRPr="00C14EF4">
        <w:rPr>
          <w:color w:val="000000" w:themeColor="text1"/>
        </w:rPr>
        <w:t xml:space="preserve"> assets to align with an external change. The advantages Royal Mail has are </w:t>
      </w:r>
      <w:r w:rsidR="007D7E2E">
        <w:rPr>
          <w:color w:val="000000" w:themeColor="text1"/>
        </w:rPr>
        <w:t>those</w:t>
      </w:r>
      <w:r w:rsidRPr="00C14EF4">
        <w:rPr>
          <w:color w:val="000000" w:themeColor="text1"/>
        </w:rPr>
        <w:t xml:space="preserve"> of scale, trust, and institutional credibility; those of DHL Express are flexibility, precision, and customer experience. The synthesis highlights that the ability to remain competitive in logistics is based on the ability to balance between innovative stability and follower flexibility in the context of constant technological and regulatory change.</w:t>
      </w:r>
    </w:p>
    <w:p w14:paraId="70D90351" w14:textId="77777777" w:rsidR="005F69C1" w:rsidRPr="00C14EF4" w:rsidRDefault="005F69C1" w:rsidP="005F69C1">
      <w:pPr>
        <w:pStyle w:val="Heading1"/>
        <w:rPr>
          <w:lang w:val="en-US"/>
        </w:rPr>
      </w:pPr>
      <w:bookmarkStart w:id="9" w:name="_Toc211993374"/>
      <w:r w:rsidRPr="00C14EF4">
        <w:t>Comparative Strategy Matrix: Royal Mail (Pioneer) vs DHL Express (Follower)</w:t>
      </w:r>
      <w:bookmarkEnd w:id="9"/>
    </w:p>
    <w:tbl>
      <w:tblPr>
        <w:tblStyle w:val="TableGrid"/>
        <w:tblW w:w="0" w:type="auto"/>
        <w:tblLook w:val="04A0" w:firstRow="1" w:lastRow="0" w:firstColumn="1" w:lastColumn="0" w:noHBand="0" w:noVBand="1"/>
      </w:tblPr>
      <w:tblGrid>
        <w:gridCol w:w="1978"/>
        <w:gridCol w:w="3595"/>
        <w:gridCol w:w="3777"/>
      </w:tblGrid>
      <w:tr w:rsidR="005F69C1" w:rsidRPr="00C14EF4" w14:paraId="25D468A7" w14:textId="77777777" w:rsidTr="003F67DB">
        <w:tc>
          <w:tcPr>
            <w:tcW w:w="0" w:type="auto"/>
            <w:hideMark/>
          </w:tcPr>
          <w:p w14:paraId="50611D08"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Dimension</w:t>
            </w:r>
          </w:p>
        </w:tc>
        <w:tc>
          <w:tcPr>
            <w:tcW w:w="0" w:type="auto"/>
            <w:hideMark/>
          </w:tcPr>
          <w:p w14:paraId="38A3973F"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Royal Mail</w:t>
            </w:r>
          </w:p>
        </w:tc>
        <w:tc>
          <w:tcPr>
            <w:tcW w:w="0" w:type="auto"/>
            <w:hideMark/>
          </w:tcPr>
          <w:p w14:paraId="76EE0F78"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DHL Express</w:t>
            </w:r>
          </w:p>
        </w:tc>
      </w:tr>
      <w:tr w:rsidR="005F69C1" w:rsidRPr="00C14EF4" w14:paraId="3E9E2B31" w14:textId="77777777" w:rsidTr="003F67DB">
        <w:tc>
          <w:tcPr>
            <w:tcW w:w="0" w:type="auto"/>
            <w:hideMark/>
          </w:tcPr>
          <w:p w14:paraId="60BFA476"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Positioning</w:t>
            </w:r>
          </w:p>
        </w:tc>
        <w:tc>
          <w:tcPr>
            <w:tcW w:w="0" w:type="auto"/>
            <w:hideMark/>
          </w:tcPr>
          <w:p w14:paraId="33151BE2"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National coverage, universal service reputation</w:t>
            </w:r>
          </w:p>
        </w:tc>
        <w:tc>
          <w:tcPr>
            <w:tcW w:w="0" w:type="auto"/>
            <w:hideMark/>
          </w:tcPr>
          <w:p w14:paraId="4BDB7ED9"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Premium international express, selective UK focus</w:t>
            </w:r>
          </w:p>
        </w:tc>
      </w:tr>
      <w:tr w:rsidR="005F69C1" w:rsidRPr="00C14EF4" w14:paraId="2C5AA44C" w14:textId="77777777" w:rsidTr="003F67DB">
        <w:tc>
          <w:tcPr>
            <w:tcW w:w="0" w:type="auto"/>
            <w:hideMark/>
          </w:tcPr>
          <w:p w14:paraId="54EBC0E7"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Technology Approach</w:t>
            </w:r>
          </w:p>
        </w:tc>
        <w:tc>
          <w:tcPr>
            <w:tcW w:w="0" w:type="auto"/>
            <w:hideMark/>
          </w:tcPr>
          <w:p w14:paraId="73545068" w14:textId="348DC853" w:rsidR="005F69C1" w:rsidRPr="00C14EF4" w:rsidRDefault="005F69C1" w:rsidP="003F67DB">
            <w:pPr>
              <w:spacing w:after="160" w:line="240" w:lineRule="auto"/>
              <w:jc w:val="left"/>
              <w:rPr>
                <w:color w:val="000000" w:themeColor="text1"/>
                <w:lang w:val="en-US"/>
              </w:rPr>
            </w:pPr>
            <w:r w:rsidRPr="00C14EF4">
              <w:rPr>
                <w:color w:val="000000" w:themeColor="text1"/>
                <w:lang w:val="en-US"/>
              </w:rPr>
              <w:t>Modernize legacy platforms, phased automation</w:t>
            </w:r>
          </w:p>
        </w:tc>
        <w:tc>
          <w:tcPr>
            <w:tcW w:w="0" w:type="auto"/>
            <w:hideMark/>
          </w:tcPr>
          <w:p w14:paraId="049D949B"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Proven global modules, rapid API-led integration</w:t>
            </w:r>
          </w:p>
        </w:tc>
      </w:tr>
      <w:tr w:rsidR="005F69C1" w:rsidRPr="00C14EF4" w14:paraId="206FE461" w14:textId="77777777" w:rsidTr="003F67DB">
        <w:tc>
          <w:tcPr>
            <w:tcW w:w="0" w:type="auto"/>
            <w:hideMark/>
          </w:tcPr>
          <w:p w14:paraId="2C5DD4F9"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Last-Mile Model</w:t>
            </w:r>
          </w:p>
        </w:tc>
        <w:tc>
          <w:tcPr>
            <w:tcW w:w="0" w:type="auto"/>
            <w:hideMark/>
          </w:tcPr>
          <w:p w14:paraId="26C0145F"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Lockers, out-of-home scaling, dynamic windows</w:t>
            </w:r>
          </w:p>
        </w:tc>
        <w:tc>
          <w:tcPr>
            <w:tcW w:w="0" w:type="auto"/>
            <w:hideMark/>
          </w:tcPr>
          <w:p w14:paraId="31DA5807" w14:textId="5869BA87" w:rsidR="005F69C1" w:rsidRPr="00C14EF4" w:rsidRDefault="005F69C1" w:rsidP="003F67DB">
            <w:pPr>
              <w:spacing w:after="160" w:line="240" w:lineRule="auto"/>
              <w:jc w:val="left"/>
              <w:rPr>
                <w:color w:val="000000" w:themeColor="text1"/>
                <w:lang w:val="en-US"/>
              </w:rPr>
            </w:pPr>
            <w:r w:rsidRPr="00C14EF4">
              <w:rPr>
                <w:color w:val="000000" w:themeColor="text1"/>
                <w:lang w:val="en-US"/>
              </w:rPr>
              <w:t xml:space="preserve">Access points, timed delivery, </w:t>
            </w:r>
            <w:r>
              <w:rPr>
                <w:color w:val="000000" w:themeColor="text1"/>
                <w:lang w:val="en-US"/>
              </w:rPr>
              <w:t xml:space="preserve">and </w:t>
            </w:r>
            <w:r w:rsidRPr="00C14EF4">
              <w:rPr>
                <w:color w:val="000000" w:themeColor="text1"/>
                <w:lang w:val="en-US"/>
              </w:rPr>
              <w:t>courier specialization</w:t>
            </w:r>
          </w:p>
        </w:tc>
      </w:tr>
      <w:tr w:rsidR="005F69C1" w:rsidRPr="00C14EF4" w14:paraId="5DA87818" w14:textId="77777777" w:rsidTr="003F67DB">
        <w:tc>
          <w:tcPr>
            <w:tcW w:w="0" w:type="auto"/>
            <w:hideMark/>
          </w:tcPr>
          <w:p w14:paraId="7F991CEC"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lastRenderedPageBreak/>
              <w:t>Compliance Capability</w:t>
            </w:r>
          </w:p>
        </w:tc>
        <w:tc>
          <w:tcPr>
            <w:tcW w:w="0" w:type="auto"/>
            <w:hideMark/>
          </w:tcPr>
          <w:p w14:paraId="2FF79913"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Institutional relationships, extensive governance</w:t>
            </w:r>
          </w:p>
        </w:tc>
        <w:tc>
          <w:tcPr>
            <w:tcW w:w="0" w:type="auto"/>
            <w:hideMark/>
          </w:tcPr>
          <w:p w14:paraId="48B833CF"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Portable playbooks, strong brokerage and security standards</w:t>
            </w:r>
          </w:p>
        </w:tc>
      </w:tr>
      <w:tr w:rsidR="005F69C1" w:rsidRPr="00C14EF4" w14:paraId="4B8862CA" w14:textId="77777777" w:rsidTr="003F67DB">
        <w:tc>
          <w:tcPr>
            <w:tcW w:w="0" w:type="auto"/>
            <w:hideMark/>
          </w:tcPr>
          <w:p w14:paraId="23142024"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Sustainability Path</w:t>
            </w:r>
          </w:p>
        </w:tc>
        <w:tc>
          <w:tcPr>
            <w:tcW w:w="0" w:type="auto"/>
            <w:hideMark/>
          </w:tcPr>
          <w:p w14:paraId="5621BC60" w14:textId="4E8891C4" w:rsidR="005F69C1" w:rsidRPr="00C14EF4" w:rsidRDefault="005F69C1" w:rsidP="003F67DB">
            <w:pPr>
              <w:spacing w:after="160" w:line="240" w:lineRule="auto"/>
              <w:jc w:val="left"/>
              <w:rPr>
                <w:color w:val="000000" w:themeColor="text1"/>
                <w:lang w:val="en-US"/>
              </w:rPr>
            </w:pPr>
            <w:r w:rsidRPr="00C14EF4">
              <w:rPr>
                <w:color w:val="000000" w:themeColor="text1"/>
                <w:lang w:val="en-US"/>
              </w:rPr>
              <w:t xml:space="preserve">Urban electrification, linehaul </w:t>
            </w:r>
            <w:r w:rsidR="00E4361D">
              <w:rPr>
                <w:color w:val="000000" w:themeColor="text1"/>
                <w:lang w:val="en-US"/>
              </w:rPr>
              <w:t>optimisation</w:t>
            </w:r>
          </w:p>
        </w:tc>
        <w:tc>
          <w:tcPr>
            <w:tcW w:w="0" w:type="auto"/>
            <w:hideMark/>
          </w:tcPr>
          <w:p w14:paraId="67448AA9"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Targeted zero-emission corridors, facility energy management</w:t>
            </w:r>
          </w:p>
        </w:tc>
      </w:tr>
      <w:tr w:rsidR="005F69C1" w:rsidRPr="00C14EF4" w14:paraId="09F9B612" w14:textId="77777777" w:rsidTr="003F67DB">
        <w:tc>
          <w:tcPr>
            <w:tcW w:w="0" w:type="auto"/>
            <w:hideMark/>
          </w:tcPr>
          <w:p w14:paraId="4A42C0B7"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Pricing Logic</w:t>
            </w:r>
          </w:p>
        </w:tc>
        <w:tc>
          <w:tcPr>
            <w:tcW w:w="0" w:type="auto"/>
            <w:hideMark/>
          </w:tcPr>
          <w:p w14:paraId="7DE80471"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Tiered value with carbon-aware options</w:t>
            </w:r>
          </w:p>
        </w:tc>
        <w:tc>
          <w:tcPr>
            <w:tcW w:w="0" w:type="auto"/>
            <w:hideMark/>
          </w:tcPr>
          <w:p w14:paraId="48FF6CB2"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Speed/reliability premia, transparent regulatory surcharges</w:t>
            </w:r>
          </w:p>
        </w:tc>
      </w:tr>
      <w:tr w:rsidR="005F69C1" w:rsidRPr="00C14EF4" w14:paraId="1ED259C3" w14:textId="77777777" w:rsidTr="003F67DB">
        <w:tc>
          <w:tcPr>
            <w:tcW w:w="0" w:type="auto"/>
            <w:hideMark/>
          </w:tcPr>
          <w:p w14:paraId="4BCA7601"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Customer Experience</w:t>
            </w:r>
          </w:p>
        </w:tc>
        <w:tc>
          <w:tcPr>
            <w:tcW w:w="0" w:type="auto"/>
            <w:hideMark/>
          </w:tcPr>
          <w:p w14:paraId="311DD74F"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Enhanced tracking, simplified returns</w:t>
            </w:r>
          </w:p>
        </w:tc>
        <w:tc>
          <w:tcPr>
            <w:tcW w:w="0" w:type="auto"/>
            <w:hideMark/>
          </w:tcPr>
          <w:p w14:paraId="60D9CE75"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Proactive notifications, flexible delivery changes, self-serve</w:t>
            </w:r>
          </w:p>
        </w:tc>
      </w:tr>
      <w:tr w:rsidR="005F69C1" w:rsidRPr="00C14EF4" w14:paraId="61D6ED1D" w14:textId="77777777" w:rsidTr="003F67DB">
        <w:tc>
          <w:tcPr>
            <w:tcW w:w="0" w:type="auto"/>
            <w:hideMark/>
          </w:tcPr>
          <w:p w14:paraId="06CA5FF7"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Key Advantages</w:t>
            </w:r>
          </w:p>
        </w:tc>
        <w:tc>
          <w:tcPr>
            <w:tcW w:w="0" w:type="auto"/>
            <w:hideMark/>
          </w:tcPr>
          <w:p w14:paraId="1CD03D35"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Scale, trust, postcode reach</w:t>
            </w:r>
          </w:p>
        </w:tc>
        <w:tc>
          <w:tcPr>
            <w:tcW w:w="0" w:type="auto"/>
            <w:hideMark/>
          </w:tcPr>
          <w:p w14:paraId="7BC8CFC0"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Agility, benchmarking, execution precision</w:t>
            </w:r>
          </w:p>
        </w:tc>
      </w:tr>
      <w:tr w:rsidR="005F69C1" w:rsidRPr="00C14EF4" w14:paraId="63871DCD" w14:textId="77777777" w:rsidTr="003F67DB">
        <w:tc>
          <w:tcPr>
            <w:tcW w:w="0" w:type="auto"/>
            <w:hideMark/>
          </w:tcPr>
          <w:p w14:paraId="0D534ED3"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Primary Risks</w:t>
            </w:r>
          </w:p>
        </w:tc>
        <w:tc>
          <w:tcPr>
            <w:tcW w:w="0" w:type="auto"/>
            <w:hideMark/>
          </w:tcPr>
          <w:p w14:paraId="5003AD99"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Technical debt, change fatigue</w:t>
            </w:r>
          </w:p>
        </w:tc>
        <w:tc>
          <w:tcPr>
            <w:tcW w:w="0" w:type="auto"/>
            <w:hideMark/>
          </w:tcPr>
          <w:p w14:paraId="3827A238"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Template rigidity, vendor lock-in</w:t>
            </w:r>
          </w:p>
        </w:tc>
      </w:tr>
      <w:tr w:rsidR="005F69C1" w:rsidRPr="00C14EF4" w14:paraId="32D90ED2" w14:textId="77777777" w:rsidTr="003F67DB">
        <w:tc>
          <w:tcPr>
            <w:tcW w:w="0" w:type="auto"/>
            <w:hideMark/>
          </w:tcPr>
          <w:p w14:paraId="518F2B0C" w14:textId="77777777" w:rsidR="005F69C1" w:rsidRPr="00C14EF4" w:rsidRDefault="005F69C1" w:rsidP="003F67DB">
            <w:pPr>
              <w:spacing w:after="160" w:line="240" w:lineRule="auto"/>
              <w:jc w:val="center"/>
              <w:rPr>
                <w:b/>
                <w:bCs/>
                <w:color w:val="000000" w:themeColor="text1"/>
                <w:lang w:val="en-US"/>
              </w:rPr>
            </w:pPr>
            <w:r w:rsidRPr="00C14EF4">
              <w:rPr>
                <w:b/>
                <w:bCs/>
                <w:color w:val="000000" w:themeColor="text1"/>
                <w:lang w:val="en-US"/>
              </w:rPr>
              <w:t>Critical KPIs</w:t>
            </w:r>
          </w:p>
        </w:tc>
        <w:tc>
          <w:tcPr>
            <w:tcW w:w="0" w:type="auto"/>
            <w:hideMark/>
          </w:tcPr>
          <w:p w14:paraId="7C734293"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On-time performance, first-time delivery rate, unit cost, carbon intensity, customer satisfaction, claim rate</w:t>
            </w:r>
          </w:p>
        </w:tc>
        <w:tc>
          <w:tcPr>
            <w:tcW w:w="0" w:type="auto"/>
            <w:hideMark/>
          </w:tcPr>
          <w:p w14:paraId="6CCDEBB9" w14:textId="77777777" w:rsidR="005F69C1" w:rsidRPr="00C14EF4" w:rsidRDefault="005F69C1" w:rsidP="003F67DB">
            <w:pPr>
              <w:spacing w:after="160" w:line="240" w:lineRule="auto"/>
              <w:jc w:val="left"/>
              <w:rPr>
                <w:color w:val="000000" w:themeColor="text1"/>
                <w:lang w:val="en-US"/>
              </w:rPr>
            </w:pPr>
            <w:r w:rsidRPr="00C14EF4">
              <w:rPr>
                <w:color w:val="000000" w:themeColor="text1"/>
                <w:lang w:val="en-US"/>
              </w:rPr>
              <w:t>On-time performance, first-time delivery rate, unit cost, carbon intensity, customer satisfaction, claim rate</w:t>
            </w:r>
          </w:p>
        </w:tc>
      </w:tr>
    </w:tbl>
    <w:p w14:paraId="6972B6BB" w14:textId="77777777" w:rsidR="005F69C1" w:rsidRDefault="005F69C1" w:rsidP="00FF4DE2">
      <w:pPr>
        <w:rPr>
          <w:color w:val="000000" w:themeColor="text1"/>
        </w:rPr>
      </w:pPr>
    </w:p>
    <w:p w14:paraId="20E43D8A" w14:textId="77777777" w:rsidR="005F69C1" w:rsidRPr="00C14EF4" w:rsidRDefault="005F69C1" w:rsidP="00FF4DE2">
      <w:pPr>
        <w:rPr>
          <w:color w:val="000000" w:themeColor="text1"/>
          <w:lang w:val="en-US"/>
        </w:rPr>
      </w:pPr>
    </w:p>
    <w:p w14:paraId="16E96DF4" w14:textId="342ABE97" w:rsidR="00146B14" w:rsidRPr="00C14EF4" w:rsidRDefault="00146B14" w:rsidP="00F75A6F">
      <w:pPr>
        <w:pStyle w:val="Heading1"/>
        <w:rPr>
          <w:lang w:val="en-US"/>
        </w:rPr>
      </w:pPr>
      <w:bookmarkStart w:id="10" w:name="_Toc211993375"/>
      <w:r w:rsidRPr="00C14EF4">
        <w:rPr>
          <w:lang w:val="en-US"/>
        </w:rPr>
        <w:t>Conclusion and Recommendations</w:t>
      </w:r>
      <w:bookmarkEnd w:id="10"/>
      <w:r w:rsidRPr="00C14EF4">
        <w:rPr>
          <w:lang w:val="en-US"/>
        </w:rPr>
        <w:t xml:space="preserve"> </w:t>
      </w:r>
    </w:p>
    <w:p w14:paraId="67865CBF" w14:textId="7EA059B0" w:rsidR="00766650" w:rsidRPr="00C14EF4" w:rsidRDefault="00766650" w:rsidP="00766650">
      <w:pPr>
        <w:rPr>
          <w:color w:val="000000" w:themeColor="text1"/>
        </w:rPr>
      </w:pPr>
      <w:r w:rsidRPr="00C14EF4">
        <w:rPr>
          <w:color w:val="000000" w:themeColor="text1"/>
        </w:rPr>
        <w:t xml:space="preserve">The parcel and express delivery market of the UK is </w:t>
      </w:r>
      <w:r w:rsidR="007D7E2E">
        <w:rPr>
          <w:color w:val="000000" w:themeColor="text1"/>
        </w:rPr>
        <w:t>changing</w:t>
      </w:r>
      <w:r w:rsidRPr="00C14EF4">
        <w:rPr>
          <w:color w:val="000000" w:themeColor="text1"/>
        </w:rPr>
        <w:t xml:space="preserve"> due to technology and political </w:t>
      </w:r>
      <w:r w:rsidR="007D7E2E">
        <w:rPr>
          <w:color w:val="000000" w:themeColor="text1"/>
        </w:rPr>
        <w:t xml:space="preserve">and </w:t>
      </w:r>
      <w:r w:rsidRPr="00C14EF4">
        <w:rPr>
          <w:color w:val="000000" w:themeColor="text1"/>
        </w:rPr>
        <w:t>legal regulation</w:t>
      </w:r>
      <w:r w:rsidR="007D7E2E">
        <w:rPr>
          <w:color w:val="000000" w:themeColor="text1"/>
        </w:rPr>
        <w:t>,</w:t>
      </w:r>
      <w:r w:rsidRPr="00C14EF4">
        <w:rPr>
          <w:color w:val="000000" w:themeColor="text1"/>
        </w:rPr>
        <w:t xml:space="preserve"> which is compelling both innovators and imitators to redefine their approach to strategy, operations and marketing. The innovative nature of Royal Mail offers it the magnitude and credibility at the expense of structural rigidity</w:t>
      </w:r>
      <w:r w:rsidR="007D7E2E">
        <w:rPr>
          <w:color w:val="000000" w:themeColor="text1"/>
        </w:rPr>
        <w:t>,</w:t>
      </w:r>
      <w:r w:rsidRPr="00C14EF4">
        <w:rPr>
          <w:color w:val="000000" w:themeColor="text1"/>
        </w:rPr>
        <w:t xml:space="preserve"> and the follower model of DHL Express offers it the speed and versatility within the framework of a globally standardised </w:t>
      </w:r>
      <w:r w:rsidR="007D7E2E">
        <w:rPr>
          <w:color w:val="000000" w:themeColor="text1"/>
        </w:rPr>
        <w:t>organisation</w:t>
      </w:r>
      <w:r w:rsidRPr="00C14EF4">
        <w:rPr>
          <w:color w:val="000000" w:themeColor="text1"/>
        </w:rPr>
        <w:t>.</w:t>
      </w:r>
      <w:r w:rsidR="0085577D">
        <w:rPr>
          <w:color w:val="000000" w:themeColor="text1"/>
        </w:rPr>
        <w:t xml:space="preserve"> Both companies understand digitalisation, automation, and environmental responsibility, but differ in risks and implementation speed.</w:t>
      </w:r>
    </w:p>
    <w:p w14:paraId="28A0FD5B" w14:textId="21D598E4" w:rsidR="00766650" w:rsidRPr="00C14EF4" w:rsidRDefault="00766650" w:rsidP="00766650">
      <w:pPr>
        <w:rPr>
          <w:color w:val="000000" w:themeColor="text1"/>
        </w:rPr>
      </w:pPr>
      <w:r w:rsidRPr="00C14EF4">
        <w:rPr>
          <w:color w:val="000000" w:themeColor="text1"/>
        </w:rPr>
        <w:t xml:space="preserve">In the case of Royal Mail, competition could be enhanced by hastening digital change, reskilling </w:t>
      </w:r>
      <w:r w:rsidR="007D7E2E">
        <w:rPr>
          <w:color w:val="000000" w:themeColor="text1"/>
        </w:rPr>
        <w:t xml:space="preserve">the </w:t>
      </w:r>
      <w:r w:rsidRPr="00C14EF4">
        <w:rPr>
          <w:color w:val="000000" w:themeColor="text1"/>
        </w:rPr>
        <w:t xml:space="preserve">workforce, and </w:t>
      </w:r>
      <w:r w:rsidR="007D7E2E">
        <w:rPr>
          <w:color w:val="000000" w:themeColor="text1"/>
        </w:rPr>
        <w:t>improving</w:t>
      </w:r>
      <w:r w:rsidRPr="00C14EF4">
        <w:rPr>
          <w:color w:val="000000" w:themeColor="text1"/>
        </w:rPr>
        <w:t xml:space="preserve"> integration of data through systems to enhance agility. Brand equity and long-term resilience can be improved with the help of </w:t>
      </w:r>
      <w:r w:rsidR="007D7E2E">
        <w:rPr>
          <w:color w:val="000000" w:themeColor="text1"/>
        </w:rPr>
        <w:t xml:space="preserve">the </w:t>
      </w:r>
      <w:r w:rsidRPr="00C14EF4">
        <w:rPr>
          <w:color w:val="000000" w:themeColor="text1"/>
        </w:rPr>
        <w:t xml:space="preserve">expansion of zero-emission delivery networks and tiered pricing in relation to </w:t>
      </w:r>
      <w:r w:rsidRPr="00C14EF4">
        <w:rPr>
          <w:color w:val="000000" w:themeColor="text1"/>
        </w:rPr>
        <w:lastRenderedPageBreak/>
        <w:t xml:space="preserve">sustainability performance. DHL Express ought to keep using global innovation and </w:t>
      </w:r>
      <w:r w:rsidR="007D7E2E">
        <w:rPr>
          <w:color w:val="000000" w:themeColor="text1"/>
        </w:rPr>
        <w:t>customise</w:t>
      </w:r>
      <w:r w:rsidRPr="00C14EF4">
        <w:rPr>
          <w:color w:val="000000" w:themeColor="text1"/>
        </w:rPr>
        <w:t xml:space="preserve"> solutions to </w:t>
      </w:r>
      <w:r w:rsidR="007D7E2E">
        <w:rPr>
          <w:color w:val="000000" w:themeColor="text1"/>
        </w:rPr>
        <w:t xml:space="preserve">the </w:t>
      </w:r>
      <w:r w:rsidRPr="00C14EF4">
        <w:rPr>
          <w:color w:val="000000" w:themeColor="text1"/>
        </w:rPr>
        <w:t xml:space="preserve">local regulatory and customer environment. </w:t>
      </w:r>
    </w:p>
    <w:p w14:paraId="43244A19" w14:textId="73F463FE" w:rsidR="00766650" w:rsidRPr="00C14EF4" w:rsidRDefault="00766650" w:rsidP="00766650">
      <w:pPr>
        <w:rPr>
          <w:color w:val="000000" w:themeColor="text1"/>
        </w:rPr>
      </w:pPr>
      <w:r w:rsidRPr="00C14EF4">
        <w:rPr>
          <w:color w:val="000000" w:themeColor="text1"/>
        </w:rPr>
        <w:t xml:space="preserve">As a manager, the industry requires </w:t>
      </w:r>
      <w:r w:rsidR="007D7E2E">
        <w:rPr>
          <w:color w:val="000000" w:themeColor="text1"/>
        </w:rPr>
        <w:t xml:space="preserve">a </w:t>
      </w:r>
      <w:r w:rsidRPr="00C14EF4">
        <w:rPr>
          <w:color w:val="000000" w:themeColor="text1"/>
        </w:rPr>
        <w:t xml:space="preserve">successful strategy that requires ongoing environmental scanning, cross-functional dynamism, and clear communication with the stakeholders. The companies that will maintain the benefits of technological innovation by integrating it with regulatory foresight will remain competitive and retain </w:t>
      </w:r>
      <w:r w:rsidR="007D7E2E">
        <w:rPr>
          <w:color w:val="000000" w:themeColor="text1"/>
        </w:rPr>
        <w:t xml:space="preserve">the </w:t>
      </w:r>
      <w:r w:rsidRPr="00C14EF4">
        <w:rPr>
          <w:color w:val="000000" w:themeColor="text1"/>
        </w:rPr>
        <w:t xml:space="preserve">confidence of people, which will make them relevant in an </w:t>
      </w:r>
      <w:r w:rsidR="007D7E2E">
        <w:rPr>
          <w:color w:val="000000" w:themeColor="text1"/>
        </w:rPr>
        <w:t>ever-more</w:t>
      </w:r>
      <w:r w:rsidRPr="00C14EF4">
        <w:rPr>
          <w:color w:val="000000" w:themeColor="text1"/>
        </w:rPr>
        <w:t xml:space="preserve"> digital and sustainability-based delivery economy.</w:t>
      </w:r>
    </w:p>
    <w:p w14:paraId="0FD13261" w14:textId="7F935040" w:rsidR="00766650" w:rsidRPr="00C14EF4" w:rsidRDefault="00766650">
      <w:pPr>
        <w:spacing w:line="278" w:lineRule="auto"/>
        <w:jc w:val="left"/>
        <w:rPr>
          <w:color w:val="000000" w:themeColor="text1"/>
          <w:lang w:val="en-US"/>
        </w:rPr>
      </w:pPr>
      <w:r w:rsidRPr="00C14EF4">
        <w:rPr>
          <w:color w:val="000000" w:themeColor="text1"/>
          <w:lang w:val="en-US"/>
        </w:rPr>
        <w:br w:type="page"/>
      </w:r>
    </w:p>
    <w:p w14:paraId="0614EAAD" w14:textId="25C9237B" w:rsidR="00146B14" w:rsidRPr="00C14EF4" w:rsidRDefault="00146B14" w:rsidP="00F75A6F">
      <w:pPr>
        <w:pStyle w:val="Heading1"/>
        <w:rPr>
          <w:lang w:val="en-US"/>
        </w:rPr>
      </w:pPr>
      <w:bookmarkStart w:id="11" w:name="_Toc211993376"/>
      <w:r w:rsidRPr="00C14EF4">
        <w:rPr>
          <w:lang w:val="en-US"/>
        </w:rPr>
        <w:lastRenderedPageBreak/>
        <w:t>Reference List</w:t>
      </w:r>
      <w:bookmarkEnd w:id="11"/>
      <w:r w:rsidRPr="00C14EF4">
        <w:rPr>
          <w:lang w:val="en-US"/>
        </w:rPr>
        <w:t xml:space="preserve"> </w:t>
      </w:r>
    </w:p>
    <w:p w14:paraId="1997D35F" w14:textId="77777777" w:rsidR="00674FEE" w:rsidRPr="00C14EF4" w:rsidRDefault="00674FEE" w:rsidP="00E4361D">
      <w:pPr>
        <w:jc w:val="left"/>
        <w:rPr>
          <w:color w:val="000000" w:themeColor="text1"/>
          <w:lang w:val="en-US"/>
        </w:rPr>
      </w:pPr>
      <w:r w:rsidRPr="00C14EF4">
        <w:rPr>
          <w:color w:val="000000" w:themeColor="text1"/>
        </w:rPr>
        <w:t>Abdul Mumin, M., Yakubu, I.N. and Adam, I.O., 2025. The synthesis of logistics performance and technological innovation on environmental quality. </w:t>
      </w:r>
      <w:r w:rsidRPr="00C14EF4">
        <w:rPr>
          <w:i/>
          <w:iCs/>
          <w:color w:val="000000" w:themeColor="text1"/>
        </w:rPr>
        <w:t>Technological Sustainability</w:t>
      </w:r>
      <w:r w:rsidRPr="00C14EF4">
        <w:rPr>
          <w:color w:val="000000" w:themeColor="text1"/>
        </w:rPr>
        <w:t>, </w:t>
      </w:r>
      <w:r w:rsidRPr="00C14EF4">
        <w:rPr>
          <w:i/>
          <w:iCs/>
          <w:color w:val="000000" w:themeColor="text1"/>
        </w:rPr>
        <w:t>4</w:t>
      </w:r>
      <w:r w:rsidRPr="00C14EF4">
        <w:rPr>
          <w:color w:val="000000" w:themeColor="text1"/>
        </w:rPr>
        <w:t>(1), pp.114-129.</w:t>
      </w:r>
    </w:p>
    <w:p w14:paraId="7094B5A1" w14:textId="77777777" w:rsidR="00674FEE" w:rsidRPr="00C14EF4" w:rsidRDefault="00674FEE" w:rsidP="00E4361D">
      <w:pPr>
        <w:jc w:val="left"/>
        <w:rPr>
          <w:color w:val="000000" w:themeColor="text1"/>
          <w:lang w:val="en-US"/>
        </w:rPr>
      </w:pPr>
      <w:r w:rsidRPr="00C14EF4">
        <w:rPr>
          <w:color w:val="000000" w:themeColor="text1"/>
        </w:rPr>
        <w:t>Agyabeng-Mensah, Y., Afum, E., Acquah, I.S.K., Dacosta, E., Baah, C. and Ahenkorah, E., 2021. The role of green logistics management practices, supply chain traceability and logistics ecocentricity in sustainability performance. </w:t>
      </w:r>
      <w:r w:rsidRPr="00C14EF4">
        <w:rPr>
          <w:i/>
          <w:iCs/>
          <w:color w:val="000000" w:themeColor="text1"/>
        </w:rPr>
        <w:t>The International Journal of Logistics Management</w:t>
      </w:r>
      <w:r w:rsidRPr="00C14EF4">
        <w:rPr>
          <w:color w:val="000000" w:themeColor="text1"/>
        </w:rPr>
        <w:t>, </w:t>
      </w:r>
      <w:r w:rsidRPr="00C14EF4">
        <w:rPr>
          <w:i/>
          <w:iCs/>
          <w:color w:val="000000" w:themeColor="text1"/>
        </w:rPr>
        <w:t>32</w:t>
      </w:r>
      <w:r w:rsidRPr="00C14EF4">
        <w:rPr>
          <w:color w:val="000000" w:themeColor="text1"/>
        </w:rPr>
        <w:t>(2), pp.538-566.</w:t>
      </w:r>
    </w:p>
    <w:p w14:paraId="1408E4B1" w14:textId="77777777" w:rsidR="00674FEE" w:rsidRPr="00C14EF4" w:rsidRDefault="00674FEE" w:rsidP="00E4361D">
      <w:pPr>
        <w:jc w:val="left"/>
        <w:rPr>
          <w:color w:val="000000" w:themeColor="text1"/>
          <w:lang w:val="en-US"/>
        </w:rPr>
      </w:pPr>
      <w:r w:rsidRPr="00C14EF4">
        <w:rPr>
          <w:color w:val="000000" w:themeColor="text1"/>
        </w:rPr>
        <w:t>Brand, J. and Dencik, L., 2025. The Amazonification of Royal Mail and postal worker identity. </w:t>
      </w:r>
      <w:r w:rsidRPr="00C14EF4">
        <w:rPr>
          <w:i/>
          <w:iCs/>
          <w:color w:val="000000" w:themeColor="text1"/>
        </w:rPr>
        <w:t>Platforms &amp; Society</w:t>
      </w:r>
      <w:r w:rsidRPr="00C14EF4">
        <w:rPr>
          <w:color w:val="000000" w:themeColor="text1"/>
        </w:rPr>
        <w:t>, </w:t>
      </w:r>
      <w:r w:rsidRPr="00C14EF4">
        <w:rPr>
          <w:i/>
          <w:iCs/>
          <w:color w:val="000000" w:themeColor="text1"/>
        </w:rPr>
        <w:t>2</w:t>
      </w:r>
      <w:r w:rsidRPr="00C14EF4">
        <w:rPr>
          <w:color w:val="000000" w:themeColor="text1"/>
        </w:rPr>
        <w:t>, p.29768624251343408.</w:t>
      </w:r>
    </w:p>
    <w:p w14:paraId="343A0FE0" w14:textId="56D158C1" w:rsidR="00674FEE" w:rsidRPr="007D7E2E" w:rsidRDefault="00674FEE" w:rsidP="00E4361D">
      <w:pPr>
        <w:jc w:val="left"/>
      </w:pPr>
      <w:r w:rsidRPr="00C14EF4">
        <w:rPr>
          <w:color w:val="000000" w:themeColor="text1"/>
          <w:lang w:val="en-US"/>
        </w:rPr>
        <w:t>carlymjones.wordpress.com, 2025.</w:t>
      </w:r>
      <w:r w:rsidRPr="00C14EF4">
        <w:rPr>
          <w:color w:val="000000" w:themeColor="text1"/>
        </w:rPr>
        <w:t xml:space="preserve"> </w:t>
      </w:r>
      <w:r w:rsidRPr="00C14EF4">
        <w:rPr>
          <w:color w:val="000000" w:themeColor="text1"/>
          <w:lang w:val="en-US"/>
        </w:rPr>
        <w:t xml:space="preserve">Macro Marketing Actors.  Available at: </w:t>
      </w:r>
      <w:hyperlink r:id="rId15" w:history="1">
        <w:r w:rsidRPr="00C14EF4">
          <w:rPr>
            <w:rStyle w:val="Hyperlink"/>
            <w:color w:val="000000" w:themeColor="text1"/>
            <w:lang w:val="en-US"/>
          </w:rPr>
          <w:t>https://carlymjones.wordpress.com/reflection-essays/macroenvironment/</w:t>
        </w:r>
      </w:hyperlink>
      <w:r w:rsidRPr="00C14EF4">
        <w:rPr>
          <w:color w:val="000000" w:themeColor="text1"/>
          <w:lang w:val="en-US"/>
        </w:rPr>
        <w:t xml:space="preserve"> [Accessed on: 15/10/2025]</w:t>
      </w:r>
    </w:p>
    <w:p w14:paraId="327FD958" w14:textId="77777777" w:rsidR="00674FEE" w:rsidRPr="00C14EF4" w:rsidRDefault="00674FEE" w:rsidP="00E4361D">
      <w:pPr>
        <w:jc w:val="left"/>
        <w:rPr>
          <w:color w:val="000000" w:themeColor="text1"/>
          <w:lang w:val="en-US"/>
        </w:rPr>
      </w:pPr>
      <w:r w:rsidRPr="00C14EF4">
        <w:rPr>
          <w:color w:val="000000" w:themeColor="text1"/>
        </w:rPr>
        <w:t>Chari, A., Niedenzu, D., Despeisse, M., Machado, C.G., Azevedo, J.D., Boavida</w:t>
      </w:r>
      <w:r w:rsidRPr="00C14EF4">
        <w:rPr>
          <w:rFonts w:ascii="Cambria Math" w:hAnsi="Cambria Math" w:cs="Cambria Math"/>
          <w:color w:val="000000" w:themeColor="text1"/>
        </w:rPr>
        <w:t>‐</w:t>
      </w:r>
      <w:r w:rsidRPr="00C14EF4">
        <w:rPr>
          <w:color w:val="000000" w:themeColor="text1"/>
        </w:rPr>
        <w:t>Dias, R. and Johansson, B., 2022. Dynamic capabilities for circular manufacturing supply chains</w:t>
      </w:r>
      <w:r w:rsidRPr="00C14EF4">
        <w:rPr>
          <w:rFonts w:cs="Arial"/>
          <w:color w:val="000000" w:themeColor="text1"/>
        </w:rPr>
        <w:t>—</w:t>
      </w:r>
      <w:r w:rsidRPr="00C14EF4">
        <w:rPr>
          <w:color w:val="000000" w:themeColor="text1"/>
        </w:rPr>
        <w:t>Exploring the role of Industry 4.0 and resilience.</w:t>
      </w:r>
      <w:r w:rsidRPr="00C14EF4">
        <w:rPr>
          <w:rFonts w:cs="Arial"/>
          <w:color w:val="000000" w:themeColor="text1"/>
        </w:rPr>
        <w:t> </w:t>
      </w:r>
      <w:r w:rsidRPr="00C14EF4">
        <w:rPr>
          <w:i/>
          <w:iCs/>
          <w:color w:val="000000" w:themeColor="text1"/>
        </w:rPr>
        <w:t>Business Strategy and the Environment</w:t>
      </w:r>
      <w:r w:rsidRPr="00C14EF4">
        <w:rPr>
          <w:color w:val="000000" w:themeColor="text1"/>
        </w:rPr>
        <w:t>, </w:t>
      </w:r>
      <w:r w:rsidRPr="00C14EF4">
        <w:rPr>
          <w:i/>
          <w:iCs/>
          <w:color w:val="000000" w:themeColor="text1"/>
        </w:rPr>
        <w:t>31</w:t>
      </w:r>
      <w:r w:rsidRPr="00C14EF4">
        <w:rPr>
          <w:color w:val="000000" w:themeColor="text1"/>
        </w:rPr>
        <w:t>(5), pp.2500-2517.</w:t>
      </w:r>
    </w:p>
    <w:p w14:paraId="6DC1DE0E" w14:textId="0EC6963C" w:rsidR="00674FEE" w:rsidRPr="00C14EF4" w:rsidRDefault="00674FEE" w:rsidP="00E4361D">
      <w:pPr>
        <w:jc w:val="left"/>
        <w:rPr>
          <w:color w:val="000000" w:themeColor="text1"/>
          <w:lang w:val="en-US"/>
        </w:rPr>
      </w:pPr>
      <w:r w:rsidRPr="00C14EF4">
        <w:rPr>
          <w:color w:val="000000" w:themeColor="text1"/>
          <w:lang w:val="en-US"/>
        </w:rPr>
        <w:t xml:space="preserve">DHL Express, 2025. </w:t>
      </w:r>
      <w:r w:rsidRPr="00C14EF4">
        <w:rPr>
          <w:i/>
          <w:iCs/>
          <w:color w:val="000000" w:themeColor="text1"/>
          <w:lang w:val="en-US"/>
        </w:rPr>
        <w:t>The undisputed global leader in international express shipping</w:t>
      </w:r>
      <w:r w:rsidRPr="00C14EF4">
        <w:rPr>
          <w:color w:val="000000" w:themeColor="text1"/>
          <w:lang w:val="en-US"/>
        </w:rPr>
        <w:t xml:space="preserve">. Available at: </w:t>
      </w:r>
      <w:hyperlink r:id="rId16" w:history="1">
        <w:r w:rsidRPr="00C14EF4">
          <w:rPr>
            <w:rStyle w:val="Hyperlink"/>
            <w:color w:val="000000" w:themeColor="text1"/>
            <w:lang w:val="en-US"/>
          </w:rPr>
          <w:t>https://www.dhl.com/</w:t>
        </w:r>
      </w:hyperlink>
      <w:r w:rsidRPr="00C14EF4">
        <w:rPr>
          <w:color w:val="000000" w:themeColor="text1"/>
          <w:lang w:val="en-US"/>
        </w:rPr>
        <w:t xml:space="preserve"> [Accessed on: 14/10/2025]</w:t>
      </w:r>
    </w:p>
    <w:p w14:paraId="4170BE2A" w14:textId="77777777" w:rsidR="00674FEE" w:rsidRPr="00C14EF4" w:rsidRDefault="00674FEE" w:rsidP="00E4361D">
      <w:pPr>
        <w:jc w:val="left"/>
        <w:rPr>
          <w:color w:val="000000" w:themeColor="text1"/>
          <w:lang w:val="en-US"/>
        </w:rPr>
      </w:pPr>
      <w:r w:rsidRPr="00C14EF4">
        <w:rPr>
          <w:color w:val="000000" w:themeColor="text1"/>
          <w:lang w:val="en-US"/>
        </w:rPr>
        <w:t>en.codept.de, 2025.</w:t>
      </w:r>
      <w:r w:rsidRPr="00C14EF4">
        <w:rPr>
          <w:color w:val="000000" w:themeColor="text1"/>
        </w:rPr>
        <w:t xml:space="preserve"> </w:t>
      </w:r>
      <w:r w:rsidRPr="00C14EF4">
        <w:rPr>
          <w:color w:val="000000" w:themeColor="text1"/>
          <w:lang w:val="en-US"/>
        </w:rPr>
        <w:t xml:space="preserve">Brexit Customs &amp; Border Flow for E-commerce Parcels. Available at: </w:t>
      </w:r>
      <w:hyperlink r:id="rId17" w:history="1">
        <w:r w:rsidRPr="00C14EF4">
          <w:rPr>
            <w:rStyle w:val="Hyperlink"/>
            <w:color w:val="000000" w:themeColor="text1"/>
            <w:lang w:val="en-US"/>
          </w:rPr>
          <w:t>https://en.codept.de/blog/brexit-impact-ecommerce-logistics</w:t>
        </w:r>
      </w:hyperlink>
      <w:r w:rsidRPr="00C14EF4">
        <w:rPr>
          <w:color w:val="000000" w:themeColor="text1"/>
          <w:lang w:val="en-US"/>
        </w:rPr>
        <w:t xml:space="preserve"> [Accessed on: 15/10/2025]</w:t>
      </w:r>
    </w:p>
    <w:p w14:paraId="1D3C2D7F" w14:textId="77777777" w:rsidR="00674FEE" w:rsidRPr="00C14EF4" w:rsidRDefault="00674FEE" w:rsidP="00E4361D">
      <w:pPr>
        <w:jc w:val="left"/>
        <w:rPr>
          <w:color w:val="000000" w:themeColor="text1"/>
          <w:lang w:val="en-US"/>
        </w:rPr>
      </w:pPr>
      <w:r w:rsidRPr="00C14EF4">
        <w:rPr>
          <w:color w:val="000000" w:themeColor="text1"/>
        </w:rPr>
        <w:t>Fontanelli, F., 2023. The law of UK trade with the EU and the world after Brexit. </w:t>
      </w:r>
      <w:r w:rsidRPr="00C14EF4">
        <w:rPr>
          <w:i/>
          <w:iCs/>
          <w:color w:val="000000" w:themeColor="text1"/>
        </w:rPr>
        <w:t>King's Law Journal</w:t>
      </w:r>
      <w:r w:rsidRPr="00C14EF4">
        <w:rPr>
          <w:color w:val="000000" w:themeColor="text1"/>
        </w:rPr>
        <w:t>, </w:t>
      </w:r>
      <w:r w:rsidRPr="00C14EF4">
        <w:rPr>
          <w:i/>
          <w:iCs/>
          <w:color w:val="000000" w:themeColor="text1"/>
        </w:rPr>
        <w:t>34</w:t>
      </w:r>
      <w:r w:rsidRPr="00C14EF4">
        <w:rPr>
          <w:color w:val="000000" w:themeColor="text1"/>
        </w:rPr>
        <w:t>(1), pp.3-29.</w:t>
      </w:r>
    </w:p>
    <w:p w14:paraId="28AA2B9E" w14:textId="77777777" w:rsidR="00674FEE" w:rsidRPr="00C14EF4" w:rsidRDefault="00674FEE" w:rsidP="00E4361D">
      <w:pPr>
        <w:jc w:val="left"/>
        <w:rPr>
          <w:color w:val="000000" w:themeColor="text1"/>
          <w:lang w:val="en-US"/>
        </w:rPr>
      </w:pPr>
      <w:r w:rsidRPr="00C14EF4">
        <w:rPr>
          <w:color w:val="000000" w:themeColor="text1"/>
        </w:rPr>
        <w:t>Gomez, J., Perez-Aradros, B. and Salazar, I., 2022. How to beat early movers: The role of competitive strategy and industry dynamism on followers’ performance in the telecommunications industry. </w:t>
      </w:r>
      <w:r w:rsidRPr="00C14EF4">
        <w:rPr>
          <w:i/>
          <w:iCs/>
          <w:color w:val="000000" w:themeColor="text1"/>
        </w:rPr>
        <w:t>Long Range Planning</w:t>
      </w:r>
      <w:r w:rsidRPr="00C14EF4">
        <w:rPr>
          <w:color w:val="000000" w:themeColor="text1"/>
        </w:rPr>
        <w:t>, </w:t>
      </w:r>
      <w:r w:rsidRPr="00C14EF4">
        <w:rPr>
          <w:i/>
          <w:iCs/>
          <w:color w:val="000000" w:themeColor="text1"/>
        </w:rPr>
        <w:t>55</w:t>
      </w:r>
      <w:r w:rsidRPr="00C14EF4">
        <w:rPr>
          <w:color w:val="000000" w:themeColor="text1"/>
        </w:rPr>
        <w:t>(5), p.102244.</w:t>
      </w:r>
    </w:p>
    <w:p w14:paraId="23581502" w14:textId="77777777" w:rsidR="00674FEE" w:rsidRPr="00C14EF4" w:rsidRDefault="00674FEE" w:rsidP="00E4361D">
      <w:pPr>
        <w:jc w:val="left"/>
        <w:rPr>
          <w:color w:val="000000" w:themeColor="text1"/>
          <w:lang w:val="en-US"/>
        </w:rPr>
      </w:pPr>
      <w:r w:rsidRPr="00C14EF4">
        <w:rPr>
          <w:color w:val="000000" w:themeColor="text1"/>
          <w:lang w:val="en-US"/>
        </w:rPr>
        <w:lastRenderedPageBreak/>
        <w:t>grandviewresearch.com, 2024.</w:t>
      </w:r>
      <w:r w:rsidRPr="00C14EF4">
        <w:rPr>
          <w:color w:val="000000" w:themeColor="text1"/>
        </w:rPr>
        <w:t xml:space="preserve"> </w:t>
      </w:r>
      <w:r w:rsidRPr="00C14EF4">
        <w:rPr>
          <w:color w:val="000000" w:themeColor="text1"/>
          <w:lang w:val="en-US"/>
        </w:rPr>
        <w:t xml:space="preserve">Green Logistics in the UK.  Available at: </w:t>
      </w:r>
      <w:hyperlink r:id="rId18" w:history="1">
        <w:r w:rsidRPr="00C14EF4">
          <w:rPr>
            <w:rStyle w:val="Hyperlink"/>
            <w:color w:val="000000" w:themeColor="text1"/>
            <w:lang w:val="en-US"/>
          </w:rPr>
          <w:t>https://www.grandviewresearch.com/horizon/outlook/green-logistics-market/uk</w:t>
        </w:r>
      </w:hyperlink>
      <w:r w:rsidRPr="00C14EF4">
        <w:rPr>
          <w:color w:val="000000" w:themeColor="text1"/>
          <w:lang w:val="en-US"/>
        </w:rPr>
        <w:t xml:space="preserve">  [Accessed on: 15/10/2025]</w:t>
      </w:r>
    </w:p>
    <w:p w14:paraId="052AA195" w14:textId="77777777" w:rsidR="00674FEE" w:rsidRPr="00C14EF4" w:rsidRDefault="00674FEE" w:rsidP="00E4361D">
      <w:pPr>
        <w:jc w:val="left"/>
        <w:rPr>
          <w:color w:val="000000" w:themeColor="text1"/>
          <w:lang w:val="en-US"/>
        </w:rPr>
      </w:pPr>
      <w:r w:rsidRPr="00C14EF4">
        <w:rPr>
          <w:color w:val="000000" w:themeColor="text1"/>
        </w:rPr>
        <w:t>Hassel, A. and Sieker, F., 2022. The platform effect: How Amazon changed work in logistics in Germany, the United States and the United Kingdom. </w:t>
      </w:r>
      <w:r w:rsidRPr="00C14EF4">
        <w:rPr>
          <w:i/>
          <w:iCs/>
          <w:color w:val="000000" w:themeColor="text1"/>
        </w:rPr>
        <w:t>European Journal of Industrial Relations</w:t>
      </w:r>
      <w:r w:rsidRPr="00C14EF4">
        <w:rPr>
          <w:color w:val="000000" w:themeColor="text1"/>
        </w:rPr>
        <w:t>, </w:t>
      </w:r>
      <w:r w:rsidRPr="00C14EF4">
        <w:rPr>
          <w:i/>
          <w:iCs/>
          <w:color w:val="000000" w:themeColor="text1"/>
        </w:rPr>
        <w:t>28</w:t>
      </w:r>
      <w:r w:rsidRPr="00C14EF4">
        <w:rPr>
          <w:color w:val="000000" w:themeColor="text1"/>
        </w:rPr>
        <w:t>(3), pp.363-382.</w:t>
      </w:r>
    </w:p>
    <w:p w14:paraId="4F8578EA" w14:textId="77777777" w:rsidR="00674FEE" w:rsidRPr="00C14EF4" w:rsidRDefault="00674FEE" w:rsidP="00E4361D">
      <w:pPr>
        <w:jc w:val="left"/>
        <w:rPr>
          <w:color w:val="000000" w:themeColor="text1"/>
          <w:lang w:val="en-US"/>
        </w:rPr>
      </w:pPr>
      <w:r w:rsidRPr="00C14EF4">
        <w:rPr>
          <w:color w:val="000000" w:themeColor="text1"/>
          <w:lang w:val="en-US"/>
        </w:rPr>
        <w:t>marketdataforecast.com, 2025.</w:t>
      </w:r>
      <w:r w:rsidRPr="00C14EF4">
        <w:rPr>
          <w:color w:val="000000" w:themeColor="text1"/>
        </w:rPr>
        <w:t xml:space="preserve"> </w:t>
      </w:r>
      <w:r w:rsidRPr="00C14EF4">
        <w:rPr>
          <w:color w:val="000000" w:themeColor="text1"/>
          <w:lang w:val="en-US"/>
        </w:rPr>
        <w:t xml:space="preserve">Europe Courier, Express, and Parcel Market. Available at: </w:t>
      </w:r>
      <w:hyperlink r:id="rId19" w:history="1">
        <w:r w:rsidRPr="00C14EF4">
          <w:rPr>
            <w:rStyle w:val="Hyperlink"/>
            <w:color w:val="000000" w:themeColor="text1"/>
            <w:lang w:val="en-US"/>
          </w:rPr>
          <w:t>https://www.marketdataforecast.com/market-reports/europe-courier-express-and-parcel-market</w:t>
        </w:r>
      </w:hyperlink>
      <w:r w:rsidRPr="00C14EF4">
        <w:rPr>
          <w:color w:val="000000" w:themeColor="text1"/>
          <w:lang w:val="en-US"/>
        </w:rPr>
        <w:t xml:space="preserve"> [Accessed on: 15/10/2025]</w:t>
      </w:r>
    </w:p>
    <w:p w14:paraId="4E7C9428" w14:textId="77777777" w:rsidR="00674FEE" w:rsidRPr="00C14EF4" w:rsidRDefault="00674FEE" w:rsidP="00E4361D">
      <w:pPr>
        <w:jc w:val="left"/>
        <w:rPr>
          <w:color w:val="000000" w:themeColor="text1"/>
          <w:lang w:val="en-US"/>
        </w:rPr>
      </w:pPr>
      <w:r w:rsidRPr="00C14EF4">
        <w:rPr>
          <w:color w:val="000000" w:themeColor="text1"/>
        </w:rPr>
        <w:t>Oukropec, J., 2024. DHL’s spreading COVID-19 over the sky? Handling corporate response to misinformation with humour. </w:t>
      </w:r>
      <w:r w:rsidRPr="00C14EF4">
        <w:rPr>
          <w:i/>
          <w:iCs/>
          <w:color w:val="000000" w:themeColor="text1"/>
        </w:rPr>
        <w:t>Corporate Reputation Review</w:t>
      </w:r>
      <w:r w:rsidRPr="00C14EF4">
        <w:rPr>
          <w:color w:val="000000" w:themeColor="text1"/>
        </w:rPr>
        <w:t>, pp.1-12.</w:t>
      </w:r>
    </w:p>
    <w:p w14:paraId="1C4C92A2" w14:textId="77777777" w:rsidR="00674FEE" w:rsidRPr="00C14EF4" w:rsidRDefault="00674FEE" w:rsidP="00E4361D">
      <w:pPr>
        <w:jc w:val="left"/>
        <w:rPr>
          <w:color w:val="000000" w:themeColor="text1"/>
          <w:lang w:val="en-US"/>
        </w:rPr>
      </w:pPr>
      <w:r w:rsidRPr="00C14EF4">
        <w:rPr>
          <w:color w:val="000000" w:themeColor="text1"/>
          <w:lang w:val="en-US"/>
        </w:rPr>
        <w:t xml:space="preserve">Royal Mail, 2025. </w:t>
      </w:r>
      <w:r w:rsidRPr="00C14EF4">
        <w:rPr>
          <w:i/>
          <w:iCs/>
          <w:color w:val="000000" w:themeColor="text1"/>
          <w:lang w:val="en-US"/>
        </w:rPr>
        <w:t xml:space="preserve">SEND IT YOUR WAY. </w:t>
      </w:r>
      <w:r w:rsidRPr="00C14EF4">
        <w:rPr>
          <w:color w:val="000000" w:themeColor="text1"/>
          <w:lang w:val="en-US"/>
        </w:rPr>
        <w:t xml:space="preserve">Available at: </w:t>
      </w:r>
      <w:hyperlink r:id="rId20" w:history="1">
        <w:r w:rsidRPr="00C14EF4">
          <w:rPr>
            <w:rStyle w:val="Hyperlink"/>
            <w:color w:val="000000" w:themeColor="text1"/>
            <w:lang w:val="en-US"/>
          </w:rPr>
          <w:t>https://www.royalmail.com/</w:t>
        </w:r>
      </w:hyperlink>
      <w:r w:rsidRPr="00C14EF4">
        <w:rPr>
          <w:color w:val="000000" w:themeColor="text1"/>
          <w:lang w:val="en-US"/>
        </w:rPr>
        <w:t xml:space="preserve">  [Accessed on: 14/10/2025]</w:t>
      </w:r>
    </w:p>
    <w:p w14:paraId="40A20AFF" w14:textId="65D21B56" w:rsidR="00674FEE" w:rsidRPr="00C14EF4" w:rsidRDefault="00674FEE" w:rsidP="00E4361D">
      <w:pPr>
        <w:jc w:val="left"/>
        <w:rPr>
          <w:color w:val="000000" w:themeColor="text1"/>
          <w:lang w:val="en-US"/>
        </w:rPr>
      </w:pPr>
      <w:r w:rsidRPr="00C14EF4">
        <w:rPr>
          <w:color w:val="000000" w:themeColor="text1"/>
        </w:rPr>
        <w:t>Said, M., Aeschliman, S. and Stathopoulos, A., 2023. Robots at your doorstep: acceptance of near-future technologies for automated parcel delivery. </w:t>
      </w:r>
      <w:r w:rsidRPr="00C14EF4">
        <w:rPr>
          <w:i/>
          <w:iCs/>
          <w:color w:val="000000" w:themeColor="text1"/>
        </w:rPr>
        <w:t xml:space="preserve">Scientific </w:t>
      </w:r>
      <w:r w:rsidR="00E8616A">
        <w:rPr>
          <w:i/>
          <w:iCs/>
          <w:color w:val="000000" w:themeColor="text1"/>
        </w:rPr>
        <w:t>Reports</w:t>
      </w:r>
      <w:r w:rsidRPr="00C14EF4">
        <w:rPr>
          <w:color w:val="000000" w:themeColor="text1"/>
        </w:rPr>
        <w:t>, </w:t>
      </w:r>
      <w:r w:rsidRPr="00C14EF4">
        <w:rPr>
          <w:i/>
          <w:iCs/>
          <w:color w:val="000000" w:themeColor="text1"/>
        </w:rPr>
        <w:t>13</w:t>
      </w:r>
      <w:r w:rsidRPr="00C14EF4">
        <w:rPr>
          <w:color w:val="000000" w:themeColor="text1"/>
        </w:rPr>
        <w:t>(1), p.18556.</w:t>
      </w:r>
    </w:p>
    <w:p w14:paraId="238CB0AE" w14:textId="77777777" w:rsidR="00674FEE" w:rsidRPr="00C14EF4" w:rsidRDefault="00674FEE" w:rsidP="00E4361D">
      <w:pPr>
        <w:jc w:val="left"/>
        <w:rPr>
          <w:color w:val="000000" w:themeColor="text1"/>
          <w:lang w:val="en-US"/>
        </w:rPr>
      </w:pPr>
      <w:r w:rsidRPr="00C14EF4">
        <w:rPr>
          <w:color w:val="000000" w:themeColor="text1"/>
          <w:lang w:val="en-US"/>
        </w:rPr>
        <w:t>seekingalpha.com, 2023.</w:t>
      </w:r>
      <w:r w:rsidRPr="00C14EF4">
        <w:rPr>
          <w:color w:val="000000" w:themeColor="text1"/>
        </w:rPr>
        <w:t xml:space="preserve"> </w:t>
      </w:r>
      <w:r w:rsidRPr="00C14EF4">
        <w:rPr>
          <w:color w:val="000000" w:themeColor="text1"/>
          <w:lang w:val="en-US"/>
        </w:rPr>
        <w:t xml:space="preserve">DHL Express macro conditions.  Available at: </w:t>
      </w:r>
      <w:hyperlink r:id="rId21" w:history="1">
        <w:r w:rsidRPr="00C14EF4">
          <w:rPr>
            <w:rStyle w:val="Hyperlink"/>
            <w:color w:val="000000" w:themeColor="text1"/>
            <w:lang w:val="en-US"/>
          </w:rPr>
          <w:t>https://seekingalpha.com/article/4593809-deutsche-post-stock-free-cash-flow-remains-strong-reiterate-buy</w:t>
        </w:r>
      </w:hyperlink>
      <w:r w:rsidRPr="00C14EF4">
        <w:rPr>
          <w:color w:val="000000" w:themeColor="text1"/>
          <w:lang w:val="en-US"/>
        </w:rPr>
        <w:t xml:space="preserve"> [Accessed on: 15/10/2025]</w:t>
      </w:r>
    </w:p>
    <w:p w14:paraId="554C2BD0" w14:textId="454A9DAD" w:rsidR="000E33CC" w:rsidRPr="00C14EF4" w:rsidRDefault="00674FEE" w:rsidP="00E4361D">
      <w:pPr>
        <w:jc w:val="left"/>
        <w:rPr>
          <w:color w:val="000000" w:themeColor="text1"/>
        </w:rPr>
      </w:pPr>
      <w:r w:rsidRPr="00C14EF4">
        <w:rPr>
          <w:color w:val="000000" w:themeColor="text1"/>
        </w:rPr>
        <w:t>Zhong, S., Lomas, C. and Worth, T., 2022. Understanding customers' adoption of express delivery service for last-mile delivery in the UK. </w:t>
      </w:r>
      <w:r w:rsidRPr="00C14EF4">
        <w:rPr>
          <w:i/>
          <w:iCs/>
          <w:color w:val="000000" w:themeColor="text1"/>
        </w:rPr>
        <w:t>International Journal of Logistics Research and Applications</w:t>
      </w:r>
      <w:r w:rsidRPr="00C14EF4">
        <w:rPr>
          <w:color w:val="000000" w:themeColor="text1"/>
        </w:rPr>
        <w:t>, </w:t>
      </w:r>
      <w:r w:rsidRPr="00C14EF4">
        <w:rPr>
          <w:i/>
          <w:iCs/>
          <w:color w:val="000000" w:themeColor="text1"/>
        </w:rPr>
        <w:t>25</w:t>
      </w:r>
      <w:r w:rsidRPr="00C14EF4">
        <w:rPr>
          <w:color w:val="000000" w:themeColor="text1"/>
        </w:rPr>
        <w:t>(12), pp.1491-1508.</w:t>
      </w:r>
    </w:p>
    <w:sectPr w:rsidR="000E33CC" w:rsidRPr="00C14EF4" w:rsidSect="003B4788">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A6D96" w14:textId="77777777" w:rsidR="00E568A8" w:rsidRDefault="00E568A8" w:rsidP="003B4788">
      <w:pPr>
        <w:spacing w:after="0" w:line="240" w:lineRule="auto"/>
      </w:pPr>
      <w:r>
        <w:separator/>
      </w:r>
    </w:p>
  </w:endnote>
  <w:endnote w:type="continuationSeparator" w:id="0">
    <w:p w14:paraId="26AA6E98" w14:textId="77777777" w:rsidR="00E568A8" w:rsidRDefault="00E568A8" w:rsidP="003B4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8970158"/>
      <w:docPartObj>
        <w:docPartGallery w:val="Page Numbers (Bottom of Page)"/>
        <w:docPartUnique/>
      </w:docPartObj>
    </w:sdtPr>
    <w:sdtEndPr>
      <w:rPr>
        <w:noProof/>
        <w:sz w:val="20"/>
        <w:szCs w:val="20"/>
      </w:rPr>
    </w:sdtEndPr>
    <w:sdtContent>
      <w:p w14:paraId="53D4A451" w14:textId="52FB584C" w:rsidR="003B4788" w:rsidRPr="003B4788" w:rsidRDefault="003B4788">
        <w:pPr>
          <w:pStyle w:val="Footer"/>
          <w:jc w:val="right"/>
          <w:rPr>
            <w:sz w:val="20"/>
            <w:szCs w:val="20"/>
          </w:rPr>
        </w:pPr>
        <w:r w:rsidRPr="003B4788">
          <w:rPr>
            <w:sz w:val="20"/>
            <w:szCs w:val="20"/>
          </w:rPr>
          <w:fldChar w:fldCharType="begin"/>
        </w:r>
        <w:r w:rsidRPr="003B4788">
          <w:rPr>
            <w:sz w:val="20"/>
            <w:szCs w:val="20"/>
          </w:rPr>
          <w:instrText xml:space="preserve"> PAGE   \* MERGEFORMAT </w:instrText>
        </w:r>
        <w:r w:rsidRPr="003B4788">
          <w:rPr>
            <w:sz w:val="20"/>
            <w:szCs w:val="20"/>
          </w:rPr>
          <w:fldChar w:fldCharType="separate"/>
        </w:r>
        <w:r w:rsidRPr="003B4788">
          <w:rPr>
            <w:noProof/>
            <w:sz w:val="20"/>
            <w:szCs w:val="20"/>
          </w:rPr>
          <w:t>2</w:t>
        </w:r>
        <w:r w:rsidRPr="003B4788">
          <w:rPr>
            <w:noProof/>
            <w:sz w:val="20"/>
            <w:szCs w:val="20"/>
          </w:rPr>
          <w:fldChar w:fldCharType="end"/>
        </w:r>
      </w:p>
    </w:sdtContent>
  </w:sdt>
  <w:p w14:paraId="4F8BC2C7" w14:textId="77777777" w:rsidR="003B4788" w:rsidRDefault="003B4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A2F64" w14:textId="77777777" w:rsidR="00E568A8" w:rsidRDefault="00E568A8" w:rsidP="003B4788">
      <w:pPr>
        <w:spacing w:after="0" w:line="240" w:lineRule="auto"/>
      </w:pPr>
      <w:r>
        <w:separator/>
      </w:r>
    </w:p>
  </w:footnote>
  <w:footnote w:type="continuationSeparator" w:id="0">
    <w:p w14:paraId="28DF4AC0" w14:textId="77777777" w:rsidR="00E568A8" w:rsidRDefault="00E568A8" w:rsidP="003B47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2F8"/>
    <w:multiLevelType w:val="multilevel"/>
    <w:tmpl w:val="009A6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9E273A"/>
    <w:multiLevelType w:val="multilevel"/>
    <w:tmpl w:val="4C1C2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E0135B"/>
    <w:multiLevelType w:val="multilevel"/>
    <w:tmpl w:val="68E4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521303"/>
    <w:multiLevelType w:val="multilevel"/>
    <w:tmpl w:val="3E3E2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CE746D"/>
    <w:multiLevelType w:val="multilevel"/>
    <w:tmpl w:val="AFDE5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446F06"/>
    <w:multiLevelType w:val="multilevel"/>
    <w:tmpl w:val="1266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873BF2"/>
    <w:multiLevelType w:val="multilevel"/>
    <w:tmpl w:val="E9CA9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FB380A"/>
    <w:multiLevelType w:val="multilevel"/>
    <w:tmpl w:val="33909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0E0DB6"/>
    <w:multiLevelType w:val="multilevel"/>
    <w:tmpl w:val="52285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E51476"/>
    <w:multiLevelType w:val="hybridMultilevel"/>
    <w:tmpl w:val="73B8B4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37C4FC4"/>
    <w:multiLevelType w:val="multilevel"/>
    <w:tmpl w:val="B71E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5505773">
    <w:abstractNumId w:val="8"/>
  </w:num>
  <w:num w:numId="2" w16cid:durableId="1456757284">
    <w:abstractNumId w:val="4"/>
  </w:num>
  <w:num w:numId="3" w16cid:durableId="520584635">
    <w:abstractNumId w:val="10"/>
  </w:num>
  <w:num w:numId="4" w16cid:durableId="1039084751">
    <w:abstractNumId w:val="6"/>
  </w:num>
  <w:num w:numId="5" w16cid:durableId="1132673893">
    <w:abstractNumId w:val="5"/>
  </w:num>
  <w:num w:numId="6" w16cid:durableId="655113490">
    <w:abstractNumId w:val="7"/>
  </w:num>
  <w:num w:numId="7" w16cid:durableId="600335940">
    <w:abstractNumId w:val="3"/>
  </w:num>
  <w:num w:numId="8" w16cid:durableId="2042245907">
    <w:abstractNumId w:val="0"/>
  </w:num>
  <w:num w:numId="9" w16cid:durableId="1687555720">
    <w:abstractNumId w:val="2"/>
  </w:num>
  <w:num w:numId="10" w16cid:durableId="1256135483">
    <w:abstractNumId w:val="1"/>
  </w:num>
  <w:num w:numId="11" w16cid:durableId="5847988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F97"/>
    <w:rsid w:val="00004A13"/>
    <w:rsid w:val="00086B43"/>
    <w:rsid w:val="000B0E80"/>
    <w:rsid w:val="000B22D6"/>
    <w:rsid w:val="000B3877"/>
    <w:rsid w:val="000E16DB"/>
    <w:rsid w:val="000E33CC"/>
    <w:rsid w:val="001066C5"/>
    <w:rsid w:val="00112801"/>
    <w:rsid w:val="0012264C"/>
    <w:rsid w:val="00124A6A"/>
    <w:rsid w:val="00146B14"/>
    <w:rsid w:val="001A4198"/>
    <w:rsid w:val="001C0799"/>
    <w:rsid w:val="001C322E"/>
    <w:rsid w:val="0025487C"/>
    <w:rsid w:val="00272EB8"/>
    <w:rsid w:val="00282972"/>
    <w:rsid w:val="002A3421"/>
    <w:rsid w:val="002C03DA"/>
    <w:rsid w:val="002C17B1"/>
    <w:rsid w:val="002F5BA6"/>
    <w:rsid w:val="003200B5"/>
    <w:rsid w:val="00334B6D"/>
    <w:rsid w:val="003A0639"/>
    <w:rsid w:val="003B4788"/>
    <w:rsid w:val="0040194C"/>
    <w:rsid w:val="00410355"/>
    <w:rsid w:val="00482F3A"/>
    <w:rsid w:val="004D11A5"/>
    <w:rsid w:val="004D6F97"/>
    <w:rsid w:val="004E0D54"/>
    <w:rsid w:val="004E4004"/>
    <w:rsid w:val="004E4A4A"/>
    <w:rsid w:val="004E7D4B"/>
    <w:rsid w:val="005142D2"/>
    <w:rsid w:val="00554507"/>
    <w:rsid w:val="005774F1"/>
    <w:rsid w:val="00592F95"/>
    <w:rsid w:val="005C07B7"/>
    <w:rsid w:val="005C115A"/>
    <w:rsid w:val="005E0FC6"/>
    <w:rsid w:val="005F69C1"/>
    <w:rsid w:val="006047E0"/>
    <w:rsid w:val="006144B5"/>
    <w:rsid w:val="00634786"/>
    <w:rsid w:val="00644676"/>
    <w:rsid w:val="00652A42"/>
    <w:rsid w:val="0066435B"/>
    <w:rsid w:val="00674FEE"/>
    <w:rsid w:val="0069627D"/>
    <w:rsid w:val="006A096C"/>
    <w:rsid w:val="006C5644"/>
    <w:rsid w:val="006F2856"/>
    <w:rsid w:val="00722A34"/>
    <w:rsid w:val="0075666E"/>
    <w:rsid w:val="00766650"/>
    <w:rsid w:val="0079196E"/>
    <w:rsid w:val="007D7E2E"/>
    <w:rsid w:val="007E68EE"/>
    <w:rsid w:val="007F1142"/>
    <w:rsid w:val="00803431"/>
    <w:rsid w:val="0082036C"/>
    <w:rsid w:val="008306A5"/>
    <w:rsid w:val="00841084"/>
    <w:rsid w:val="0085577D"/>
    <w:rsid w:val="00893276"/>
    <w:rsid w:val="00893327"/>
    <w:rsid w:val="008C5530"/>
    <w:rsid w:val="008E03B5"/>
    <w:rsid w:val="008E7E00"/>
    <w:rsid w:val="00903B9C"/>
    <w:rsid w:val="009155FE"/>
    <w:rsid w:val="00947E79"/>
    <w:rsid w:val="00957804"/>
    <w:rsid w:val="00966373"/>
    <w:rsid w:val="009A2DD1"/>
    <w:rsid w:val="009F67A2"/>
    <w:rsid w:val="00A25555"/>
    <w:rsid w:val="00A26197"/>
    <w:rsid w:val="00A40AAE"/>
    <w:rsid w:val="00A45A8E"/>
    <w:rsid w:val="00AB1041"/>
    <w:rsid w:val="00AB5312"/>
    <w:rsid w:val="00AE7814"/>
    <w:rsid w:val="00AF2FC7"/>
    <w:rsid w:val="00AF3574"/>
    <w:rsid w:val="00B11834"/>
    <w:rsid w:val="00B130CB"/>
    <w:rsid w:val="00B35C32"/>
    <w:rsid w:val="00B42133"/>
    <w:rsid w:val="00B542F0"/>
    <w:rsid w:val="00B55B1C"/>
    <w:rsid w:val="00B8653E"/>
    <w:rsid w:val="00B95ACD"/>
    <w:rsid w:val="00BA4B46"/>
    <w:rsid w:val="00BD67D0"/>
    <w:rsid w:val="00BE4459"/>
    <w:rsid w:val="00BF6C73"/>
    <w:rsid w:val="00C14EF4"/>
    <w:rsid w:val="00C415CF"/>
    <w:rsid w:val="00CA2A13"/>
    <w:rsid w:val="00CB1EEA"/>
    <w:rsid w:val="00CC3F84"/>
    <w:rsid w:val="00CE3E2F"/>
    <w:rsid w:val="00CF057A"/>
    <w:rsid w:val="00CF0E1E"/>
    <w:rsid w:val="00D10C36"/>
    <w:rsid w:val="00D15E56"/>
    <w:rsid w:val="00D22308"/>
    <w:rsid w:val="00DC707B"/>
    <w:rsid w:val="00DD615F"/>
    <w:rsid w:val="00DE021C"/>
    <w:rsid w:val="00DE37E2"/>
    <w:rsid w:val="00DF7BB1"/>
    <w:rsid w:val="00E12518"/>
    <w:rsid w:val="00E15A25"/>
    <w:rsid w:val="00E4361D"/>
    <w:rsid w:val="00E568A8"/>
    <w:rsid w:val="00E8616A"/>
    <w:rsid w:val="00ED1987"/>
    <w:rsid w:val="00ED75EC"/>
    <w:rsid w:val="00EE0F10"/>
    <w:rsid w:val="00EE4BBC"/>
    <w:rsid w:val="00F056D1"/>
    <w:rsid w:val="00F60252"/>
    <w:rsid w:val="00F66371"/>
    <w:rsid w:val="00F75A6F"/>
    <w:rsid w:val="00FA3139"/>
    <w:rsid w:val="00FE5B88"/>
    <w:rsid w:val="00FF4DE2"/>
    <w:rsid w:val="00FF5B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E041FB"/>
  <w15:chartTrackingRefBased/>
  <w15:docId w15:val="{8C615E96-2CB8-4898-8461-B4566D3F9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788"/>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F75A6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ED75EC"/>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semiHidden/>
    <w:unhideWhenUsed/>
    <w:qFormat/>
    <w:rsid w:val="0055450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D6F9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D6F9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D6F9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6F9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6F9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6F9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A6F"/>
    <w:rPr>
      <w:rFonts w:ascii="Arial" w:eastAsiaTheme="majorEastAsia" w:hAnsi="Arial" w:cstheme="majorBidi"/>
      <w:b/>
      <w:color w:val="000000" w:themeColor="text1"/>
      <w:szCs w:val="40"/>
      <w:lang w:val="en-GB"/>
    </w:rPr>
  </w:style>
  <w:style w:type="character" w:customStyle="1" w:styleId="Heading2Char">
    <w:name w:val="Heading 2 Char"/>
    <w:basedOn w:val="DefaultParagraphFont"/>
    <w:link w:val="Heading2"/>
    <w:uiPriority w:val="9"/>
    <w:rsid w:val="00ED75EC"/>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554507"/>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4D6F97"/>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D6F97"/>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D6F9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D6F9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D6F9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D6F9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D6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F9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D6F9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F9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D6F97"/>
    <w:pPr>
      <w:spacing w:before="160"/>
      <w:jc w:val="center"/>
    </w:pPr>
    <w:rPr>
      <w:i/>
      <w:iCs/>
      <w:color w:val="404040" w:themeColor="text1" w:themeTint="BF"/>
    </w:rPr>
  </w:style>
  <w:style w:type="character" w:customStyle="1" w:styleId="QuoteChar">
    <w:name w:val="Quote Char"/>
    <w:basedOn w:val="DefaultParagraphFont"/>
    <w:link w:val="Quote"/>
    <w:uiPriority w:val="29"/>
    <w:rsid w:val="004D6F97"/>
    <w:rPr>
      <w:rFonts w:ascii="Times New Roman" w:hAnsi="Times New Roman"/>
      <w:i/>
      <w:iCs/>
      <w:color w:val="404040" w:themeColor="text1" w:themeTint="BF"/>
      <w:lang w:val="en-GB"/>
    </w:rPr>
  </w:style>
  <w:style w:type="paragraph" w:styleId="ListParagraph">
    <w:name w:val="List Paragraph"/>
    <w:basedOn w:val="Normal"/>
    <w:uiPriority w:val="34"/>
    <w:qFormat/>
    <w:rsid w:val="004D6F97"/>
    <w:pPr>
      <w:ind w:left="720"/>
      <w:contextualSpacing/>
    </w:pPr>
  </w:style>
  <w:style w:type="character" w:styleId="IntenseEmphasis">
    <w:name w:val="Intense Emphasis"/>
    <w:basedOn w:val="DefaultParagraphFont"/>
    <w:uiPriority w:val="21"/>
    <w:qFormat/>
    <w:rsid w:val="004D6F97"/>
    <w:rPr>
      <w:i/>
      <w:iCs/>
      <w:color w:val="2F5496" w:themeColor="accent1" w:themeShade="BF"/>
    </w:rPr>
  </w:style>
  <w:style w:type="paragraph" w:styleId="IntenseQuote">
    <w:name w:val="Intense Quote"/>
    <w:basedOn w:val="Normal"/>
    <w:next w:val="Normal"/>
    <w:link w:val="IntenseQuoteChar"/>
    <w:uiPriority w:val="30"/>
    <w:qFormat/>
    <w:rsid w:val="004D6F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6F97"/>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4D6F97"/>
    <w:rPr>
      <w:b/>
      <w:bCs/>
      <w:smallCaps/>
      <w:color w:val="2F5496" w:themeColor="accent1" w:themeShade="BF"/>
      <w:spacing w:val="5"/>
    </w:rPr>
  </w:style>
  <w:style w:type="paragraph" w:styleId="Header">
    <w:name w:val="header"/>
    <w:basedOn w:val="Normal"/>
    <w:link w:val="HeaderChar"/>
    <w:uiPriority w:val="99"/>
    <w:unhideWhenUsed/>
    <w:rsid w:val="003B47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788"/>
    <w:rPr>
      <w:rFonts w:ascii="Arial" w:hAnsi="Arial"/>
      <w:lang w:val="en-GB"/>
    </w:rPr>
  </w:style>
  <w:style w:type="paragraph" w:styleId="Footer">
    <w:name w:val="footer"/>
    <w:basedOn w:val="Normal"/>
    <w:link w:val="FooterChar"/>
    <w:uiPriority w:val="99"/>
    <w:unhideWhenUsed/>
    <w:rsid w:val="003B47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788"/>
    <w:rPr>
      <w:rFonts w:ascii="Arial" w:hAnsi="Arial"/>
      <w:lang w:val="en-GB"/>
    </w:rPr>
  </w:style>
  <w:style w:type="paragraph" w:styleId="TOCHeading">
    <w:name w:val="TOC Heading"/>
    <w:basedOn w:val="Heading1"/>
    <w:next w:val="Normal"/>
    <w:uiPriority w:val="39"/>
    <w:unhideWhenUsed/>
    <w:qFormat/>
    <w:rsid w:val="00DE37E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DE37E2"/>
    <w:pPr>
      <w:spacing w:after="100"/>
      <w:ind w:left="240"/>
    </w:pPr>
  </w:style>
  <w:style w:type="paragraph" w:styleId="TOC1">
    <w:name w:val="toc 1"/>
    <w:basedOn w:val="Normal"/>
    <w:next w:val="Normal"/>
    <w:autoRedefine/>
    <w:uiPriority w:val="39"/>
    <w:unhideWhenUsed/>
    <w:rsid w:val="00DE37E2"/>
    <w:pPr>
      <w:spacing w:after="100"/>
    </w:pPr>
  </w:style>
  <w:style w:type="character" w:styleId="Hyperlink">
    <w:name w:val="Hyperlink"/>
    <w:basedOn w:val="DefaultParagraphFont"/>
    <w:uiPriority w:val="99"/>
    <w:unhideWhenUsed/>
    <w:rsid w:val="00DE37E2"/>
    <w:rPr>
      <w:color w:val="0563C1" w:themeColor="hyperlink"/>
      <w:u w:val="single"/>
    </w:rPr>
  </w:style>
  <w:style w:type="character" w:styleId="UnresolvedMention">
    <w:name w:val="Unresolved Mention"/>
    <w:basedOn w:val="DefaultParagraphFont"/>
    <w:uiPriority w:val="99"/>
    <w:semiHidden/>
    <w:unhideWhenUsed/>
    <w:rsid w:val="00282972"/>
    <w:rPr>
      <w:color w:val="605E5C"/>
      <w:shd w:val="clear" w:color="auto" w:fill="E1DFDD"/>
    </w:rPr>
  </w:style>
  <w:style w:type="character" w:styleId="FollowedHyperlink">
    <w:name w:val="FollowedHyperlink"/>
    <w:basedOn w:val="DefaultParagraphFont"/>
    <w:uiPriority w:val="99"/>
    <w:semiHidden/>
    <w:unhideWhenUsed/>
    <w:rsid w:val="00F60252"/>
    <w:rPr>
      <w:color w:val="954F72" w:themeColor="followedHyperlink"/>
      <w:u w:val="single"/>
    </w:rPr>
  </w:style>
  <w:style w:type="table" w:styleId="TableGrid">
    <w:name w:val="Table Grid"/>
    <w:basedOn w:val="TableNormal"/>
    <w:uiPriority w:val="39"/>
    <w:rsid w:val="00B42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grandviewresearch.com/horizon/outlook/green-logistics-market/uk" TargetMode="External"/><Relationship Id="rId3" Type="http://schemas.openxmlformats.org/officeDocument/2006/relationships/styles" Target="styles.xml"/><Relationship Id="rId21" Type="http://schemas.openxmlformats.org/officeDocument/2006/relationships/hyperlink" Target="https://seekingalpha.com/article/4593809-deutsche-post-stock-free-cash-flow-remains-strong-reiterate-buy"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n.codept.de/blog/brexit-impact-ecommerce-logistics" TargetMode="External"/><Relationship Id="rId2" Type="http://schemas.openxmlformats.org/officeDocument/2006/relationships/numbering" Target="numbering.xml"/><Relationship Id="rId16" Type="http://schemas.openxmlformats.org/officeDocument/2006/relationships/hyperlink" Target="https://www.dhl.com/" TargetMode="External"/><Relationship Id="rId20" Type="http://schemas.openxmlformats.org/officeDocument/2006/relationships/hyperlink" Target="https://www.royal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arlymjones.wordpress.com/reflection-essays/macroenvironment/"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marketdataforecast.com/market-reports/europe-courier-express-and-parcel-marke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51800-7686-4CFB-BBEB-F22239F45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16</Pages>
  <Words>3417</Words>
  <Characters>22793</Characters>
  <Application>Microsoft Office Word</Application>
  <DocSecurity>0</DocSecurity>
  <Lines>438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KESHU JIVABHAI KARAVADRA</dc:creator>
  <cp:keywords/>
  <dc:description/>
  <cp:lastModifiedBy>Keshu Jivabhai Karavadra (2439531)</cp:lastModifiedBy>
  <cp:revision>15</cp:revision>
  <dcterms:created xsi:type="dcterms:W3CDTF">2025-10-21T11:05:00Z</dcterms:created>
  <dcterms:modified xsi:type="dcterms:W3CDTF">2025-10-21T21:13:00Z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e9b6bf5d-3dcb-4e06-a7a1-db0d718e142b</vt:lpwstr>
  </property>
</Properties>
</file>