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package" ContentType="application/vnd.openxmlformats-officedocument.package"/>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58AB" w:rsidRDefault="00E67C18" w:rsidP="00D31D50">
      <w:pPr>
        <w:spacing w:line="220" w:lineRule="atLeast"/>
        <w:rPr>
          <w:rFonts w:hint="eastAsia"/>
        </w:rPr>
      </w:pPr>
      <w:r>
        <w:object w:dxaOrig="7195" w:dyaOrig="53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25pt" o:ole="">
            <v:imagedata r:id="rId5" o:title=""/>
          </v:shape>
          <o:OLEObject Type="Embed" ProgID="Office12.PowerPoint.SlideShow.12" ShapeID="_x0000_i1025" DrawAspect="Content" ObjectID="_1744139029" r:id="rId6"/>
        </w:object>
      </w:r>
    </w:p>
    <w:p w:rsidR="00E67C18" w:rsidRDefault="00E67C18" w:rsidP="00D31D50">
      <w:pPr>
        <w:spacing w:line="220" w:lineRule="atLeast"/>
        <w:rPr>
          <w:rFonts w:hint="eastAsia"/>
        </w:rPr>
      </w:pPr>
      <w:r>
        <w:rPr>
          <w:rFonts w:hint="eastAsia"/>
        </w:rPr>
        <w:t>Script:</w:t>
      </w:r>
    </w:p>
    <w:p w:rsidR="00E67C18" w:rsidRDefault="00E67C18" w:rsidP="00E67C18">
      <w:pPr>
        <w:spacing w:line="360" w:lineRule="auto"/>
        <w:rPr>
          <w:rFonts w:ascii="Times New Roman" w:hAnsi="Times New Roman" w:cs="Times New Roman"/>
          <w:sz w:val="24"/>
        </w:rPr>
      </w:pPr>
    </w:p>
    <w:p w:rsidR="00E67C18" w:rsidRPr="005344CC" w:rsidRDefault="00E67C18" w:rsidP="00E67C18">
      <w:pPr>
        <w:spacing w:line="360" w:lineRule="auto"/>
        <w:rPr>
          <w:rFonts w:ascii="Times New Roman" w:hAnsi="Times New Roman" w:cs="Times New Roman"/>
          <w:sz w:val="24"/>
        </w:rPr>
      </w:pPr>
      <w:r>
        <w:rPr>
          <w:rFonts w:ascii="Times New Roman" w:hAnsi="Times New Roman" w:cs="Times New Roman"/>
          <w:sz w:val="24"/>
        </w:rPr>
        <w:t>Good evening( or good morning)</w:t>
      </w:r>
      <w:bookmarkStart w:id="0" w:name="_GoBack"/>
      <w:bookmarkEnd w:id="0"/>
      <w:r>
        <w:rPr>
          <w:rFonts w:ascii="Times New Roman" w:hAnsi="Times New Roman" w:cs="Times New Roman"/>
          <w:sz w:val="24"/>
        </w:rPr>
        <w:t>, my</w:t>
      </w:r>
      <w:r w:rsidRPr="005344CC">
        <w:rPr>
          <w:rFonts w:ascii="Times New Roman" w:hAnsi="Times New Roman" w:cs="Times New Roman"/>
          <w:sz w:val="24"/>
        </w:rPr>
        <w:t xml:space="preserve"> report focuses on the HR function of a selected </w:t>
      </w:r>
      <w:proofErr w:type="spellStart"/>
      <w:r w:rsidRPr="005344CC">
        <w:rPr>
          <w:rFonts w:ascii="Times New Roman" w:hAnsi="Times New Roman" w:cs="Times New Roman"/>
          <w:sz w:val="24"/>
        </w:rPr>
        <w:t>organisation</w:t>
      </w:r>
      <w:proofErr w:type="spellEnd"/>
      <w:r w:rsidRPr="005344CC">
        <w:rPr>
          <w:rFonts w:ascii="Times New Roman" w:hAnsi="Times New Roman" w:cs="Times New Roman"/>
          <w:sz w:val="24"/>
        </w:rPr>
        <w:t xml:space="preserve"> and identifies employee engagement as the priority area for improvement. The report outlines the organization's current state, including its size, geographical location, and workforce demographics, and examines the HR function's operation and position within the </w:t>
      </w:r>
      <w:proofErr w:type="spellStart"/>
      <w:r w:rsidRPr="005344CC">
        <w:rPr>
          <w:rFonts w:ascii="Times New Roman" w:hAnsi="Times New Roman" w:cs="Times New Roman"/>
          <w:sz w:val="24"/>
        </w:rPr>
        <w:t>organisation</w:t>
      </w:r>
      <w:proofErr w:type="spellEnd"/>
      <w:r w:rsidRPr="005344CC">
        <w:rPr>
          <w:rFonts w:ascii="Times New Roman" w:hAnsi="Times New Roman" w:cs="Times New Roman"/>
          <w:sz w:val="24"/>
        </w:rPr>
        <w:t xml:space="preserve">. It identifies the current weaknesses in the </w:t>
      </w:r>
      <w:proofErr w:type="spellStart"/>
      <w:r w:rsidRPr="005344CC">
        <w:rPr>
          <w:rFonts w:ascii="Times New Roman" w:hAnsi="Times New Roman" w:cs="Times New Roman"/>
          <w:sz w:val="24"/>
        </w:rPr>
        <w:t>organisation</w:t>
      </w:r>
      <w:proofErr w:type="spellEnd"/>
      <w:r w:rsidRPr="005344CC">
        <w:rPr>
          <w:rFonts w:ascii="Times New Roman" w:hAnsi="Times New Roman" w:cs="Times New Roman"/>
          <w:sz w:val="24"/>
        </w:rPr>
        <w:t xml:space="preserve"> regarding employee engagement, including low employee morale, lack of communication, and inadequate training and development opportunities.</w:t>
      </w:r>
    </w:p>
    <w:p w:rsidR="00E67C18" w:rsidRPr="005344CC" w:rsidRDefault="00E67C18" w:rsidP="00E67C18">
      <w:pPr>
        <w:spacing w:line="360" w:lineRule="auto"/>
        <w:rPr>
          <w:rFonts w:ascii="Times New Roman" w:hAnsi="Times New Roman" w:cs="Times New Roman"/>
          <w:sz w:val="24"/>
        </w:rPr>
      </w:pPr>
      <w:r w:rsidRPr="005344CC">
        <w:rPr>
          <w:rFonts w:ascii="Times New Roman" w:hAnsi="Times New Roman" w:cs="Times New Roman"/>
          <w:sz w:val="24"/>
        </w:rPr>
        <w:t xml:space="preserve">The report discusses the impact of these deficiencies on the </w:t>
      </w:r>
      <w:proofErr w:type="spellStart"/>
      <w:r w:rsidRPr="005344CC">
        <w:rPr>
          <w:rFonts w:ascii="Times New Roman" w:hAnsi="Times New Roman" w:cs="Times New Roman"/>
          <w:sz w:val="24"/>
        </w:rPr>
        <w:t>organisation's</w:t>
      </w:r>
      <w:proofErr w:type="spellEnd"/>
      <w:r w:rsidRPr="005344CC">
        <w:rPr>
          <w:rFonts w:ascii="Times New Roman" w:hAnsi="Times New Roman" w:cs="Times New Roman"/>
          <w:sz w:val="24"/>
        </w:rPr>
        <w:t xml:space="preserve"> performance and effectiveness, including high turnover rates, decreased productivity, and low job satisfaction. Additionally, it highlights the benefits of improving employee engagement, such as increased employee retention, improved job satisfaction, and enhanced productivity.</w:t>
      </w:r>
    </w:p>
    <w:p w:rsidR="00E67C18" w:rsidRPr="005344CC" w:rsidRDefault="00E67C18" w:rsidP="00E67C18">
      <w:pPr>
        <w:spacing w:line="360" w:lineRule="auto"/>
        <w:rPr>
          <w:rFonts w:ascii="Times New Roman" w:hAnsi="Times New Roman" w:cs="Times New Roman"/>
          <w:sz w:val="24"/>
        </w:rPr>
      </w:pPr>
      <w:r w:rsidRPr="005344CC">
        <w:rPr>
          <w:rFonts w:ascii="Times New Roman" w:hAnsi="Times New Roman" w:cs="Times New Roman"/>
          <w:sz w:val="24"/>
        </w:rPr>
        <w:t xml:space="preserve">To address the identified weaknesses, the report offers recommendations for improving employee engagement, such as implementing regular employee surveys, providing training and development opportunities, and improving communication </w:t>
      </w:r>
      <w:r w:rsidRPr="005344CC">
        <w:rPr>
          <w:rFonts w:ascii="Times New Roman" w:hAnsi="Times New Roman" w:cs="Times New Roman"/>
          <w:sz w:val="24"/>
        </w:rPr>
        <w:lastRenderedPageBreak/>
        <w:t xml:space="preserve">channels. The recommendations consider the </w:t>
      </w:r>
      <w:proofErr w:type="spellStart"/>
      <w:r w:rsidRPr="005344CC">
        <w:rPr>
          <w:rFonts w:ascii="Times New Roman" w:hAnsi="Times New Roman" w:cs="Times New Roman"/>
          <w:sz w:val="24"/>
        </w:rPr>
        <w:t>organisation's</w:t>
      </w:r>
      <w:proofErr w:type="spellEnd"/>
      <w:r w:rsidRPr="005344CC">
        <w:rPr>
          <w:rFonts w:ascii="Times New Roman" w:hAnsi="Times New Roman" w:cs="Times New Roman"/>
          <w:sz w:val="24"/>
        </w:rPr>
        <w:t xml:space="preserve"> needs and challenges, including available resources and ethical issues.</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1.0 Introduction Human Resource Management (HRM) is a vital organizational function that focuses on managing employees and fostering a positive work environment. One crucial aspect is identifying priority areas for improvement to ensure organizational effectiveness and employee satisfaction. This report examines Employee Engagement in KRNG Corporation, a large multinational manufacturing company, and provides recommendations for improvement.</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2.0 Organizational Overview KRNG Manufacturing, based in the United Kingdom, employs 600 diverse individuals, with the majority located at the headquarters and production facility in Birmingham. The company produces specialized machinery for various sectors, including aerospace, automotive, and construction. The HRM function is led by the HR Director, who reports to the CEO. The five-member HR team manages HR operations across the organization. The company emphasizes diversity and inclusion and has implemented various HR policies and initiatives.</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 xml:space="preserve">3.0 Main Discussion </w:t>
      </w:r>
    </w:p>
    <w:p w:rsidR="00E67C18" w:rsidRDefault="00E67C18" w:rsidP="00E67C18">
      <w:pPr>
        <w:rPr>
          <w:rFonts w:ascii="Times New Roman" w:hAnsi="Times New Roman" w:cs="Times New Roman"/>
          <w:sz w:val="24"/>
        </w:rPr>
      </w:pPr>
      <w:r>
        <w:rPr>
          <w:rFonts w:ascii="Times New Roman" w:hAnsi="Times New Roman" w:cs="Times New Roman"/>
          <w:sz w:val="24"/>
        </w:rPr>
        <w:t>3.1 Priority Area for Improvement KRNG faces significant employee engagement issues, negatively impacting overall performance and effectiveness. A survey revealed that only 48% of employees feel engaged in the organization's daily operations. To remain competitive, KRNG must address this issue to maintain high productivity.</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3.2 Current Weaknesses The organization experiences several weaknesses in employee engagement, including a lack of clarity and communication of goals, objectives, and vision, leading to employee disconnection. A lack of formal communication channels hinders employees' ability to engage with management and provide feedback. The decentralized organizational structure contributes to this issue. There is also a lack of employee recognition programs and professional development opportunities, impacting employee morale, motivation, and retention.</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3.3 Impact on the Organization Low employee engagement results in reduced productivity and performance, high employee turnover, a negative workplace culture and energy, and a lack of innovation and creativity. For instance, the sales and marketing department has seen disinterested sales representatives not meeting their targets, leading to a reduction in revenue.</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 xml:space="preserve">3.4 Benefits of Improving Employee Engagement Improving employee engagement can result in increased employee retention and productivity, better customer </w:t>
      </w:r>
      <w:r>
        <w:rPr>
          <w:rFonts w:ascii="Times New Roman" w:hAnsi="Times New Roman" w:cs="Times New Roman"/>
          <w:sz w:val="24"/>
        </w:rPr>
        <w:lastRenderedPageBreak/>
        <w:t>satisfaction, and an enhanced organizational reputation. For example, the organization could improve engagement and retention by implementing regular training programs and providing opportunities for employees to learn and develop new skills.</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 xml:space="preserve">4.0 Recommendations </w:t>
      </w:r>
    </w:p>
    <w:p w:rsidR="00E67C18" w:rsidRDefault="00E67C18" w:rsidP="00E67C18">
      <w:pPr>
        <w:rPr>
          <w:rFonts w:ascii="Times New Roman" w:hAnsi="Times New Roman" w:cs="Times New Roman"/>
          <w:sz w:val="24"/>
        </w:rPr>
      </w:pPr>
      <w:r>
        <w:rPr>
          <w:rFonts w:ascii="Times New Roman" w:hAnsi="Times New Roman" w:cs="Times New Roman"/>
          <w:sz w:val="24"/>
        </w:rPr>
        <w:t>4.1 Clear communication of organizational goals and objectives. KRNG should ensure employees are aware of and understand the organization's goals, objectives, and vision by providing regular updates and encouraging open communication.</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4.2 Establish formal communication channels. The organization should create formal communication channels, such as town hall meetings and regular check-ins, to facilitate employee feedback and interaction with management.</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4.3 Implement employee recognition programs. KRNG should develop a framework for recognizing employee contributions and achievements, making them feel valued and appreciated.</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4.4 Provide professional development opportunities. The organization should tailor its training programs to individual employee needs and interests to enhance engagement and fulfillment in their roles.</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4.5 Encourage innovation and creativity. KRNG should create an environment that encourages employees to share ideas and suggest improvements to current processes, fostering growth and development.</w:t>
      </w:r>
    </w:p>
    <w:p w:rsidR="00E67C18" w:rsidRDefault="00E67C18" w:rsidP="00E67C18">
      <w:pPr>
        <w:rPr>
          <w:rFonts w:ascii="Times New Roman" w:hAnsi="Times New Roman" w:cs="Times New Roman"/>
          <w:sz w:val="24"/>
        </w:rPr>
      </w:pPr>
    </w:p>
    <w:p w:rsidR="00E67C18" w:rsidRDefault="00E67C18" w:rsidP="00E67C18">
      <w:pPr>
        <w:rPr>
          <w:rFonts w:ascii="Times New Roman" w:hAnsi="Times New Roman" w:cs="Times New Roman"/>
          <w:sz w:val="24"/>
        </w:rPr>
      </w:pPr>
      <w:r>
        <w:rPr>
          <w:rFonts w:ascii="Times New Roman" w:hAnsi="Times New Roman" w:cs="Times New Roman"/>
          <w:sz w:val="24"/>
        </w:rPr>
        <w:t>5.0 Conclusion Improving employee engagement is crucial for KRNG Corporation's success. By addressing the identified weaknesses and implementing the recommendations provided, the organization can enhance engagement, increase productivity and satisfaction, and maintain a competitive edge in the market.</w:t>
      </w:r>
    </w:p>
    <w:p w:rsidR="00E67C18" w:rsidRDefault="00E67C18" w:rsidP="00E67C18">
      <w:pPr>
        <w:rPr>
          <w:rFonts w:ascii="Times New Roman" w:hAnsi="Times New Roman" w:cs="Times New Roman"/>
          <w:sz w:val="24"/>
        </w:rPr>
      </w:pPr>
    </w:p>
    <w:p w:rsidR="00691835" w:rsidRDefault="00E67C18" w:rsidP="00691835">
      <w:pPr>
        <w:rPr>
          <w:rFonts w:ascii="Times New Roman" w:hAnsi="Times New Roman" w:cs="Times New Roman" w:hint="eastAsia"/>
          <w:sz w:val="24"/>
        </w:rPr>
      </w:pPr>
      <w:r w:rsidRPr="003F168D">
        <w:rPr>
          <w:rFonts w:ascii="Times New Roman" w:hAnsi="Times New Roman" w:cs="Times New Roman"/>
          <w:sz w:val="24"/>
        </w:rPr>
        <w:t xml:space="preserve">This is the presentation I made today. I hope my explanation can help you understand my point of view more clearly. Thank you for your patience </w:t>
      </w:r>
    </w:p>
    <w:p w:rsidR="00691835" w:rsidRPr="00691835" w:rsidRDefault="00691835" w:rsidP="00691835">
      <w:pPr>
        <w:pStyle w:val="2"/>
        <w:spacing w:line="360" w:lineRule="auto"/>
        <w:rPr>
          <w:rFonts w:ascii="Times New Roman" w:hAnsi="Times New Roman" w:cs="Times New Roman"/>
          <w:b/>
          <w:bCs/>
          <w:color w:val="auto"/>
          <w:sz w:val="24"/>
          <w:szCs w:val="24"/>
        </w:rPr>
      </w:pPr>
      <w:bookmarkStart w:id="1" w:name="_Toc128297423"/>
      <w:r w:rsidRPr="00691835">
        <w:rPr>
          <w:rFonts w:ascii="Times New Roman" w:hAnsi="Times New Roman" w:cs="Times New Roman"/>
          <w:b/>
          <w:bCs/>
          <w:color w:val="auto"/>
          <w:sz w:val="24"/>
          <w:szCs w:val="24"/>
        </w:rPr>
        <w:t>6.0 References</w:t>
      </w:r>
      <w:bookmarkEnd w:id="1"/>
    </w:p>
    <w:p w:rsidR="00691835" w:rsidRPr="00691835" w:rsidRDefault="00691835" w:rsidP="00691835">
      <w:pPr>
        <w:pStyle w:val="a3"/>
        <w:spacing w:line="360" w:lineRule="auto"/>
        <w:ind w:left="567" w:hanging="720"/>
      </w:pPr>
      <w:r w:rsidRPr="00691835">
        <w:t xml:space="preserve">“Armstrong, M. (2020) Armstrong's Handbook of Human Resource Management Practice. 15th Ed. London: Konan Page 46(2), pp.16-75.” </w:t>
      </w:r>
    </w:p>
    <w:p w:rsidR="00691835" w:rsidRPr="00691835" w:rsidRDefault="00691835" w:rsidP="00691835">
      <w:pPr>
        <w:pStyle w:val="a3"/>
        <w:spacing w:line="360" w:lineRule="auto"/>
        <w:ind w:left="567" w:hanging="720"/>
      </w:pPr>
      <w:r w:rsidRPr="00691835">
        <w:lastRenderedPageBreak/>
        <w:t xml:space="preserve">“Henderson, I. (2017) Human Resource Management for MBA Students. 3rd Ed. London: CIPD” 21(1), pp.82-102 </w:t>
      </w:r>
    </w:p>
    <w:p w:rsidR="00691835" w:rsidRPr="00691835" w:rsidRDefault="00691835" w:rsidP="00691835">
      <w:pPr>
        <w:pStyle w:val="a3"/>
        <w:spacing w:line="360" w:lineRule="auto"/>
        <w:ind w:left="567" w:hanging="720"/>
      </w:pPr>
      <w:r w:rsidRPr="00691835">
        <w:t xml:space="preserve">Bakker, A.B. and </w:t>
      </w:r>
      <w:proofErr w:type="spellStart"/>
      <w:r w:rsidRPr="00691835">
        <w:t>Leiter</w:t>
      </w:r>
      <w:proofErr w:type="spellEnd"/>
      <w:r w:rsidRPr="00691835">
        <w:t>, M., 2017. Strategic and proactive approaches to work engagement. Organizational Dynamics, 46(2), pp.67-75.</w:t>
      </w:r>
    </w:p>
    <w:p w:rsidR="00691835" w:rsidRPr="00691835" w:rsidRDefault="00691835" w:rsidP="00691835">
      <w:pPr>
        <w:pStyle w:val="a3"/>
        <w:spacing w:line="360" w:lineRule="auto"/>
        <w:ind w:left="567" w:hanging="720"/>
      </w:pPr>
      <w:proofErr w:type="spellStart"/>
      <w:r w:rsidRPr="00691835">
        <w:t>Barik</w:t>
      </w:r>
      <w:proofErr w:type="spellEnd"/>
      <w:r w:rsidRPr="00691835">
        <w:t xml:space="preserve">, S. and </w:t>
      </w:r>
      <w:proofErr w:type="spellStart"/>
      <w:r w:rsidRPr="00691835">
        <w:t>Kochar</w:t>
      </w:r>
      <w:proofErr w:type="spellEnd"/>
      <w:r w:rsidRPr="00691835">
        <w:t>, A., 2017. Antecedents and consequences of employee engagement: A literature review. International Journal of Latest Technology in Engineering, Management &amp; Applied Science, 6(4), pp.33-38.</w:t>
      </w:r>
    </w:p>
    <w:p w:rsidR="00691835" w:rsidRPr="00691835" w:rsidRDefault="00691835" w:rsidP="00691835">
      <w:pPr>
        <w:pStyle w:val="a3"/>
        <w:spacing w:line="360" w:lineRule="auto"/>
        <w:ind w:left="567" w:hanging="720"/>
      </w:pPr>
      <w:r w:rsidRPr="00691835">
        <w:t xml:space="preserve">Becker, K.L., 2022. We want connection and we do not mean </w:t>
      </w:r>
      <w:proofErr w:type="spellStart"/>
      <w:r w:rsidRPr="00691835">
        <w:t>wi-fi</w:t>
      </w:r>
      <w:proofErr w:type="spellEnd"/>
      <w:r w:rsidRPr="00691835">
        <w:t>: Examining the impacts of Covid-19 on Gen Z’s work and employment outcomes. Management Research Review, 45(5), pp.684-699.</w:t>
      </w:r>
    </w:p>
    <w:p w:rsidR="00691835" w:rsidRPr="00691835" w:rsidRDefault="00691835" w:rsidP="00691835">
      <w:pPr>
        <w:pStyle w:val="a3"/>
        <w:spacing w:line="360" w:lineRule="auto"/>
        <w:ind w:left="567" w:hanging="720"/>
      </w:pPr>
      <w:r w:rsidRPr="00691835">
        <w:t xml:space="preserve">Burnett, J.R. and </w:t>
      </w:r>
      <w:proofErr w:type="spellStart"/>
      <w:r w:rsidRPr="00691835">
        <w:t>Lisk</w:t>
      </w:r>
      <w:proofErr w:type="spellEnd"/>
      <w:r w:rsidRPr="00691835">
        <w:t>, T.C., 2019. The future of employee engagement: Real-time monitoring and digital tools for engaging a workforce. International Studies of Management &amp; Organization, 49(1), pp.108-119.</w:t>
      </w:r>
    </w:p>
    <w:p w:rsidR="00691835" w:rsidRPr="00691835" w:rsidRDefault="00691835" w:rsidP="00691835">
      <w:pPr>
        <w:pStyle w:val="a3"/>
        <w:spacing w:line="360" w:lineRule="auto"/>
        <w:ind w:left="567" w:hanging="720"/>
      </w:pPr>
      <w:proofErr w:type="spellStart"/>
      <w:r w:rsidRPr="00691835">
        <w:t>Cesário</w:t>
      </w:r>
      <w:proofErr w:type="spellEnd"/>
      <w:r w:rsidRPr="00691835">
        <w:t xml:space="preserve">, F. and </w:t>
      </w:r>
      <w:proofErr w:type="spellStart"/>
      <w:r w:rsidRPr="00691835">
        <w:t>Chambel</w:t>
      </w:r>
      <w:proofErr w:type="spellEnd"/>
      <w:r w:rsidRPr="00691835">
        <w:t>, M.J., 2017. Linking organizational commitment and work engagement to employee performance. Knowledge and Process Management, 24(2), pp.152-158.</w:t>
      </w:r>
    </w:p>
    <w:p w:rsidR="00691835" w:rsidRPr="00691835" w:rsidRDefault="00691835" w:rsidP="00691835">
      <w:pPr>
        <w:pStyle w:val="a3"/>
        <w:spacing w:line="360" w:lineRule="auto"/>
        <w:ind w:left="567" w:hanging="720"/>
      </w:pPr>
      <w:proofErr w:type="spellStart"/>
      <w:r w:rsidRPr="00691835">
        <w:t>Hapsari</w:t>
      </w:r>
      <w:proofErr w:type="spellEnd"/>
      <w:r w:rsidRPr="00691835">
        <w:t xml:space="preserve">, R., </w:t>
      </w:r>
      <w:proofErr w:type="spellStart"/>
      <w:r w:rsidRPr="00691835">
        <w:t>Clemes</w:t>
      </w:r>
      <w:proofErr w:type="spellEnd"/>
      <w:r w:rsidRPr="00691835">
        <w:t>, M.D. and Dean, D., 2017. The impact of service quality, customer engagement and selected marketing constructs on airline passenger loyalty. International Journal of Quality and Service Sciences, 9(1), pp.21-40.</w:t>
      </w:r>
    </w:p>
    <w:p w:rsidR="00691835" w:rsidRPr="00691835" w:rsidRDefault="00691835" w:rsidP="00691835">
      <w:pPr>
        <w:pStyle w:val="a3"/>
        <w:spacing w:line="360" w:lineRule="auto"/>
        <w:ind w:left="567" w:hanging="720"/>
      </w:pPr>
      <w:r w:rsidRPr="00691835">
        <w:t xml:space="preserve">Huang, Y., Ma, Z. and </w:t>
      </w:r>
      <w:proofErr w:type="spellStart"/>
      <w:r w:rsidRPr="00691835">
        <w:t>Meng</w:t>
      </w:r>
      <w:proofErr w:type="spellEnd"/>
      <w:r w:rsidRPr="00691835">
        <w:t>, Y., 2018. High</w:t>
      </w:r>
      <w:r w:rsidRPr="00691835">
        <w:rPr>
          <w:rFonts w:ascii="宋体" w:eastAsia="宋体" w:hAnsi="宋体" w:cs="宋体" w:hint="eastAsia"/>
        </w:rPr>
        <w:t>‐</w:t>
      </w:r>
      <w:r w:rsidRPr="00691835">
        <w:t>performance work systems and employee engagement: empirical evidence from China. Asia Pacific Journal of Human Resources, 56(3), pp.341-359.</w:t>
      </w:r>
    </w:p>
    <w:p w:rsidR="00691835" w:rsidRPr="00691835" w:rsidRDefault="00691835" w:rsidP="00691835">
      <w:pPr>
        <w:pStyle w:val="a3"/>
        <w:spacing w:line="360" w:lineRule="auto"/>
        <w:ind w:left="567" w:hanging="720"/>
      </w:pPr>
      <w:r w:rsidRPr="00691835">
        <w:t xml:space="preserve">Ibrahim, R., </w:t>
      </w:r>
      <w:proofErr w:type="spellStart"/>
      <w:r w:rsidRPr="00691835">
        <w:t>Boerhannoeddin</w:t>
      </w:r>
      <w:proofErr w:type="spellEnd"/>
      <w:r w:rsidRPr="00691835">
        <w:t xml:space="preserve">, A. and </w:t>
      </w:r>
      <w:proofErr w:type="spellStart"/>
      <w:r w:rsidRPr="00691835">
        <w:t>Bakare</w:t>
      </w:r>
      <w:proofErr w:type="spellEnd"/>
      <w:r w:rsidRPr="00691835">
        <w:t>, K.K., 2017. The effect of soft skills and training methodology on employee performance. European Journal of Training and Development.</w:t>
      </w:r>
    </w:p>
    <w:p w:rsidR="00691835" w:rsidRPr="00691835" w:rsidRDefault="00691835" w:rsidP="00691835">
      <w:pPr>
        <w:pStyle w:val="a3"/>
        <w:spacing w:line="360" w:lineRule="auto"/>
        <w:ind w:left="567" w:hanging="720"/>
      </w:pPr>
      <w:r w:rsidRPr="00691835">
        <w:t xml:space="preserve">Kang, M. and Sung, M., 2017. How symmetrical employee communication leads to employee engagement and positive employee communication behaviors: The </w:t>
      </w:r>
      <w:r w:rsidRPr="00691835">
        <w:lastRenderedPageBreak/>
        <w:t>mediation of employee-organization relationships. Journal of Communication Management, 21(1), pp.82-102.</w:t>
      </w:r>
    </w:p>
    <w:p w:rsidR="00691835" w:rsidRPr="00691835" w:rsidRDefault="00691835" w:rsidP="00691835">
      <w:pPr>
        <w:pStyle w:val="a3"/>
        <w:spacing w:line="360" w:lineRule="auto"/>
        <w:ind w:left="567" w:hanging="720"/>
      </w:pPr>
      <w:r w:rsidRPr="00691835">
        <w:t>Kang, M. and Sung, M., 2017. How symmetrical employee communication leads to employee engagement and positive employee communication behaviors: The mediation of employee-organization relationships. Journal of Communication Management, 21(1), pp.82-102.</w:t>
      </w:r>
    </w:p>
    <w:p w:rsidR="00691835" w:rsidRPr="00691835" w:rsidRDefault="00691835" w:rsidP="00691835">
      <w:pPr>
        <w:pStyle w:val="a3"/>
        <w:spacing w:line="360" w:lineRule="auto"/>
        <w:ind w:left="567" w:hanging="720"/>
      </w:pPr>
      <w:proofErr w:type="spellStart"/>
      <w:r w:rsidRPr="00691835">
        <w:t>Langove</w:t>
      </w:r>
      <w:proofErr w:type="spellEnd"/>
      <w:r w:rsidRPr="00691835">
        <w:t xml:space="preserve">, N. and </w:t>
      </w:r>
      <w:proofErr w:type="spellStart"/>
      <w:r w:rsidRPr="00691835">
        <w:t>Isha</w:t>
      </w:r>
      <w:proofErr w:type="spellEnd"/>
      <w:r w:rsidRPr="00691835">
        <w:t>, A.S.N., 2017. Impact of rewards and recognition on Malaysian IT executives well-being and turnover intention: A conceptual framework. Global Business and Management Research, 9(1s), p.153.</w:t>
      </w:r>
    </w:p>
    <w:p w:rsidR="00691835" w:rsidRPr="00691835" w:rsidRDefault="00691835" w:rsidP="00691835">
      <w:pPr>
        <w:pStyle w:val="a3"/>
        <w:spacing w:line="360" w:lineRule="auto"/>
        <w:ind w:left="567" w:hanging="720"/>
      </w:pPr>
      <w:proofErr w:type="spellStart"/>
      <w:r w:rsidRPr="00691835">
        <w:t>Shrotryia</w:t>
      </w:r>
      <w:proofErr w:type="spellEnd"/>
      <w:r w:rsidRPr="00691835">
        <w:t xml:space="preserve">, V.K. and </w:t>
      </w:r>
      <w:proofErr w:type="spellStart"/>
      <w:r w:rsidRPr="00691835">
        <w:t>Dhanda</w:t>
      </w:r>
      <w:proofErr w:type="spellEnd"/>
      <w:r w:rsidRPr="00691835">
        <w:t>, U., 2020. Exploring employee engagement using grounded theory: experiences from the best firms in India. Vision, 24(2), pp.171-183.</w:t>
      </w:r>
    </w:p>
    <w:p w:rsidR="00691835" w:rsidRPr="00691835" w:rsidRDefault="00691835" w:rsidP="00691835">
      <w:pPr>
        <w:pStyle w:val="a3"/>
        <w:spacing w:line="360" w:lineRule="auto"/>
        <w:ind w:left="567" w:hanging="720"/>
      </w:pPr>
      <w:proofErr w:type="spellStart"/>
      <w:r w:rsidRPr="00691835">
        <w:t>Slatten</w:t>
      </w:r>
      <w:proofErr w:type="spellEnd"/>
      <w:r w:rsidRPr="00691835">
        <w:t xml:space="preserve">, L.A., </w:t>
      </w:r>
      <w:proofErr w:type="spellStart"/>
      <w:r w:rsidRPr="00691835">
        <w:t>Bendickson</w:t>
      </w:r>
      <w:proofErr w:type="spellEnd"/>
      <w:r w:rsidRPr="00691835">
        <w:t>, J.S., Diamond, M. and McDowell, W.C., 2021. Staffing of small nonprofit organizations: A model for retaining employees. Journal of Innovation &amp; Knowledge, 6(1), pp.50-57.</w:t>
      </w:r>
    </w:p>
    <w:p w:rsidR="00691835" w:rsidRPr="00691835" w:rsidRDefault="00691835" w:rsidP="00691835">
      <w:pPr>
        <w:rPr>
          <w:rFonts w:ascii="Times New Roman" w:hAnsi="Times New Roman" w:cs="Times New Roman"/>
          <w:sz w:val="24"/>
          <w:szCs w:val="24"/>
        </w:rPr>
      </w:pPr>
    </w:p>
    <w:p w:rsidR="00E67C18" w:rsidRPr="00691835" w:rsidRDefault="00E67C18" w:rsidP="00D31D50">
      <w:pPr>
        <w:spacing w:line="220" w:lineRule="atLeast"/>
        <w:rPr>
          <w:sz w:val="24"/>
          <w:szCs w:val="24"/>
        </w:rPr>
      </w:pPr>
    </w:p>
    <w:sectPr w:rsidR="00E67C18" w:rsidRPr="00691835" w:rsidSect="004358AB">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0F3C52" w:usb2="00000016" w:usb3="00000000" w:csb0="0004001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066646"/>
    <w:multiLevelType w:val="multilevel"/>
    <w:tmpl w:val="C20CC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defaultTabStop w:val="720"/>
  <w:characterSpacingControl w:val="doNotCompress"/>
  <w:compat>
    <w:useFELayout/>
  </w:compat>
  <w:rsids>
    <w:rsidRoot w:val="00D31D50"/>
    <w:rsid w:val="000F4ADE"/>
    <w:rsid w:val="00283757"/>
    <w:rsid w:val="00323B43"/>
    <w:rsid w:val="003D37D8"/>
    <w:rsid w:val="00426133"/>
    <w:rsid w:val="004358AB"/>
    <w:rsid w:val="00691835"/>
    <w:rsid w:val="00771C7B"/>
    <w:rsid w:val="0077658F"/>
    <w:rsid w:val="008B7726"/>
    <w:rsid w:val="00907B61"/>
    <w:rsid w:val="00D31D50"/>
    <w:rsid w:val="00E67C18"/>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微软雅黑" w:hAnsiTheme="minorHAnsi" w:cstheme="minorBidi"/>
        <w:sz w:val="22"/>
        <w:szCs w:val="22"/>
        <w:lang w:val="en-US" w:eastAsia="zh-CN" w:bidi="ar-SA"/>
      </w:rPr>
    </w:rPrDefault>
    <w:pPrDefault>
      <w:pPr>
        <w:spacing w:after="200" w:line="220" w:lineRule="atLeast"/>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23B43"/>
    <w:pPr>
      <w:adjustRightInd w:val="0"/>
      <w:snapToGrid w:val="0"/>
      <w:spacing w:line="240" w:lineRule="auto"/>
    </w:pPr>
    <w:rPr>
      <w:rFonts w:ascii="Tahoma" w:hAnsi="Tahoma"/>
    </w:rPr>
  </w:style>
  <w:style w:type="paragraph" w:styleId="2">
    <w:name w:val="heading 2"/>
    <w:basedOn w:val="a"/>
    <w:next w:val="a"/>
    <w:link w:val="2Char"/>
    <w:uiPriority w:val="9"/>
    <w:unhideWhenUsed/>
    <w:qFormat/>
    <w:rsid w:val="00691835"/>
    <w:pPr>
      <w:keepNext/>
      <w:keepLines/>
      <w:adjustRightInd/>
      <w:snapToGrid/>
      <w:spacing w:before="40" w:after="0" w:line="259" w:lineRule="auto"/>
      <w:outlineLvl w:val="1"/>
    </w:pPr>
    <w:rPr>
      <w:rFonts w:asciiTheme="majorHAnsi" w:eastAsiaTheme="majorEastAsia" w:hAnsiTheme="majorHAnsi" w:cstheme="majorBidi"/>
      <w:color w:val="365F91" w:themeColor="accent1" w:themeShade="BF"/>
      <w:sz w:val="26"/>
      <w:szCs w:val="26"/>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Char">
    <w:name w:val="标题 2 Char"/>
    <w:basedOn w:val="a0"/>
    <w:link w:val="2"/>
    <w:uiPriority w:val="9"/>
    <w:rsid w:val="00691835"/>
    <w:rPr>
      <w:rFonts w:asciiTheme="majorHAnsi" w:eastAsiaTheme="majorEastAsia" w:hAnsiTheme="majorHAnsi" w:cstheme="majorBidi"/>
      <w:color w:val="365F91" w:themeColor="accent1" w:themeShade="BF"/>
      <w:sz w:val="26"/>
      <w:szCs w:val="26"/>
      <w:lang w:eastAsia="en-US"/>
    </w:rPr>
  </w:style>
  <w:style w:type="paragraph" w:styleId="a3">
    <w:name w:val="Normal (Web)"/>
    <w:basedOn w:val="a"/>
    <w:uiPriority w:val="99"/>
    <w:semiHidden/>
    <w:unhideWhenUsed/>
    <w:rsid w:val="00691835"/>
    <w:pPr>
      <w:adjustRightInd/>
      <w:snapToGrid/>
      <w:spacing w:before="100" w:beforeAutospacing="1" w:after="100" w:afterAutospacing="1"/>
    </w:pPr>
    <w:rPr>
      <w:rFonts w:ascii="Times New Roman" w:eastAsia="Times New Roman" w:hAnsi="Times New Roman" w:cs="Times New Roman"/>
      <w:sz w:val="24"/>
      <w:szCs w:val="24"/>
      <w:lang w:eastAsia="en-US"/>
    </w:rPr>
  </w:style>
</w:styles>
</file>

<file path=word/webSettings.xml><?xml version="1.0" encoding="utf-8"?>
<w:webSettings xmlns:r="http://schemas.openxmlformats.org/officeDocument/2006/relationships" xmlns:w="http://schemas.openxmlformats.org/wordprocessingml/2006/main">
  <w:divs>
    <w:div w:id="74136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Office_PowerPoint_2007____1.package"/><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5</Pages>
  <Words>1244</Words>
  <Characters>7093</Characters>
  <Application>Microsoft Office Word</Application>
  <DocSecurity>0</DocSecurity>
  <Lines>59</Lines>
  <Paragraphs>16</Paragraphs>
  <ScaleCrop>false</ScaleCrop>
  <Company/>
  <LinksUpToDate>false</LinksUpToDate>
  <CharactersWithSpaces>8321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Administrator</cp:lastModifiedBy>
  <cp:revision>6</cp:revision>
  <dcterms:created xsi:type="dcterms:W3CDTF">2008-09-11T17:20:00Z</dcterms:created>
  <dcterms:modified xsi:type="dcterms:W3CDTF">2023-04-27T14:17:00Z</dcterms:modified>
</cp:coreProperties>
</file>