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0DDEC0FD" w:rsidR="00ED1049" w:rsidRPr="00ED1049" w:rsidRDefault="00ED1049" w:rsidP="00ED1049">
      <w:pPr>
        <w:ind w:left="426"/>
        <w:rPr>
          <w:rFonts w:ascii="Arial" w:hAnsi="Arial" w:cs="Arial"/>
        </w:rPr>
      </w:pP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333F1D">
      <w:pPr>
        <w:spacing w:line="360" w:lineRule="auto"/>
        <w:ind w:left="426"/>
        <w:jc w:val="center"/>
        <w:rPr>
          <w:rFonts w:ascii="Arial" w:hAnsi="Arial" w:cs="Arial"/>
          <w:szCs w:val="24"/>
        </w:rPr>
      </w:pPr>
    </w:p>
    <w:p w14:paraId="216E92B4" w14:textId="12E869E3" w:rsidR="00C31D85" w:rsidRDefault="00C31D85" w:rsidP="00333F1D">
      <w:pPr>
        <w:jc w:val="center"/>
        <w:rPr>
          <w:rFonts w:ascii="Aptos" w:hAnsi="Aptos"/>
          <w:b/>
          <w:bCs/>
          <w:sz w:val="36"/>
          <w:szCs w:val="36"/>
        </w:rPr>
      </w:pPr>
      <w:r w:rsidRPr="00C31D85">
        <w:rPr>
          <w:rFonts w:ascii="Aptos" w:hAnsi="Aptos"/>
          <w:b/>
          <w:bCs/>
          <w:sz w:val="36"/>
          <w:szCs w:val="36"/>
        </w:rPr>
        <w:t>Methods and Search Strategy Academic Poster</w:t>
      </w:r>
    </w:p>
    <w:p w14:paraId="2C135EB3" w14:textId="77777777" w:rsidR="00C31D85" w:rsidRDefault="00C31D85" w:rsidP="00333F1D">
      <w:pPr>
        <w:jc w:val="center"/>
        <w:rPr>
          <w:rFonts w:ascii="Aptos" w:hAnsi="Aptos"/>
          <w:b/>
          <w:bCs/>
          <w:sz w:val="36"/>
          <w:szCs w:val="36"/>
        </w:rPr>
      </w:pPr>
    </w:p>
    <w:p w14:paraId="630B5F3A" w14:textId="77777777" w:rsidR="00C31D85" w:rsidRDefault="00C31D85" w:rsidP="00333F1D">
      <w:pPr>
        <w:jc w:val="center"/>
        <w:rPr>
          <w:rFonts w:ascii="Aptos" w:hAnsi="Aptos"/>
          <w:b/>
          <w:bCs/>
          <w:sz w:val="36"/>
          <w:szCs w:val="36"/>
        </w:rPr>
      </w:pPr>
    </w:p>
    <w:p w14:paraId="3260C959" w14:textId="77777777" w:rsidR="00C31D85" w:rsidRDefault="00C31D85" w:rsidP="00333F1D">
      <w:pPr>
        <w:jc w:val="center"/>
        <w:rPr>
          <w:rFonts w:ascii="Aptos" w:hAnsi="Aptos"/>
          <w:b/>
          <w:bCs/>
          <w:sz w:val="36"/>
          <w:szCs w:val="36"/>
        </w:rPr>
      </w:pPr>
    </w:p>
    <w:p w14:paraId="461920A4" w14:textId="5561C239" w:rsidR="00C31D85" w:rsidRPr="00C31D85" w:rsidRDefault="00C31D85" w:rsidP="00333F1D">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2C0085">
        <w:rPr>
          <w:rFonts w:ascii="Aptos" w:hAnsi="Aptos" w:cs="Arial"/>
          <w:sz w:val="28"/>
          <w:szCs w:val="28"/>
          <w:lang w:val="nl-NL"/>
        </w:rPr>
        <w:t xml:space="preserve"> Tariq Mehmood Warraich</w:t>
      </w:r>
    </w:p>
    <w:p w14:paraId="227E07A2" w14:textId="77777777" w:rsidR="00333F1D" w:rsidRDefault="00C31D85" w:rsidP="00333F1D">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2C0085">
        <w:rPr>
          <w:rFonts w:ascii="Aptos" w:hAnsi="Aptos" w:cs="Arial"/>
          <w:sz w:val="28"/>
          <w:szCs w:val="28"/>
          <w:lang w:val="nl-NL"/>
        </w:rPr>
        <w:t xml:space="preserve"> 2244964</w:t>
      </w:r>
    </w:p>
    <w:p w14:paraId="41CBCDE7" w14:textId="7F63609B" w:rsidR="00C31D85" w:rsidRPr="00C31D85" w:rsidRDefault="00C31D85" w:rsidP="00333F1D">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8A7F94">
        <w:rPr>
          <w:rFonts w:ascii="Aptos" w:hAnsi="Aptos" w:cs="Arial"/>
          <w:sz w:val="28"/>
          <w:szCs w:val="28"/>
          <w:lang w:val="nl-NL"/>
        </w:rPr>
        <w:t>Independent Project</w:t>
      </w:r>
    </w:p>
    <w:p w14:paraId="05B17843" w14:textId="36B616D7" w:rsidR="002C0085" w:rsidRPr="00C31D85" w:rsidRDefault="00C31D85" w:rsidP="00333F1D">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rPr>
        <w:t>Module code</w:t>
      </w:r>
      <w:r w:rsidRPr="00C31D85">
        <w:rPr>
          <w:rFonts w:ascii="Aptos" w:hAnsi="Aptos" w:cs="Arial"/>
          <w:sz w:val="28"/>
          <w:szCs w:val="28"/>
        </w:rPr>
        <w:t>:</w:t>
      </w:r>
      <w:r w:rsidR="002C0085">
        <w:rPr>
          <w:rFonts w:ascii="Aptos" w:hAnsi="Aptos" w:cs="Arial"/>
          <w:sz w:val="28"/>
          <w:szCs w:val="28"/>
        </w:rPr>
        <w:t xml:space="preserve"> </w:t>
      </w:r>
      <w:r w:rsidR="002C0085">
        <w:rPr>
          <w:rFonts w:ascii="Aptos" w:hAnsi="Aptos" w:cs="Arial"/>
          <w:sz w:val="28"/>
          <w:szCs w:val="28"/>
          <w:lang w:val="nl-NL"/>
        </w:rPr>
        <w:t>BMHP6020</w:t>
      </w:r>
    </w:p>
    <w:p w14:paraId="42A6E8AA" w14:textId="5A634E9E" w:rsidR="00C31D85" w:rsidRPr="00C31D85" w:rsidRDefault="00DB740A" w:rsidP="00333F1D">
      <w:pPr>
        <w:tabs>
          <w:tab w:val="left" w:pos="2988"/>
        </w:tabs>
        <w:spacing w:line="360" w:lineRule="auto"/>
        <w:ind w:left="426"/>
        <w:jc w:val="center"/>
        <w:rPr>
          <w:rFonts w:ascii="Aptos" w:hAnsi="Aptos" w:cs="Arial"/>
          <w:sz w:val="28"/>
          <w:szCs w:val="28"/>
        </w:rPr>
      </w:pPr>
      <w:r w:rsidRPr="00DB740A">
        <w:rPr>
          <w:rFonts w:ascii="Aptos" w:hAnsi="Aptos" w:cs="Arial"/>
          <w:b/>
          <w:bCs/>
          <w:sz w:val="28"/>
          <w:szCs w:val="28"/>
        </w:rPr>
        <w:t>Lecturer Name:</w:t>
      </w:r>
      <w:r>
        <w:rPr>
          <w:rFonts w:ascii="Aptos" w:hAnsi="Aptos" w:cs="Arial"/>
          <w:sz w:val="28"/>
          <w:szCs w:val="28"/>
        </w:rPr>
        <w:t xml:space="preserve"> Chloe Harris</w:t>
      </w:r>
    </w:p>
    <w:p w14:paraId="41A4DC93" w14:textId="46512763" w:rsidR="00C31D85" w:rsidRPr="00C31D85" w:rsidRDefault="00CC0A8F" w:rsidP="00333F1D">
      <w:pPr>
        <w:jc w:val="center"/>
        <w:rPr>
          <w:rFonts w:ascii="Aptos" w:hAnsi="Aptos"/>
          <w:b/>
          <w:bCs/>
        </w:rPr>
        <w:sectPr w:rsidR="00C31D85" w:rsidRPr="00C31D85" w:rsidSect="00C31D85">
          <w:headerReference w:type="default" r:id="rId11"/>
          <w:headerReference w:type="first" r:id="rId12"/>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2D15A443" w:rsidR="00802FF1" w:rsidRPr="002C0085" w:rsidRDefault="002C0085" w:rsidP="002C0085">
            <w:pPr>
              <w:jc w:val="center"/>
              <w:rPr>
                <w:rFonts w:ascii="Aptos" w:hAnsi="Aptos"/>
                <w:b/>
                <w:bCs/>
                <w:sz w:val="48"/>
                <w:szCs w:val="48"/>
              </w:rPr>
            </w:pPr>
            <w:r w:rsidRPr="002C0085">
              <w:rPr>
                <w:rFonts w:ascii="Aptos" w:hAnsi="Aptos"/>
                <w:b/>
                <w:bCs/>
                <w:sz w:val="48"/>
                <w:szCs w:val="48"/>
              </w:rPr>
              <w:lastRenderedPageBreak/>
              <w:t xml:space="preserve">The impact of loneliness and social isolation on the mental health and wellbeing of older adults in the </w:t>
            </w:r>
            <w:r>
              <w:rPr>
                <w:rFonts w:ascii="Aptos" w:hAnsi="Aptos"/>
                <w:b/>
                <w:bCs/>
                <w:sz w:val="48"/>
                <w:szCs w:val="48"/>
              </w:rPr>
              <w:t>UK</w:t>
            </w:r>
          </w:p>
        </w:tc>
      </w:tr>
      <w:tr w:rsidR="00C31D85" w:rsidRPr="00C31D85" w14:paraId="51100EC3" w14:textId="77777777" w:rsidTr="00063B85">
        <w:trPr>
          <w:trHeight w:val="1856"/>
        </w:trPr>
        <w:tc>
          <w:tcPr>
            <w:tcW w:w="7225" w:type="dxa"/>
          </w:tcPr>
          <w:p w14:paraId="7D5ABB49" w14:textId="77777777" w:rsidR="00C31D85" w:rsidRPr="005F7D75" w:rsidRDefault="00C31D85" w:rsidP="00C46111">
            <w:pPr>
              <w:rPr>
                <w:rFonts w:ascii="Aptos" w:hAnsi="Aptos"/>
                <w:b/>
                <w:bCs/>
              </w:rPr>
            </w:pPr>
            <w:proofErr w:type="gramStart"/>
            <w:r w:rsidRPr="00AB5409">
              <w:rPr>
                <w:rFonts w:ascii="Aptos" w:hAnsi="Aptos"/>
                <w:b/>
                <w:bCs/>
                <w:sz w:val="40"/>
                <w:szCs w:val="40"/>
              </w:rPr>
              <w:t>01</w:t>
            </w:r>
            <w:r w:rsidR="00890534">
              <w:rPr>
                <w:rFonts w:ascii="Aptos" w:hAnsi="Aptos"/>
              </w:rPr>
              <w:t xml:space="preserve"> </w:t>
            </w:r>
            <w:r w:rsidR="00AB5409">
              <w:rPr>
                <w:rFonts w:ascii="Aptos" w:hAnsi="Aptos"/>
              </w:rPr>
              <w:t xml:space="preserve"> </w:t>
            </w:r>
            <w:r w:rsidR="001A2DAB" w:rsidRPr="005F7D75">
              <w:rPr>
                <w:rFonts w:ascii="Aptos" w:hAnsi="Aptos"/>
                <w:b/>
                <w:bCs/>
              </w:rPr>
              <w:t>Introduction</w:t>
            </w:r>
            <w:proofErr w:type="gramEnd"/>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4F873229" w14:textId="2D5F76E6" w:rsidR="000E56ED" w:rsidRPr="005F7D75" w:rsidRDefault="008A7F94" w:rsidP="004E16BE">
            <w:pPr>
              <w:spacing w:line="360" w:lineRule="auto"/>
              <w:jc w:val="both"/>
              <w:rPr>
                <w:rFonts w:ascii="Aptos" w:hAnsi="Aptos"/>
              </w:rPr>
            </w:pPr>
            <w:r w:rsidRPr="008A7F94">
              <w:rPr>
                <w:rFonts w:ascii="Aptos" w:hAnsi="Aptos"/>
              </w:rPr>
              <w:t xml:space="preserve">A methods chapter explains how the research was conducted and justifies the chosen design, data sources, and analysis to ensure transparency and academic </w:t>
            </w:r>
            <w:proofErr w:type="spellStart"/>
            <w:r w:rsidRPr="008A7F94">
              <w:rPr>
                <w:rFonts w:ascii="Aptos" w:hAnsi="Aptos"/>
              </w:rPr>
              <w:t>rigour</w:t>
            </w:r>
            <w:proofErr w:type="spellEnd"/>
            <w:r w:rsidRPr="008A7F94">
              <w:rPr>
                <w:rFonts w:ascii="Aptos" w:hAnsi="Aptos"/>
              </w:rPr>
              <w:t xml:space="preserve">. This study uses a qualitative literature-based approach, </w:t>
            </w:r>
            <w:proofErr w:type="spellStart"/>
            <w:r w:rsidRPr="008A7F94">
              <w:rPr>
                <w:rFonts w:ascii="Aptos" w:hAnsi="Aptos"/>
              </w:rPr>
              <w:t>analysing</w:t>
            </w:r>
            <w:proofErr w:type="spellEnd"/>
            <w:r w:rsidRPr="008A7F94">
              <w:rPr>
                <w:rFonts w:ascii="Aptos" w:hAnsi="Aptos"/>
              </w:rPr>
              <w:t xml:space="preserve"> existing academic studies, policy documents, and reports from </w:t>
            </w:r>
            <w:proofErr w:type="spellStart"/>
            <w:r w:rsidRPr="008A7F94">
              <w:rPr>
                <w:rFonts w:ascii="Aptos" w:hAnsi="Aptos"/>
              </w:rPr>
              <w:t>organisations</w:t>
            </w:r>
            <w:proofErr w:type="spellEnd"/>
            <w:r w:rsidRPr="008A7F94">
              <w:rPr>
                <w:rFonts w:ascii="Aptos" w:hAnsi="Aptos"/>
              </w:rPr>
              <w:t xml:space="preserve"> such as the NHS, ONS, WHO, and Age UK. Rather than collecting primary data, the research critically evaluates secondary sources to identify patterns, gaps, and the effectiveness of current interventions. The aim is to investigate how loneliness and social isolation affect the mental health and wellbeing of older adults in the UK, and to evaluate existing strategies addressing this issue within health and social care.</w:t>
            </w:r>
            <w:r w:rsidR="00280C15">
              <w:rPr>
                <w:rFonts w:ascii="Aptos" w:hAnsi="Aptos"/>
              </w:rPr>
              <w:t xml:space="preserve"> </w:t>
            </w:r>
            <w:r w:rsidR="00280C15" w:rsidRPr="00280C15">
              <w:rPr>
                <w:rFonts w:ascii="Aptos" w:hAnsi="Aptos"/>
              </w:rPr>
              <w:t>(Creswell, 2014).</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4576EDBB" w14:textId="420F759C" w:rsidR="008A7F94" w:rsidRDefault="008A7F94" w:rsidP="008A7F94">
            <w:pPr>
              <w:spacing w:line="360" w:lineRule="auto"/>
              <w:jc w:val="both"/>
              <w:rPr>
                <w:rFonts w:ascii="Aptos" w:hAnsi="Aptos"/>
                <w:lang w:val="en-GB"/>
              </w:rPr>
            </w:pPr>
            <w:r w:rsidRPr="008A1948">
              <w:rPr>
                <w:rFonts w:ascii="Aptos" w:hAnsi="Aptos"/>
              </w:rPr>
              <w:t>A search strategy in secondary research refers to a structured and systematic process used to identify relevant academic literature and credible sources to answer a research question</w:t>
            </w:r>
            <w:r w:rsidR="00280C15">
              <w:rPr>
                <w:rFonts w:ascii="Aptos" w:hAnsi="Aptos"/>
              </w:rPr>
              <w:t xml:space="preserve"> </w:t>
            </w:r>
            <w:r w:rsidR="00280C15" w:rsidRPr="00280C15">
              <w:rPr>
                <w:rFonts w:ascii="Aptos" w:hAnsi="Aptos"/>
              </w:rPr>
              <w:t>(Booth, Sutton and Papaioannou, 2016</w:t>
            </w:r>
            <w:r w:rsidR="00280C15">
              <w:rPr>
                <w:rFonts w:ascii="Aptos" w:hAnsi="Aptos"/>
              </w:rPr>
              <w:t>)</w:t>
            </w:r>
            <w:r w:rsidRPr="008A1948">
              <w:rPr>
                <w:rFonts w:ascii="Aptos" w:hAnsi="Aptos"/>
              </w:rPr>
              <w:t xml:space="preserve">. It involves selecting appropriate databases, developing key search terms, and applying inclusion and exclusion criteria to ensure reliability and relevance. In this dissertation, databases such as Google Scholar, PubMed, and ScienceDirect were used alongside official sources including the NHS, ONS, WHO, and Age UK. Keywords were derived directly from the research aim and objectives, including terms such as “loneliness in older adults UK,” “social isolation and mental health,” and “social prescribing.” Boolean operators such as AND </w:t>
            </w:r>
            <w:proofErr w:type="spellStart"/>
            <w:r w:rsidRPr="008A1948">
              <w:rPr>
                <w:rFonts w:ascii="Aptos" w:hAnsi="Aptos"/>
              </w:rPr>
              <w:t>and</w:t>
            </w:r>
            <w:proofErr w:type="spellEnd"/>
            <w:r w:rsidRPr="008A1948">
              <w:rPr>
                <w:rFonts w:ascii="Aptos" w:hAnsi="Aptos"/>
              </w:rPr>
              <w:t xml:space="preserve"> OR were used to refine results. Only peer-reviewed studies, UK-based research where possible, and publications from the last 10–15 years were included. This structured approach ensured that the evidence gathered was current, credible, and aligned with the research objectives.</w:t>
            </w:r>
          </w:p>
          <w:p w14:paraId="25CA190D" w14:textId="77777777" w:rsidR="0029329C" w:rsidRDefault="0029329C" w:rsidP="005F7D75">
            <w:pPr>
              <w:spacing w:line="360" w:lineRule="auto"/>
              <w:jc w:val="both"/>
              <w:rPr>
                <w:rFonts w:ascii="Aptos" w:hAnsi="Aptos"/>
                <w:lang w:val="en-GB"/>
              </w:rPr>
            </w:pP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063B85">
        <w:trPr>
          <w:trHeight w:val="1856"/>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lastRenderedPageBreak/>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611ED69" w14:textId="64956EC2" w:rsidR="0029329C" w:rsidRDefault="008A7F94" w:rsidP="005F7D75">
            <w:pPr>
              <w:spacing w:line="360" w:lineRule="auto"/>
              <w:jc w:val="both"/>
              <w:rPr>
                <w:rFonts w:ascii="Aptos" w:hAnsi="Aptos"/>
                <w:lang w:val="en-GB"/>
              </w:rPr>
            </w:pPr>
            <w:r w:rsidRPr="008A7F94">
              <w:rPr>
                <w:rFonts w:ascii="Aptos" w:hAnsi="Aptos"/>
              </w:rPr>
              <w:t xml:space="preserve">Information for this dissertation was identified through a structured step-by-step process. First, key concepts from the research aim — such as “loneliness,” “social isolation,” “older adults,” and “mental health” — were used to generate search terms. These were entered into academic databases including Google Scholar and PubMed, using Boolean operators such as AND </w:t>
            </w:r>
            <w:proofErr w:type="spellStart"/>
            <w:r w:rsidRPr="008A7F94">
              <w:rPr>
                <w:rFonts w:ascii="Aptos" w:hAnsi="Aptos"/>
              </w:rPr>
              <w:t>and</w:t>
            </w:r>
            <w:proofErr w:type="spellEnd"/>
            <w:r w:rsidRPr="008A7F94">
              <w:rPr>
                <w:rFonts w:ascii="Aptos" w:hAnsi="Aptos"/>
              </w:rPr>
              <w:t xml:space="preserve"> OR to refine results. Filters were then applied to </w:t>
            </w:r>
            <w:proofErr w:type="spellStart"/>
            <w:r w:rsidRPr="008A7F94">
              <w:rPr>
                <w:rFonts w:ascii="Aptos" w:hAnsi="Aptos"/>
              </w:rPr>
              <w:t>prioritise</w:t>
            </w:r>
            <w:proofErr w:type="spellEnd"/>
            <w:r w:rsidRPr="008A7F94">
              <w:rPr>
                <w:rFonts w:ascii="Aptos" w:hAnsi="Aptos"/>
              </w:rPr>
              <w:t xml:space="preserve"> peer-reviewed studies, UK-focused research, and publications from the last 10–15 years</w:t>
            </w:r>
            <w:r w:rsidR="00E02A0E">
              <w:rPr>
                <w:rFonts w:ascii="Aptos" w:hAnsi="Aptos"/>
              </w:rPr>
              <w:t xml:space="preserve"> </w:t>
            </w:r>
            <w:r w:rsidR="00E02A0E" w:rsidRPr="00E02A0E">
              <w:rPr>
                <w:rFonts w:ascii="Aptos" w:hAnsi="Aptos"/>
              </w:rPr>
              <w:t>(Office for National Statistics, 2023)</w:t>
            </w:r>
            <w:r w:rsidRPr="008A7F94">
              <w:rPr>
                <w:rFonts w:ascii="Aptos" w:hAnsi="Aptos"/>
              </w:rPr>
              <w:t>. Finally, sources were screened for relevance and credibility before inclusion. This systematic approach ensured that the most accurate and appropriate evidence informed the research.</w:t>
            </w: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tcPr>
          <w:p w14:paraId="54995ADA" w14:textId="77777777" w:rsidR="00C31D85" w:rsidRDefault="00C31D85"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123D41E6" w14:textId="77777777" w:rsidR="005F7D75" w:rsidRDefault="00E02A0E" w:rsidP="008A7F94">
            <w:pPr>
              <w:spacing w:line="360" w:lineRule="auto"/>
              <w:jc w:val="both"/>
              <w:rPr>
                <w:rFonts w:ascii="Aptos" w:hAnsi="Aptos"/>
              </w:rPr>
            </w:pPr>
            <w:r w:rsidRPr="00E02A0E">
              <w:rPr>
                <w:rFonts w:ascii="Aptos" w:hAnsi="Aptos"/>
              </w:rPr>
              <w:drawing>
                <wp:inline distT="0" distB="0" distL="0" distR="0" wp14:anchorId="5684D468" wp14:editId="1D2731C2">
                  <wp:extent cx="3634959" cy="1995777"/>
                  <wp:effectExtent l="0" t="0" r="3810" b="5080"/>
                  <wp:docPr id="38011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118092" name=""/>
                          <pic:cNvPicPr/>
                        </pic:nvPicPr>
                        <pic:blipFill>
                          <a:blip r:embed="rId13"/>
                          <a:stretch>
                            <a:fillRect/>
                          </a:stretch>
                        </pic:blipFill>
                        <pic:spPr>
                          <a:xfrm>
                            <a:off x="0" y="0"/>
                            <a:ext cx="3667339" cy="2013555"/>
                          </a:xfrm>
                          <a:prstGeom prst="rect">
                            <a:avLst/>
                          </a:prstGeom>
                        </pic:spPr>
                      </pic:pic>
                    </a:graphicData>
                  </a:graphic>
                </wp:inline>
              </w:drawing>
            </w:r>
          </w:p>
          <w:p w14:paraId="2BBB997C" w14:textId="7DF4AF0D" w:rsidR="00E02A0E" w:rsidRPr="00C31D85" w:rsidRDefault="00E02A0E" w:rsidP="008A7F94">
            <w:pPr>
              <w:spacing w:line="360" w:lineRule="auto"/>
              <w:jc w:val="both"/>
              <w:rPr>
                <w:rFonts w:ascii="Aptos" w:hAnsi="Aptos"/>
              </w:rPr>
            </w:pPr>
            <w:r w:rsidRPr="00E02A0E">
              <w:rPr>
                <w:rFonts w:ascii="Aptos" w:hAnsi="Aptos"/>
              </w:rPr>
              <w:t>Number of people aged 50 and over living in England projected to be feeling often lonely up to 2030/31</w:t>
            </w: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5F7D75">
              <w:rPr>
                <w:rFonts w:ascii="Aptos" w:hAnsi="Aptos"/>
                <w:b/>
                <w:bCs/>
              </w:rPr>
              <w:t>Research Validation and Analysis</w:t>
            </w:r>
          </w:p>
          <w:p w14:paraId="7454B819" w14:textId="264F7302" w:rsidR="00516CC0" w:rsidRPr="00516CC0" w:rsidRDefault="00516CC0" w:rsidP="00516CC0">
            <w:pPr>
              <w:spacing w:line="360" w:lineRule="auto"/>
              <w:jc w:val="both"/>
              <w:rPr>
                <w:rFonts w:ascii="Aptos" w:hAnsi="Aptos"/>
                <w:lang w:val="en-GB"/>
              </w:rPr>
            </w:pPr>
            <w:r w:rsidRPr="00516CC0">
              <w:rPr>
                <w:rFonts w:ascii="Aptos" w:hAnsi="Aptos"/>
                <w:lang w:val="en-GB"/>
              </w:rPr>
              <w:t xml:space="preserve"> </w:t>
            </w:r>
            <w:r w:rsidR="008A7F94" w:rsidRPr="008A7F94">
              <w:rPr>
                <w:rFonts w:ascii="Aptos" w:hAnsi="Aptos"/>
                <w:lang w:val="en-GB"/>
              </w:rPr>
              <w:t>Validation in secondary research refers to the process of ensuring that the sources used are credible, accurate, and methodologically sound. This involves evaluating the author’s expertise, publication type, research design, sample size, and whether the findings are peer-reviewed. Ensuring validation strengthens reliability and reduces bias, although it can be limited by publication bias or inconsistent methodologies across studies. Secondary research analysis involves systematically reviewing existing literature and identifying patterns or recurring concepts. In this dissertation, themes such as risk factors, health impacts, policy responses, and structural inequalities were drawn from repeated findings across studies. These themes will form the basis of Chapter 4, allowing for structured analysis and critical discussion.</w:t>
            </w:r>
            <w:r w:rsidR="00E02A0E" w:rsidRPr="00E02A0E">
              <w:t xml:space="preserve"> </w:t>
            </w:r>
            <w:r w:rsidR="00E02A0E" w:rsidRPr="00E02A0E">
              <w:rPr>
                <w:rFonts w:ascii="Aptos" w:hAnsi="Aptos"/>
              </w:rPr>
              <w:t>(Torraco, 2005)</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1A775142" w:rsidR="00516CC0" w:rsidRPr="00C31D85" w:rsidRDefault="00280C15" w:rsidP="00280C15">
            <w:pPr>
              <w:spacing w:line="360" w:lineRule="auto"/>
              <w:contextualSpacing/>
              <w:jc w:val="both"/>
              <w:rPr>
                <w:rFonts w:ascii="Aptos" w:hAnsi="Aptos"/>
              </w:rPr>
            </w:pPr>
            <w:r w:rsidRPr="00280C15">
              <w:rPr>
                <w:rFonts w:ascii="Aptos" w:hAnsi="Aptos"/>
              </w:rPr>
              <w:t>Sources included UK government publications such as the Office for National Statistics (2023), Age UK (2022), the NHS Long Term Plan (2019), and the Loneliness Strategy (2018) to ensure national relevance. Peer-reviewed academic studies examining loneliness and mental health in older adults were also included, such as Hawkley and Cacioppo (2010) and Holt-</w:t>
            </w:r>
            <w:proofErr w:type="spellStart"/>
            <w:r w:rsidRPr="00280C15">
              <w:rPr>
                <w:rFonts w:ascii="Aptos" w:hAnsi="Aptos"/>
              </w:rPr>
              <w:t>Lunstad</w:t>
            </w:r>
            <w:proofErr w:type="spellEnd"/>
            <w:r w:rsidRPr="00280C15">
              <w:rPr>
                <w:rFonts w:ascii="Aptos" w:hAnsi="Aptos"/>
              </w:rPr>
              <w:t xml:space="preserve"> et al. (2010), due to their strong empirical evidence. Foundational theoretical frameworks including Socioemotional Selectivity Theory (Carstensen et al., 1999) and Social Convoy Theory (Antonucci et al., 2014) were included to provide conceptual grounding. Sources published between 2014 and 2024 were </w:t>
            </w:r>
            <w:proofErr w:type="spellStart"/>
            <w:r w:rsidRPr="00280C15">
              <w:rPr>
                <w:rFonts w:ascii="Aptos" w:hAnsi="Aptos"/>
              </w:rPr>
              <w:t>prioritised</w:t>
            </w:r>
            <w:proofErr w:type="spellEnd"/>
            <w:r w:rsidRPr="00280C15">
              <w:rPr>
                <w:rFonts w:ascii="Aptos" w:hAnsi="Aptos"/>
              </w:rPr>
              <w:t xml:space="preserve">, with earlier studies included only </w:t>
            </w:r>
            <w:proofErr w:type="gramStart"/>
            <w:r w:rsidRPr="00280C15">
              <w:rPr>
                <w:rFonts w:ascii="Aptos" w:hAnsi="Aptos"/>
              </w:rPr>
              <w:t>where</w:t>
            </w:r>
            <w:proofErr w:type="gramEnd"/>
            <w:r w:rsidRPr="00280C15">
              <w:rPr>
                <w:rFonts w:ascii="Aptos" w:hAnsi="Aptos"/>
              </w:rPr>
              <w:t xml:space="preserve"> considered foundational.</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32E6FFB3" w:rsidR="00516CC0" w:rsidRPr="00C31D85" w:rsidRDefault="00280C15" w:rsidP="00280C15">
            <w:pPr>
              <w:spacing w:line="360" w:lineRule="auto"/>
              <w:contextualSpacing/>
              <w:jc w:val="both"/>
              <w:rPr>
                <w:rFonts w:ascii="Aptos" w:hAnsi="Aptos"/>
              </w:rPr>
            </w:pPr>
            <w:r w:rsidRPr="00280C15">
              <w:rPr>
                <w:rFonts w:ascii="Aptos" w:hAnsi="Aptos"/>
              </w:rPr>
              <w:t>Sources were excluded if they focused on children or working-age adults, lacked methodological transparency, or did not directly examine loneliness or social isolation in relation to mental health outcomes. Non-academic materials such as blogs, opinion pieces, or unreferenced reports were excluded. Studies not written in English or not relevant to the UK context were also omitted unless included for theoretical comparison.</w:t>
            </w:r>
            <w:r w:rsidR="00E02A0E">
              <w:rPr>
                <w:rFonts w:ascii="Aptos" w:hAnsi="Aptos"/>
              </w:rPr>
              <w:t xml:space="preserve"> </w:t>
            </w:r>
            <w:r w:rsidR="00E02A0E" w:rsidRPr="00E02A0E">
              <w:rPr>
                <w:rFonts w:ascii="Aptos" w:hAnsi="Aptos"/>
              </w:rPr>
              <w:t>(Booth, Sutton and Papaioannou, 2016).</w:t>
            </w:r>
          </w:p>
        </w:tc>
      </w:tr>
      <w:tr w:rsidR="00C31D85" w:rsidRPr="00C31D85" w14:paraId="583C9C87" w14:textId="77777777" w:rsidTr="00F52F83">
        <w:trPr>
          <w:trHeight w:val="1798"/>
        </w:trPr>
        <w:tc>
          <w:tcPr>
            <w:tcW w:w="14616" w:type="dxa"/>
            <w:gridSpan w:val="2"/>
          </w:tcPr>
          <w:p w14:paraId="28D04039" w14:textId="421C2995" w:rsidR="00F52F83" w:rsidRPr="00280C15" w:rsidRDefault="00C31D85" w:rsidP="00280C15">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r w:rsidR="008C1616" w:rsidRPr="00F52F83">
              <w:rPr>
                <w:rFonts w:ascii="Aptos" w:hAnsi="Aptos"/>
                <w:noProof/>
              </w:rPr>
              <w:drawing>
                <wp:anchor distT="0" distB="0" distL="114300" distR="114300" simplePos="0" relativeHeight="251659776" behindDoc="1" locked="0" layoutInCell="1" allowOverlap="1" wp14:anchorId="208D47B1" wp14:editId="680F6775">
                  <wp:simplePos x="0" y="0"/>
                  <wp:positionH relativeFrom="column">
                    <wp:posOffset>156845</wp:posOffset>
                  </wp:positionH>
                  <wp:positionV relativeFrom="paragraph">
                    <wp:posOffset>471170</wp:posOffset>
                  </wp:positionV>
                  <wp:extent cx="8886825" cy="2124075"/>
                  <wp:effectExtent l="19050" t="0" r="9525" b="0"/>
                  <wp:wrapTight wrapText="bothSides">
                    <wp:wrapPolygon edited="0">
                      <wp:start x="-46" y="2325"/>
                      <wp:lineTo x="-46" y="19178"/>
                      <wp:lineTo x="21577" y="19178"/>
                      <wp:lineTo x="21577" y="2325"/>
                      <wp:lineTo x="-46" y="2325"/>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15C0B942" w14:textId="31E461D0" w:rsidR="00E02A0E" w:rsidRPr="00E02A0E" w:rsidRDefault="00E02A0E" w:rsidP="00E02A0E">
      <w:pPr>
        <w:rPr>
          <w:rFonts w:ascii="Aptos" w:hAnsi="Aptos" w:cs="Arial"/>
          <w:lang w:val="en-GB"/>
        </w:rPr>
      </w:pPr>
      <w:r w:rsidRPr="00E02A0E">
        <w:rPr>
          <w:rFonts w:ascii="Aptos" w:hAnsi="Aptos" w:cs="Arial"/>
          <w:lang w:val="en-GB"/>
        </w:rPr>
        <w:t xml:space="preserve">Age UK (2022) </w:t>
      </w:r>
      <w:r w:rsidRPr="00E02A0E">
        <w:rPr>
          <w:rFonts w:ascii="Aptos" w:hAnsi="Aptos" w:cs="Arial"/>
          <w:i/>
          <w:iCs/>
          <w:lang w:val="en-GB"/>
        </w:rPr>
        <w:t>Loneliness in later life</w:t>
      </w:r>
      <w:r w:rsidRPr="00E02A0E">
        <w:rPr>
          <w:rFonts w:ascii="Aptos" w:hAnsi="Aptos" w:cs="Arial"/>
          <w:lang w:val="en-GB"/>
        </w:rPr>
        <w:t xml:space="preserve">. London: Age UK. Available at: </w:t>
      </w:r>
      <w:hyperlink r:id="rId19" w:tgtFrame="_new" w:history="1">
        <w:r w:rsidRPr="00E02A0E">
          <w:rPr>
            <w:rStyle w:val="Hyperlink"/>
            <w:rFonts w:ascii="Aptos" w:hAnsi="Aptos" w:cs="Arial"/>
            <w:lang w:val="en-GB"/>
          </w:rPr>
          <w:t>https://www.ageuk.org.uk</w:t>
        </w:r>
      </w:hyperlink>
      <w:r w:rsidRPr="00E02A0E">
        <w:rPr>
          <w:rFonts w:ascii="Aptos" w:hAnsi="Aptos" w:cs="Arial"/>
          <w:lang w:val="en-GB"/>
        </w:rPr>
        <w:t xml:space="preserve"> (Accessed: 2</w:t>
      </w:r>
      <w:r w:rsidRPr="00E02A0E">
        <w:rPr>
          <w:rFonts w:ascii="Aptos" w:hAnsi="Aptos" w:cs="Arial"/>
          <w:lang w:val="en-GB"/>
        </w:rPr>
        <w:t xml:space="preserve">2 </w:t>
      </w:r>
      <w:r w:rsidRPr="00E02A0E">
        <w:rPr>
          <w:rFonts w:ascii="Aptos" w:hAnsi="Aptos" w:cs="Arial"/>
          <w:lang w:val="en-GB"/>
        </w:rPr>
        <w:t>February 2026).</w:t>
      </w:r>
    </w:p>
    <w:p w14:paraId="1D8FCC4E" w14:textId="77777777" w:rsidR="00E02A0E" w:rsidRPr="00E02A0E" w:rsidRDefault="00E02A0E" w:rsidP="00E02A0E">
      <w:pPr>
        <w:rPr>
          <w:rFonts w:ascii="Aptos" w:hAnsi="Aptos" w:cs="Arial"/>
          <w:lang w:val="en-GB"/>
        </w:rPr>
      </w:pPr>
      <w:r w:rsidRPr="00E02A0E">
        <w:rPr>
          <w:rFonts w:ascii="Aptos" w:hAnsi="Aptos" w:cs="Arial"/>
          <w:lang w:val="en-GB"/>
        </w:rPr>
        <w:t xml:space="preserve">Antonucci, T.C., </w:t>
      </w:r>
      <w:proofErr w:type="spellStart"/>
      <w:r w:rsidRPr="00E02A0E">
        <w:rPr>
          <w:rFonts w:ascii="Aptos" w:hAnsi="Aptos" w:cs="Arial"/>
          <w:lang w:val="en-GB"/>
        </w:rPr>
        <w:t>Ajrouch</w:t>
      </w:r>
      <w:proofErr w:type="spellEnd"/>
      <w:r w:rsidRPr="00E02A0E">
        <w:rPr>
          <w:rFonts w:ascii="Aptos" w:hAnsi="Aptos" w:cs="Arial"/>
          <w:lang w:val="en-GB"/>
        </w:rPr>
        <w:t xml:space="preserve">, K.J. and </w:t>
      </w:r>
      <w:proofErr w:type="spellStart"/>
      <w:r w:rsidRPr="00E02A0E">
        <w:rPr>
          <w:rFonts w:ascii="Aptos" w:hAnsi="Aptos" w:cs="Arial"/>
          <w:lang w:val="en-GB"/>
        </w:rPr>
        <w:t>Birditt</w:t>
      </w:r>
      <w:proofErr w:type="spellEnd"/>
      <w:r w:rsidRPr="00E02A0E">
        <w:rPr>
          <w:rFonts w:ascii="Aptos" w:hAnsi="Aptos" w:cs="Arial"/>
          <w:lang w:val="en-GB"/>
        </w:rPr>
        <w:t xml:space="preserve">, K.S. (2014) ‘The convoy model: Explaining social relations from a multidisciplinary perspective’, </w:t>
      </w:r>
      <w:r w:rsidRPr="00E02A0E">
        <w:rPr>
          <w:rFonts w:ascii="Aptos" w:hAnsi="Aptos" w:cs="Arial"/>
          <w:i/>
          <w:iCs/>
          <w:lang w:val="en-GB"/>
        </w:rPr>
        <w:t>The Gerontologist</w:t>
      </w:r>
      <w:r w:rsidRPr="00E02A0E">
        <w:rPr>
          <w:rFonts w:ascii="Aptos" w:hAnsi="Aptos" w:cs="Arial"/>
          <w:lang w:val="en-GB"/>
        </w:rPr>
        <w:t>, 54(1), pp. 82–92.</w:t>
      </w:r>
    </w:p>
    <w:p w14:paraId="309D9013" w14:textId="77777777" w:rsidR="00E02A0E" w:rsidRPr="00E02A0E" w:rsidRDefault="00E02A0E" w:rsidP="00E02A0E">
      <w:pPr>
        <w:rPr>
          <w:rFonts w:ascii="Aptos" w:hAnsi="Aptos" w:cs="Arial"/>
          <w:lang w:val="en-GB"/>
        </w:rPr>
      </w:pPr>
      <w:r w:rsidRPr="00E02A0E">
        <w:rPr>
          <w:rFonts w:ascii="Aptos" w:hAnsi="Aptos" w:cs="Arial"/>
          <w:lang w:val="en-GB"/>
        </w:rPr>
        <w:t xml:space="preserve">Booth, A., Sutton, A. and Papaioannou, D. (2016) </w:t>
      </w:r>
      <w:r w:rsidRPr="00E02A0E">
        <w:rPr>
          <w:rFonts w:ascii="Aptos" w:hAnsi="Aptos" w:cs="Arial"/>
          <w:i/>
          <w:iCs/>
          <w:lang w:val="en-GB"/>
        </w:rPr>
        <w:t>Systematic approaches to a successful literature review</w:t>
      </w:r>
      <w:r w:rsidRPr="00E02A0E">
        <w:rPr>
          <w:rFonts w:ascii="Aptos" w:hAnsi="Aptos" w:cs="Arial"/>
          <w:lang w:val="en-GB"/>
        </w:rPr>
        <w:t xml:space="preserve">. 2nd </w:t>
      </w:r>
      <w:proofErr w:type="spellStart"/>
      <w:r w:rsidRPr="00E02A0E">
        <w:rPr>
          <w:rFonts w:ascii="Aptos" w:hAnsi="Aptos" w:cs="Arial"/>
          <w:lang w:val="en-GB"/>
        </w:rPr>
        <w:t>edn</w:t>
      </w:r>
      <w:proofErr w:type="spellEnd"/>
      <w:r w:rsidRPr="00E02A0E">
        <w:rPr>
          <w:rFonts w:ascii="Aptos" w:hAnsi="Aptos" w:cs="Arial"/>
          <w:lang w:val="en-GB"/>
        </w:rPr>
        <w:t>. London: Sage.</w:t>
      </w:r>
    </w:p>
    <w:p w14:paraId="27ACE42C" w14:textId="77777777" w:rsidR="00E02A0E" w:rsidRPr="00E02A0E" w:rsidRDefault="00E02A0E" w:rsidP="00E02A0E">
      <w:pPr>
        <w:rPr>
          <w:rFonts w:ascii="Aptos" w:hAnsi="Aptos" w:cs="Arial"/>
          <w:lang w:val="en-GB"/>
        </w:rPr>
      </w:pPr>
      <w:r w:rsidRPr="00E02A0E">
        <w:rPr>
          <w:rFonts w:ascii="Aptos" w:hAnsi="Aptos" w:cs="Arial"/>
          <w:lang w:val="en-GB"/>
        </w:rPr>
        <w:t xml:space="preserve">Braun, V. and Clarke, V. (2006) ‘Using thematic analysis in psychology’, </w:t>
      </w:r>
      <w:r w:rsidRPr="00E02A0E">
        <w:rPr>
          <w:rFonts w:ascii="Aptos" w:hAnsi="Aptos" w:cs="Arial"/>
          <w:i/>
          <w:iCs/>
          <w:lang w:val="en-GB"/>
        </w:rPr>
        <w:t>Qualitative Research in Psychology</w:t>
      </w:r>
      <w:r w:rsidRPr="00E02A0E">
        <w:rPr>
          <w:rFonts w:ascii="Aptos" w:hAnsi="Aptos" w:cs="Arial"/>
          <w:lang w:val="en-GB"/>
        </w:rPr>
        <w:t>, 3(2), pp. 77–101.</w:t>
      </w:r>
    </w:p>
    <w:p w14:paraId="2EBA3976" w14:textId="7BE85256" w:rsidR="00E02A0E" w:rsidRPr="00E02A0E" w:rsidRDefault="00E02A0E" w:rsidP="00E02A0E">
      <w:pPr>
        <w:rPr>
          <w:rFonts w:ascii="Aptos" w:hAnsi="Aptos" w:cs="Arial"/>
          <w:lang w:val="en-GB"/>
        </w:rPr>
      </w:pPr>
      <w:r w:rsidRPr="00E02A0E">
        <w:rPr>
          <w:rFonts w:ascii="Aptos" w:hAnsi="Aptos" w:cs="Arial"/>
          <w:lang w:val="en-GB"/>
        </w:rPr>
        <w:t xml:space="preserve">Office for National Statistics (2023) </w:t>
      </w:r>
      <w:r w:rsidRPr="00E02A0E">
        <w:rPr>
          <w:rFonts w:ascii="Aptos" w:hAnsi="Aptos" w:cs="Arial"/>
          <w:i/>
          <w:iCs/>
          <w:lang w:val="en-GB"/>
        </w:rPr>
        <w:t>Loneliness – What characteristics and circumstances are associated with feeling lonely?</w:t>
      </w:r>
      <w:r w:rsidRPr="00E02A0E">
        <w:rPr>
          <w:rFonts w:ascii="Aptos" w:hAnsi="Aptos" w:cs="Arial"/>
          <w:lang w:val="en-GB"/>
        </w:rPr>
        <w:t xml:space="preserve"> London: ONS. Available at: </w:t>
      </w:r>
      <w:hyperlink r:id="rId20" w:tgtFrame="_new" w:history="1">
        <w:r w:rsidRPr="00E02A0E">
          <w:rPr>
            <w:rStyle w:val="Hyperlink"/>
            <w:rFonts w:ascii="Aptos" w:hAnsi="Aptos" w:cs="Arial"/>
            <w:lang w:val="en-GB"/>
          </w:rPr>
          <w:t>https://www.ons.gov.uk</w:t>
        </w:r>
      </w:hyperlink>
      <w:r w:rsidRPr="00E02A0E">
        <w:rPr>
          <w:rFonts w:ascii="Aptos" w:hAnsi="Aptos" w:cs="Arial"/>
          <w:lang w:val="en-GB"/>
        </w:rPr>
        <w:t xml:space="preserve"> (Accessed: 2</w:t>
      </w:r>
      <w:r w:rsidRPr="00E02A0E">
        <w:rPr>
          <w:rFonts w:ascii="Aptos" w:hAnsi="Aptos" w:cs="Arial"/>
          <w:lang w:val="en-GB"/>
        </w:rPr>
        <w:t xml:space="preserve">2 </w:t>
      </w:r>
      <w:r w:rsidRPr="00E02A0E">
        <w:rPr>
          <w:rFonts w:ascii="Aptos" w:hAnsi="Aptos" w:cs="Arial"/>
          <w:lang w:val="en-GB"/>
        </w:rPr>
        <w:t>February 2026).</w:t>
      </w:r>
    </w:p>
    <w:p w14:paraId="393B36AA" w14:textId="77777777" w:rsidR="00E02A0E" w:rsidRPr="00E02A0E" w:rsidRDefault="00E02A0E" w:rsidP="00E02A0E">
      <w:pPr>
        <w:rPr>
          <w:rFonts w:ascii="Aptos" w:hAnsi="Aptos" w:cs="Arial"/>
          <w:lang w:val="en-GB"/>
        </w:rPr>
      </w:pPr>
      <w:r w:rsidRPr="00E02A0E">
        <w:rPr>
          <w:rFonts w:ascii="Aptos" w:hAnsi="Aptos" w:cs="Arial"/>
          <w:lang w:val="en-GB"/>
        </w:rPr>
        <w:t xml:space="preserve">Perlman, D. and Peplau, L.A. (1981) ‘Toward a social psychology of loneliness’, in Gilmour, R. and Duck, S. (eds.) </w:t>
      </w:r>
      <w:r w:rsidRPr="00E02A0E">
        <w:rPr>
          <w:rFonts w:ascii="Aptos" w:hAnsi="Aptos" w:cs="Arial"/>
          <w:i/>
          <w:iCs/>
          <w:lang w:val="en-GB"/>
        </w:rPr>
        <w:t>Personal relationships in disorder</w:t>
      </w:r>
      <w:r w:rsidRPr="00E02A0E">
        <w:rPr>
          <w:rFonts w:ascii="Aptos" w:hAnsi="Aptos" w:cs="Arial"/>
          <w:lang w:val="en-GB"/>
        </w:rPr>
        <w:t>. London: Academic Press, pp. 31–56.</w:t>
      </w:r>
    </w:p>
    <w:p w14:paraId="2FACE695" w14:textId="77777777" w:rsidR="00E02A0E" w:rsidRPr="00E02A0E" w:rsidRDefault="00E02A0E" w:rsidP="00E02A0E">
      <w:pPr>
        <w:rPr>
          <w:rFonts w:ascii="Aptos" w:hAnsi="Aptos" w:cs="Arial"/>
          <w:lang w:val="en-GB"/>
        </w:rPr>
      </w:pPr>
      <w:r w:rsidRPr="00E02A0E">
        <w:rPr>
          <w:rFonts w:ascii="Aptos" w:hAnsi="Aptos" w:cs="Arial"/>
          <w:lang w:val="en-GB"/>
        </w:rPr>
        <w:t xml:space="preserve">UK Government (2018) </w:t>
      </w:r>
      <w:r w:rsidRPr="00E02A0E">
        <w:rPr>
          <w:rFonts w:ascii="Aptos" w:hAnsi="Aptos" w:cs="Arial"/>
          <w:i/>
          <w:iCs/>
          <w:lang w:val="en-GB"/>
        </w:rPr>
        <w:t>A connected society: A strategy for tackling loneliness</w:t>
      </w:r>
      <w:r w:rsidRPr="00E02A0E">
        <w:rPr>
          <w:rFonts w:ascii="Aptos" w:hAnsi="Aptos" w:cs="Arial"/>
          <w:lang w:val="en-GB"/>
        </w:rPr>
        <w:t xml:space="preserve">. London: HM Government. Available at: </w:t>
      </w:r>
      <w:hyperlink r:id="rId21" w:tgtFrame="_new" w:history="1">
        <w:r w:rsidRPr="00E02A0E">
          <w:rPr>
            <w:rStyle w:val="Hyperlink"/>
            <w:rFonts w:ascii="Aptos" w:hAnsi="Aptos" w:cs="Arial"/>
            <w:lang w:val="en-GB"/>
          </w:rPr>
          <w:t>https://www.gov.uk</w:t>
        </w:r>
      </w:hyperlink>
      <w:r w:rsidRPr="00E02A0E">
        <w:rPr>
          <w:rFonts w:ascii="Aptos" w:hAnsi="Aptos" w:cs="Arial"/>
          <w:lang w:val="en-GB"/>
        </w:rPr>
        <w:t xml:space="preserve"> (Accessed: 28 February 2026).</w:t>
      </w:r>
    </w:p>
    <w:p w14:paraId="1716BF45" w14:textId="6A93116E" w:rsidR="00E02A0E" w:rsidRPr="00E02A0E" w:rsidRDefault="00E02A0E" w:rsidP="00E02A0E">
      <w:pPr>
        <w:rPr>
          <w:rFonts w:ascii="Aptos" w:hAnsi="Aptos" w:cs="Arial"/>
          <w:lang w:val="en-GB"/>
        </w:rPr>
      </w:pPr>
      <w:r w:rsidRPr="00E02A0E">
        <w:rPr>
          <w:rFonts w:ascii="Aptos" w:hAnsi="Aptos" w:cs="Arial"/>
          <w:lang w:val="en-GB"/>
        </w:rPr>
        <w:t xml:space="preserve">World Health Organization (2021) </w:t>
      </w:r>
      <w:r w:rsidRPr="00E02A0E">
        <w:rPr>
          <w:rFonts w:ascii="Aptos" w:hAnsi="Aptos" w:cs="Arial"/>
          <w:i/>
          <w:iCs/>
          <w:lang w:val="en-GB"/>
        </w:rPr>
        <w:t>Social isolation and loneliness among older people: Advocacy brief</w:t>
      </w:r>
      <w:r w:rsidRPr="00E02A0E">
        <w:rPr>
          <w:rFonts w:ascii="Aptos" w:hAnsi="Aptos" w:cs="Arial"/>
          <w:lang w:val="en-GB"/>
        </w:rPr>
        <w:t xml:space="preserve">. Geneva: WHO. Available at: </w:t>
      </w:r>
      <w:hyperlink r:id="rId22" w:tgtFrame="_new" w:history="1">
        <w:r w:rsidRPr="00E02A0E">
          <w:rPr>
            <w:rStyle w:val="Hyperlink"/>
            <w:rFonts w:ascii="Aptos" w:hAnsi="Aptos" w:cs="Arial"/>
            <w:lang w:val="en-GB"/>
          </w:rPr>
          <w:t>https://www.who.int</w:t>
        </w:r>
      </w:hyperlink>
      <w:r w:rsidRPr="00E02A0E">
        <w:rPr>
          <w:rFonts w:ascii="Aptos" w:hAnsi="Aptos" w:cs="Arial"/>
          <w:lang w:val="en-GB"/>
        </w:rPr>
        <w:t xml:space="preserve"> (Accessed: </w:t>
      </w:r>
      <w:r w:rsidRPr="00E02A0E">
        <w:rPr>
          <w:rFonts w:ascii="Aptos" w:hAnsi="Aptos" w:cs="Arial"/>
          <w:lang w:val="en-GB"/>
        </w:rPr>
        <w:t>22</w:t>
      </w:r>
      <w:r w:rsidRPr="00E02A0E">
        <w:rPr>
          <w:rFonts w:ascii="Aptos" w:hAnsi="Aptos" w:cs="Arial"/>
          <w:lang w:val="en-GB"/>
        </w:rPr>
        <w:t xml:space="preserve"> February 2026).</w:t>
      </w:r>
    </w:p>
    <w:p w14:paraId="364E780A" w14:textId="5EB465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lastRenderedPageBreak/>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86AC4" w14:textId="77777777" w:rsidR="00A70740" w:rsidRDefault="00A70740" w:rsidP="00D210FA">
      <w:pPr>
        <w:spacing w:after="0"/>
      </w:pPr>
      <w:r>
        <w:separator/>
      </w:r>
    </w:p>
  </w:endnote>
  <w:endnote w:type="continuationSeparator" w:id="0">
    <w:p w14:paraId="6ED44DB9" w14:textId="77777777" w:rsidR="00A70740" w:rsidRDefault="00A70740"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1FC8A" w14:textId="77777777" w:rsidR="00A70740" w:rsidRDefault="00A70740" w:rsidP="00D210FA">
      <w:pPr>
        <w:spacing w:after="0"/>
      </w:pPr>
      <w:r>
        <w:separator/>
      </w:r>
    </w:p>
  </w:footnote>
  <w:footnote w:type="continuationSeparator" w:id="0">
    <w:p w14:paraId="182C486A" w14:textId="77777777" w:rsidR="00A70740" w:rsidRDefault="00A70740"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A2DAB"/>
    <w:rsid w:val="001C55B6"/>
    <w:rsid w:val="001D6CC4"/>
    <w:rsid w:val="00206405"/>
    <w:rsid w:val="002341AD"/>
    <w:rsid w:val="00253267"/>
    <w:rsid w:val="00280C15"/>
    <w:rsid w:val="002823CD"/>
    <w:rsid w:val="00287787"/>
    <w:rsid w:val="00291685"/>
    <w:rsid w:val="0029329C"/>
    <w:rsid w:val="002B0A3D"/>
    <w:rsid w:val="002C0085"/>
    <w:rsid w:val="002F26AB"/>
    <w:rsid w:val="003007A7"/>
    <w:rsid w:val="003257E1"/>
    <w:rsid w:val="00325DEC"/>
    <w:rsid w:val="00333F1D"/>
    <w:rsid w:val="00346FFA"/>
    <w:rsid w:val="00385494"/>
    <w:rsid w:val="003A3069"/>
    <w:rsid w:val="003C20B5"/>
    <w:rsid w:val="003E545F"/>
    <w:rsid w:val="003F03D2"/>
    <w:rsid w:val="003F1E1A"/>
    <w:rsid w:val="004045E5"/>
    <w:rsid w:val="00421496"/>
    <w:rsid w:val="00422C27"/>
    <w:rsid w:val="0044367C"/>
    <w:rsid w:val="0044412C"/>
    <w:rsid w:val="004642F0"/>
    <w:rsid w:val="004E16BE"/>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077BC"/>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A1948"/>
    <w:rsid w:val="008A7F94"/>
    <w:rsid w:val="008B0F18"/>
    <w:rsid w:val="008C1616"/>
    <w:rsid w:val="008E3921"/>
    <w:rsid w:val="0090027B"/>
    <w:rsid w:val="00905238"/>
    <w:rsid w:val="0094702A"/>
    <w:rsid w:val="00967DAB"/>
    <w:rsid w:val="00990E76"/>
    <w:rsid w:val="00991A53"/>
    <w:rsid w:val="00996F4E"/>
    <w:rsid w:val="009F71FE"/>
    <w:rsid w:val="00A27D8D"/>
    <w:rsid w:val="00A31F33"/>
    <w:rsid w:val="00A70740"/>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9656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87B48"/>
    <w:rsid w:val="00D91203"/>
    <w:rsid w:val="00D94FD1"/>
    <w:rsid w:val="00DB740A"/>
    <w:rsid w:val="00E02A0E"/>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6FD96281-8548-40E9-B7AE-249A5B21E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E02A0E"/>
    <w:rPr>
      <w:rFonts w:ascii="Times New Roman" w:hAnsi="Times New Roman" w:cs="Times New Roman"/>
      <w:sz w:val="24"/>
      <w:szCs w:val="24"/>
    </w:rPr>
  </w:style>
  <w:style w:type="character" w:styleId="Hyperlink">
    <w:name w:val="Hyperlink"/>
    <w:basedOn w:val="DefaultParagraphFont"/>
    <w:uiPriority w:val="99"/>
    <w:unhideWhenUsed/>
    <w:rsid w:val="00E02A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hyperlink" Target="https://www.gov.uk"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geuk.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https://www.who.i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a:latin typeface="Aptos" panose="020B0004020202020204" pitchFamily="34" charset="0"/>
            </a:rPr>
            <a:t>Academic Integrity</a:t>
          </a:r>
          <a:r>
            <a:rPr lang="en-GB" b="1" i="0">
              <a:latin typeface="Aptos" panose="020B0004020202020204" pitchFamily="34" charset="0"/>
            </a:rPr>
            <a:t>:</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buFont typeface="Arial" panose="020B0604020202020204" pitchFamily="34" charset="0"/>
            <a:buChar char="•"/>
          </a:pPr>
          <a:r>
            <a:rPr lang="en-GB">
              <a:latin typeface="Aptos" panose="020B0004020202020204" pitchFamily="34" charset="0"/>
            </a:rPr>
            <a:t>All sources accurately cited using Harvard referencing</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a:latin typeface="Aptos" panose="020B0004020202020204" pitchFamily="34" charset="0"/>
            </a:rPr>
            <a:t>Accurate Representation of Data</a:t>
          </a:r>
          <a:r>
            <a:rPr lang="en-GB" b="1" i="0">
              <a:latin typeface="Aptos" panose="020B0004020202020204" pitchFamily="34" charset="0"/>
            </a:rPr>
            <a:t>:</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buNone/>
          </a:pPr>
          <a:r>
            <a:rPr lang="en-GB">
              <a:latin typeface="Aptos" panose="020B0004020202020204" pitchFamily="34" charset="0"/>
            </a:rPr>
            <a:t>Findings reported honestly without distortion</a:t>
          </a: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a:latin typeface="Aptos" panose="020B0004020202020204" pitchFamily="34" charset="0"/>
            </a:rPr>
            <a:t> Respect for Original Participants</a:t>
          </a:r>
          <a:r>
            <a:rPr lang="en-GB" b="1" i="0">
              <a:latin typeface="Aptos" panose="020B0004020202020204" pitchFamily="34" charset="0"/>
            </a:rPr>
            <a:t>:</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a:latin typeface="Aptos" panose="020B0004020202020204" pitchFamily="34" charset="0"/>
            </a:rPr>
            <a:t>Transparency in Research Process</a:t>
          </a:r>
          <a:r>
            <a:rPr lang="en-GB" b="1" i="0" dirty="0">
              <a:latin typeface="Aptos" panose="020B0004020202020204" pitchFamily="34" charset="0"/>
            </a:rPr>
            <a:t>:</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buNone/>
          </a:pPr>
          <a:r>
            <a:rPr lang="en-GB">
              <a:latin typeface="Aptos" panose="020B0004020202020204" pitchFamily="34" charset="0"/>
            </a:rPr>
            <a:t>Used ethically approved, peer-reviewed studies</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buNone/>
          </a:pPr>
          <a:r>
            <a:rPr lang="en-GB">
              <a:latin typeface="Aptos" panose="020B0004020202020204" pitchFamily="34" charset="0"/>
            </a:rPr>
            <a:t>Clear inclusion and exclusion criteria applied</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7CBEF859-301E-473B-A571-4D8DAF04C4C5}">
      <dgm:prSet/>
      <dgm:spPr/>
      <dgm:t>
        <a:bodyPr/>
        <a:lstStyle/>
        <a:p>
          <a:pPr>
            <a:buFont typeface="Arial" panose="020B0604020202020204" pitchFamily="34" charset="0"/>
            <a:buChar char="•"/>
          </a:pPr>
          <a:r>
            <a:rPr lang="en-GB">
              <a:latin typeface="Aptos" panose="020B0004020202020204" pitchFamily="34" charset="0"/>
            </a:rPr>
            <a:t>No plagiarism or misrepresentation of findings</a:t>
          </a:r>
        </a:p>
      </dgm:t>
    </dgm:pt>
    <dgm:pt modelId="{7FE53848-5BE0-4067-A2FB-D3280AA3C3EE}" type="parTrans" cxnId="{68172B0F-6033-43D6-A833-ABC89B494DF6}">
      <dgm:prSet/>
      <dgm:spPr/>
      <dgm:t>
        <a:bodyPr/>
        <a:lstStyle/>
        <a:p>
          <a:endParaRPr lang="en-GB"/>
        </a:p>
      </dgm:t>
    </dgm:pt>
    <dgm:pt modelId="{664B5B17-83B8-44CA-9BF0-63B7036EE7C9}" type="sibTrans" cxnId="{68172B0F-6033-43D6-A833-ABC89B494DF6}">
      <dgm:prSet/>
      <dgm:spPr/>
      <dgm:t>
        <a:bodyPr/>
        <a:lstStyle/>
        <a:p>
          <a:endParaRPr lang="en-GB"/>
        </a:p>
      </dgm:t>
    </dgm:pt>
    <dgm:pt modelId="{36E55372-FFEC-47F6-B2A8-67784DCB8423}">
      <dgm:prSet/>
      <dgm:spPr/>
      <dgm:t>
        <a:bodyPr/>
        <a:lstStyle/>
        <a:p>
          <a:pPr>
            <a:buNone/>
          </a:pPr>
          <a:r>
            <a:rPr lang="en-GB">
              <a:latin typeface="Aptos" panose="020B0004020202020204" pitchFamily="34" charset="0"/>
            </a:rPr>
            <a:t>Avoided selective use of evidence to support bias</a:t>
          </a:r>
        </a:p>
      </dgm:t>
    </dgm:pt>
    <dgm:pt modelId="{F0A8AC60-96E0-4491-95BD-5F04AFDB0C90}" type="parTrans" cxnId="{17B8F4FD-E456-4279-AA1E-705CCC1432E6}">
      <dgm:prSet/>
      <dgm:spPr/>
      <dgm:t>
        <a:bodyPr/>
        <a:lstStyle/>
        <a:p>
          <a:endParaRPr lang="en-GB"/>
        </a:p>
      </dgm:t>
    </dgm:pt>
    <dgm:pt modelId="{1FA6978C-420E-45DC-8DC6-9F3B879D838C}" type="sibTrans" cxnId="{17B8F4FD-E456-4279-AA1E-705CCC1432E6}">
      <dgm:prSet/>
      <dgm:spPr/>
      <dgm:t>
        <a:bodyPr/>
        <a:lstStyle/>
        <a:p>
          <a:endParaRPr lang="en-GB"/>
        </a:p>
      </dgm:t>
    </dgm:pt>
    <dgm:pt modelId="{70D0361B-58DD-4E51-B683-FFB8F91B07F5}">
      <dgm:prSet/>
      <dgm:spPr/>
      <dgm:t>
        <a:bodyPr/>
        <a:lstStyle/>
        <a:p>
          <a:pPr>
            <a:buNone/>
          </a:pPr>
          <a:r>
            <a:rPr lang="en-GB">
              <a:latin typeface="Aptos" panose="020B0004020202020204" pitchFamily="34" charset="0"/>
            </a:rPr>
            <a:t>No direct contact with vulnerable populations</a:t>
          </a:r>
        </a:p>
      </dgm:t>
    </dgm:pt>
    <dgm:pt modelId="{B5F5DECF-2E29-4A5C-A7AB-B74D6B4E1122}" type="parTrans" cxnId="{3D17D8C8-79D3-4969-8481-E4A903E1ED0B}">
      <dgm:prSet/>
      <dgm:spPr/>
      <dgm:t>
        <a:bodyPr/>
        <a:lstStyle/>
        <a:p>
          <a:endParaRPr lang="en-GB"/>
        </a:p>
      </dgm:t>
    </dgm:pt>
    <dgm:pt modelId="{9E57C11B-DEBE-4FEA-A285-219939AC4154}" type="sibTrans" cxnId="{3D17D8C8-79D3-4969-8481-E4A903E1ED0B}">
      <dgm:prSet/>
      <dgm:spPr/>
      <dgm:t>
        <a:bodyPr/>
        <a:lstStyle/>
        <a:p>
          <a:endParaRPr lang="en-GB"/>
        </a:p>
      </dgm:t>
    </dgm:pt>
    <dgm:pt modelId="{274A0905-945D-4FB4-B3A4-B9B3E7A57728}">
      <dgm:prSet/>
      <dgm:spPr/>
      <dgm:t>
        <a:bodyPr/>
        <a:lstStyle/>
        <a:p>
          <a:pPr>
            <a:buNone/>
          </a:pPr>
          <a:r>
            <a:rPr lang="en-GB">
              <a:latin typeface="Aptos" panose="020B0004020202020204" pitchFamily="34" charset="0"/>
            </a:rPr>
            <a:t>Search strategy and analysis process documented</a:t>
          </a:r>
        </a:p>
      </dgm:t>
    </dgm:pt>
    <dgm:pt modelId="{0E6B94F5-EFF3-419A-ADAE-039352CD10F4}" type="parTrans" cxnId="{82074BD4-E298-4E85-9239-CCB60A933E74}">
      <dgm:prSet/>
      <dgm:spPr/>
      <dgm:t>
        <a:bodyPr/>
        <a:lstStyle/>
        <a:p>
          <a:endParaRPr lang="en-GB"/>
        </a:p>
      </dgm:t>
    </dgm:pt>
    <dgm:pt modelId="{A262C76A-13E1-4F31-9CD7-366DE1F11714}" type="sibTrans" cxnId="{82074BD4-E298-4E85-9239-CCB60A933E74}">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68172B0F-6033-43D6-A833-ABC89B494DF6}" srcId="{D895BCAF-11FD-4161-9460-71155FF594D5}" destId="{7CBEF859-301E-473B-A571-4D8DAF04C4C5}" srcOrd="1" destOrd="0" parTransId="{7FE53848-5BE0-4067-A2FB-D3280AA3C3EE}" sibTransId="{664B5B17-83B8-44CA-9BF0-63B7036EE7C9}"/>
    <dgm:cxn modelId="{DA224816-7824-4FE5-9CD1-3E0ECE27E8A0}" srcId="{D895BCAF-11FD-4161-9460-71155FF594D5}" destId="{DD8DD7F7-557F-4529-952E-996BE575A6CC}" srcOrd="0" destOrd="0" parTransId="{898A7FBF-8854-4FCD-8F75-6D0A10D342BF}" sibTransId="{069345D4-AF17-4BE2-BEFD-16AAD453ED22}"/>
    <dgm:cxn modelId="{8E42AB1C-6B75-446D-AE4B-52C4B0BECB17}" type="presOf" srcId="{7CBEF859-301E-473B-A571-4D8DAF04C4C5}" destId="{0916EB88-9427-4C81-A0D0-B1BC4D25BFB9}"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D432E499-B301-46F0-8815-C3522571C6AD}" type="presOf" srcId="{274A0905-945D-4FB4-B3A4-B9B3E7A57728}" destId="{0426731F-8A3C-42F1-804E-8F6D7BF28D02}" srcOrd="0" destOrd="1" presId="urn:microsoft.com/office/officeart/2005/8/layout/hList1"/>
    <dgm:cxn modelId="{21DC83AD-F3EE-4C8A-99BE-FD71D079E6A7}" type="presOf" srcId="{36E55372-FFEC-47F6-B2A8-67784DCB8423}" destId="{D9C43641-36D4-43D5-A2FD-0F9F6D2C43BC}"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3D17D8C8-79D3-4969-8481-E4A903E1ED0B}" srcId="{5674B894-A55E-4559-8EA7-028C3F32E4B2}" destId="{70D0361B-58DD-4E51-B683-FFB8F91B07F5}" srcOrd="1" destOrd="0" parTransId="{B5F5DECF-2E29-4A5C-A7AB-B74D6B4E1122}" sibTransId="{9E57C11B-DEBE-4FEA-A285-219939AC4154}"/>
    <dgm:cxn modelId="{82074BD4-E298-4E85-9239-CCB60A933E74}" srcId="{DED7677A-A811-4E99-A359-AF267F66CB3B}" destId="{274A0905-945D-4FB4-B3A4-B9B3E7A57728}" srcOrd="1" destOrd="0" parTransId="{0E6B94F5-EFF3-419A-ADAE-039352CD10F4}" sibTransId="{A262C76A-13E1-4F31-9CD7-366DE1F11714}"/>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BC4331EC-0393-4204-AFB9-2E60B76E3CEF}" type="presOf" srcId="{70D0361B-58DD-4E51-B683-FFB8F91B07F5}" destId="{B4F89DDA-DC7D-4C4E-967D-E22B07A05DB1}" srcOrd="0" destOrd="1" presId="urn:microsoft.com/office/officeart/2005/8/layout/hList1"/>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17B8F4FD-E456-4279-AA1E-705CCC1432E6}" srcId="{D2F35989-0D76-4707-8851-E95507DAC780}" destId="{36E55372-FFEC-47F6-B2A8-67784DCB8423}" srcOrd="1" destOrd="0" parTransId="{F0A8AC60-96E0-4491-95BD-5F04AFDB0C90}" sibTransId="{1FA6978C-420E-45DC-8DC6-9F3B879D838C}"/>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341" y="272539"/>
          <a:ext cx="2009082" cy="58256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kern="1200">
              <a:latin typeface="Aptos" panose="020B0004020202020204" pitchFamily="34" charset="0"/>
            </a:rPr>
            <a:t>Academic Integrity</a:t>
          </a:r>
          <a:r>
            <a:rPr lang="en-GB" sz="1100" b="1" i="0" kern="1200">
              <a:latin typeface="Aptos" panose="020B0004020202020204" pitchFamily="34" charset="0"/>
            </a:rPr>
            <a:t>:</a:t>
          </a:r>
          <a:endParaRPr lang="en-GB" sz="1100" kern="1200">
            <a:latin typeface="Aptos" panose="020B0004020202020204" pitchFamily="34" charset="0"/>
          </a:endParaRPr>
        </a:p>
      </dsp:txBody>
      <dsp:txXfrm>
        <a:off x="3341" y="272539"/>
        <a:ext cx="2009082" cy="582561"/>
      </dsp:txXfrm>
    </dsp:sp>
    <dsp:sp modelId="{0916EB88-9427-4C81-A0D0-B1BC4D25BFB9}">
      <dsp:nvSpPr>
        <dsp:cNvPr id="0" name=""/>
        <dsp:cNvSpPr/>
      </dsp:nvSpPr>
      <dsp:spPr>
        <a:xfrm>
          <a:off x="3341" y="855100"/>
          <a:ext cx="2009082" cy="99643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Font typeface="Arial" panose="020B0604020202020204" pitchFamily="34" charset="0"/>
            <a:buChar char="•"/>
          </a:pPr>
          <a:r>
            <a:rPr lang="en-GB" sz="1100" kern="1200">
              <a:latin typeface="Aptos" panose="020B0004020202020204" pitchFamily="34" charset="0"/>
            </a:rPr>
            <a:t>All sources accurately cited using Harvard referencing</a:t>
          </a:r>
          <a:endParaRPr lang="en-GB" sz="1100" kern="1200" dirty="0">
            <a:latin typeface="Aptos" panose="020B00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ptos" panose="020B0004020202020204" pitchFamily="34" charset="0"/>
            </a:rPr>
            <a:t>No plagiarism or misrepresentation of findings</a:t>
          </a:r>
        </a:p>
      </dsp:txBody>
      <dsp:txXfrm>
        <a:off x="3341" y="855100"/>
        <a:ext cx="2009082" cy="996434"/>
      </dsp:txXfrm>
    </dsp:sp>
    <dsp:sp modelId="{0F07604D-46A6-4ADA-B996-B9E43A897BA8}">
      <dsp:nvSpPr>
        <dsp:cNvPr id="0" name=""/>
        <dsp:cNvSpPr/>
      </dsp:nvSpPr>
      <dsp:spPr>
        <a:xfrm>
          <a:off x="2293694" y="272539"/>
          <a:ext cx="2009082" cy="58256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kern="1200">
              <a:latin typeface="Aptos" panose="020B0004020202020204" pitchFamily="34" charset="0"/>
            </a:rPr>
            <a:t>Accurate Representation of Data</a:t>
          </a:r>
          <a:r>
            <a:rPr lang="en-GB" sz="1100" b="1" i="0" kern="1200">
              <a:latin typeface="Aptos" panose="020B0004020202020204" pitchFamily="34" charset="0"/>
            </a:rPr>
            <a:t>:</a:t>
          </a:r>
          <a:endParaRPr lang="en-GB" sz="1100" kern="1200">
            <a:latin typeface="Aptos" panose="020B0004020202020204" pitchFamily="34" charset="0"/>
          </a:endParaRPr>
        </a:p>
      </dsp:txBody>
      <dsp:txXfrm>
        <a:off x="2293694" y="272539"/>
        <a:ext cx="2009082" cy="582561"/>
      </dsp:txXfrm>
    </dsp:sp>
    <dsp:sp modelId="{D9C43641-36D4-43D5-A2FD-0F9F6D2C43BC}">
      <dsp:nvSpPr>
        <dsp:cNvPr id="0" name=""/>
        <dsp:cNvSpPr/>
      </dsp:nvSpPr>
      <dsp:spPr>
        <a:xfrm>
          <a:off x="2293694" y="855100"/>
          <a:ext cx="2009082" cy="99643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None/>
          </a:pPr>
          <a:r>
            <a:rPr lang="en-GB" sz="1100" kern="1200">
              <a:latin typeface="Aptos" panose="020B0004020202020204" pitchFamily="34" charset="0"/>
            </a:rPr>
            <a:t>Findings reported honestly without distortion</a:t>
          </a:r>
        </a:p>
        <a:p>
          <a:pPr marL="57150" lvl="1" indent="-57150" algn="l" defTabSz="488950">
            <a:lnSpc>
              <a:spcPct val="90000"/>
            </a:lnSpc>
            <a:spcBef>
              <a:spcPct val="0"/>
            </a:spcBef>
            <a:spcAft>
              <a:spcPct val="15000"/>
            </a:spcAft>
            <a:buNone/>
          </a:pPr>
          <a:r>
            <a:rPr lang="en-GB" sz="1100" kern="1200">
              <a:latin typeface="Aptos" panose="020B0004020202020204" pitchFamily="34" charset="0"/>
            </a:rPr>
            <a:t>Avoided selective use of evidence to support bias</a:t>
          </a:r>
        </a:p>
      </dsp:txBody>
      <dsp:txXfrm>
        <a:off x="2293694" y="855100"/>
        <a:ext cx="2009082" cy="996434"/>
      </dsp:txXfrm>
    </dsp:sp>
    <dsp:sp modelId="{594F44BC-596E-4978-9BF4-2F7DCCF10A7F}">
      <dsp:nvSpPr>
        <dsp:cNvPr id="0" name=""/>
        <dsp:cNvSpPr/>
      </dsp:nvSpPr>
      <dsp:spPr>
        <a:xfrm>
          <a:off x="4584048" y="272539"/>
          <a:ext cx="2009082" cy="58256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kern="1200">
              <a:latin typeface="Aptos" panose="020B0004020202020204" pitchFamily="34" charset="0"/>
            </a:rPr>
            <a:t> Respect for Original Participants</a:t>
          </a:r>
          <a:r>
            <a:rPr lang="en-GB" sz="1100" b="1" i="0" kern="1200">
              <a:latin typeface="Aptos" panose="020B0004020202020204" pitchFamily="34" charset="0"/>
            </a:rPr>
            <a:t>:</a:t>
          </a:r>
          <a:r>
            <a:rPr lang="en-GB" sz="1100" kern="1200">
              <a:latin typeface="Aptos" panose="020B0004020202020204" pitchFamily="34" charset="0"/>
            </a:rPr>
            <a:t> </a:t>
          </a:r>
        </a:p>
      </dsp:txBody>
      <dsp:txXfrm>
        <a:off x="4584048" y="272539"/>
        <a:ext cx="2009082" cy="582561"/>
      </dsp:txXfrm>
    </dsp:sp>
    <dsp:sp modelId="{B4F89DDA-DC7D-4C4E-967D-E22B07A05DB1}">
      <dsp:nvSpPr>
        <dsp:cNvPr id="0" name=""/>
        <dsp:cNvSpPr/>
      </dsp:nvSpPr>
      <dsp:spPr>
        <a:xfrm>
          <a:off x="4584048" y="855100"/>
          <a:ext cx="2009082" cy="99643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None/>
          </a:pPr>
          <a:r>
            <a:rPr lang="en-GB" sz="1100" kern="1200">
              <a:latin typeface="Aptos" panose="020B0004020202020204" pitchFamily="34" charset="0"/>
            </a:rPr>
            <a:t>Used ethically approved, peer-reviewed studies</a:t>
          </a:r>
        </a:p>
        <a:p>
          <a:pPr marL="57150" lvl="1" indent="-57150" algn="l" defTabSz="488950">
            <a:lnSpc>
              <a:spcPct val="90000"/>
            </a:lnSpc>
            <a:spcBef>
              <a:spcPct val="0"/>
            </a:spcBef>
            <a:spcAft>
              <a:spcPct val="15000"/>
            </a:spcAft>
            <a:buNone/>
          </a:pPr>
          <a:r>
            <a:rPr lang="en-GB" sz="1100" kern="1200">
              <a:latin typeface="Aptos" panose="020B0004020202020204" pitchFamily="34" charset="0"/>
            </a:rPr>
            <a:t>No direct contact with vulnerable populations</a:t>
          </a:r>
        </a:p>
      </dsp:txBody>
      <dsp:txXfrm>
        <a:off x="4584048" y="855100"/>
        <a:ext cx="2009082" cy="996434"/>
      </dsp:txXfrm>
    </dsp:sp>
    <dsp:sp modelId="{4B0BA49E-53FB-4A48-8A53-1DCC68267D3A}">
      <dsp:nvSpPr>
        <dsp:cNvPr id="0" name=""/>
        <dsp:cNvSpPr/>
      </dsp:nvSpPr>
      <dsp:spPr>
        <a:xfrm>
          <a:off x="6874401" y="272539"/>
          <a:ext cx="2009082" cy="58256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kern="1200">
              <a:latin typeface="Aptos" panose="020B0004020202020204" pitchFamily="34" charset="0"/>
            </a:rPr>
            <a:t>Transparency in Research Process</a:t>
          </a:r>
          <a:r>
            <a:rPr lang="en-GB" sz="1100" b="1" i="0" kern="1200" dirty="0">
              <a:latin typeface="Aptos" panose="020B0004020202020204" pitchFamily="34" charset="0"/>
            </a:rPr>
            <a:t>:</a:t>
          </a:r>
          <a:endParaRPr lang="en-GB" sz="1100" kern="1200" dirty="0">
            <a:latin typeface="Aptos" panose="020B0004020202020204" pitchFamily="34" charset="0"/>
          </a:endParaRPr>
        </a:p>
      </dsp:txBody>
      <dsp:txXfrm>
        <a:off x="6874401" y="272539"/>
        <a:ext cx="2009082" cy="582561"/>
      </dsp:txXfrm>
    </dsp:sp>
    <dsp:sp modelId="{0426731F-8A3C-42F1-804E-8F6D7BF28D02}">
      <dsp:nvSpPr>
        <dsp:cNvPr id="0" name=""/>
        <dsp:cNvSpPr/>
      </dsp:nvSpPr>
      <dsp:spPr>
        <a:xfrm>
          <a:off x="6874401" y="855100"/>
          <a:ext cx="2009082" cy="99643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None/>
          </a:pPr>
          <a:r>
            <a:rPr lang="en-GB" sz="1100" kern="1200">
              <a:latin typeface="Aptos" panose="020B0004020202020204" pitchFamily="34" charset="0"/>
            </a:rPr>
            <a:t>Clear inclusion and exclusion criteria applied</a:t>
          </a:r>
        </a:p>
        <a:p>
          <a:pPr marL="57150" lvl="1" indent="-57150" algn="l" defTabSz="488950">
            <a:lnSpc>
              <a:spcPct val="90000"/>
            </a:lnSpc>
            <a:spcBef>
              <a:spcPct val="0"/>
            </a:spcBef>
            <a:spcAft>
              <a:spcPct val="15000"/>
            </a:spcAft>
            <a:buNone/>
          </a:pPr>
          <a:r>
            <a:rPr lang="en-GB" sz="1100" kern="1200">
              <a:latin typeface="Aptos" panose="020B0004020202020204" pitchFamily="34" charset="0"/>
            </a:rPr>
            <a:t>Search strategy and analysis process documented</a:t>
          </a:r>
        </a:p>
      </dsp:txBody>
      <dsp:txXfrm>
        <a:off x="6874401" y="855100"/>
        <a:ext cx="2009082" cy="996434"/>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847132985988f0abc9be1ca91c3fb1a5">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99e245138113594b7595c373eb657952"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82f5a46a-80c7-47f7-9d28-dc929746944c"/>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E2AF3818-DDBE-462D-9A0B-82C9492C49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7</Pages>
  <Words>1242</Words>
  <Characters>6337</Characters>
  <Application>Microsoft Office Word</Application>
  <DocSecurity>0</DocSecurity>
  <Lines>264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Mehmood Warraich (2244964)</dc:creator>
  <cp:keywords/>
  <dc:description/>
  <cp:lastModifiedBy>Tariq Mehmood Warraich (2244964)</cp:lastModifiedBy>
  <cp:revision>2</cp:revision>
  <dcterms:created xsi:type="dcterms:W3CDTF">2026-02-28T14:09:00Z</dcterms:created>
  <dcterms:modified xsi:type="dcterms:W3CDTF">2026-02-28T14:09:00Z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