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13B231" w14:textId="77777777" w:rsidR="00B60758" w:rsidRDefault="00B60758" w:rsidP="00B6075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B60758" w14:paraId="549A869E" w14:textId="77777777" w:rsidTr="00C35C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7ED79" w14:textId="77777777" w:rsidR="00B60758" w:rsidRDefault="00B60758" w:rsidP="00C35C2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E1579" w14:textId="77777777" w:rsidR="00B60758" w:rsidRDefault="00B60758" w:rsidP="00C35C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</w:rPr>
              <w:t>BMHN6001</w:t>
            </w:r>
          </w:p>
        </w:tc>
      </w:tr>
      <w:tr w:rsidR="00B60758" w14:paraId="4398EF91" w14:textId="77777777" w:rsidTr="00C35C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3610" w14:textId="77777777" w:rsidR="00B60758" w:rsidRDefault="00B60758" w:rsidP="00C35C2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5D568" w14:textId="77777777" w:rsidR="00B60758" w:rsidRDefault="00B60758" w:rsidP="00C35C2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Applied Nutrition and Dietary Analysis</w:t>
            </w:r>
          </w:p>
        </w:tc>
      </w:tr>
      <w:tr w:rsidR="00B60758" w14:paraId="444FEA73" w14:textId="77777777" w:rsidTr="00C35C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6005" w14:textId="77777777" w:rsidR="00B60758" w:rsidRDefault="00B60758" w:rsidP="00C35C2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57118547"/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40F918E" w14:textId="77777777" w:rsidR="00B60758" w:rsidRDefault="00B60758" w:rsidP="00C35C2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04/03/2020</w:t>
                </w:r>
              </w:p>
            </w:tc>
          </w:sdtContent>
        </w:sdt>
      </w:tr>
      <w:tr w:rsidR="00B60758" w14:paraId="16559791" w14:textId="77777777" w:rsidTr="00C35C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20CE7" w14:textId="77777777" w:rsidR="00B60758" w:rsidRDefault="00B60758" w:rsidP="00C35C2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831707854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5CC91" w14:textId="77777777" w:rsidR="00B60758" w:rsidRDefault="00B60758" w:rsidP="00C35C26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B60758" w14:paraId="1A487AA9" w14:textId="77777777" w:rsidTr="00C35C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454B0" w14:textId="77777777" w:rsidR="00B60758" w:rsidRDefault="00B60758" w:rsidP="00C35C2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1DAEC" w14:textId="77777777" w:rsidR="00B60758" w:rsidRDefault="00B60758" w:rsidP="00C35C2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B60758" w14:paraId="3278FB98" w14:textId="77777777" w:rsidTr="00C35C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660A9" w14:textId="77777777" w:rsidR="00B60758" w:rsidRDefault="00B60758" w:rsidP="00C35C2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7273C" w14:textId="77777777" w:rsidR="00B60758" w:rsidRDefault="00B60758" w:rsidP="00C35C2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BMHN5001 Dietary Analysis</w:t>
            </w:r>
          </w:p>
        </w:tc>
      </w:tr>
    </w:tbl>
    <w:p w14:paraId="6658C50B" w14:textId="77777777" w:rsidR="00B60758" w:rsidRDefault="00B60758" w:rsidP="00B60758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lang w:val="en-GB"/>
        </w:rPr>
      </w:pPr>
    </w:p>
    <w:p w14:paraId="768C1421" w14:textId="77777777" w:rsidR="00B60758" w:rsidRDefault="00B60758" w:rsidP="00B60758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76ED2DB8" w14:textId="77777777" w:rsidR="00B60758" w:rsidRDefault="00B60758" w:rsidP="00B60758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AIM(S)</w:t>
      </w:r>
    </w:p>
    <w:p w14:paraId="03FFF63E" w14:textId="77777777" w:rsidR="00B60758" w:rsidRDefault="00B60758" w:rsidP="00B60758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0D964885" w14:textId="77777777" w:rsidR="00B60758" w:rsidRDefault="00B60758" w:rsidP="00B6075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To develop and apply advanced theory and application of applied nutrition and dietary analysis</w:t>
      </w:r>
    </w:p>
    <w:p w14:paraId="5968DF4C" w14:textId="77777777" w:rsidR="00B60758" w:rsidRDefault="00B60758" w:rsidP="00B60758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274B3D4E" w14:textId="77777777" w:rsidR="00B60758" w:rsidRDefault="00B60758" w:rsidP="00B60758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LEARNING OUTCOMES</w:t>
      </w:r>
    </w:p>
    <w:p w14:paraId="0C7B92E2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lang w:val="en-GB"/>
        </w:rPr>
      </w:pPr>
    </w:p>
    <w:p w14:paraId="7BBEAEC1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Upon the successful completion of this module, the student should be able to:</w:t>
      </w:r>
    </w:p>
    <w:p w14:paraId="5D432D54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</w:p>
    <w:p w14:paraId="752EDC3C" w14:textId="77777777" w:rsidR="00B60758" w:rsidRDefault="00B60758" w:rsidP="00B60758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Demonstrate a systematic understanding of applied nutrition in practice and the role of Association for Nutrition, including professional standards of Registered Nutritionists.</w:t>
      </w:r>
    </w:p>
    <w:p w14:paraId="21C3D924" w14:textId="77777777" w:rsidR="00B60758" w:rsidRDefault="00B60758" w:rsidP="00B60758">
      <w:pPr>
        <w:spacing w:after="0" w:line="240" w:lineRule="auto"/>
        <w:contextualSpacing/>
        <w:rPr>
          <w:rFonts w:ascii="Arial" w:hAnsi="Arial" w:cs="Arial"/>
          <w:lang w:val="en-GB"/>
        </w:rPr>
      </w:pPr>
    </w:p>
    <w:p w14:paraId="716E10EB" w14:textId="77777777" w:rsidR="00B60758" w:rsidRDefault="00B60758" w:rsidP="00B60758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Critically evaluate the role of nutrition in the development of disease.</w:t>
      </w:r>
    </w:p>
    <w:p w14:paraId="268BF538" w14:textId="77777777" w:rsidR="00B60758" w:rsidRDefault="00B60758" w:rsidP="00B60758">
      <w:pPr>
        <w:pStyle w:val="ListParagraph"/>
        <w:spacing w:after="0" w:line="240" w:lineRule="auto"/>
        <w:rPr>
          <w:rFonts w:ascii="Arial" w:hAnsi="Arial" w:cs="Arial"/>
          <w:lang w:val="en-GB"/>
        </w:rPr>
      </w:pPr>
    </w:p>
    <w:p w14:paraId="624B23E8" w14:textId="77777777" w:rsidR="00B60758" w:rsidRDefault="00B60758" w:rsidP="00B60758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Demonstrate a systematic understanding of dietary analysis and its relationship to individual/group requirements.</w:t>
      </w:r>
    </w:p>
    <w:p w14:paraId="77AD6ED1" w14:textId="77777777" w:rsidR="00B60758" w:rsidRDefault="00B60758" w:rsidP="00B60758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14:paraId="53814B93" w14:textId="77777777" w:rsidR="00B60758" w:rsidRDefault="00B60758" w:rsidP="00B60758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INDICATIVE CONTENT</w:t>
      </w:r>
    </w:p>
    <w:p w14:paraId="223D25CA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</w:p>
    <w:p w14:paraId="1EDF72A1" w14:textId="77777777" w:rsidR="00B60758" w:rsidRDefault="00B60758" w:rsidP="00B60758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Study The concept of health and nutrition and its role is disease development</w:t>
      </w:r>
    </w:p>
    <w:p w14:paraId="7D3D3F76" w14:textId="77777777" w:rsidR="00B60758" w:rsidRDefault="00B60758" w:rsidP="00B60758">
      <w:pPr>
        <w:pStyle w:val="ListParagraph"/>
        <w:spacing w:after="0" w:line="240" w:lineRule="auto"/>
        <w:rPr>
          <w:rFonts w:ascii="Arial" w:hAnsi="Arial" w:cs="Arial"/>
          <w:lang w:val="en-GB"/>
        </w:rPr>
      </w:pPr>
    </w:p>
    <w:p w14:paraId="31B87BD1" w14:textId="77777777" w:rsidR="00B60758" w:rsidRDefault="00B60758" w:rsidP="00B60758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Further develop Dietary analysis and its use in individual requirements</w:t>
      </w:r>
    </w:p>
    <w:p w14:paraId="0D72D4C6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</w:p>
    <w:p w14:paraId="09596D3A" w14:textId="77777777" w:rsidR="00B60758" w:rsidRDefault="00B60758" w:rsidP="00B60758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Diet for specific conditions – to include weight management, healthy eating, diabetes etc.</w:t>
      </w:r>
    </w:p>
    <w:p w14:paraId="46BFED83" w14:textId="77777777" w:rsidR="00B60758" w:rsidRDefault="00B60758" w:rsidP="00B60758">
      <w:pPr>
        <w:pStyle w:val="ListParagraph"/>
        <w:spacing w:after="0" w:line="240" w:lineRule="auto"/>
        <w:rPr>
          <w:rFonts w:ascii="Arial" w:hAnsi="Arial" w:cs="Arial"/>
          <w:lang w:val="en-GB"/>
        </w:rPr>
      </w:pPr>
    </w:p>
    <w:p w14:paraId="4C079135" w14:textId="77777777" w:rsidR="00B60758" w:rsidRDefault="00B60758" w:rsidP="00B60758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Menu planning for individuals and groups</w:t>
      </w:r>
    </w:p>
    <w:p w14:paraId="595A7731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</w:p>
    <w:p w14:paraId="7E9B83F0" w14:textId="77777777" w:rsidR="00B60758" w:rsidRDefault="00B60758" w:rsidP="00B60758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Portion control and food choices for individuals and groups</w:t>
      </w:r>
    </w:p>
    <w:p w14:paraId="2F219908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</w:p>
    <w:p w14:paraId="36F891B6" w14:textId="77777777" w:rsidR="00B60758" w:rsidRDefault="00B60758" w:rsidP="00B60758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 role of catering, cooking and food hygiene for individuals and in the work place, including the completion of a food hygiene qualification</w:t>
      </w:r>
    </w:p>
    <w:p w14:paraId="78FAC9BB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</w:p>
    <w:p w14:paraId="481A0A3D" w14:textId="77777777" w:rsidR="00B60758" w:rsidRDefault="00B60758" w:rsidP="00B60758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Develop the understanding of the Nutrition Industry and the role of the Association for Nutrition in particular</w:t>
      </w:r>
    </w:p>
    <w:p w14:paraId="2A079104" w14:textId="77777777" w:rsidR="00B60758" w:rsidRDefault="00B60758" w:rsidP="00B60758">
      <w:pPr>
        <w:pStyle w:val="ListParagraph"/>
        <w:spacing w:after="0" w:line="240" w:lineRule="auto"/>
        <w:rPr>
          <w:rFonts w:ascii="Arial" w:hAnsi="Arial" w:cs="Arial"/>
          <w:lang w:val="en-GB"/>
        </w:rPr>
      </w:pPr>
    </w:p>
    <w:p w14:paraId="7F530B89" w14:textId="77777777" w:rsidR="00B60758" w:rsidRDefault="00B60758" w:rsidP="00B60758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Understand the role of a Registered Nutritionist and the importance of standards of ethics, conduct and performance.</w:t>
      </w:r>
    </w:p>
    <w:p w14:paraId="2FEE72BE" w14:textId="77777777" w:rsidR="00B60758" w:rsidRDefault="00B60758" w:rsidP="00B60758">
      <w:pPr>
        <w:pStyle w:val="ListParagraph"/>
        <w:spacing w:after="0" w:line="240" w:lineRule="auto"/>
        <w:rPr>
          <w:rFonts w:ascii="Arial" w:hAnsi="Arial" w:cs="Arial"/>
          <w:lang w:val="en-GB"/>
        </w:rPr>
      </w:pPr>
    </w:p>
    <w:p w14:paraId="69B4B31F" w14:textId="77777777" w:rsidR="00B60758" w:rsidRDefault="00B60758" w:rsidP="00B60758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Global food issues and sustainability</w:t>
      </w:r>
    </w:p>
    <w:p w14:paraId="54488CC5" w14:textId="77777777" w:rsidR="00B60758" w:rsidRDefault="00B60758" w:rsidP="00B6075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E4D399B" w14:textId="77777777" w:rsidR="00B60758" w:rsidRDefault="00B60758" w:rsidP="00B6075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3A7D98E" w14:textId="77777777" w:rsidR="00B60758" w:rsidRDefault="00B60758" w:rsidP="00B6075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09520C4F" w14:textId="77777777" w:rsidR="00B60758" w:rsidRDefault="00B60758" w:rsidP="00B6075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BAEDF95" w14:textId="77777777" w:rsidR="00B60758" w:rsidRDefault="00B60758" w:rsidP="00B6075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EC42966" w14:textId="77777777" w:rsidR="00B60758" w:rsidRDefault="00B60758" w:rsidP="00B60758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767518D3" w14:textId="77777777" w:rsidR="00B60758" w:rsidRDefault="00B60758" w:rsidP="00B6075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054650B7" w14:textId="77777777" w:rsidR="00B60758" w:rsidRDefault="00B60758" w:rsidP="00B60758">
      <w:pPr>
        <w:keepNext/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The study time for the module is divided as follows:</w:t>
      </w:r>
    </w:p>
    <w:p w14:paraId="75932BE8" w14:textId="77777777" w:rsidR="00B60758" w:rsidRDefault="00B60758" w:rsidP="00B60758">
      <w:pPr>
        <w:keepNext/>
        <w:spacing w:after="0" w:line="240" w:lineRule="auto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60758" w14:paraId="60FC9ACA" w14:textId="77777777" w:rsidTr="00C35C2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862A9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DBF25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AA86F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B60758" w14:paraId="46F37CB3" w14:textId="77777777" w:rsidTr="00C35C2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B29F2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51EB3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7A78C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23%</w:t>
            </w:r>
          </w:p>
        </w:tc>
      </w:tr>
      <w:tr w:rsidR="00B60758" w14:paraId="143EEE14" w14:textId="77777777" w:rsidTr="00C35C2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3CCE0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6BCA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09FD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77%</w:t>
            </w:r>
          </w:p>
        </w:tc>
      </w:tr>
      <w:tr w:rsidR="00B60758" w14:paraId="44A43416" w14:textId="77777777" w:rsidTr="00C35C2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02D76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CEA8D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DF2B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0%</w:t>
            </w:r>
          </w:p>
        </w:tc>
      </w:tr>
      <w:tr w:rsidR="00B60758" w14:paraId="42A1B526" w14:textId="77777777" w:rsidTr="00C35C2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F040F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AC02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2AC88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50AF412E" w14:textId="77777777" w:rsidR="00B60758" w:rsidRDefault="00B60758" w:rsidP="00B60758">
      <w:pPr>
        <w:pStyle w:val="fixed"/>
        <w:ind w:left="0" w:firstLine="0"/>
        <w:rPr>
          <w:rFonts w:ascii="Arial" w:hAnsi="Arial" w:cs="Arial"/>
          <w:color w:val="FFFFFF" w:themeColor="background1"/>
          <w:sz w:val="22"/>
          <w:szCs w:val="22"/>
        </w:rPr>
      </w:pPr>
    </w:p>
    <w:p w14:paraId="6E645B66" w14:textId="77777777" w:rsidR="00B60758" w:rsidRDefault="00B60758" w:rsidP="00B60758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</w:t>
      </w:r>
    </w:p>
    <w:p w14:paraId="1B134228" w14:textId="77777777" w:rsidR="00B60758" w:rsidRDefault="00B60758" w:rsidP="00B60758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4CDDB3CD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Assessment Component 1</w:t>
      </w:r>
    </w:p>
    <w:p w14:paraId="70478CF2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i/>
          <w:sz w:val="20"/>
          <w:szCs w:val="20"/>
          <w:lang w:val="en-GB"/>
        </w:rPr>
      </w:pPr>
      <w:r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60758" w14:paraId="75B1A973" w14:textId="77777777" w:rsidTr="00C35C26">
        <w:sdt>
          <w:sdtPr>
            <w:rPr>
              <w:rFonts w:ascii="Arial" w:hAnsi="Arial" w:cs="Arial"/>
              <w:lang w:val="en-GB"/>
            </w:rPr>
            <w:id w:val="-634171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03F71914" w14:textId="77777777" w:rsidR="00B60758" w:rsidRDefault="00B60758" w:rsidP="00C35C2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3989BCCD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177944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741CE893" w14:textId="77777777" w:rsidR="00B60758" w:rsidRDefault="00B60758" w:rsidP="00C35C2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14134305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843057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41FED4C8" w14:textId="77777777" w:rsidR="00B60758" w:rsidRDefault="00B60758" w:rsidP="00C35C2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6835DECF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3BBEA374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dxa"/>
        <w:tblLayout w:type="fixed"/>
        <w:tblLook w:val="04A0" w:firstRow="1" w:lastRow="0" w:firstColumn="1" w:lastColumn="0" w:noHBand="0" w:noVBand="1"/>
      </w:tblPr>
      <w:tblGrid>
        <w:gridCol w:w="3794"/>
        <w:gridCol w:w="3431"/>
        <w:gridCol w:w="1559"/>
      </w:tblGrid>
      <w:tr w:rsidR="00B60758" w14:paraId="19567BCC" w14:textId="77777777" w:rsidTr="00C35C26">
        <w:trPr>
          <w:trHeight w:val="33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6A97" w14:textId="77777777" w:rsidR="00B60758" w:rsidRDefault="00B60758" w:rsidP="00C35C26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E757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1CF31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B60758" w14:paraId="58FE699B" w14:textId="77777777" w:rsidTr="00C35C2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7F14A" w14:textId="77777777" w:rsidR="00B60758" w:rsidRDefault="00B60758" w:rsidP="00C35C26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Case Study – assessment of a client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075DA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2500 – 3000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62175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50%</w:t>
            </w:r>
          </w:p>
        </w:tc>
      </w:tr>
    </w:tbl>
    <w:p w14:paraId="332652ED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lang w:val="en-GB"/>
        </w:rPr>
      </w:pPr>
    </w:p>
    <w:p w14:paraId="60480BFD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Assessment Component 2</w:t>
      </w:r>
    </w:p>
    <w:p w14:paraId="4700C419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60758" w14:paraId="56CC302D" w14:textId="77777777" w:rsidTr="00C35C26">
        <w:sdt>
          <w:sdtPr>
            <w:rPr>
              <w:rFonts w:ascii="Arial" w:hAnsi="Arial" w:cs="Arial"/>
              <w:lang w:val="en-GB"/>
            </w:rPr>
            <w:id w:val="-21062559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036FCF19" w14:textId="77777777" w:rsidR="00B60758" w:rsidRDefault="00B60758" w:rsidP="00C35C2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58" w:type="dxa"/>
            <w:hideMark/>
          </w:tcPr>
          <w:p w14:paraId="7368A7A7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751812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10F4AD01" w14:textId="77777777" w:rsidR="00B60758" w:rsidRDefault="00B60758" w:rsidP="00C35C2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159DB23E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359201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5DCBB4CF" w14:textId="77777777" w:rsidR="00B60758" w:rsidRDefault="00B60758" w:rsidP="00C35C26">
                <w:pPr>
                  <w:spacing w:after="0" w:line="240" w:lineRule="auto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6AE4638E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72611645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60758" w14:paraId="64824B09" w14:textId="77777777" w:rsidTr="00C35C2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052CD" w14:textId="77777777" w:rsidR="00B60758" w:rsidRDefault="00B60758" w:rsidP="00C35C26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52E28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88A66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B60758" w14:paraId="3F0E8CC9" w14:textId="77777777" w:rsidTr="00C35C26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8C41" w14:textId="77777777" w:rsidR="00B60758" w:rsidRDefault="00B60758" w:rsidP="00C35C26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Exam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2A0B6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highlight w:val="yellow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 hours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C2CC7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50%</w:t>
            </w:r>
          </w:p>
        </w:tc>
      </w:tr>
    </w:tbl>
    <w:p w14:paraId="2C3BC13B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highlight w:val="cyan"/>
          <w:lang w:val="en-GB"/>
        </w:rPr>
      </w:pPr>
    </w:p>
    <w:p w14:paraId="0B70AF7B" w14:textId="77777777" w:rsidR="00B60758" w:rsidRDefault="00B60758" w:rsidP="00B60758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D08BA40" w14:textId="77777777" w:rsidR="00B60758" w:rsidRDefault="00B60758" w:rsidP="00B60758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60758" w14:paraId="31F6DAEE" w14:textId="77777777" w:rsidTr="00C35C2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2EC5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52FC8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B60758" w14:paraId="7DEFC27D" w14:textId="77777777" w:rsidTr="00C35C2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BD0B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62E01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50%</w:t>
            </w:r>
          </w:p>
        </w:tc>
      </w:tr>
      <w:tr w:rsidR="00B60758" w14:paraId="4BF98BAF" w14:textId="77777777" w:rsidTr="00C35C2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5255A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6D5EC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50%</w:t>
            </w:r>
          </w:p>
        </w:tc>
      </w:tr>
      <w:tr w:rsidR="00B60758" w14:paraId="3F232B99" w14:textId="77777777" w:rsidTr="00C35C2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0A752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FBA19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0%</w:t>
            </w:r>
          </w:p>
        </w:tc>
      </w:tr>
      <w:tr w:rsidR="00B60758" w14:paraId="19984409" w14:textId="77777777" w:rsidTr="00C35C2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C503E" w14:textId="77777777" w:rsidR="00B60758" w:rsidRDefault="00B60758" w:rsidP="00C35C26">
            <w:pPr>
              <w:keepNext/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352F" w14:textId="77777777" w:rsidR="00B60758" w:rsidRDefault="00B60758" w:rsidP="00C35C2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0176DFB2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</w:p>
    <w:p w14:paraId="48705BA6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This module meets some of the core competencies required by the Association for Nutrition, as part of the accreditation of the programme.</w:t>
      </w:r>
    </w:p>
    <w:p w14:paraId="1978BAB0" w14:textId="77777777" w:rsidR="00B60758" w:rsidRDefault="00B60758" w:rsidP="00B60758">
      <w:pPr>
        <w:spacing w:after="0" w:line="240" w:lineRule="auto"/>
        <w:rPr>
          <w:rFonts w:ascii="Arial" w:hAnsi="Arial" w:cs="Arial"/>
          <w:lang w:val="en-GB"/>
        </w:rPr>
      </w:pPr>
    </w:p>
    <w:p w14:paraId="479EA689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lang w:val="en-GB"/>
        </w:rPr>
      </w:pPr>
    </w:p>
    <w:p w14:paraId="2C67C33E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INDICATIVE READING LIST</w:t>
      </w:r>
    </w:p>
    <w:p w14:paraId="23B9E376" w14:textId="77777777" w:rsidR="00B60758" w:rsidRDefault="00B60758" w:rsidP="00B60758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B60758" w14:paraId="42BEDBBC" w14:textId="77777777" w:rsidTr="00C35C26">
        <w:trPr>
          <w:tblHeader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D57F9B7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9EC6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bCs/>
              </w:rPr>
              <w:t>BMHN6001</w:t>
            </w:r>
          </w:p>
        </w:tc>
      </w:tr>
      <w:tr w:rsidR="00B60758" w14:paraId="19ADB30F" w14:textId="77777777" w:rsidTr="00C35C26">
        <w:trPr>
          <w:tblHeader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F0091EA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A96F3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Applied Nutrition and Dietary Analysis</w:t>
            </w:r>
          </w:p>
        </w:tc>
      </w:tr>
      <w:tr w:rsidR="00B60758" w14:paraId="6EC0C205" w14:textId="77777777" w:rsidTr="00C35C26">
        <w:trPr>
          <w:tblHeader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7BB0491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CAAF868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6087D6E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B60758" w14:paraId="1BE205C4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02A95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E7E33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Department of Health (1991) ‘</w:t>
            </w:r>
            <w:r>
              <w:rPr>
                <w:rFonts w:ascii="Arial" w:hAnsi="Arial" w:cs="Arial"/>
                <w:i/>
                <w:lang w:val="en-GB"/>
              </w:rPr>
              <w:t>Dietary Reference Values for Food Energy and Nutrients for the UK: Report of the Panel on Dietary Reference Values of the Committee on Medical Aspects of Food Policy’</w:t>
            </w:r>
            <w:r>
              <w:rPr>
                <w:rFonts w:ascii="Arial" w:hAnsi="Arial" w:cs="Arial"/>
                <w:lang w:val="en-GB"/>
              </w:rPr>
              <w:t>. Twentieth Impression. Richmond, Surrey: The Stationary Office.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17814883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1CC7646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B60758" w14:paraId="7EAC2B84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3FBBC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D295F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Gandy, J. (Ed) (2019) </w:t>
            </w:r>
            <w:r>
              <w:rPr>
                <w:rFonts w:ascii="Arial" w:hAnsi="Arial" w:cs="Arial"/>
                <w:i/>
                <w:lang w:val="en-GB"/>
              </w:rPr>
              <w:t>Manual of Dietetic Practice</w:t>
            </w:r>
            <w:r>
              <w:rPr>
                <w:rFonts w:ascii="Arial" w:hAnsi="Arial" w:cs="Arial"/>
                <w:lang w:val="en-GB"/>
              </w:rPr>
              <w:t xml:space="preserve"> 6</w:t>
            </w:r>
            <w:r>
              <w:rPr>
                <w:rFonts w:ascii="Arial" w:hAnsi="Arial" w:cs="Arial"/>
                <w:vertAlign w:val="superscript"/>
                <w:lang w:val="en-GB"/>
              </w:rPr>
              <w:t>th</w:t>
            </w:r>
            <w:r>
              <w:rPr>
                <w:rFonts w:ascii="Arial" w:hAnsi="Arial" w:cs="Arial"/>
                <w:lang w:val="en-GB"/>
              </w:rPr>
              <w:t xml:space="preserve"> Ed. Chichester: Wiley Blackwell.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4295891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78905B2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B60758" w14:paraId="66553A74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6D73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9B069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Lawrence, J., Gandy, J. &amp; Douglas, P. (2016) </w:t>
            </w:r>
            <w:r>
              <w:rPr>
                <w:rFonts w:ascii="Arial" w:hAnsi="Arial" w:cs="Arial"/>
                <w:i/>
                <w:lang w:val="en-GB"/>
              </w:rPr>
              <w:t xml:space="preserve">Dietetic and Nutrition Case Studies. </w:t>
            </w:r>
            <w:r>
              <w:rPr>
                <w:rFonts w:ascii="Arial" w:hAnsi="Arial" w:cs="Arial"/>
                <w:lang w:val="en-GB"/>
              </w:rPr>
              <w:t>Chichester: Wiley-Blackwell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65206514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F41B1F8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B60758" w14:paraId="09AC4819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0594B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E7453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Lee, R. &amp; Nieman, D.C. (2012) </w:t>
            </w:r>
            <w:r>
              <w:rPr>
                <w:rFonts w:ascii="Arial" w:hAnsi="Arial" w:cs="Arial"/>
                <w:i/>
                <w:lang w:val="en-GB"/>
              </w:rPr>
              <w:t>Nutritional Assessment 6th</w:t>
            </w:r>
            <w:r>
              <w:rPr>
                <w:rFonts w:ascii="Arial" w:hAnsi="Arial" w:cs="Arial"/>
                <w:lang w:val="en-GB"/>
              </w:rPr>
              <w:t xml:space="preserve"> Ed.London: McGraw Hill.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lang w:val="en-GB"/>
              </w:rPr>
              <w:id w:val="-49610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8A18B84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  <w:p w14:paraId="38720811" w14:textId="77777777" w:rsidR="00B60758" w:rsidRDefault="00B60758" w:rsidP="00C35C26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B60758" w14:paraId="0E54791A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6AB58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lastRenderedPageBreak/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814A6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Lean, M. &amp; Combet, E. (2016) </w:t>
            </w:r>
            <w:r>
              <w:rPr>
                <w:rFonts w:ascii="Arial" w:hAnsi="Arial" w:cs="Arial"/>
                <w:i/>
                <w:lang w:val="en-GB"/>
              </w:rPr>
              <w:t xml:space="preserve">Barasi’s Human Nutrition: A Health Perspective </w:t>
            </w:r>
            <w:r>
              <w:rPr>
                <w:rFonts w:ascii="Arial" w:hAnsi="Arial" w:cs="Arial"/>
                <w:lang w:val="en-GB"/>
              </w:rPr>
              <w:t>3</w:t>
            </w:r>
            <w:r>
              <w:rPr>
                <w:rFonts w:ascii="Arial" w:hAnsi="Arial" w:cs="Arial"/>
                <w:vertAlign w:val="superscript"/>
                <w:lang w:val="en-GB"/>
              </w:rPr>
              <w:t>rd</w:t>
            </w:r>
            <w:r>
              <w:rPr>
                <w:rFonts w:ascii="Arial" w:hAnsi="Arial" w:cs="Arial"/>
                <w:lang w:val="en-GB"/>
              </w:rPr>
              <w:t xml:space="preserve"> Ed. London: CRC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lang w:val="en-GB"/>
              </w:rPr>
              <w:id w:val="-19967946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C3D21AA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  <w:p w14:paraId="704125CF" w14:textId="77777777" w:rsidR="00B60758" w:rsidRDefault="00B60758" w:rsidP="00C35C26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B60758" w14:paraId="7E85765C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69A82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252AE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Lomer, M. (2015) </w:t>
            </w:r>
            <w:r>
              <w:rPr>
                <w:rFonts w:ascii="Arial" w:hAnsi="Arial" w:cs="Arial"/>
                <w:i/>
                <w:lang w:val="en-GB"/>
              </w:rPr>
              <w:t xml:space="preserve">Advanced Nutrition and Dietetics in Gastroenterology. </w:t>
            </w:r>
            <w:r>
              <w:rPr>
                <w:rFonts w:ascii="Arial" w:hAnsi="Arial" w:cs="Arial"/>
                <w:lang w:val="en-GB"/>
              </w:rPr>
              <w:t>London: Blackwell Wiley.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lang w:val="en-GB"/>
              </w:rPr>
              <w:id w:val="161047068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A3AB4CD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  <w:p w14:paraId="69370346" w14:textId="77777777" w:rsidR="00B60758" w:rsidRDefault="00B60758" w:rsidP="00C35C26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B60758" w14:paraId="05809130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90C5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BE64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Public Health England (2014) </w:t>
            </w:r>
            <w:r>
              <w:rPr>
                <w:rFonts w:ascii="Arial" w:hAnsi="Arial" w:cs="Arial"/>
                <w:i/>
                <w:lang w:val="en-GB"/>
              </w:rPr>
              <w:t>McCance and Widdowson’s The Composition of Foods: Seventh Summary Edition</w:t>
            </w:r>
            <w:r>
              <w:rPr>
                <w:rFonts w:ascii="Arial" w:hAnsi="Arial" w:cs="Arial"/>
                <w:lang w:val="en-GB"/>
              </w:rPr>
              <w:t>. Cambridge: Royal Society of Chemistry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lang w:val="en-GB"/>
              </w:rPr>
              <w:id w:val="952133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04E097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  <w:p w14:paraId="2628C7AA" w14:textId="77777777" w:rsidR="00B60758" w:rsidRDefault="00B60758" w:rsidP="00C35C26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B60758" w14:paraId="334EC18F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E9C68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2FD93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Cheyette, C. &amp; Balolia, Y (2016) </w:t>
            </w:r>
            <w:r>
              <w:rPr>
                <w:rFonts w:ascii="Arial" w:hAnsi="Arial" w:cs="Arial"/>
                <w:i/>
                <w:lang w:val="en-GB"/>
              </w:rPr>
              <w:t>Carbs and Cals</w:t>
            </w:r>
            <w:r>
              <w:rPr>
                <w:rFonts w:ascii="Arial" w:hAnsi="Arial" w:cs="Arial"/>
                <w:lang w:val="en-GB"/>
              </w:rPr>
              <w:t>. 6th Ed. London: Chello Publishing Ltd.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3028516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56C84C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B60758" w14:paraId="0B01ACA8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45C65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97989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Elia, M., Ljungqvist, O., Stratton, R. &amp; Lanham-New, S.A. (Eds) (2012) </w:t>
            </w:r>
            <w:r>
              <w:rPr>
                <w:rFonts w:ascii="Arial" w:hAnsi="Arial" w:cs="Arial"/>
                <w:i/>
                <w:lang w:val="en-GB"/>
              </w:rPr>
              <w:t>Clinical Nutrition</w:t>
            </w:r>
            <w:r>
              <w:rPr>
                <w:rFonts w:ascii="Arial" w:hAnsi="Arial" w:cs="Arial"/>
                <w:lang w:val="en-GB"/>
              </w:rPr>
              <w:t xml:space="preserve"> 2</w:t>
            </w:r>
            <w:r>
              <w:rPr>
                <w:rFonts w:ascii="Arial" w:hAnsi="Arial" w:cs="Arial"/>
                <w:vertAlign w:val="superscript"/>
                <w:lang w:val="en-GB"/>
              </w:rPr>
              <w:t>nd</w:t>
            </w:r>
            <w:r>
              <w:rPr>
                <w:rFonts w:ascii="Arial" w:hAnsi="Arial" w:cs="Arial"/>
                <w:lang w:val="en-GB"/>
              </w:rPr>
              <w:t xml:space="preserve"> Ed. Oxford: Wiley-Blackwell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12694232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F87DDF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B60758" w14:paraId="77D87DC4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57EF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F60C9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Frost, G., Goff, L. &amp; Dyson. P. (2015) </w:t>
            </w:r>
            <w:r>
              <w:rPr>
                <w:rFonts w:ascii="Arial" w:hAnsi="Arial" w:cs="Arial"/>
                <w:i/>
                <w:lang w:val="en-GB"/>
              </w:rPr>
              <w:t xml:space="preserve">Advanced Nutrition and Dietetics in Diabetes. </w:t>
            </w:r>
            <w:r>
              <w:rPr>
                <w:rFonts w:ascii="Arial" w:hAnsi="Arial" w:cs="Arial"/>
                <w:lang w:val="en-GB"/>
              </w:rPr>
              <w:t>London: Wiley Blackwell.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2971480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AF0ED9E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B60758" w14:paraId="725181B0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DD152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42036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Langley-Evans, S.C. (2015) </w:t>
            </w:r>
            <w:r>
              <w:rPr>
                <w:rFonts w:ascii="Arial" w:hAnsi="Arial" w:cs="Arial"/>
                <w:i/>
                <w:lang w:val="en-GB"/>
              </w:rPr>
              <w:t>Nutrition, Health and Disease: A Lifespan Approach</w:t>
            </w:r>
            <w:r>
              <w:rPr>
                <w:rFonts w:ascii="Arial" w:hAnsi="Arial" w:cs="Arial"/>
                <w:lang w:val="en-GB"/>
              </w:rPr>
              <w:t>. Oxford: Wiley-Blackwell.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14269231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BC4A742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B60758" w14:paraId="5AC10113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40BD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5599D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i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Lovegrove, J.A., Hodson, L., Sharma, S. &amp; Lanham-New, S.A. (2015) </w:t>
            </w:r>
            <w:r>
              <w:rPr>
                <w:rFonts w:ascii="Arial" w:hAnsi="Arial" w:cs="Arial"/>
                <w:i/>
                <w:lang w:val="en-GB"/>
              </w:rPr>
              <w:t xml:space="preserve">Nutrition Research Methodologies. </w:t>
            </w:r>
            <w:r>
              <w:rPr>
                <w:rFonts w:ascii="Arial" w:hAnsi="Arial" w:cs="Arial"/>
                <w:lang w:val="en-GB"/>
              </w:rPr>
              <w:t>Chichester: Wiley Blackwell.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79806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2BDCC4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B60758" w14:paraId="2F372890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26BF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235FE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Mann, J. &amp; Truswell, A.S. (2017) </w:t>
            </w:r>
            <w:r>
              <w:rPr>
                <w:rFonts w:ascii="Arial" w:hAnsi="Arial" w:cs="Arial"/>
                <w:i/>
                <w:lang w:val="en-GB"/>
              </w:rPr>
              <w:t>Essentials of Human Nutrition</w:t>
            </w:r>
            <w:r>
              <w:rPr>
                <w:rFonts w:ascii="Arial" w:hAnsi="Arial" w:cs="Arial"/>
                <w:lang w:val="en-GB"/>
              </w:rPr>
              <w:t>. 4</w:t>
            </w:r>
            <w:r>
              <w:rPr>
                <w:rFonts w:ascii="Arial" w:hAnsi="Arial" w:cs="Arial"/>
                <w:vertAlign w:val="superscript"/>
                <w:lang w:val="en-GB"/>
              </w:rPr>
              <w:t>th</w:t>
            </w:r>
            <w:r>
              <w:rPr>
                <w:rFonts w:ascii="Arial" w:hAnsi="Arial" w:cs="Arial"/>
                <w:lang w:val="en-GB"/>
              </w:rPr>
              <w:t xml:space="preserve"> Ed. Oxford: Oxford University Press.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355738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DDE2B7C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B60758" w14:paraId="006B5942" w14:textId="77777777" w:rsidTr="00C35C26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BE118" w14:textId="77777777" w:rsidR="00B60758" w:rsidRDefault="00B60758" w:rsidP="00C35C2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4C2E" w14:textId="77777777" w:rsidR="00B60758" w:rsidRDefault="00B60758" w:rsidP="00C35C26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Whitney, E.N. &amp; Rolfes, S.R. (2015) </w:t>
            </w:r>
            <w:r>
              <w:rPr>
                <w:rFonts w:ascii="Arial" w:hAnsi="Arial" w:cs="Arial"/>
                <w:i/>
                <w:lang w:val="en-GB"/>
              </w:rPr>
              <w:t>Understanding Nutrition</w:t>
            </w:r>
            <w:r>
              <w:rPr>
                <w:rFonts w:ascii="Arial" w:hAnsi="Arial" w:cs="Arial"/>
                <w:lang w:val="en-GB"/>
              </w:rPr>
              <w:t>. 14</w:t>
            </w:r>
            <w:r>
              <w:rPr>
                <w:rFonts w:ascii="Arial" w:hAnsi="Arial" w:cs="Arial"/>
                <w:vertAlign w:val="superscript"/>
                <w:lang w:val="en-GB"/>
              </w:rPr>
              <w:t>th</w:t>
            </w:r>
            <w:r>
              <w:rPr>
                <w:rFonts w:ascii="Arial" w:hAnsi="Arial" w:cs="Arial"/>
                <w:lang w:val="en-GB"/>
              </w:rPr>
              <w:t xml:space="preserve"> Ed. Belmont, CA: Wadsworth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13006841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152614A" w14:textId="77777777" w:rsidR="00B60758" w:rsidRDefault="00B60758" w:rsidP="00C35C26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</w:tbl>
    <w:p w14:paraId="314BF8BE" w14:textId="77777777" w:rsidR="00B60758" w:rsidRDefault="00B60758" w:rsidP="00B60758">
      <w:pPr>
        <w:spacing w:after="0" w:line="240" w:lineRule="auto"/>
      </w:pPr>
    </w:p>
    <w:p w14:paraId="4A925A9B" w14:textId="77777777" w:rsidR="00B60758" w:rsidRDefault="00B60758" w:rsidP="00B60758">
      <w:pPr>
        <w:spacing w:after="0" w:line="240" w:lineRule="auto"/>
        <w:rPr>
          <w:rFonts w:ascii="Arial" w:hAnsi="Arial" w:cs="Arial"/>
        </w:rPr>
      </w:pPr>
    </w:p>
    <w:p w14:paraId="6BAAB985" w14:textId="77777777" w:rsidR="00B60758" w:rsidRDefault="00B60758" w:rsidP="00B60758">
      <w:pPr>
        <w:spacing w:after="0" w:line="240" w:lineRule="auto"/>
        <w:rPr>
          <w:rFonts w:ascii="Arial" w:hAnsi="Arial" w:cs="Arial"/>
        </w:rPr>
      </w:pPr>
    </w:p>
    <w:p w14:paraId="0F9C174F" w14:textId="77777777" w:rsidR="00B60758" w:rsidRDefault="00B60758" w:rsidP="00B60758">
      <w:pPr>
        <w:spacing w:after="0" w:line="240" w:lineRule="auto"/>
        <w:rPr>
          <w:rFonts w:ascii="Arial" w:hAnsi="Arial" w:cs="Arial"/>
        </w:rPr>
      </w:pPr>
    </w:p>
    <w:p w14:paraId="7236EC11" w14:textId="77777777" w:rsidR="00B60758" w:rsidRDefault="00B60758" w:rsidP="00B60758">
      <w:pPr>
        <w:spacing w:after="0" w:line="240" w:lineRule="auto"/>
        <w:rPr>
          <w:rFonts w:ascii="Arial" w:hAnsi="Arial" w:cs="Arial"/>
        </w:rPr>
      </w:pPr>
    </w:p>
    <w:p w14:paraId="400B351F" w14:textId="77777777" w:rsidR="00B60758" w:rsidRDefault="00B60758" w:rsidP="00B60758">
      <w:pPr>
        <w:spacing w:after="0" w:line="240" w:lineRule="auto"/>
        <w:rPr>
          <w:rFonts w:ascii="Arial" w:hAnsi="Arial" w:cs="Arial"/>
        </w:rPr>
      </w:pPr>
    </w:p>
    <w:p w14:paraId="0901C44D" w14:textId="77777777" w:rsidR="00B60758" w:rsidRDefault="00B60758" w:rsidP="00B60758">
      <w:pPr>
        <w:spacing w:after="0" w:line="240" w:lineRule="auto"/>
        <w:rPr>
          <w:rFonts w:ascii="Arial" w:hAnsi="Arial" w:cs="Arial"/>
        </w:rPr>
      </w:pPr>
    </w:p>
    <w:p w14:paraId="7243FBF4" w14:textId="77777777" w:rsidR="00B60758" w:rsidRDefault="00B60758"/>
    <w:sectPr w:rsidR="00B607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44E1B"/>
    <w:multiLevelType w:val="hybridMultilevel"/>
    <w:tmpl w:val="41248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97379"/>
    <w:multiLevelType w:val="hybridMultilevel"/>
    <w:tmpl w:val="1A1C0A28"/>
    <w:lvl w:ilvl="0" w:tplc="08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D910316"/>
    <w:multiLevelType w:val="hybridMultilevel"/>
    <w:tmpl w:val="3578C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758"/>
    <w:rsid w:val="00B6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42431"/>
  <w15:chartTrackingRefBased/>
  <w15:docId w15:val="{5B0B945F-DED2-44FA-A52B-1F10FA3B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75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60758"/>
    <w:pPr>
      <w:ind w:left="720"/>
      <w:contextualSpacing/>
    </w:pPr>
  </w:style>
  <w:style w:type="table" w:styleId="TableGrid">
    <w:name w:val="Table Grid"/>
    <w:basedOn w:val="TableNormal"/>
    <w:uiPriority w:val="59"/>
    <w:rsid w:val="00B607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B6075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B60758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B6075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B60758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B60758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3643</Characters>
  <Application>Microsoft Office Word</Application>
  <DocSecurity>0</DocSecurity>
  <Lines>30</Lines>
  <Paragraphs>8</Paragraphs>
  <ScaleCrop>false</ScaleCrop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2020-07-03T09:26:00Z</dcterms:created>
  <dcterms:modified xsi:type="dcterms:W3CDTF">2020-07-03T09:27:00Z</dcterms:modified>
</cp:coreProperties>
</file>