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numbering+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tabs>
          <w:tab w:val="center" w:pos="4680" w:leader="none"/>
          <w:tab w:val="right" w:pos="9360" w:leader="none"/>
        </w:tabs>
        <w:spacing w:before="0" w:after="0" w:line="240"/>
        <w:ind w:right="0" w:left="0" w:firstLine="0"/>
        <w:jc w:val="right"/>
        <w:rPr>
          <w:rFonts w:ascii="Arial" w:hAnsi="Arial" w:cs="Arial" w:eastAsia="Arial"/>
          <w:b/>
          <w:color w:val="auto"/>
          <w:spacing w:val="0"/>
          <w:position w:val="0"/>
          <w:sz w:val="28"/>
          <w:shd w:fill="auto" w:val="clear"/>
        </w:rPr>
      </w:pPr>
      <w:r>
        <w:object w:dxaOrig="4104" w:dyaOrig="1641">
          <v:rect xmlns:o="urn:schemas-microsoft-com:office:office" xmlns:v="urn:schemas-microsoft-com:vml" id="rectole0000000000" style="width:205.200000pt;height:82.0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Arial" w:hAnsi="Arial" w:cs="Arial" w:eastAsia="Arial"/>
          <w:color w:val="auto"/>
          <w:spacing w:val="0"/>
          <w:position w:val="0"/>
          <w:sz w:val="22"/>
          <w:shd w:fill="auto" w:val="clear"/>
        </w:rPr>
        <w:t xml:space="preserve"> </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center"/>
        <w:rPr>
          <w:rFonts w:ascii="Arial" w:hAnsi="Arial" w:cs="Arial" w:eastAsia="Arial"/>
          <w:b/>
          <w:i/>
          <w:color w:val="auto"/>
          <w:spacing w:val="0"/>
          <w:position w:val="0"/>
          <w:sz w:val="32"/>
          <w:shd w:fill="auto" w:val="clear"/>
        </w:rPr>
      </w:pPr>
    </w:p>
    <w:tbl>
      <w:tblPr/>
      <w:tblGrid>
        <w:gridCol w:w="2093"/>
        <w:gridCol w:w="3293"/>
        <w:gridCol w:w="4536"/>
      </w:tblGrid>
      <w:tr>
        <w:trPr>
          <w:trHeight w:val="1" w:hRule="atLeast"/>
          <w:jc w:val="center"/>
        </w:trPr>
        <w:tc>
          <w:tcPr>
            <w:tcW w:w="20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Programme:</w:t>
            </w:r>
          </w:p>
        </w:tc>
        <w:tc>
          <w:tcPr>
            <w:tcW w:w="7829"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BA (Hons) Leadership and Management Skills for the Workplace   </w:t>
            </w:r>
          </w:p>
        </w:tc>
      </w:tr>
      <w:tr>
        <w:trPr>
          <w:trHeight w:val="1" w:hRule="atLeast"/>
          <w:jc w:val="center"/>
        </w:trPr>
        <w:tc>
          <w:tcPr>
            <w:tcW w:w="20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Module:</w:t>
            </w:r>
          </w:p>
        </w:tc>
        <w:tc>
          <w:tcPr>
            <w:tcW w:w="7829"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Strategic Management for Business</w:t>
            </w:r>
          </w:p>
        </w:tc>
      </w:tr>
      <w:tr>
        <w:trPr>
          <w:trHeight w:val="1" w:hRule="atLeast"/>
          <w:jc w:val="center"/>
        </w:trPr>
        <w:tc>
          <w:tcPr>
            <w:tcW w:w="20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Module code:</w:t>
            </w:r>
          </w:p>
        </w:tc>
        <w:tc>
          <w:tcPr>
            <w:tcW w:w="32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LCLM  6001</w:t>
            </w:r>
          </w:p>
        </w:tc>
      </w:tr>
    </w:tbl>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Student ID- 2312911</w:t>
      </w:r>
    </w:p>
    <w:p>
      <w:pPr>
        <w:spacing w:before="0" w:after="160" w:line="259"/>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Name- Desislava Dimitrova</w:t>
      </w:r>
    </w:p>
    <w:p>
      <w:pPr>
        <w:spacing w:before="0" w:after="160" w:line="259"/>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 </w:t>
      </w:r>
    </w:p>
    <w:p>
      <w:pPr>
        <w:spacing w:before="0" w:after="160" w:line="259"/>
        <w:ind w:right="0" w:left="0" w:firstLine="0"/>
        <w:jc w:val="left"/>
        <w:rPr>
          <w:rFonts w:ascii="Arial" w:hAnsi="Arial" w:cs="Arial" w:eastAsia="Arial"/>
          <w:b/>
          <w:color w:val="auto"/>
          <w:spacing w:val="0"/>
          <w:position w:val="0"/>
          <w:sz w:val="32"/>
          <w:shd w:fill="auto" w:val="clear"/>
        </w:rPr>
      </w:pPr>
    </w:p>
    <w:p>
      <w:pPr>
        <w:spacing w:before="0" w:after="160" w:line="360"/>
        <w:ind w:right="0" w:left="0" w:firstLine="0"/>
        <w:jc w:val="both"/>
        <w:rPr>
          <w:rFonts w:ascii="Arial" w:hAnsi="Arial" w:cs="Arial" w:eastAsia="Arial"/>
          <w:color w:val="auto"/>
          <w:spacing w:val="0"/>
          <w:position w:val="0"/>
          <w:sz w:val="32"/>
          <w:shd w:fill="auto" w:val="clear"/>
        </w:rPr>
      </w:pPr>
      <w:r>
        <w:rPr>
          <w:rFonts w:ascii="Arial" w:hAnsi="Arial" w:cs="Arial" w:eastAsia="Arial"/>
          <w:b/>
          <w:color w:val="auto"/>
          <w:spacing w:val="0"/>
          <w:position w:val="0"/>
          <w:sz w:val="32"/>
          <w:shd w:fill="auto" w:val="clear"/>
        </w:rPr>
        <w:t xml:space="preserve">Executive Summary</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report provides a critical analysis of the strategic direction and positioning of Innocent Drinks Ltd, one of the major SMEs in the UK, focusing on natural fruit smoothies and juices. The company has been recognised for its commitment to sustainability, innovation, and ethics in the fast-moving consumer goods (FMCG) industry. The paper critically assesses the current mission, vision and strategic objectives of Innocent and analyses its internal and external environment on the basis of the recognised tools of analysis, namely SWOT, PESTEL, Porter's Five Forces and Value Chain model. The initial part of the report will concentrate on the strategic orientation and internal analysis of Innocent, which can be discussed as the unique capabilities, brand strength and organisational culture as success factors. Part 2 will discuss external challenges and will consider strategic growth opportunities through Porter's Generic Strategies, Ansoff Matrix and Bowman's Clock and the stakeholder analysis to develop sustainable, long-term strategies. The results show that although Innocent still has a good ethical and market reputation, rising competition, sustainability and supply chain risks ensure that strategic innovation and diversification are important to maintain further growth and sustainability in an unstable international market.</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259"/>
        <w:ind w:right="0" w:left="0" w:firstLine="0"/>
        <w:jc w:val="left"/>
        <w:rPr>
          <w:rFonts w:ascii="Arial" w:hAnsi="Arial" w:cs="Arial" w:eastAsia="Arial"/>
          <w:b/>
          <w:color w:val="auto"/>
          <w:spacing w:val="0"/>
          <w:position w:val="0"/>
          <w:sz w:val="32"/>
          <w:shd w:fill="auto" w:val="clear"/>
        </w:rPr>
      </w:pPr>
    </w:p>
    <w:p>
      <w:pPr>
        <w:spacing w:before="0" w:after="160" w:line="36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1. Introduction to Innocent Drinks Ltd</w:t>
      </w:r>
    </w:p>
    <w:p>
      <w:pPr>
        <w:spacing w:before="0" w:after="160" w:line="360"/>
        <w:ind w:right="0" w:left="0" w:firstLine="0"/>
        <w:jc w:val="center"/>
        <w:rPr>
          <w:rFonts w:ascii="Arial" w:hAnsi="Arial" w:cs="Arial" w:eastAsia="Arial"/>
          <w:color w:val="auto"/>
          <w:spacing w:val="0"/>
          <w:position w:val="0"/>
          <w:sz w:val="22"/>
          <w:shd w:fill="auto" w:val="clear"/>
        </w:rPr>
      </w:pPr>
      <w:r>
        <w:object w:dxaOrig="5797" w:dyaOrig="3042">
          <v:rect xmlns:o="urn:schemas-microsoft-com:office:office" xmlns:v="urn:schemas-microsoft-com:vml" id="rectole0000000001" style="width:289.850000pt;height:152.1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360"/>
        <w:ind w:right="0" w:left="0" w:firstLine="0"/>
        <w:jc w:val="center"/>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Figure 1: Innocent Drinks (Source: Innocent Drinks, 2025)</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Innocent Drinks Ltd is a company that was established in 1999 in London by three Cambridge graduates who had the mission of providing healthy, natural and environmentally friendly fruit beverages. The company was first premiered in a music festival, and the movement of its expansion is a classic example of a successful entrepreneurial business move in the UK FMCG market. Since that time, it has risen to be one of the most popular smoothie brands in the UK, and it exports to more than 15 European countries. Innocent is a socially responsible small business that has been recognised to be sustainability-driven, through ethical sourcing, and community-oriented (Innocent Drinks, 2025). Its brands are smoothies, juices, coconut water, dairy-free milk and energy drinks, and all are advertised with the slogan of tastes good, does good.</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business model of the company lies in the creation of high-quality drinks out of 100% natural components with no artificial additions or preservatives, and being sold at a relatively high price compared to mainstream products (</w:t>
      </w:r>
      <w:r>
        <w:rPr>
          <w:rFonts w:ascii="Arial" w:hAnsi="Arial" w:cs="Arial" w:eastAsia="Arial"/>
          <w:color w:val="auto"/>
          <w:spacing w:val="0"/>
          <w:position w:val="0"/>
          <w:sz w:val="22"/>
          <w:shd w:fill="FFFFFF" w:val="clear"/>
        </w:rPr>
        <w:t xml:space="preserve">Koerniawan, 2024</w:t>
      </w:r>
      <w:r>
        <w:rPr>
          <w:rFonts w:ascii="Arial" w:hAnsi="Arial" w:cs="Arial" w:eastAsia="Arial"/>
          <w:color w:val="auto"/>
          <w:spacing w:val="0"/>
          <w:position w:val="0"/>
          <w:sz w:val="22"/>
          <w:shd w:fill="auto" w:val="clear"/>
        </w:rPr>
        <w:t xml:space="preserve">). The model focuses on health-conscious consumers, who appreciate ethical consumption - an emerging trend in the beverage industry in the UK. Innocent still runs its own business as it still enjoys its own SME culture, governance, and brand philosophy, although Coca-Cola bought a majority share in 2013. It operates out of its London headquarters and its London Fruit Towers, which symbolise the creative, employee-friendly culture in the company. The values of innovation, sustainability, and people-centricity enable the firm to be able to compete with much bigger companies in the FMCG industry.</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259"/>
        <w:ind w:right="0" w:left="0" w:firstLine="0"/>
        <w:jc w:val="left"/>
        <w:rPr>
          <w:rFonts w:ascii="Arial" w:hAnsi="Arial" w:cs="Arial" w:eastAsia="Arial"/>
          <w:b/>
          <w:color w:val="auto"/>
          <w:spacing w:val="0"/>
          <w:position w:val="0"/>
          <w:sz w:val="32"/>
          <w:shd w:fill="auto" w:val="clear"/>
        </w:rPr>
      </w:pPr>
    </w:p>
    <w:p>
      <w:pPr>
        <w:spacing w:before="0" w:after="160" w:line="36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2. Appraisal of the Current Strategic Direction and Goals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Strategic direction determines the way an organisation aligns itself to meet long-term goals within the philosophy and mission of the organisation. The strategic direction of Innocent Drinks can be accessed in terms of its vision, mission, and goals, which, combined, help to assess its development and competitiveness.</w:t>
      </w:r>
    </w:p>
    <w:p>
      <w:pPr>
        <w:spacing w:before="0" w:after="16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2.1 Vision and Mission</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Vision Statement:</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make natural, delicious food and drink that helps people live well and die old.”</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Mission Statement:</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make natural, healthy drinks that taste good and do good for the planet.”</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Such declarations are an indication of the dual, health and sustainability commitment of Innocent, making the corporate social responsibility (CSR) central to the strategy. The mission is consistent with the idea of Porter and Kramer's Creating Shared Value (CSV), which creates economic success through social and environmental impact. Its strategic philosophy is based on long-term sustainability rather than short-term profit maximisation of Innocent. The company presents itself as a purpose-based SME that encompasses corporate ethics in all its business activities, including ingredient sourcing, packaging and social responsibility (</w:t>
      </w:r>
      <w:r>
        <w:rPr>
          <w:rFonts w:ascii="Arial" w:hAnsi="Arial" w:cs="Arial" w:eastAsia="Arial"/>
          <w:color w:val="auto"/>
          <w:spacing w:val="0"/>
          <w:position w:val="0"/>
          <w:sz w:val="22"/>
          <w:shd w:fill="FFFFFF" w:val="clear"/>
        </w:rPr>
        <w:t xml:space="preserve">Hope and Laasch, 2024</w:t>
      </w:r>
      <w:r>
        <w:rPr>
          <w:rFonts w:ascii="Arial" w:hAnsi="Arial" w:cs="Arial" w:eastAsia="Arial"/>
          <w:color w:val="auto"/>
          <w:spacing w:val="0"/>
          <w:position w:val="0"/>
          <w:sz w:val="22"/>
          <w:shd w:fill="auto" w:val="clear"/>
        </w:rPr>
        <w:t xml:space="preserve">). Such a value-based pricing strategy is what distinguishes Innocent in a competitive beverage market where cost-based multinational companies dominate.</w:t>
      </w:r>
    </w:p>
    <w:p>
      <w:pPr>
        <w:spacing w:before="0" w:after="16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2.2 Strategic Objectives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corporate goals of Innocent are consistent with the UN Sustainable Development Goals (SDGs) and its sustainability agenda in general. The key objectives include:</w:t>
      </w:r>
    </w:p>
    <w:p>
      <w:pPr>
        <w:numPr>
          <w:ilvl w:val="0"/>
          <w:numId w:val="23"/>
        </w:numPr>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100% recyclable packaging</w:t>
      </w:r>
      <w:r>
        <w:rPr>
          <w:rFonts w:ascii="Arial" w:hAnsi="Arial" w:cs="Arial" w:eastAsia="Arial"/>
          <w:color w:val="auto"/>
          <w:spacing w:val="0"/>
          <w:position w:val="0"/>
          <w:sz w:val="22"/>
          <w:shd w:fill="auto" w:val="clear"/>
        </w:rPr>
        <w:t xml:space="preserve"> by 2025.</w:t>
      </w:r>
    </w:p>
    <w:p>
      <w:pPr>
        <w:numPr>
          <w:ilvl w:val="0"/>
          <w:numId w:val="23"/>
        </w:numPr>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Net-zero carbon emissions</w:t>
      </w:r>
      <w:r>
        <w:rPr>
          <w:rFonts w:ascii="Arial" w:hAnsi="Arial" w:cs="Arial" w:eastAsia="Arial"/>
          <w:color w:val="auto"/>
          <w:spacing w:val="0"/>
          <w:position w:val="0"/>
          <w:sz w:val="22"/>
          <w:shd w:fill="auto" w:val="clear"/>
        </w:rPr>
        <w:t xml:space="preserve"> across the supply chain by 2040.</w:t>
      </w:r>
    </w:p>
    <w:p>
      <w:pPr>
        <w:numPr>
          <w:ilvl w:val="0"/>
          <w:numId w:val="23"/>
        </w:numPr>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Expansion into European markets</w:t>
      </w:r>
      <w:r>
        <w:rPr>
          <w:rFonts w:ascii="Arial" w:hAnsi="Arial" w:cs="Arial" w:eastAsia="Arial"/>
          <w:color w:val="auto"/>
          <w:spacing w:val="0"/>
          <w:position w:val="0"/>
          <w:sz w:val="22"/>
          <w:shd w:fill="auto" w:val="clear"/>
        </w:rPr>
        <w:t xml:space="preserve"> while maintaining product quality and brand integrity.</w:t>
      </w:r>
    </w:p>
    <w:p>
      <w:pPr>
        <w:numPr>
          <w:ilvl w:val="0"/>
          <w:numId w:val="23"/>
        </w:numPr>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Continuous innovation</w:t>
      </w:r>
      <w:r>
        <w:rPr>
          <w:rFonts w:ascii="Arial" w:hAnsi="Arial" w:cs="Arial" w:eastAsia="Arial"/>
          <w:color w:val="auto"/>
          <w:spacing w:val="0"/>
          <w:position w:val="0"/>
          <w:sz w:val="22"/>
          <w:shd w:fill="auto" w:val="clear"/>
        </w:rPr>
        <w:t xml:space="preserve"> in plant-based and functional beverages (</w:t>
      </w:r>
      <w:r>
        <w:rPr>
          <w:rFonts w:ascii="Arial" w:hAnsi="Arial" w:cs="Arial" w:eastAsia="Arial"/>
          <w:color w:val="auto"/>
          <w:spacing w:val="0"/>
          <w:position w:val="0"/>
          <w:sz w:val="22"/>
          <w:shd w:fill="FFFFFF" w:val="clear"/>
        </w:rPr>
        <w:t xml:space="preserve">Chia and Mackay, 2023</w:t>
      </w:r>
      <w:r>
        <w:rPr>
          <w:rFonts w:ascii="Arial" w:hAnsi="Arial" w:cs="Arial" w:eastAsia="Arial"/>
          <w:color w:val="auto"/>
          <w:spacing w:val="0"/>
          <w:position w:val="0"/>
          <w:sz w:val="22"/>
          <w:shd w:fill="auto" w:val="clear"/>
        </w:rPr>
        <w:t xml:space="preserve">).</w:t>
      </w:r>
    </w:p>
    <w:p>
      <w:pPr>
        <w:numPr>
          <w:ilvl w:val="0"/>
          <w:numId w:val="23"/>
        </w:numPr>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Employee well-being and inclusive workplace culture.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These targets show a balanced sensitivity towards financial performance, environmental responsibility and social equity in line with the Triple Bottom Line model.</w:t>
      </w:r>
    </w:p>
    <w:p>
      <w:pPr>
        <w:spacing w:before="0" w:after="16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2.3 Evaluation of Strategic Direction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strategic direction of Innocent shows consistency in purpose, vision, and operational actions, which is a significant requirement in the Strategy Model. Its conformity to sustainability and ethical principles gives it competitive differentiation as well as consumer trust. Nonetheless, the success of the strategy is a factor of whether such values can be mapped into valuable, rare, inimitable, and non-substitutable (VRIN) resources. In the case of Innocent, the brand reputation and culture of ethics are being satisfied with these VRIN needs, but can be replicated by rivals as sustainability turns into a trend. In addition, the dependence on imported fruits and high prices may limit the ability of Innocent to scale in cost-sensitive markets (</w:t>
      </w:r>
      <w:r>
        <w:rPr>
          <w:rFonts w:ascii="Arial" w:hAnsi="Arial" w:cs="Arial" w:eastAsia="Arial"/>
          <w:color w:val="auto"/>
          <w:spacing w:val="0"/>
          <w:position w:val="0"/>
          <w:sz w:val="22"/>
          <w:shd w:fill="FFFFFF" w:val="clear"/>
        </w:rPr>
        <w:t xml:space="preserve">Bower, 2022</w:t>
      </w:r>
      <w:r>
        <w:rPr>
          <w:rFonts w:ascii="Arial" w:hAnsi="Arial" w:cs="Arial" w:eastAsia="Arial"/>
          <w:color w:val="auto"/>
          <w:spacing w:val="0"/>
          <w:position w:val="0"/>
          <w:sz w:val="22"/>
          <w:shd w:fill="auto" w:val="clear"/>
        </w:rPr>
        <w:t xml:space="preserve">). Therefore, although the mission-driven approach is strong in the mature markets such as the UK, global competitiveness will have to be supported by diversification and innovativeness in operations.</w:t>
      </w:r>
    </w:p>
    <w:p>
      <w:pPr>
        <w:spacing w:before="0" w:after="160" w:line="36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3. Environmental Scan: Internal Analysis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overall environmental analysis helps firms to know their internal strengths and weaknesses, external opportunities, and threats. This part will analyse the internal environment of Innocent based on the SWOT and Value Chain Analysis.</w:t>
      </w:r>
    </w:p>
    <w:p>
      <w:pPr>
        <w:spacing w:before="0" w:after="16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3.1 SWOT Analysis</w:t>
      </w:r>
    </w:p>
    <w:tbl>
      <w:tblPr/>
      <w:tblGrid>
        <w:gridCol w:w="4897"/>
        <w:gridCol w:w="4453"/>
      </w:tblGrid>
      <w:tr>
        <w:trPr>
          <w:trHeight w:val="1" w:hRule="atLeast"/>
          <w:jc w:val="left"/>
        </w:trPr>
        <w:tc>
          <w:tcPr>
            <w:tcW w:w="4897" w:type="dxa"/>
            <w:tcBorders>
              <w:top w:val="single" w:color="000000" w:sz="4"/>
              <w:left w:val="single" w:color="000000" w:sz="4"/>
              <w:bottom w:val="single" w:color="000000" w:sz="4"/>
              <w:right w:val="single" w:color="000000" w:sz="4"/>
            </w:tcBorders>
            <w:shd w:color="auto" w:fill="e7e6e6"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Strengths</w:t>
            </w:r>
          </w:p>
        </w:tc>
        <w:tc>
          <w:tcPr>
            <w:tcW w:w="4453" w:type="dxa"/>
            <w:tcBorders>
              <w:top w:val="single" w:color="000000" w:sz="4"/>
              <w:left w:val="single" w:color="000000" w:sz="4"/>
              <w:bottom w:val="single" w:color="000000" w:sz="4"/>
              <w:right w:val="single" w:color="000000" w:sz="4"/>
            </w:tcBorders>
            <w:shd w:color="auto" w:fill="e7e6e6"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Weaknesses</w:t>
            </w:r>
          </w:p>
        </w:tc>
      </w:tr>
      <w:tr>
        <w:trPr>
          <w:trHeight w:val="1" w:hRule="atLeast"/>
          <w:jc w:val="left"/>
        </w:trPr>
        <w:tc>
          <w:tcPr>
            <w:tcW w:w="48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Strong brand identity associated with ethics and sustainability.</w:t>
            </w:r>
          </w:p>
        </w:tc>
        <w:tc>
          <w:tcPr>
            <w:tcW w:w="44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Premium pricing limits affordability and market reach.</w:t>
            </w:r>
          </w:p>
        </w:tc>
      </w:tr>
      <w:tr>
        <w:trPr>
          <w:trHeight w:val="1" w:hRule="atLeast"/>
          <w:jc w:val="left"/>
        </w:trPr>
        <w:tc>
          <w:tcPr>
            <w:tcW w:w="48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Loyal customer base among health-conscious consumers.</w:t>
            </w:r>
          </w:p>
        </w:tc>
        <w:tc>
          <w:tcPr>
            <w:tcW w:w="44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Heavy reliance on imported raw materials (fruits).</w:t>
            </w:r>
          </w:p>
        </w:tc>
      </w:tr>
      <w:tr>
        <w:trPr>
          <w:trHeight w:val="1" w:hRule="atLeast"/>
          <w:jc w:val="left"/>
        </w:trPr>
        <w:tc>
          <w:tcPr>
            <w:tcW w:w="48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Innovative and diversified product portfolio.</w:t>
            </w:r>
          </w:p>
        </w:tc>
        <w:tc>
          <w:tcPr>
            <w:tcW w:w="44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Limited economies of scale compared to global competitors.</w:t>
            </w:r>
          </w:p>
        </w:tc>
      </w:tr>
      <w:tr>
        <w:trPr>
          <w:trHeight w:val="1" w:hRule="atLeast"/>
          <w:jc w:val="left"/>
        </w:trPr>
        <w:tc>
          <w:tcPr>
            <w:tcW w:w="48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Recognised as a certified B Corporation (verified social/environmental standards).</w:t>
            </w:r>
          </w:p>
        </w:tc>
        <w:tc>
          <w:tcPr>
            <w:tcW w:w="44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Dependence on UK and EU markets; limited global penetration.</w:t>
            </w:r>
          </w:p>
        </w:tc>
      </w:tr>
      <w:tr>
        <w:trPr>
          <w:trHeight w:val="1" w:hRule="atLeast"/>
          <w:jc w:val="left"/>
        </w:trPr>
        <w:tc>
          <w:tcPr>
            <w:tcW w:w="48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Strong organisational culture promoting creativity and employee engagement.</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c>
          <w:tcPr>
            <w:tcW w:w="44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Vulnerability to fluctuating agricultural and logistics costs.</w:t>
            </w:r>
          </w:p>
        </w:tc>
      </w:tr>
      <w:tr>
        <w:trPr>
          <w:trHeight w:val="1" w:hRule="atLeast"/>
          <w:jc w:val="left"/>
        </w:trPr>
        <w:tc>
          <w:tcPr>
            <w:tcW w:w="4897" w:type="dxa"/>
            <w:tcBorders>
              <w:top w:val="single" w:color="000000" w:sz="4"/>
              <w:left w:val="single" w:color="000000" w:sz="4"/>
              <w:bottom w:val="single" w:color="000000" w:sz="4"/>
              <w:right w:val="single" w:color="000000" w:sz="4"/>
            </w:tcBorders>
            <w:shd w:color="auto" w:fill="e7e6e6"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Opportunities</w:t>
            </w:r>
          </w:p>
        </w:tc>
        <w:tc>
          <w:tcPr>
            <w:tcW w:w="4453" w:type="dxa"/>
            <w:tcBorders>
              <w:top w:val="single" w:color="000000" w:sz="4"/>
              <w:left w:val="single" w:color="000000" w:sz="4"/>
              <w:bottom w:val="single" w:color="000000" w:sz="4"/>
              <w:right w:val="single" w:color="000000" w:sz="4"/>
            </w:tcBorders>
            <w:shd w:color="auto" w:fill="e7e6e6"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Threats</w:t>
            </w:r>
          </w:p>
        </w:tc>
      </w:tr>
      <w:tr>
        <w:trPr>
          <w:trHeight w:val="1" w:hRule="atLeast"/>
          <w:jc w:val="left"/>
        </w:trPr>
        <w:tc>
          <w:tcPr>
            <w:tcW w:w="48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Rising consumer demand for plant-based and low-sugar drinks.</w:t>
            </w:r>
          </w:p>
        </w:tc>
        <w:tc>
          <w:tcPr>
            <w:tcW w:w="44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Intense competition from both SMEs and large brands (e.g., Naked, Tropicana).</w:t>
            </w:r>
          </w:p>
        </w:tc>
      </w:tr>
      <w:tr>
        <w:trPr>
          <w:trHeight w:val="1" w:hRule="atLeast"/>
          <w:jc w:val="left"/>
        </w:trPr>
        <w:tc>
          <w:tcPr>
            <w:tcW w:w="48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Expansion into emerging markets and e-commerce platforms.</w:t>
            </w:r>
          </w:p>
        </w:tc>
        <w:tc>
          <w:tcPr>
            <w:tcW w:w="44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Climate change is affecting fruit supply chains.</w:t>
            </w:r>
          </w:p>
        </w:tc>
      </w:tr>
      <w:tr>
        <w:trPr>
          <w:trHeight w:val="1" w:hRule="atLeast"/>
          <w:jc w:val="left"/>
        </w:trPr>
        <w:tc>
          <w:tcPr>
            <w:tcW w:w="48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Technological advances in sustainable packaging.</w:t>
            </w:r>
          </w:p>
        </w:tc>
        <w:tc>
          <w:tcPr>
            <w:tcW w:w="44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Economic uncertainty and inflation in the UK post-Brexit.</w:t>
            </w:r>
          </w:p>
        </w:tc>
      </w:tr>
      <w:tr>
        <w:trPr>
          <w:trHeight w:val="1" w:hRule="atLeast"/>
          <w:jc w:val="left"/>
        </w:trPr>
        <w:tc>
          <w:tcPr>
            <w:tcW w:w="48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Partnerships with retailers for health-focused beverage lines.</w:t>
            </w:r>
          </w:p>
        </w:tc>
        <w:tc>
          <w:tcPr>
            <w:tcW w:w="445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Risk of greenwashing backlash if sustainability claims are not substantiated.</w:t>
            </w:r>
          </w:p>
        </w:tc>
      </w:tr>
    </w:tbl>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SWOT analysis shows that Innocent has good internal strength and brand strength, which is countered with cost pressures and external market unpredictability. Sustainability story is one of the main strategic advantages of the company, but operational resilience and diversification of the supply chain should be strengthened.</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259"/>
        <w:ind w:right="0" w:left="0" w:firstLine="0"/>
        <w:jc w:val="left"/>
        <w:rPr>
          <w:rFonts w:ascii="Arial" w:hAnsi="Arial" w:cs="Arial" w:eastAsia="Arial"/>
          <w:b/>
          <w:color w:val="auto"/>
          <w:spacing w:val="0"/>
          <w:position w:val="0"/>
          <w:sz w:val="28"/>
          <w:shd w:fill="auto" w:val="clear"/>
        </w:rPr>
      </w:pPr>
    </w:p>
    <w:p>
      <w:pPr>
        <w:spacing w:before="0" w:after="16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3.2 Value Chain Analysis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competitive advantage of Innocent Drinks can also be interpreted with the help of Porter's Value Chain model, which breaks down activities where value is created during the production and delivery processes.</w:t>
      </w:r>
    </w:p>
    <w:p>
      <w:pPr>
        <w:spacing w:before="0" w:after="160" w:line="360"/>
        <w:ind w:right="0" w:left="0" w:firstLine="0"/>
        <w:jc w:val="center"/>
        <w:rPr>
          <w:rFonts w:ascii="Arial" w:hAnsi="Arial" w:cs="Arial" w:eastAsia="Arial"/>
          <w:color w:val="auto"/>
          <w:spacing w:val="0"/>
          <w:position w:val="0"/>
          <w:sz w:val="22"/>
          <w:shd w:fill="auto" w:val="clear"/>
        </w:rPr>
      </w:pPr>
      <w:r>
        <w:object w:dxaOrig="8607" w:dyaOrig="5702">
          <v:rect xmlns:o="urn:schemas-microsoft-com:office:office" xmlns:v="urn:schemas-microsoft-com:vml" id="rectole0000000002" style="width:430.350000pt;height:285.1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360"/>
        <w:ind w:right="0" w:left="0" w:firstLine="0"/>
        <w:jc w:val="center"/>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Figure 2: Value Chain model (Source: </w:t>
      </w:r>
      <w:r>
        <w:rPr>
          <w:rFonts w:ascii="Arial" w:hAnsi="Arial" w:cs="Arial" w:eastAsia="Arial"/>
          <w:i/>
          <w:color w:val="auto"/>
          <w:spacing w:val="0"/>
          <w:position w:val="0"/>
          <w:sz w:val="22"/>
          <w:shd w:fill="FFFFFF" w:val="clear"/>
        </w:rPr>
        <w:t xml:space="preserve">Farhang, 2022</w:t>
      </w:r>
      <w:r>
        <w:rPr>
          <w:rFonts w:ascii="Arial" w:hAnsi="Arial" w:cs="Arial" w:eastAsia="Arial"/>
          <w:i/>
          <w:color w:val="auto"/>
          <w:spacing w:val="0"/>
          <w:position w:val="0"/>
          <w:sz w:val="22"/>
          <w:shd w:fill="auto" w:val="clear"/>
        </w:rPr>
        <w:t xml:space="preserve">)</w:t>
      </w:r>
    </w:p>
    <w:p>
      <w:pPr>
        <w:spacing w:before="100" w:after="100" w:line="240"/>
        <w:ind w:right="0" w:left="0" w:firstLine="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Primary Activities: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Inbound Logistics: </w:t>
      </w:r>
      <w:r>
        <w:rPr>
          <w:rFonts w:ascii="Arial" w:hAnsi="Arial" w:cs="Arial" w:eastAsia="Arial"/>
          <w:color w:val="auto"/>
          <w:spacing w:val="0"/>
          <w:position w:val="0"/>
          <w:sz w:val="22"/>
          <w:shd w:fill="auto" w:val="clear"/>
        </w:rPr>
        <w:t xml:space="preserve">Innocent buys fresh fruits, supplied by international suppliers, with an emphasis on ethical and sustainable farming activities (</w:t>
      </w:r>
      <w:r>
        <w:rPr>
          <w:rFonts w:ascii="Arial" w:hAnsi="Arial" w:cs="Arial" w:eastAsia="Arial"/>
          <w:color w:val="auto"/>
          <w:spacing w:val="0"/>
          <w:position w:val="0"/>
          <w:sz w:val="22"/>
          <w:shd w:fill="FFFFFF" w:val="clear"/>
        </w:rPr>
        <w:t xml:space="preserve">Argenti, 2022</w:t>
      </w:r>
      <w:r>
        <w:rPr>
          <w:rFonts w:ascii="Arial" w:hAnsi="Arial" w:cs="Arial" w:eastAsia="Arial"/>
          <w:color w:val="auto"/>
          <w:spacing w:val="0"/>
          <w:position w:val="0"/>
          <w:sz w:val="22"/>
          <w:shd w:fill="auto" w:val="clear"/>
        </w:rPr>
        <w:t xml:space="preserve">). It's fair trading and low-carbon logistics improve brand credibility, but it face a greater risk of supply disruption because it has global sourcing.</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Operations: </w:t>
      </w:r>
      <w:r>
        <w:rPr>
          <w:rFonts w:ascii="Arial" w:hAnsi="Arial" w:cs="Arial" w:eastAsia="Arial"/>
          <w:color w:val="auto"/>
          <w:spacing w:val="0"/>
          <w:position w:val="0"/>
          <w:sz w:val="22"/>
          <w:shd w:fill="auto" w:val="clear"/>
        </w:rPr>
        <w:t xml:space="preserve">The production plants of the company located in Rotterdam are built in accordance with the principles of sustainability, such as the use of renewable energy, waste reduction. The process of automation and quality control guarantees the consistency of products and their safety.</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Outbound Logistics:</w:t>
      </w:r>
      <w:r>
        <w:rPr>
          <w:rFonts w:ascii="Arial" w:hAnsi="Arial" w:cs="Arial" w:eastAsia="Arial"/>
          <w:color w:val="auto"/>
          <w:spacing w:val="0"/>
          <w:position w:val="0"/>
          <w:sz w:val="22"/>
          <w:shd w:fill="auto" w:val="clear"/>
        </w:rPr>
        <w:t xml:space="preserve"> Good distribution via the supermarkets, online retailers and vending channels has made it very accessible in the market (</w:t>
      </w:r>
      <w:r>
        <w:rPr>
          <w:rFonts w:ascii="Arial" w:hAnsi="Arial" w:cs="Arial" w:eastAsia="Arial"/>
          <w:color w:val="auto"/>
          <w:spacing w:val="0"/>
          <w:position w:val="0"/>
          <w:sz w:val="22"/>
          <w:shd w:fill="FFFFFF" w:val="clear"/>
        </w:rPr>
        <w:t xml:space="preserve">Farhang, 2022</w:t>
      </w:r>
      <w:r>
        <w:rPr>
          <w:rFonts w:ascii="Arial" w:hAnsi="Arial" w:cs="Arial" w:eastAsia="Arial"/>
          <w:color w:val="auto"/>
          <w:spacing w:val="0"/>
          <w:position w:val="0"/>
          <w:sz w:val="22"/>
          <w:shd w:fill="auto" w:val="clear"/>
        </w:rPr>
        <w:t xml:space="preserve">). Alliances with Tesco, Sainsbury, and Waitrose avail of scale even in the SME status.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Marketing and Sales: </w:t>
      </w:r>
      <w:r>
        <w:rPr>
          <w:rFonts w:ascii="Arial" w:hAnsi="Arial" w:cs="Arial" w:eastAsia="Arial"/>
          <w:color w:val="auto"/>
          <w:spacing w:val="0"/>
          <w:position w:val="0"/>
          <w:sz w:val="22"/>
          <w:shd w:fill="auto" w:val="clear"/>
        </w:rPr>
        <w:t xml:space="preserve">The marketing at Innocent is humorous, transparent, and simple, which involves appealing to the feelings of the customers. Its packaging has an effective message on the values of the environment, which creates loyalty and trust in the brand.</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Service: </w:t>
      </w:r>
      <w:r>
        <w:rPr>
          <w:rFonts w:ascii="Arial" w:hAnsi="Arial" w:cs="Arial" w:eastAsia="Arial"/>
          <w:color w:val="auto"/>
          <w:spacing w:val="0"/>
          <w:position w:val="0"/>
          <w:sz w:val="22"/>
          <w:shd w:fill="auto" w:val="clear"/>
        </w:rPr>
        <w:t xml:space="preserve">The use of social media and community initiatives to facilitate customer interaction helps support the level of post-purchase satisfaction and consumer advocacy.</w:t>
      </w:r>
    </w:p>
    <w:p>
      <w:pPr>
        <w:spacing w:before="100" w:after="100" w:line="240"/>
        <w:ind w:right="0" w:left="0" w:firstLine="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Support Activities: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Firm Infrastructure:</w:t>
      </w:r>
      <w:r>
        <w:rPr>
          <w:rFonts w:ascii="Arial" w:hAnsi="Arial" w:cs="Arial" w:eastAsia="Arial"/>
          <w:color w:val="auto"/>
          <w:spacing w:val="0"/>
          <w:position w:val="0"/>
          <w:sz w:val="22"/>
          <w:shd w:fill="auto" w:val="clear"/>
        </w:rPr>
        <w:t xml:space="preserve"> Flat organisational hierarchy encourages agility and rapid innovation.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Human Resource Management:</w:t>
      </w:r>
      <w:r>
        <w:rPr>
          <w:rFonts w:ascii="Arial" w:hAnsi="Arial" w:cs="Arial" w:eastAsia="Arial"/>
          <w:color w:val="auto"/>
          <w:spacing w:val="0"/>
          <w:position w:val="0"/>
          <w:sz w:val="22"/>
          <w:shd w:fill="auto" w:val="clear"/>
        </w:rPr>
        <w:t xml:space="preserve"> Focus on employee well-being and creative autonomy, aligning with Maslow’s hierarchy of needs in motivation theory.</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Technology Development:</w:t>
      </w:r>
      <w:r>
        <w:rPr>
          <w:rFonts w:ascii="Arial" w:hAnsi="Arial" w:cs="Arial" w:eastAsia="Arial"/>
          <w:color w:val="auto"/>
          <w:spacing w:val="0"/>
          <w:position w:val="0"/>
          <w:sz w:val="22"/>
          <w:shd w:fill="auto" w:val="clear"/>
        </w:rPr>
        <w:t xml:space="preserve"> Investment in eco-packaging innovation (e.g., 100% recyclable bottles) and digital marketing analytics (</w:t>
      </w:r>
      <w:r>
        <w:rPr>
          <w:rFonts w:ascii="Arial" w:hAnsi="Arial" w:cs="Arial" w:eastAsia="Arial"/>
          <w:color w:val="auto"/>
          <w:spacing w:val="0"/>
          <w:position w:val="0"/>
          <w:sz w:val="22"/>
          <w:shd w:fill="FFFFFF" w:val="clear"/>
        </w:rPr>
        <w:t xml:space="preserve">Awuchi, 2023</w:t>
      </w:r>
      <w:r>
        <w:rPr>
          <w:rFonts w:ascii="Arial" w:hAnsi="Arial" w:cs="Arial" w:eastAsia="Arial"/>
          <w:color w:val="auto"/>
          <w:spacing w:val="0"/>
          <w:position w:val="0"/>
          <w:sz w:val="22"/>
          <w:shd w:fill="auto" w:val="clear"/>
        </w:rPr>
        <w:t xml:space="preserv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Procurement:</w:t>
      </w:r>
      <w:r>
        <w:rPr>
          <w:rFonts w:ascii="Arial" w:hAnsi="Arial" w:cs="Arial" w:eastAsia="Arial"/>
          <w:color w:val="auto"/>
          <w:spacing w:val="0"/>
          <w:position w:val="0"/>
          <w:sz w:val="22"/>
          <w:shd w:fill="auto" w:val="clear"/>
        </w:rPr>
        <w:t xml:space="preserve"> Ethical sourcing protocols ensure alignment with sustainability commitments.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Value Chain Evaluation: </w:t>
      </w:r>
      <w:r>
        <w:rPr>
          <w:rFonts w:ascii="Arial" w:hAnsi="Arial" w:cs="Arial" w:eastAsia="Arial"/>
          <w:color w:val="auto"/>
          <w:spacing w:val="0"/>
          <w:position w:val="0"/>
          <w:sz w:val="22"/>
          <w:shd w:fill="auto" w:val="clear"/>
        </w:rPr>
        <w:t xml:space="preserve">The incorporation of the concept of sustainability in all the steps of the value chain at Innocent generates tangible and intangible values. This congruency is in favour of the RBV concept in a bid to utilise the internal competitive advantage and brand equity as the origin of sustained competitive advantage (</w:t>
      </w:r>
      <w:r>
        <w:rPr>
          <w:rFonts w:ascii="Arial" w:hAnsi="Arial" w:cs="Arial" w:eastAsia="Arial"/>
          <w:color w:val="auto"/>
          <w:spacing w:val="0"/>
          <w:position w:val="0"/>
          <w:sz w:val="22"/>
          <w:shd w:fill="FFFFFF" w:val="clear"/>
        </w:rPr>
        <w:t xml:space="preserve">Biswas et al. 2025</w:t>
      </w:r>
      <w:r>
        <w:rPr>
          <w:rFonts w:ascii="Arial" w:hAnsi="Arial" w:cs="Arial" w:eastAsia="Arial"/>
          <w:color w:val="auto"/>
          <w:spacing w:val="0"/>
          <w:position w:val="0"/>
          <w:sz w:val="22"/>
          <w:shd w:fill="auto" w:val="clear"/>
        </w:rPr>
        <w:t xml:space="preserve">). Nevertheless, this is bound to change as competition in the market will increase, and operational efficiency and cost innovation will be required to maintain profitability without making tradeoffs in brand values.</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4. External Environmental Analysis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find out the opportunities and threats to its strategic direction, a holistic perception of the macro- and micro-environmental factors which influence Innocent Drinks is necessary. In this segment, the PESTEL framework and Porter's Five Forces have been used to assess external forces.</w:t>
      </w:r>
    </w:p>
    <w:p>
      <w:pPr>
        <w:spacing w:before="0" w:after="16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4.1 PESTEL Analysis</w:t>
      </w:r>
    </w:p>
    <w:p>
      <w:pPr>
        <w:spacing w:before="0" w:after="160" w:line="360"/>
        <w:ind w:right="0" w:left="0" w:firstLine="0"/>
        <w:jc w:val="center"/>
        <w:rPr>
          <w:rFonts w:ascii="Arial" w:hAnsi="Arial" w:cs="Arial" w:eastAsia="Arial"/>
          <w:color w:val="auto"/>
          <w:spacing w:val="0"/>
          <w:position w:val="0"/>
          <w:sz w:val="22"/>
          <w:shd w:fill="auto" w:val="clear"/>
        </w:rPr>
      </w:pPr>
      <w:r>
        <w:object w:dxaOrig="7257" w:dyaOrig="5043">
          <v:rect xmlns:o="urn:schemas-microsoft-com:office:office" xmlns:v="urn:schemas-microsoft-com:vml" id="rectole0000000003" style="width:362.850000pt;height:252.1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160" w:line="360"/>
        <w:ind w:right="0" w:left="0" w:firstLine="0"/>
        <w:jc w:val="center"/>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Figure 3: PESTLE model (Source: </w:t>
      </w:r>
      <w:r>
        <w:rPr>
          <w:rFonts w:ascii="Arial" w:hAnsi="Arial" w:cs="Arial" w:eastAsia="Arial"/>
          <w:i/>
          <w:color w:val="auto"/>
          <w:spacing w:val="0"/>
          <w:position w:val="0"/>
          <w:sz w:val="22"/>
          <w:shd w:fill="FFFFFF" w:val="clear"/>
        </w:rPr>
        <w:t xml:space="preserve">Bakker et al. 2022</w:t>
      </w:r>
      <w:r>
        <w:rPr>
          <w:rFonts w:ascii="Arial" w:hAnsi="Arial" w:cs="Arial" w:eastAsia="Arial"/>
          <w:i/>
          <w:color w:val="auto"/>
          <w:spacing w:val="0"/>
          <w:position w:val="0"/>
          <w:sz w:val="22"/>
          <w:shd w:fill="auto" w:val="clear"/>
        </w:rPr>
        <w:t xml:space="preserve">)</w:t>
      </w:r>
    </w:p>
    <w:tbl>
      <w:tblPr/>
      <w:tblGrid>
        <w:gridCol w:w="1745"/>
        <w:gridCol w:w="7605"/>
      </w:tblGrid>
      <w:tr>
        <w:trPr>
          <w:trHeight w:val="1" w:hRule="atLeast"/>
          <w:jc w:val="left"/>
        </w:trPr>
        <w:tc>
          <w:tcPr>
            <w:tcW w:w="1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Factor</w:t>
            </w:r>
          </w:p>
        </w:tc>
        <w:tc>
          <w:tcPr>
            <w:tcW w:w="76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Key Influences on Innocent Drinks</w:t>
            </w:r>
          </w:p>
        </w:tc>
      </w:tr>
      <w:tr>
        <w:trPr>
          <w:trHeight w:val="1" w:hRule="atLeast"/>
          <w:jc w:val="left"/>
        </w:trPr>
        <w:tc>
          <w:tcPr>
            <w:tcW w:w="1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Political</w:t>
            </w:r>
          </w:p>
        </w:tc>
        <w:tc>
          <w:tcPr>
            <w:tcW w:w="76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rPr>
            </w:pPr>
            <w:r>
              <w:rPr>
                <w:rFonts w:ascii="Arial" w:hAnsi="Arial" w:cs="Arial" w:eastAsia="Arial"/>
                <w:color w:val="auto"/>
                <w:spacing w:val="0"/>
                <w:position w:val="0"/>
                <w:sz w:val="22"/>
                <w:shd w:fill="auto" w:val="clear"/>
              </w:rPr>
              <w:t xml:space="preserve">The new trade rules introduced after Brexit have also made it more difficult to import fruits across borders, which makes compliance more expensive. Sustainable packaging, promoted by government policies like the UK Plastics Pact, is in line with the CSR program of Innocent (</w:t>
            </w:r>
            <w:r>
              <w:rPr>
                <w:rFonts w:ascii="Arial" w:hAnsi="Arial" w:cs="Arial" w:eastAsia="Arial"/>
                <w:color w:val="auto"/>
                <w:spacing w:val="0"/>
                <w:position w:val="0"/>
                <w:sz w:val="22"/>
                <w:shd w:fill="FFFFFF" w:val="clear"/>
              </w:rPr>
              <w:t xml:space="preserve">Benett et al. 2025</w:t>
            </w:r>
            <w:r>
              <w:rPr>
                <w:rFonts w:ascii="Arial" w:hAnsi="Arial" w:cs="Arial" w:eastAsia="Arial"/>
                <w:color w:val="auto"/>
                <w:spacing w:val="0"/>
                <w:position w:val="0"/>
                <w:sz w:val="22"/>
                <w:shd w:fill="auto" w:val="clear"/>
              </w:rPr>
              <w:t xml:space="preserve">). Nevertheless, the supply chains can be interrupted due to geopolitical instability in the supplier countries (e.g. South America, Africa).</w:t>
            </w:r>
          </w:p>
        </w:tc>
      </w:tr>
      <w:tr>
        <w:trPr>
          <w:trHeight w:val="1" w:hRule="atLeast"/>
          <w:jc w:val="left"/>
        </w:trPr>
        <w:tc>
          <w:tcPr>
            <w:tcW w:w="1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Economic</w:t>
            </w:r>
          </w:p>
        </w:tc>
        <w:tc>
          <w:tcPr>
            <w:tcW w:w="76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rPr>
            </w:pPr>
            <w:r>
              <w:rPr>
                <w:rFonts w:ascii="Arial" w:hAnsi="Arial" w:cs="Arial" w:eastAsia="Arial"/>
                <w:color w:val="auto"/>
                <w:spacing w:val="0"/>
                <w:position w:val="0"/>
                <w:sz w:val="22"/>
                <w:shd w:fill="auto" w:val="clear"/>
              </w:rPr>
              <w:t xml:space="preserve">The crisis of the cost of living in the UK has lowered discretionary spending and the sales of premium beverages. Unstable exchange rates and inflation increase the cost of raw materials and logistics (</w:t>
            </w:r>
            <w:r>
              <w:rPr>
                <w:rFonts w:ascii="Arial" w:hAnsi="Arial" w:cs="Arial" w:eastAsia="Arial"/>
                <w:color w:val="auto"/>
                <w:spacing w:val="0"/>
                <w:position w:val="0"/>
                <w:sz w:val="22"/>
                <w:shd w:fill="FFFFFF" w:val="clear"/>
              </w:rPr>
              <w:t xml:space="preserve">Dessart and Standaert, 2023</w:t>
            </w:r>
            <w:r>
              <w:rPr>
                <w:rFonts w:ascii="Arial" w:hAnsi="Arial" w:cs="Arial" w:eastAsia="Arial"/>
                <w:color w:val="auto"/>
                <w:spacing w:val="0"/>
                <w:position w:val="0"/>
                <w:sz w:val="22"/>
                <w:shd w:fill="auto" w:val="clear"/>
              </w:rPr>
              <w:t xml:space="preserve">). However, this trend has resulted in a strong niche in healthy products where the premium brands with a high-value product, like Innocent, thrive.</w:t>
            </w:r>
          </w:p>
        </w:tc>
      </w:tr>
      <w:tr>
        <w:trPr>
          <w:trHeight w:val="1" w:hRule="atLeast"/>
          <w:jc w:val="left"/>
        </w:trPr>
        <w:tc>
          <w:tcPr>
            <w:tcW w:w="1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Social</w:t>
            </w:r>
          </w:p>
        </w:tc>
        <w:tc>
          <w:tcPr>
            <w:tcW w:w="76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rPr>
            </w:pPr>
            <w:r>
              <w:rPr>
                <w:rFonts w:ascii="Arial" w:hAnsi="Arial" w:cs="Arial" w:eastAsia="Arial"/>
                <w:color w:val="auto"/>
                <w:spacing w:val="0"/>
                <w:position w:val="0"/>
                <w:sz w:val="22"/>
                <w:shd w:fill="auto" w:val="clear"/>
              </w:rPr>
              <w:t xml:space="preserve">The rise in health consciousness and lifestyle shifts has driven the desire for natural and sugar-free drinks. People have increased awareness regarding ethical sourcing and sustainability, which strengthens the positioning of Innocent by the brand (</w:t>
            </w:r>
            <w:r>
              <w:rPr>
                <w:rFonts w:ascii="Arial" w:hAnsi="Arial" w:cs="Arial" w:eastAsia="Arial"/>
                <w:color w:val="auto"/>
                <w:spacing w:val="0"/>
                <w:position w:val="0"/>
                <w:sz w:val="22"/>
                <w:shd w:fill="FFFFFF" w:val="clear"/>
              </w:rPr>
              <w:t xml:space="preserve">Bakker et al. 2022</w:t>
            </w:r>
            <w:r>
              <w:rPr>
                <w:rFonts w:ascii="Arial" w:hAnsi="Arial" w:cs="Arial" w:eastAsia="Arial"/>
                <w:color w:val="auto"/>
                <w:spacing w:val="0"/>
                <w:position w:val="0"/>
                <w:sz w:val="22"/>
                <w:shd w:fill="auto" w:val="clear"/>
              </w:rPr>
              <w:t xml:space="preserve">). The demographic data indicate that the millennial and Gen-Z consumers are on the rise, with their focus on authenticity and environmental friendliness.</w:t>
            </w:r>
          </w:p>
        </w:tc>
      </w:tr>
      <w:tr>
        <w:trPr>
          <w:trHeight w:val="1" w:hRule="atLeast"/>
          <w:jc w:val="left"/>
        </w:trPr>
        <w:tc>
          <w:tcPr>
            <w:tcW w:w="1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Technological</w:t>
            </w:r>
          </w:p>
        </w:tc>
        <w:tc>
          <w:tcPr>
            <w:tcW w:w="76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rPr>
            </w:pPr>
            <w:r>
              <w:rPr>
                <w:rFonts w:ascii="Arial" w:hAnsi="Arial" w:cs="Arial" w:eastAsia="Arial"/>
                <w:color w:val="auto"/>
                <w:spacing w:val="0"/>
                <w:position w:val="0"/>
                <w:sz w:val="22"/>
                <w:shd w:fill="auto" w:val="clear"/>
              </w:rPr>
              <w:t xml:space="preserve">The technological innovation will facilitate environmentally-friendly packaging and data marketing. The investment in recyclable plastic and automation in production by Innocent makes it efficient (</w:t>
            </w:r>
            <w:r>
              <w:rPr>
                <w:rFonts w:ascii="Arial" w:hAnsi="Arial" w:cs="Arial" w:eastAsia="Arial"/>
                <w:color w:val="auto"/>
                <w:spacing w:val="0"/>
                <w:position w:val="0"/>
                <w:sz w:val="22"/>
                <w:shd w:fill="FFFFFF" w:val="clear"/>
              </w:rPr>
              <w:t xml:space="preserve">Allen, 2022</w:t>
            </w:r>
            <w:r>
              <w:rPr>
                <w:rFonts w:ascii="Arial" w:hAnsi="Arial" w:cs="Arial" w:eastAsia="Arial"/>
                <w:color w:val="auto"/>
                <w:spacing w:val="0"/>
                <w:position w:val="0"/>
                <w:sz w:val="22"/>
                <w:shd w:fill="auto" w:val="clear"/>
              </w:rPr>
              <w:t xml:space="preserve">). Direct-to-consumer (D2C) and customised promotions are offered through digital channels as well.</w:t>
            </w:r>
          </w:p>
        </w:tc>
      </w:tr>
      <w:tr>
        <w:trPr>
          <w:trHeight w:val="1" w:hRule="atLeast"/>
          <w:jc w:val="left"/>
        </w:trPr>
        <w:tc>
          <w:tcPr>
            <w:tcW w:w="1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Environmental</w:t>
            </w:r>
          </w:p>
        </w:tc>
        <w:tc>
          <w:tcPr>
            <w:tcW w:w="76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Climate change has a profound impact on the fruit harvests, which results in volatility of supply and price changes. The sustainability demands are forcing the beverage producers to minimise carbon footprints. The fact that Innocent aims to achieve net-zero emissions in the year 2040 is an example of being a proactive environmental leader.</w:t>
            </w:r>
          </w:p>
        </w:tc>
      </w:tr>
      <w:tr>
        <w:trPr>
          <w:trHeight w:val="1" w:hRule="atLeast"/>
          <w:jc w:val="left"/>
        </w:trPr>
        <w:tc>
          <w:tcPr>
            <w:tcW w:w="1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Legal</w:t>
            </w:r>
          </w:p>
        </w:tc>
        <w:tc>
          <w:tcPr>
            <w:tcW w:w="76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The operations are affected by food-safety laws, packaging laws and employment laws. The UK legislation on modern slavery holds the company accountable to ethical sourcing, but environmental laws encourage the company to invest more in low-carbon processes.</w:t>
            </w:r>
          </w:p>
        </w:tc>
      </w:tr>
    </w:tbl>
    <w:p>
      <w:pPr>
        <w:spacing w:before="0" w:after="160" w:line="360"/>
        <w:ind w:right="0" w:left="0" w:firstLine="0"/>
        <w:jc w:val="both"/>
        <w:rPr>
          <w:rFonts w:ascii="Arial" w:hAnsi="Arial" w:cs="Arial" w:eastAsia="Arial"/>
          <w:b/>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Evaluation: </w:t>
      </w:r>
      <w:r>
        <w:rPr>
          <w:rFonts w:ascii="Arial" w:hAnsi="Arial" w:cs="Arial" w:eastAsia="Arial"/>
          <w:color w:val="auto"/>
          <w:spacing w:val="0"/>
          <w:position w:val="0"/>
          <w:sz w:val="22"/>
          <w:shd w:fill="auto" w:val="clear"/>
        </w:rPr>
        <w:t xml:space="preserve">Generally, the external environment has opportunities and limitations. The brand identity of Innocent is preferable under the regulation of sustainability and health concerns of consumers, though the supply stability might be destabilised by economic factors and weather conditions (</w:t>
      </w:r>
      <w:r>
        <w:rPr>
          <w:rFonts w:ascii="Arial" w:hAnsi="Arial" w:cs="Arial" w:eastAsia="Arial"/>
          <w:color w:val="auto"/>
          <w:spacing w:val="0"/>
          <w:position w:val="0"/>
          <w:sz w:val="22"/>
          <w:shd w:fill="FFFFFF" w:val="clear"/>
        </w:rPr>
        <w:t xml:space="preserve">Fontanelli, 2023</w:t>
      </w:r>
      <w:r>
        <w:rPr>
          <w:rFonts w:ascii="Arial" w:hAnsi="Arial" w:cs="Arial" w:eastAsia="Arial"/>
          <w:color w:val="auto"/>
          <w:spacing w:val="0"/>
          <w:position w:val="0"/>
          <w:sz w:val="22"/>
          <w:shd w:fill="auto" w:val="clear"/>
        </w:rPr>
        <w:t xml:space="preserve">). Cost control and market uncertainty compose the ethical issue that the company must solve to stay on course with its strategic direction.</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259"/>
        <w:ind w:right="0" w:left="0" w:firstLine="0"/>
        <w:jc w:val="left"/>
        <w:rPr>
          <w:rFonts w:ascii="Arial" w:hAnsi="Arial" w:cs="Arial" w:eastAsia="Arial"/>
          <w:b/>
          <w:color w:val="auto"/>
          <w:spacing w:val="0"/>
          <w:position w:val="0"/>
          <w:sz w:val="28"/>
          <w:shd w:fill="auto" w:val="clear"/>
        </w:rPr>
      </w:pPr>
    </w:p>
    <w:p>
      <w:pPr>
        <w:spacing w:before="0" w:after="16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4.2 Porter’s Five Forces Analysis</w:t>
      </w:r>
    </w:p>
    <w:p>
      <w:pPr>
        <w:spacing w:before="0" w:after="160" w:line="360"/>
        <w:ind w:right="0" w:left="0" w:firstLine="0"/>
        <w:jc w:val="center"/>
        <w:rPr>
          <w:rFonts w:ascii="Arial" w:hAnsi="Arial" w:cs="Arial" w:eastAsia="Arial"/>
          <w:color w:val="auto"/>
          <w:spacing w:val="0"/>
          <w:position w:val="0"/>
          <w:sz w:val="22"/>
          <w:shd w:fill="auto" w:val="clear"/>
        </w:rPr>
      </w:pPr>
      <w:r>
        <w:object w:dxaOrig="7714" w:dyaOrig="5170">
          <v:rect xmlns:o="urn:schemas-microsoft-com:office:office" xmlns:v="urn:schemas-microsoft-com:vml" id="rectole0000000004" style="width:385.700000pt;height:258.5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160" w:line="360"/>
        <w:ind w:right="0" w:left="0" w:firstLine="0"/>
        <w:jc w:val="center"/>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Figure 4: Porter’s five forces model (Source: </w:t>
      </w:r>
      <w:r>
        <w:rPr>
          <w:rFonts w:ascii="Arial" w:hAnsi="Arial" w:cs="Arial" w:eastAsia="Arial"/>
          <w:i/>
          <w:color w:val="auto"/>
          <w:spacing w:val="0"/>
          <w:position w:val="0"/>
          <w:sz w:val="22"/>
          <w:shd w:fill="FFFFFF" w:val="clear"/>
        </w:rPr>
        <w:t xml:space="preserve">Khanra et al. 2022</w:t>
      </w:r>
      <w:r>
        <w:rPr>
          <w:rFonts w:ascii="Arial" w:hAnsi="Arial" w:cs="Arial" w:eastAsia="Arial"/>
          <w:i/>
          <w:color w:val="auto"/>
          <w:spacing w:val="0"/>
          <w:position w:val="0"/>
          <w:sz w:val="22"/>
          <w:shd w:fill="auto" w:val="clear"/>
        </w:rPr>
        <w:t xml:space="preserve">)</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Threat of New Entrants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Moderate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barriers to entry in the beverage industry are low, yet the marketing expenses and the presence of powerful brand loyalty act against the small investors. The brand, certifications and distribution alliances that have been established by Innocent come up with defensive advantages (</w:t>
      </w:r>
      <w:r>
        <w:rPr>
          <w:rFonts w:ascii="Arial" w:hAnsi="Arial" w:cs="Arial" w:eastAsia="Arial"/>
          <w:color w:val="auto"/>
          <w:spacing w:val="0"/>
          <w:position w:val="0"/>
          <w:sz w:val="22"/>
          <w:shd w:fill="FFFFFF" w:val="clear"/>
        </w:rPr>
        <w:t xml:space="preserve">Lubis, 2022</w:t>
      </w:r>
      <w:r>
        <w:rPr>
          <w:rFonts w:ascii="Arial" w:hAnsi="Arial" w:cs="Arial" w:eastAsia="Arial"/>
          <w:color w:val="auto"/>
          <w:spacing w:val="0"/>
          <w:position w:val="0"/>
          <w:sz w:val="22"/>
          <w:shd w:fill="auto" w:val="clear"/>
        </w:rPr>
        <w:t xml:space="preserve">). Nonetheless, there are weak threats associated with the growth of start-ups that sell plant-based beverages.</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Bargaining Power of Suppliers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High</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Innocent is dependent on foreign vendors of fresh fruits. Supplier power is increased by climatic events and exchange-rate volatility. Innocent has attempted to reduce this by making use of ethical-sourcing agreements and long-term contracts with farming cooperatives. Still, the dependence on imported raw material is a structural weakness.</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Bargaining Power of Buyers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Moderate-to-High</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distribution is dominated by the major retailers like Tesco and Sainsbury, which allows them to bargain on margins (</w:t>
      </w:r>
      <w:r>
        <w:rPr>
          <w:rFonts w:ascii="Arial" w:hAnsi="Arial" w:cs="Arial" w:eastAsia="Arial"/>
          <w:color w:val="auto"/>
          <w:spacing w:val="0"/>
          <w:position w:val="0"/>
          <w:sz w:val="22"/>
          <w:shd w:fill="FFFFFF" w:val="clear"/>
        </w:rPr>
        <w:t xml:space="preserve">Khanra et al. 2022</w:t>
      </w:r>
      <w:r>
        <w:rPr>
          <w:rFonts w:ascii="Arial" w:hAnsi="Arial" w:cs="Arial" w:eastAsia="Arial"/>
          <w:color w:val="auto"/>
          <w:spacing w:val="0"/>
          <w:position w:val="0"/>
          <w:sz w:val="22"/>
          <w:shd w:fill="auto" w:val="clear"/>
        </w:rPr>
        <w:t xml:space="preserve">). The switching costs have minimal barriers since alternative brands (e.g., Naked, Tropicana) can be easily obtained. Innocent counters it with effective branding and consumer confidence.</w:t>
      </w:r>
    </w:p>
    <w:p>
      <w:pPr>
        <w:spacing w:before="0" w:after="160" w:line="259"/>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160" w:line="259"/>
        <w:ind w:right="0" w:left="0" w:firstLine="0"/>
        <w:jc w:val="left"/>
        <w:rPr>
          <w:rFonts w:ascii="Arial" w:hAnsi="Arial" w:cs="Arial" w:eastAsia="Arial"/>
          <w:b/>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Threat of Substitutes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High</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substitutes comprise flavoured water, coffee, energy and functional beverages. Substitutes, including kombucha and plant-based milks, that are driven by their health benefits, make competition intense. Differentiation must be sustained, due to which product innovation and diversification are necessary.</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Competitive Rivalry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Very High</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smoothie market in the United Kingdom is saturated, and the competitors include the global corporations (PepsiCo, the other brands of Coca-Cola) and the local SMEs. The competition is enhanced by comparable price sets and aggressive advertising (</w:t>
      </w:r>
      <w:r>
        <w:rPr>
          <w:rFonts w:ascii="Arial" w:hAnsi="Arial" w:cs="Arial" w:eastAsia="Arial"/>
          <w:color w:val="auto"/>
          <w:spacing w:val="0"/>
          <w:position w:val="0"/>
          <w:sz w:val="22"/>
          <w:shd w:fill="FFFFFF" w:val="clear"/>
        </w:rPr>
        <w:t xml:space="preserve">Hossain et al. 2022</w:t>
      </w:r>
      <w:r>
        <w:rPr>
          <w:rFonts w:ascii="Arial" w:hAnsi="Arial" w:cs="Arial" w:eastAsia="Arial"/>
          <w:color w:val="auto"/>
          <w:spacing w:val="0"/>
          <w:position w:val="0"/>
          <w:sz w:val="22"/>
          <w:shd w:fill="auto" w:val="clear"/>
        </w:rPr>
        <w:t xml:space="preserve">). Innocent stands out using sustainability, communication based on humour, and a B Corp status.</w:t>
      </w:r>
    </w:p>
    <w:p>
      <w:pPr>
        <w:spacing w:before="0" w:after="160" w:line="36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5. Strategic Growth Choices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order to attain sustainable growth, Innocent should consider the strategic options based on frameworks such as Ansoff Matrix, Porter's Generic Strategies and Bowman's Strategic Clock.</w:t>
      </w:r>
    </w:p>
    <w:p>
      <w:pPr>
        <w:spacing w:before="0" w:after="16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5.1 Ansoff’s Matrix </w:t>
      </w:r>
    </w:p>
    <w:p>
      <w:pPr>
        <w:spacing w:before="0" w:after="160" w:line="360"/>
        <w:ind w:right="0" w:left="0" w:firstLine="0"/>
        <w:jc w:val="center"/>
        <w:rPr>
          <w:rFonts w:ascii="Arial" w:hAnsi="Arial" w:cs="Arial" w:eastAsia="Arial"/>
          <w:color w:val="auto"/>
          <w:spacing w:val="0"/>
          <w:position w:val="0"/>
          <w:sz w:val="22"/>
          <w:shd w:fill="auto" w:val="clear"/>
        </w:rPr>
      </w:pPr>
      <w:r>
        <w:object w:dxaOrig="6808" w:dyaOrig="6672">
          <v:rect xmlns:o="urn:schemas-microsoft-com:office:office" xmlns:v="urn:schemas-microsoft-com:vml" id="rectole0000000005" style="width:340.400000pt;height:333.6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160" w:line="360"/>
        <w:ind w:right="0" w:left="0" w:firstLine="0"/>
        <w:jc w:val="center"/>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Figure 5: Ansoff Matrix (Source: </w:t>
      </w:r>
      <w:r>
        <w:rPr>
          <w:rFonts w:ascii="Arial" w:hAnsi="Arial" w:cs="Arial" w:eastAsia="Arial"/>
          <w:i/>
          <w:color w:val="auto"/>
          <w:spacing w:val="0"/>
          <w:position w:val="0"/>
          <w:sz w:val="22"/>
          <w:shd w:fill="FFFFFF" w:val="clear"/>
        </w:rPr>
        <w:t xml:space="preserve">Fontanelli, 2023</w:t>
      </w:r>
      <w:r>
        <w:rPr>
          <w:rFonts w:ascii="Arial" w:hAnsi="Arial" w:cs="Arial" w:eastAsia="Arial"/>
          <w:i/>
          <w:color w:val="auto"/>
          <w:spacing w:val="0"/>
          <w:position w:val="0"/>
          <w:sz w:val="22"/>
          <w:shd w:fill="auto" w:val="clear"/>
        </w:rPr>
        <w:t xml:space="preserve">)</w:t>
      </w:r>
    </w:p>
    <w:p>
      <w:pPr>
        <w:spacing w:before="0" w:after="160" w:line="360"/>
        <w:ind w:right="0" w:left="0" w:firstLine="0"/>
        <w:jc w:val="both"/>
        <w:rPr>
          <w:rFonts w:ascii="Arial" w:hAnsi="Arial" w:cs="Arial" w:eastAsia="Arial"/>
          <w:color w:val="auto"/>
          <w:spacing w:val="0"/>
          <w:position w:val="0"/>
          <w:sz w:val="22"/>
          <w:shd w:fill="auto" w:val="clear"/>
        </w:rPr>
      </w:pPr>
    </w:p>
    <w:tbl>
      <w:tblPr/>
      <w:tblGrid>
        <w:gridCol w:w="1955"/>
        <w:gridCol w:w="4212"/>
        <w:gridCol w:w="3183"/>
      </w:tblGrid>
      <w:tr>
        <w:trPr>
          <w:trHeight w:val="1" w:hRule="atLeast"/>
          <w:jc w:val="left"/>
        </w:trPr>
        <w:tc>
          <w:tcPr>
            <w:tcW w:w="19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Strategy</w:t>
            </w:r>
          </w:p>
        </w:tc>
        <w:tc>
          <w:tcPr>
            <w:tcW w:w="42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Application for Innocent Drinks</w:t>
            </w:r>
          </w:p>
        </w:tc>
        <w:tc>
          <w:tcPr>
            <w:tcW w:w="31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Evaluation</w:t>
            </w:r>
          </w:p>
        </w:tc>
      </w:tr>
      <w:tr>
        <w:trPr>
          <w:trHeight w:val="1" w:hRule="atLeast"/>
          <w:jc w:val="left"/>
        </w:trPr>
        <w:tc>
          <w:tcPr>
            <w:tcW w:w="19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Market Penetration</w:t>
            </w:r>
          </w:p>
        </w:tc>
        <w:tc>
          <w:tcPr>
            <w:tcW w:w="42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Deepen presence in existing UK/EU markets through promotional campaigns and loyalty programmes.</w:t>
            </w:r>
          </w:p>
        </w:tc>
        <w:tc>
          <w:tcPr>
            <w:tcW w:w="31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Low risk; consolidates market share but offers limited growth potential.</w:t>
            </w:r>
          </w:p>
        </w:tc>
      </w:tr>
      <w:tr>
        <w:trPr>
          <w:trHeight w:val="1" w:hRule="atLeast"/>
          <w:jc w:val="left"/>
        </w:trPr>
        <w:tc>
          <w:tcPr>
            <w:tcW w:w="19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Product Development</w:t>
            </w:r>
          </w:p>
        </w:tc>
        <w:tc>
          <w:tcPr>
            <w:tcW w:w="42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Introduce functional beverages (protein smoothies, vitamin-enriched juices) and low-sugar alternatives.</w:t>
            </w:r>
          </w:p>
        </w:tc>
        <w:tc>
          <w:tcPr>
            <w:tcW w:w="31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Aligns with health trends; moderate risk due to R&amp;D costs.</w:t>
            </w:r>
          </w:p>
        </w:tc>
      </w:tr>
      <w:tr>
        <w:trPr>
          <w:trHeight w:val="1" w:hRule="atLeast"/>
          <w:jc w:val="left"/>
        </w:trPr>
        <w:tc>
          <w:tcPr>
            <w:tcW w:w="19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Market Development</w:t>
            </w:r>
          </w:p>
        </w:tc>
        <w:tc>
          <w:tcPr>
            <w:tcW w:w="42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Expand into Asia and the Middle East through digital channels and partnerships.</w:t>
            </w:r>
          </w:p>
        </w:tc>
        <w:tc>
          <w:tcPr>
            <w:tcW w:w="31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Promising long-term growth but high regulatory and logistical risks.</w:t>
            </w:r>
          </w:p>
        </w:tc>
      </w:tr>
      <w:tr>
        <w:trPr>
          <w:trHeight w:val="1" w:hRule="atLeast"/>
          <w:jc w:val="left"/>
        </w:trPr>
        <w:tc>
          <w:tcPr>
            <w:tcW w:w="19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Diversification</w:t>
            </w:r>
          </w:p>
        </w:tc>
        <w:tc>
          <w:tcPr>
            <w:tcW w:w="42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Extend brand into complementary categories (healthy snacks, plant-based yoghurts).</w:t>
            </w:r>
          </w:p>
        </w:tc>
        <w:tc>
          <w:tcPr>
            <w:tcW w:w="31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High risk; requires new competencies but enhances brand ecosystem.</w:t>
            </w:r>
          </w:p>
        </w:tc>
      </w:tr>
    </w:tbl>
    <w:p>
      <w:pPr>
        <w:spacing w:before="0" w:after="160" w:line="360"/>
        <w:ind w:right="0" w:left="0" w:firstLine="0"/>
        <w:jc w:val="both"/>
        <w:rPr>
          <w:rFonts w:ascii="Arial" w:hAnsi="Arial" w:cs="Arial" w:eastAsia="Arial"/>
          <w:b/>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Preferred Strategy: </w:t>
      </w:r>
      <w:r>
        <w:rPr>
          <w:rFonts w:ascii="Arial" w:hAnsi="Arial" w:cs="Arial" w:eastAsia="Arial"/>
          <w:color w:val="auto"/>
          <w:spacing w:val="0"/>
          <w:position w:val="0"/>
          <w:sz w:val="22"/>
          <w:shd w:fill="auto" w:val="clear"/>
        </w:rPr>
        <w:t xml:space="preserve">To maintain product growth, Innocent should focus on product development and market development strategies. These strategies take advantage of the current brand and sustainability competencies and address the changing health needs.</w:t>
      </w:r>
    </w:p>
    <w:p>
      <w:pPr>
        <w:spacing w:before="0" w:after="16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5.2 Porter’s Generic Strategies</w:t>
      </w:r>
    </w:p>
    <w:p>
      <w:pPr>
        <w:spacing w:before="0" w:after="160" w:line="360"/>
        <w:ind w:right="0" w:left="0" w:firstLine="0"/>
        <w:jc w:val="center"/>
        <w:rPr>
          <w:rFonts w:ascii="Arial" w:hAnsi="Arial" w:cs="Arial" w:eastAsia="Arial"/>
          <w:color w:val="auto"/>
          <w:spacing w:val="0"/>
          <w:position w:val="0"/>
          <w:sz w:val="22"/>
          <w:shd w:fill="auto" w:val="clear"/>
        </w:rPr>
      </w:pPr>
      <w:r>
        <w:object w:dxaOrig="6013" w:dyaOrig="6013">
          <v:rect xmlns:o="urn:schemas-microsoft-com:office:office" xmlns:v="urn:schemas-microsoft-com:vml" id="rectole0000000006" style="width:300.650000pt;height:300.65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spacing w:before="0" w:after="160" w:line="360"/>
        <w:ind w:right="0" w:left="0" w:firstLine="0"/>
        <w:jc w:val="center"/>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Figure 6: Porter’s Generic Strategies (Source: </w:t>
      </w:r>
      <w:r>
        <w:rPr>
          <w:rFonts w:ascii="Arial" w:hAnsi="Arial" w:cs="Arial" w:eastAsia="Arial"/>
          <w:i/>
          <w:color w:val="auto"/>
          <w:spacing w:val="0"/>
          <w:position w:val="0"/>
          <w:sz w:val="22"/>
          <w:shd w:fill="FFFFFF" w:val="clear"/>
        </w:rPr>
        <w:t xml:space="preserve">Fontanelli, 2023</w:t>
      </w:r>
      <w:r>
        <w:rPr>
          <w:rFonts w:ascii="Arial" w:hAnsi="Arial" w:cs="Arial" w:eastAsia="Arial"/>
          <w:i/>
          <w:color w:val="auto"/>
          <w:spacing w:val="0"/>
          <w:position w:val="0"/>
          <w:sz w:val="22"/>
          <w:shd w:fill="auto" w:val="clear"/>
        </w:rPr>
        <w:t xml:space="preserv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current strategy of Innocent is consistent with the Differentiation Strategy; the emphasis is on the quality, natural ingredients and ethical positioning, instead of being competitive in terms of price. Premium advertising and brand loyalty are possible through differentiation (</w:t>
      </w:r>
      <w:r>
        <w:rPr>
          <w:rFonts w:ascii="Arial" w:hAnsi="Arial" w:cs="Arial" w:eastAsia="Arial"/>
          <w:color w:val="auto"/>
          <w:spacing w:val="0"/>
          <w:position w:val="0"/>
          <w:sz w:val="22"/>
          <w:shd w:fill="FFFFFF" w:val="clear"/>
        </w:rPr>
        <w:t xml:space="preserve">Fontanelli, 2023</w:t>
      </w:r>
      <w:r>
        <w:rPr>
          <w:rFonts w:ascii="Arial" w:hAnsi="Arial" w:cs="Arial" w:eastAsia="Arial"/>
          <w:color w:val="auto"/>
          <w:spacing w:val="0"/>
          <w:position w:val="0"/>
          <w:sz w:val="22"/>
          <w:shd w:fill="auto" w:val="clear"/>
        </w:rPr>
        <w:t xml:space="preserve">). Nevertheless, given the forces of inflation, Innocent might contemplate a hybrid between differentiation and cost focus model, to balance sustainability investments with lower operational costs and remain affordable without potentially eroding brand values.</w:t>
      </w:r>
    </w:p>
    <w:p>
      <w:pPr>
        <w:spacing w:before="0" w:after="16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5.3 Bowman’s Strategic Clock</w:t>
      </w:r>
    </w:p>
    <w:p>
      <w:pPr>
        <w:spacing w:before="0" w:after="160" w:line="360"/>
        <w:ind w:right="0" w:left="0" w:firstLine="0"/>
        <w:jc w:val="center"/>
        <w:rPr>
          <w:rFonts w:ascii="Arial" w:hAnsi="Arial" w:cs="Arial" w:eastAsia="Arial"/>
          <w:color w:val="auto"/>
          <w:spacing w:val="0"/>
          <w:position w:val="0"/>
          <w:sz w:val="22"/>
          <w:shd w:fill="auto" w:val="clear"/>
        </w:rPr>
      </w:pPr>
      <w:r>
        <w:object w:dxaOrig="8294" w:dyaOrig="6480">
          <v:rect xmlns:o="urn:schemas-microsoft-com:office:office" xmlns:v="urn:schemas-microsoft-com:vml" id="rectole0000000007" style="width:414.700000pt;height:324.00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spacing w:before="0" w:after="160" w:line="360"/>
        <w:ind w:right="0" w:left="0" w:firstLine="0"/>
        <w:jc w:val="center"/>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Figure 7: Bowman’s Strategic Clock (Source: </w:t>
      </w:r>
      <w:r>
        <w:rPr>
          <w:rFonts w:ascii="Arial" w:hAnsi="Arial" w:cs="Arial" w:eastAsia="Arial"/>
          <w:i/>
          <w:color w:val="auto"/>
          <w:spacing w:val="0"/>
          <w:position w:val="0"/>
          <w:sz w:val="22"/>
          <w:shd w:fill="FFFFFF" w:val="clear"/>
        </w:rPr>
        <w:t xml:space="preserve">Benett et al. 2025</w:t>
      </w:r>
      <w:r>
        <w:rPr>
          <w:rFonts w:ascii="Arial" w:hAnsi="Arial" w:cs="Arial" w:eastAsia="Arial"/>
          <w:i/>
          <w:color w:val="auto"/>
          <w:spacing w:val="0"/>
          <w:position w:val="0"/>
          <w:sz w:val="22"/>
          <w:shd w:fill="auto" w:val="clear"/>
        </w:rPr>
        <w:t xml:space="preserv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model by Bowman is an improvement on Porter's, as it plots value perception as opposed to price. Fourth position in the model is differentiation, following which Innocent offers high perceived value at an intermediate-high price. To improve the sustainability in the longer term, the transition to Position 5 (Focused Differentiation), high-end functional products in niche health segments would strengthen the competitive edge (</w:t>
      </w:r>
      <w:r>
        <w:rPr>
          <w:rFonts w:ascii="Arial" w:hAnsi="Arial" w:cs="Arial" w:eastAsia="Arial"/>
          <w:color w:val="auto"/>
          <w:spacing w:val="0"/>
          <w:position w:val="0"/>
          <w:sz w:val="22"/>
          <w:shd w:fill="FFFFFF" w:val="clear"/>
        </w:rPr>
        <w:t xml:space="preserve">Benett et al. 2025</w:t>
      </w:r>
      <w:r>
        <w:rPr>
          <w:rFonts w:ascii="Arial" w:hAnsi="Arial" w:cs="Arial" w:eastAsia="Arial"/>
          <w:color w:val="auto"/>
          <w:spacing w:val="0"/>
          <w:position w:val="0"/>
          <w:sz w:val="22"/>
          <w:shd w:fill="auto" w:val="clear"/>
        </w:rPr>
        <w:t xml:space="preserve">). On the other hand, it is essential to avoid Position 6 (Risk of Price War), because a reduction in prices can undermine brand value in terms of ethics.</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259"/>
        <w:ind w:right="0" w:left="0" w:firstLine="0"/>
        <w:jc w:val="left"/>
        <w:rPr>
          <w:rFonts w:ascii="Arial" w:hAnsi="Arial" w:cs="Arial" w:eastAsia="Arial"/>
          <w:b/>
          <w:color w:val="auto"/>
          <w:spacing w:val="0"/>
          <w:position w:val="0"/>
          <w:sz w:val="28"/>
          <w:shd w:fill="auto" w:val="clear"/>
        </w:rPr>
      </w:pPr>
    </w:p>
    <w:p>
      <w:pPr>
        <w:spacing w:before="0" w:after="160" w:line="36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6. Stakeholder Analysis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Implementing strategies demands a trade-off between the stakeholder expectations and organisational goals. Matrices used to assess the power and interest of the stakeholders include the Matrix of Mendelow and the RACI framework.</w:t>
      </w:r>
    </w:p>
    <w:p>
      <w:pPr>
        <w:spacing w:before="0" w:after="16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6.1 Mendelow’s Power</w:t>
      </w:r>
      <w:r>
        <w:rPr>
          <w:rFonts w:ascii="Arial" w:hAnsi="Arial" w:cs="Arial" w:eastAsia="Arial"/>
          <w:b/>
          <w:color w:val="auto"/>
          <w:spacing w:val="0"/>
          <w:position w:val="0"/>
          <w:sz w:val="28"/>
          <w:shd w:fill="auto" w:val="clear"/>
        </w:rPr>
        <w:t xml:space="preserve">–</w:t>
      </w:r>
      <w:r>
        <w:rPr>
          <w:rFonts w:ascii="Arial" w:hAnsi="Arial" w:cs="Arial" w:eastAsia="Arial"/>
          <w:b/>
          <w:color w:val="auto"/>
          <w:spacing w:val="0"/>
          <w:position w:val="0"/>
          <w:sz w:val="28"/>
          <w:shd w:fill="auto" w:val="clear"/>
        </w:rPr>
        <w:t xml:space="preserve">Interest Matrix</w:t>
      </w:r>
    </w:p>
    <w:p>
      <w:pPr>
        <w:spacing w:before="0" w:after="160" w:line="360"/>
        <w:ind w:right="0" w:left="0" w:firstLine="0"/>
        <w:jc w:val="center"/>
        <w:rPr>
          <w:rFonts w:ascii="Arial" w:hAnsi="Arial" w:cs="Arial" w:eastAsia="Arial"/>
          <w:color w:val="auto"/>
          <w:spacing w:val="0"/>
          <w:position w:val="0"/>
          <w:sz w:val="22"/>
          <w:shd w:fill="auto" w:val="clear"/>
        </w:rPr>
      </w:pPr>
      <w:r>
        <w:object w:dxaOrig="8943" w:dyaOrig="6610">
          <v:rect xmlns:o="urn:schemas-microsoft-com:office:office" xmlns:v="urn:schemas-microsoft-com:vml" id="rectole0000000008" style="width:447.150000pt;height:330.50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p>
    <w:p>
      <w:pPr>
        <w:spacing w:before="0" w:after="160" w:line="360"/>
        <w:ind w:right="0" w:left="0" w:firstLine="0"/>
        <w:jc w:val="center"/>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Figure 8: Mendelow’s Power</w:t>
      </w:r>
      <w:r>
        <w:rPr>
          <w:rFonts w:ascii="Arial" w:hAnsi="Arial" w:cs="Arial" w:eastAsia="Arial"/>
          <w:i/>
          <w:color w:val="auto"/>
          <w:spacing w:val="0"/>
          <w:position w:val="0"/>
          <w:sz w:val="22"/>
          <w:shd w:fill="auto" w:val="clear"/>
        </w:rPr>
        <w:t xml:space="preserve">–</w:t>
      </w:r>
      <w:r>
        <w:rPr>
          <w:rFonts w:ascii="Arial" w:hAnsi="Arial" w:cs="Arial" w:eastAsia="Arial"/>
          <w:i/>
          <w:color w:val="auto"/>
          <w:spacing w:val="0"/>
          <w:position w:val="0"/>
          <w:sz w:val="22"/>
          <w:shd w:fill="auto" w:val="clear"/>
        </w:rPr>
        <w:t xml:space="preserve">Interest Matrix (Source: </w:t>
      </w:r>
      <w:r>
        <w:rPr>
          <w:rFonts w:ascii="Arial" w:hAnsi="Arial" w:cs="Arial" w:eastAsia="Arial"/>
          <w:i/>
          <w:color w:val="auto"/>
          <w:spacing w:val="0"/>
          <w:position w:val="0"/>
          <w:sz w:val="22"/>
          <w:shd w:fill="FFFFFF" w:val="clear"/>
        </w:rPr>
        <w:t xml:space="preserve">Dessart and Standaert, 2023</w:t>
      </w:r>
      <w:r>
        <w:rPr>
          <w:rFonts w:ascii="Arial" w:hAnsi="Arial" w:cs="Arial" w:eastAsia="Arial"/>
          <w:i/>
          <w:color w:val="auto"/>
          <w:spacing w:val="0"/>
          <w:position w:val="0"/>
          <w:sz w:val="22"/>
          <w:shd w:fill="auto" w:val="clear"/>
        </w:rPr>
        <w:t xml:space="preserve">)</w:t>
      </w:r>
    </w:p>
    <w:tbl>
      <w:tblPr/>
      <w:tblGrid>
        <w:gridCol w:w="1718"/>
        <w:gridCol w:w="3517"/>
        <w:gridCol w:w="4115"/>
      </w:tblGrid>
      <w:tr>
        <w:trPr>
          <w:trHeight w:val="1" w:hRule="atLeast"/>
          <w:jc w:val="left"/>
        </w:trPr>
        <w:tc>
          <w:tcPr>
            <w:tcW w:w="17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Category</w:t>
            </w:r>
          </w:p>
        </w:tc>
        <w:tc>
          <w:tcPr>
            <w:tcW w:w="35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Stakeholders</w:t>
            </w:r>
          </w:p>
        </w:tc>
        <w:tc>
          <w:tcPr>
            <w:tcW w:w="41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Strategic Implication</w:t>
            </w:r>
          </w:p>
        </w:tc>
      </w:tr>
      <w:tr>
        <w:trPr>
          <w:trHeight w:val="1" w:hRule="atLeast"/>
          <w:jc w:val="left"/>
        </w:trPr>
        <w:tc>
          <w:tcPr>
            <w:tcW w:w="17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High Power / High Interest</w:t>
            </w:r>
          </w:p>
        </w:tc>
        <w:tc>
          <w:tcPr>
            <w:tcW w:w="35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Shareholders (Coca-Cola Europe), senior management, and regulatory bodies</w:t>
            </w:r>
          </w:p>
        </w:tc>
        <w:tc>
          <w:tcPr>
            <w:tcW w:w="41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Engage closely through transparent sustainability reporting and financial performance updates.</w:t>
            </w:r>
          </w:p>
        </w:tc>
      </w:tr>
      <w:tr>
        <w:trPr>
          <w:trHeight w:val="1" w:hRule="atLeast"/>
          <w:jc w:val="left"/>
        </w:trPr>
        <w:tc>
          <w:tcPr>
            <w:tcW w:w="17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High Power / Low Interest</w:t>
            </w:r>
          </w:p>
        </w:tc>
        <w:tc>
          <w:tcPr>
            <w:tcW w:w="35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Major retailers, suppliers</w:t>
            </w:r>
          </w:p>
        </w:tc>
        <w:tc>
          <w:tcPr>
            <w:tcW w:w="41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Keep satisfied via contractual partnerships, reliability, and supply-chain ethics.</w:t>
            </w:r>
          </w:p>
        </w:tc>
      </w:tr>
      <w:tr>
        <w:trPr>
          <w:trHeight w:val="1" w:hRule="atLeast"/>
          <w:jc w:val="left"/>
        </w:trPr>
        <w:tc>
          <w:tcPr>
            <w:tcW w:w="17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Low Power / High Interest</w:t>
            </w:r>
          </w:p>
        </w:tc>
        <w:tc>
          <w:tcPr>
            <w:tcW w:w="35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Employees, consumers, local communities</w:t>
            </w:r>
          </w:p>
        </w:tc>
        <w:tc>
          <w:tcPr>
            <w:tcW w:w="41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Keep informed through CSR campaigns, feedback mechanisms, and internal communication.</w:t>
            </w:r>
          </w:p>
        </w:tc>
      </w:tr>
      <w:tr>
        <w:trPr>
          <w:trHeight w:val="1" w:hRule="atLeast"/>
          <w:jc w:val="left"/>
        </w:trPr>
        <w:tc>
          <w:tcPr>
            <w:tcW w:w="17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Low Power / Low Interest</w:t>
            </w:r>
          </w:p>
        </w:tc>
        <w:tc>
          <w:tcPr>
            <w:tcW w:w="35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General public, minor competitors</w:t>
            </w:r>
          </w:p>
        </w:tc>
        <w:tc>
          <w:tcPr>
            <w:tcW w:w="41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Monitor with minimal resource allocation.</w:t>
            </w:r>
          </w:p>
        </w:tc>
      </w:tr>
    </w:tbl>
    <w:p>
      <w:pPr>
        <w:spacing w:before="0" w:after="160" w:line="360"/>
        <w:ind w:right="0" w:left="0" w:firstLine="0"/>
        <w:jc w:val="both"/>
        <w:rPr>
          <w:rFonts w:ascii="Arial" w:hAnsi="Arial" w:cs="Arial" w:eastAsia="Arial"/>
          <w:b/>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Analysis: </w:t>
      </w:r>
      <w:r>
        <w:rPr>
          <w:rFonts w:ascii="Arial" w:hAnsi="Arial" w:cs="Arial" w:eastAsia="Arial"/>
          <w:color w:val="auto"/>
          <w:spacing w:val="0"/>
          <w:position w:val="0"/>
          <w:sz w:val="22"/>
          <w:shd w:fill="auto" w:val="clear"/>
        </w:rPr>
        <w:t xml:space="preserve">The sustainability mission of Innocent is mostly consistent with the expectations of the stakeholders. The pricing and sustainability priorities are dominated by high-power actors (shareholders and retailers), and the ethical reputation is motivated by employees and consumers (</w:t>
      </w:r>
      <w:r>
        <w:rPr>
          <w:rFonts w:ascii="Arial" w:hAnsi="Arial" w:cs="Arial" w:eastAsia="Arial"/>
          <w:color w:val="auto"/>
          <w:spacing w:val="0"/>
          <w:position w:val="0"/>
          <w:sz w:val="22"/>
          <w:shd w:fill="FFFFFF" w:val="clear"/>
        </w:rPr>
        <w:t xml:space="preserve">Dessart and Standaert, 2023</w:t>
      </w:r>
      <w:r>
        <w:rPr>
          <w:rFonts w:ascii="Arial" w:hAnsi="Arial" w:cs="Arial" w:eastAsia="Arial"/>
          <w:color w:val="auto"/>
          <w:spacing w:val="0"/>
          <w:position w:val="0"/>
          <w:sz w:val="22"/>
          <w:shd w:fill="auto" w:val="clear"/>
        </w:rPr>
        <w:t xml:space="preserve">). The successful handling of such relationships defines the strategic acceptability and viability.</w:t>
      </w:r>
    </w:p>
    <w:p>
      <w:pPr>
        <w:spacing w:before="0" w:after="16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6.2 RACI Matrix for Strategic Implementation</w:t>
      </w:r>
    </w:p>
    <w:p>
      <w:pPr>
        <w:spacing w:before="0" w:after="160" w:line="360"/>
        <w:ind w:right="0" w:left="0" w:firstLine="0"/>
        <w:jc w:val="center"/>
        <w:rPr>
          <w:rFonts w:ascii="Arial" w:hAnsi="Arial" w:cs="Arial" w:eastAsia="Arial"/>
          <w:color w:val="auto"/>
          <w:spacing w:val="0"/>
          <w:position w:val="0"/>
          <w:sz w:val="22"/>
          <w:shd w:fill="auto" w:val="clear"/>
        </w:rPr>
      </w:pPr>
      <w:r>
        <w:object w:dxaOrig="10949" w:dyaOrig="3677">
          <v:rect xmlns:o="urn:schemas-microsoft-com:office:office" xmlns:v="urn:schemas-microsoft-com:vml" id="rectole0000000009" style="width:547.450000pt;height:183.85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9" ShapeID="rectole0000000009" r:id="docRId18"/>
        </w:object>
      </w:r>
    </w:p>
    <w:p>
      <w:pPr>
        <w:spacing w:before="0" w:after="160" w:line="360"/>
        <w:ind w:right="0" w:left="0" w:firstLine="0"/>
        <w:jc w:val="center"/>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Figure 9: RACI Matrix (Source: </w:t>
      </w:r>
      <w:r>
        <w:rPr>
          <w:rFonts w:ascii="Arial" w:hAnsi="Arial" w:cs="Arial" w:eastAsia="Arial"/>
          <w:i/>
          <w:color w:val="auto"/>
          <w:spacing w:val="0"/>
          <w:position w:val="0"/>
          <w:sz w:val="22"/>
          <w:shd w:fill="FFFFFF" w:val="clear"/>
        </w:rPr>
        <w:t xml:space="preserve">Dessart and Standaert, 2023</w:t>
      </w:r>
      <w:r>
        <w:rPr>
          <w:rFonts w:ascii="Arial" w:hAnsi="Arial" w:cs="Arial" w:eastAsia="Arial"/>
          <w:i/>
          <w:color w:val="auto"/>
          <w:spacing w:val="0"/>
          <w:position w:val="0"/>
          <w:sz w:val="22"/>
          <w:shd w:fill="auto" w:val="clear"/>
        </w:rPr>
        <w:t xml:space="preserve">)</w:t>
      </w:r>
    </w:p>
    <w:tbl>
      <w:tblPr/>
      <w:tblGrid>
        <w:gridCol w:w="2098"/>
        <w:gridCol w:w="1955"/>
        <w:gridCol w:w="1740"/>
        <w:gridCol w:w="1789"/>
        <w:gridCol w:w="1768"/>
      </w:tblGrid>
      <w:tr>
        <w:trPr>
          <w:trHeight w:val="1" w:hRule="atLeast"/>
          <w:jc w:val="left"/>
        </w:trPr>
        <w:tc>
          <w:tcPr>
            <w:tcW w:w="20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Task</w:t>
            </w:r>
          </w:p>
        </w:tc>
        <w:tc>
          <w:tcPr>
            <w:tcW w:w="19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Responsible</w:t>
            </w:r>
          </w:p>
        </w:tc>
        <w:tc>
          <w:tcPr>
            <w:tcW w:w="17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Accountable</w:t>
            </w:r>
          </w:p>
        </w:tc>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Consulted</w:t>
            </w:r>
          </w:p>
        </w:tc>
        <w:tc>
          <w:tcPr>
            <w:tcW w:w="17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Informed</w:t>
            </w:r>
          </w:p>
        </w:tc>
      </w:tr>
      <w:tr>
        <w:trPr>
          <w:trHeight w:val="1" w:hRule="atLeast"/>
          <w:jc w:val="left"/>
        </w:trPr>
        <w:tc>
          <w:tcPr>
            <w:tcW w:w="20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Sustainable packaging innovation</w:t>
            </w:r>
          </w:p>
        </w:tc>
        <w:tc>
          <w:tcPr>
            <w:tcW w:w="19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Operations team</w:t>
            </w:r>
          </w:p>
        </w:tc>
        <w:tc>
          <w:tcPr>
            <w:tcW w:w="17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Sustainability Director</w:t>
            </w:r>
          </w:p>
        </w:tc>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Suppliers, R&amp;D partners</w:t>
            </w:r>
          </w:p>
        </w:tc>
        <w:tc>
          <w:tcPr>
            <w:tcW w:w="17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Consumers via social media</w:t>
            </w:r>
          </w:p>
        </w:tc>
      </w:tr>
      <w:tr>
        <w:trPr>
          <w:trHeight w:val="1" w:hRule="atLeast"/>
          <w:jc w:val="left"/>
        </w:trPr>
        <w:tc>
          <w:tcPr>
            <w:tcW w:w="20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Market expansion to new regions</w:t>
            </w:r>
          </w:p>
        </w:tc>
        <w:tc>
          <w:tcPr>
            <w:tcW w:w="19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Marketing and Export Manager</w:t>
            </w:r>
          </w:p>
        </w:tc>
        <w:tc>
          <w:tcPr>
            <w:tcW w:w="17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CEO</w:t>
            </w:r>
          </w:p>
        </w:tc>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Distributors, Regulators</w:t>
            </w:r>
          </w:p>
        </w:tc>
        <w:tc>
          <w:tcPr>
            <w:tcW w:w="17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Employees, Customers</w:t>
            </w:r>
          </w:p>
        </w:tc>
      </w:tr>
      <w:tr>
        <w:trPr>
          <w:trHeight w:val="1" w:hRule="atLeast"/>
          <w:jc w:val="left"/>
        </w:trPr>
        <w:tc>
          <w:tcPr>
            <w:tcW w:w="20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Product innovation (functional beverages)</w:t>
            </w:r>
          </w:p>
        </w:tc>
        <w:tc>
          <w:tcPr>
            <w:tcW w:w="19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R&amp;D Team</w:t>
            </w:r>
          </w:p>
        </w:tc>
        <w:tc>
          <w:tcPr>
            <w:tcW w:w="17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Product Director</w:t>
            </w:r>
          </w:p>
        </w:tc>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Nutritionists, Marketing</w:t>
            </w:r>
          </w:p>
        </w:tc>
        <w:tc>
          <w:tcPr>
            <w:tcW w:w="17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Retail Partners</w:t>
            </w:r>
          </w:p>
        </w:tc>
      </w:tr>
      <w:tr>
        <w:trPr>
          <w:trHeight w:val="1" w:hRule="atLeast"/>
          <w:jc w:val="left"/>
        </w:trPr>
        <w:tc>
          <w:tcPr>
            <w:tcW w:w="20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Net-zero initiative</w:t>
            </w:r>
          </w:p>
        </w:tc>
        <w:tc>
          <w:tcPr>
            <w:tcW w:w="19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CSR Department</w:t>
            </w:r>
          </w:p>
        </w:tc>
        <w:tc>
          <w:tcPr>
            <w:tcW w:w="17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Managing Director</w:t>
            </w:r>
          </w:p>
        </w:tc>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NGOs, Energy Consultants</w:t>
            </w:r>
          </w:p>
        </w:tc>
        <w:tc>
          <w:tcPr>
            <w:tcW w:w="17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Employees, Public</w:t>
            </w:r>
          </w:p>
        </w:tc>
      </w:tr>
    </w:tbl>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RACI model also makes accountability clear and coordinates activities across departments, which is crucial to SMEs when the lack of resources can slow down the implementation of strategic plans.</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259"/>
        <w:ind w:right="0" w:left="0" w:firstLine="0"/>
        <w:jc w:val="left"/>
        <w:rPr>
          <w:rFonts w:ascii="Arial" w:hAnsi="Arial" w:cs="Arial" w:eastAsia="Arial"/>
          <w:b/>
          <w:color w:val="auto"/>
          <w:spacing w:val="0"/>
          <w:position w:val="0"/>
          <w:sz w:val="28"/>
          <w:shd w:fill="auto" w:val="clear"/>
        </w:rPr>
      </w:pPr>
    </w:p>
    <w:p>
      <w:pPr>
        <w:spacing w:before="0" w:after="160" w:line="36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7. Key Strategic Recommendations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Based on the above analyses, the following recommendations are put forward to carry on with the growth and competitiveness of Innocent Drinks: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Diversify Product Portfolio</w:t>
      </w:r>
    </w:p>
    <w:p>
      <w:pPr>
        <w:numPr>
          <w:ilvl w:val="0"/>
          <w:numId w:val="142"/>
        </w:numPr>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Extend functional beverage products that have vitamins, probiotics and plant proteins to address the wellness segment.</w:t>
      </w:r>
    </w:p>
    <w:p>
      <w:pPr>
        <w:numPr>
          <w:ilvl w:val="0"/>
          <w:numId w:val="142"/>
        </w:numPr>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introduce smaller and cheaper packaging to target low-end consumers without losing premium status.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Strengthen Supply Chain Resilience</w:t>
      </w:r>
    </w:p>
    <w:p>
      <w:pPr>
        <w:numPr>
          <w:ilvl w:val="0"/>
          <w:numId w:val="144"/>
        </w:numPr>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Make long-term agreements with various regional suppliers of the fruits to minimise climatic and geopolitical risks (</w:t>
      </w:r>
      <w:r>
        <w:rPr>
          <w:rFonts w:ascii="Arial" w:hAnsi="Arial" w:cs="Arial" w:eastAsia="Arial"/>
          <w:color w:val="auto"/>
          <w:spacing w:val="0"/>
          <w:position w:val="0"/>
          <w:sz w:val="22"/>
          <w:shd w:fill="FFFFFF" w:val="clear"/>
        </w:rPr>
        <w:t xml:space="preserve">Chia and Mackay, 2023</w:t>
      </w:r>
      <w:r>
        <w:rPr>
          <w:rFonts w:ascii="Arial" w:hAnsi="Arial" w:cs="Arial" w:eastAsia="Arial"/>
          <w:color w:val="auto"/>
          <w:spacing w:val="0"/>
          <w:position w:val="0"/>
          <w:sz w:val="22"/>
          <w:shd w:fill="auto" w:val="clear"/>
        </w:rPr>
        <w:t xml:space="preserve">).</w:t>
      </w:r>
    </w:p>
    <w:p>
      <w:pPr>
        <w:numPr>
          <w:ilvl w:val="0"/>
          <w:numId w:val="144"/>
        </w:numPr>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Consider local sourcing in Europe to reduce the dependency on imports and carbon footprint.</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Accelerate Sustainability Innovation</w:t>
      </w:r>
    </w:p>
    <w:p>
      <w:pPr>
        <w:numPr>
          <w:ilvl w:val="0"/>
          <w:numId w:val="146"/>
        </w:numPr>
        <w:tabs>
          <w:tab w:val="left" w:pos="360" w:leader="none"/>
        </w:tabs>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Invest in biodegradable packaging and a renewable energy production plant.</w:t>
      </w:r>
    </w:p>
    <w:p>
      <w:pPr>
        <w:numPr>
          <w:ilvl w:val="0"/>
          <w:numId w:val="146"/>
        </w:numPr>
        <w:tabs>
          <w:tab w:val="left" w:pos="360" w:leader="none"/>
        </w:tabs>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Issue open ESG (Environmental, Social and Governance) reports to increase credibility and investor confidence.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Enhance Digital Engagement</w:t>
      </w:r>
    </w:p>
    <w:p>
      <w:pPr>
        <w:numPr>
          <w:ilvl w:val="0"/>
          <w:numId w:val="148"/>
        </w:numPr>
        <w:tabs>
          <w:tab w:val="left" w:pos="360" w:leader="none"/>
        </w:tabs>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Use AI-based customer analytics to market and recommend products to individuals.</w:t>
      </w:r>
    </w:p>
    <w:p>
      <w:pPr>
        <w:numPr>
          <w:ilvl w:val="0"/>
          <w:numId w:val="148"/>
        </w:numPr>
        <w:tabs>
          <w:tab w:val="left" w:pos="360" w:leader="none"/>
        </w:tabs>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Grow D2C with e-commerce communities to increase the variety of the revenue stream and consumer data information.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Foster Organisational Agility</w:t>
      </w:r>
    </w:p>
    <w:p>
      <w:pPr>
        <w:numPr>
          <w:ilvl w:val="0"/>
          <w:numId w:val="150"/>
        </w:numPr>
        <w:tabs>
          <w:tab w:val="left" w:pos="360" w:leader="none"/>
        </w:tabs>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Ensuring SME flexibility in its decisions through cross-functional teams, which make quick decisions (</w:t>
      </w:r>
      <w:r>
        <w:rPr>
          <w:rFonts w:ascii="Arial" w:hAnsi="Arial" w:cs="Arial" w:eastAsia="Arial"/>
          <w:color w:val="auto"/>
          <w:spacing w:val="0"/>
          <w:position w:val="0"/>
          <w:sz w:val="22"/>
          <w:shd w:fill="FFFFFF" w:val="clear"/>
        </w:rPr>
        <w:t xml:space="preserve">Hope and Laasch, 2024</w:t>
      </w:r>
      <w:r>
        <w:rPr>
          <w:rFonts w:ascii="Arial" w:hAnsi="Arial" w:cs="Arial" w:eastAsia="Arial"/>
          <w:color w:val="auto"/>
          <w:spacing w:val="0"/>
          <w:position w:val="0"/>
          <w:sz w:val="22"/>
          <w:shd w:fill="auto" w:val="clear"/>
        </w:rPr>
        <w:t xml:space="preserve">).</w:t>
      </w:r>
    </w:p>
    <w:p>
      <w:pPr>
        <w:numPr>
          <w:ilvl w:val="0"/>
          <w:numId w:val="150"/>
        </w:numPr>
        <w:tabs>
          <w:tab w:val="left" w:pos="360" w:leader="none"/>
        </w:tabs>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Arbitrate continuous training programmes to develop creativity and sustainability leadership among the employees.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Financial and Operational Efficiency</w:t>
      </w:r>
    </w:p>
    <w:p>
      <w:pPr>
        <w:numPr>
          <w:ilvl w:val="0"/>
          <w:numId w:val="152"/>
        </w:numPr>
        <w:tabs>
          <w:tab w:val="left" w:pos="360" w:leader="none"/>
        </w:tabs>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Use Lean Management to minimise wastes during production and logistics (</w:t>
      </w:r>
      <w:r>
        <w:rPr>
          <w:rFonts w:ascii="Arial" w:hAnsi="Arial" w:cs="Arial" w:eastAsia="Arial"/>
          <w:color w:val="auto"/>
          <w:spacing w:val="0"/>
          <w:position w:val="0"/>
          <w:sz w:val="22"/>
          <w:shd w:fill="FFFFFF" w:val="clear"/>
        </w:rPr>
        <w:t xml:space="preserve">Awuchi, 2023</w:t>
      </w:r>
      <w:r>
        <w:rPr>
          <w:rFonts w:ascii="Arial" w:hAnsi="Arial" w:cs="Arial" w:eastAsia="Arial"/>
          <w:color w:val="auto"/>
          <w:spacing w:val="0"/>
          <w:position w:val="0"/>
          <w:sz w:val="22"/>
          <w:shd w:fill="auto" w:val="clear"/>
        </w:rPr>
        <w:t xml:space="preserve">).</w:t>
      </w:r>
    </w:p>
    <w:p>
      <w:pPr>
        <w:numPr>
          <w:ilvl w:val="0"/>
          <w:numId w:val="152"/>
        </w:numPr>
        <w:tabs>
          <w:tab w:val="left" w:pos="360" w:leader="none"/>
        </w:tabs>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Implement in-house cost-control measures without jeopardising ethical sourcing.</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Strategic Partnerships</w:t>
      </w:r>
    </w:p>
    <w:p>
      <w:pPr>
        <w:numPr>
          <w:ilvl w:val="0"/>
          <w:numId w:val="154"/>
        </w:numPr>
        <w:tabs>
          <w:tab w:val="left" w:pos="360" w:leader="none"/>
        </w:tabs>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Establish partnerships with non-governmental organisations that are health-focused in nutrition research and sustainability projects (</w:t>
      </w:r>
      <w:r>
        <w:rPr>
          <w:rFonts w:ascii="Arial" w:hAnsi="Arial" w:cs="Arial" w:eastAsia="Arial"/>
          <w:color w:val="auto"/>
          <w:spacing w:val="0"/>
          <w:position w:val="0"/>
          <w:sz w:val="22"/>
          <w:shd w:fill="FFFFFF" w:val="clear"/>
        </w:rPr>
        <w:t xml:space="preserve">Koerniawan, 2024</w:t>
      </w:r>
      <w:r>
        <w:rPr>
          <w:rFonts w:ascii="Arial" w:hAnsi="Arial" w:cs="Arial" w:eastAsia="Arial"/>
          <w:color w:val="auto"/>
          <w:spacing w:val="0"/>
          <w:position w:val="0"/>
          <w:sz w:val="22"/>
          <w:shd w:fill="auto" w:val="clear"/>
        </w:rPr>
        <w:t xml:space="preserve">).</w:t>
      </w:r>
    </w:p>
    <w:p>
      <w:pPr>
        <w:numPr>
          <w:ilvl w:val="0"/>
          <w:numId w:val="154"/>
        </w:numPr>
        <w:tabs>
          <w:tab w:val="left" w:pos="360" w:leader="none"/>
        </w:tabs>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Work together with eco-start-ups to get circular-economy packaging solutions.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Risk Management and Governance</w:t>
      </w:r>
    </w:p>
    <w:p>
      <w:pPr>
        <w:numPr>
          <w:ilvl w:val="0"/>
          <w:numId w:val="156"/>
        </w:numPr>
        <w:tabs>
          <w:tab w:val="left" w:pos="360" w:leader="none"/>
        </w:tabs>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Create a special Risk and Sustainability Committee to oversee the supply, regulatory and reputational risks (</w:t>
      </w:r>
      <w:r>
        <w:rPr>
          <w:rFonts w:ascii="Arial" w:hAnsi="Arial" w:cs="Arial" w:eastAsia="Arial"/>
          <w:color w:val="auto"/>
          <w:spacing w:val="0"/>
          <w:position w:val="0"/>
          <w:sz w:val="22"/>
          <w:shd w:fill="FFFFFF" w:val="clear"/>
        </w:rPr>
        <w:t xml:space="preserve">Biswas et al. 2025</w:t>
      </w:r>
      <w:r>
        <w:rPr>
          <w:rFonts w:ascii="Arial" w:hAnsi="Arial" w:cs="Arial" w:eastAsia="Arial"/>
          <w:color w:val="auto"/>
          <w:spacing w:val="0"/>
          <w:position w:val="0"/>
          <w:sz w:val="22"/>
          <w:shd w:fill="auto" w:val="clear"/>
        </w:rPr>
        <w:t xml:space="preserve">).</w:t>
      </w:r>
    </w:p>
    <w:p>
      <w:pPr>
        <w:numPr>
          <w:ilvl w:val="0"/>
          <w:numId w:val="156"/>
        </w:numPr>
        <w:tabs>
          <w:tab w:val="left" w:pos="360" w:leader="none"/>
        </w:tabs>
        <w:spacing w:before="0" w:after="160" w:line="360"/>
        <w:ind w:right="0" w:left="36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Adopt scenario planning to predict economic or environmental shocks.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these recommendations are a guarantee of sustainability, scalability and resiliency. That is possible considering the brand resources of Innocent and compliant with the SAF requirements (Suitability, Acceptability, Feasibility). The appropriateness is based on alignment with the market trends, acceptability on the part of the stakeholders and feasibility based on the financial and organisational capacities that are available to Innocent.</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259"/>
        <w:ind w:right="0" w:left="0" w:firstLine="0"/>
        <w:jc w:val="left"/>
        <w:rPr>
          <w:rFonts w:ascii="Arial" w:hAnsi="Arial" w:cs="Arial" w:eastAsia="Arial"/>
          <w:b/>
          <w:color w:val="auto"/>
          <w:spacing w:val="0"/>
          <w:position w:val="0"/>
          <w:sz w:val="32"/>
          <w:shd w:fill="auto" w:val="clear"/>
        </w:rPr>
      </w:pPr>
    </w:p>
    <w:p>
      <w:pPr>
        <w:spacing w:before="0" w:after="160" w:line="36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8. Conclusion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report was a critical evaluation of the strategic direction and environmental positioning of Innocent Drinks Ltd, where the fundamental strategic management concepts were used to define the sustainable growth paths. The mission of the company, which is in the promotion of health and environmental responsibility, gives the company good differentiation and involvement of stakeholders. With the suggestions presented in the research on diversification, technological innovativeness, digital expansion, and agile governance, Innocent will be able to consolidate its dominance in the UK and EU health-beverage market while preserving the foundation principles of its ethics. Such SMEs like Innocent will be able to achieve both sustainability and success once profit generation and environmental care, and social contribution are put on par.</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internal analysis showed that the company has valuable brand equity, an innovative culture and a sustainability-oriented value chain, whereas the external scan has identified economic volatility and competitive intensity as a challenge. Using the Matrix by Ansoff, the strategies by Porter, as well as the stakeholder assessment, it became clear that product development, market expansion, and supply-chain resilience represent the most realistic opportunities for the future growth.</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259"/>
        <w:ind w:right="0" w:left="0" w:firstLine="0"/>
        <w:jc w:val="left"/>
        <w:rPr>
          <w:rFonts w:ascii="Arial" w:hAnsi="Arial" w:cs="Arial" w:eastAsia="Arial"/>
          <w:b/>
          <w:color w:val="auto"/>
          <w:spacing w:val="0"/>
          <w:position w:val="0"/>
          <w:sz w:val="28"/>
          <w:shd w:fill="auto" w:val="clear"/>
        </w:rPr>
      </w:pPr>
    </w:p>
    <w:p>
      <w:pPr>
        <w:spacing w:before="0" w:after="160" w:line="36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References</w:t>
      </w:r>
    </w:p>
    <w:p>
      <w:pPr>
        <w:spacing w:before="0" w:after="160" w:line="360"/>
        <w:ind w:right="0"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Allen, L.N., 2022. Trust, but Verify: Comment on"‘Part of the Solution’: Food Corporation Strategies for Regulatory Capture and Legitimacy". </w:t>
      </w:r>
      <w:r>
        <w:rPr>
          <w:rFonts w:ascii="Arial" w:hAnsi="Arial" w:cs="Arial" w:eastAsia="Arial"/>
          <w:i/>
          <w:color w:val="auto"/>
          <w:spacing w:val="0"/>
          <w:position w:val="0"/>
          <w:sz w:val="22"/>
          <w:shd w:fill="FFFFFF" w:val="clear"/>
        </w:rPr>
        <w:t xml:space="preserve">International Journal of Health Policy and Management</w:t>
      </w:r>
      <w:r>
        <w:rPr>
          <w:rFonts w:ascii="Arial" w:hAnsi="Arial" w:cs="Arial" w:eastAsia="Arial"/>
          <w:color w:val="auto"/>
          <w:spacing w:val="0"/>
          <w:position w:val="0"/>
          <w:sz w:val="22"/>
          <w:shd w:fill="FFFFFF" w:val="clear"/>
        </w:rPr>
        <w:t xml:space="preserve">, </w:t>
      </w:r>
      <w:r>
        <w:rPr>
          <w:rFonts w:ascii="Arial" w:hAnsi="Arial" w:cs="Arial" w:eastAsia="Arial"/>
          <w:i/>
          <w:color w:val="auto"/>
          <w:spacing w:val="0"/>
          <w:position w:val="0"/>
          <w:sz w:val="22"/>
          <w:shd w:fill="FFFFFF" w:val="clear"/>
        </w:rPr>
        <w:t xml:space="preserve">11</w:t>
      </w:r>
      <w:r>
        <w:rPr>
          <w:rFonts w:ascii="Arial" w:hAnsi="Arial" w:cs="Arial" w:eastAsia="Arial"/>
          <w:color w:val="auto"/>
          <w:spacing w:val="0"/>
          <w:position w:val="0"/>
          <w:sz w:val="22"/>
          <w:shd w:fill="FFFFFF" w:val="clear"/>
        </w:rPr>
        <w:t xml:space="preserve">(11), p.2727.</w:t>
      </w:r>
    </w:p>
    <w:p>
      <w:pPr>
        <w:spacing w:before="0" w:after="160" w:line="360"/>
        <w:ind w:right="0"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Argenti, P.A., 2022. Integrating multiple voices when crafting a corporate brand narrative. In </w:t>
      </w:r>
      <w:r>
        <w:rPr>
          <w:rFonts w:ascii="Arial" w:hAnsi="Arial" w:cs="Arial" w:eastAsia="Arial"/>
          <w:i/>
          <w:color w:val="auto"/>
          <w:spacing w:val="0"/>
          <w:position w:val="0"/>
          <w:sz w:val="22"/>
          <w:shd w:fill="FFFFFF" w:val="clear"/>
        </w:rPr>
        <w:t xml:space="preserve">The Routledge Companion to Corporate Branding</w:t>
      </w:r>
      <w:r>
        <w:rPr>
          <w:rFonts w:ascii="Arial" w:hAnsi="Arial" w:cs="Arial" w:eastAsia="Arial"/>
          <w:color w:val="auto"/>
          <w:spacing w:val="0"/>
          <w:position w:val="0"/>
          <w:sz w:val="22"/>
          <w:shd w:fill="FFFFFF" w:val="clear"/>
        </w:rPr>
        <w:t xml:space="preserve"> (pp. 259-280). Routledge.</w:t>
      </w:r>
    </w:p>
    <w:p>
      <w:pPr>
        <w:spacing w:before="0" w:after="160" w:line="360"/>
        <w:ind w:right="0"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Awuchi, C.G., 2023. HACCP, quality, and food safety management in food and agricultural systems. </w:t>
      </w:r>
      <w:r>
        <w:rPr>
          <w:rFonts w:ascii="Arial" w:hAnsi="Arial" w:cs="Arial" w:eastAsia="Arial"/>
          <w:i/>
          <w:color w:val="auto"/>
          <w:spacing w:val="0"/>
          <w:position w:val="0"/>
          <w:sz w:val="22"/>
          <w:shd w:fill="FFFFFF" w:val="clear"/>
        </w:rPr>
        <w:t xml:space="preserve">Cogent Food &amp; Agriculture</w:t>
      </w:r>
      <w:r>
        <w:rPr>
          <w:rFonts w:ascii="Arial" w:hAnsi="Arial" w:cs="Arial" w:eastAsia="Arial"/>
          <w:color w:val="auto"/>
          <w:spacing w:val="0"/>
          <w:position w:val="0"/>
          <w:sz w:val="22"/>
          <w:shd w:fill="FFFFFF" w:val="clear"/>
        </w:rPr>
        <w:t xml:space="preserve">, </w:t>
      </w:r>
      <w:r>
        <w:rPr>
          <w:rFonts w:ascii="Arial" w:hAnsi="Arial" w:cs="Arial" w:eastAsia="Arial"/>
          <w:i/>
          <w:color w:val="auto"/>
          <w:spacing w:val="0"/>
          <w:position w:val="0"/>
          <w:sz w:val="22"/>
          <w:shd w:fill="FFFFFF" w:val="clear"/>
        </w:rPr>
        <w:t xml:space="preserve">9</w:t>
      </w:r>
      <w:r>
        <w:rPr>
          <w:rFonts w:ascii="Arial" w:hAnsi="Arial" w:cs="Arial" w:eastAsia="Arial"/>
          <w:color w:val="auto"/>
          <w:spacing w:val="0"/>
          <w:position w:val="0"/>
          <w:sz w:val="22"/>
          <w:shd w:fill="FFFFFF" w:val="clear"/>
        </w:rPr>
        <w:t xml:space="preserve">(1), p.2176280.</w:t>
      </w:r>
    </w:p>
    <w:p>
      <w:pPr>
        <w:spacing w:before="0" w:after="160" w:line="360"/>
        <w:ind w:right="0"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Bakker, J.D., Datta, N., De Lyon, J., Opitz, L. and Yang, D., 2022. </w:t>
      </w:r>
      <w:r>
        <w:rPr>
          <w:rFonts w:ascii="Arial" w:hAnsi="Arial" w:cs="Arial" w:eastAsia="Arial"/>
          <w:i/>
          <w:color w:val="auto"/>
          <w:spacing w:val="0"/>
          <w:position w:val="0"/>
          <w:sz w:val="22"/>
          <w:shd w:fill="FFFFFF" w:val="clear"/>
        </w:rPr>
        <w:t xml:space="preserve">Post-Brexit imports, supply chains, and the effect on consumer prices</w:t>
      </w:r>
      <w:r>
        <w:rPr>
          <w:rFonts w:ascii="Arial" w:hAnsi="Arial" w:cs="Arial" w:eastAsia="Arial"/>
          <w:color w:val="auto"/>
          <w:spacing w:val="0"/>
          <w:position w:val="0"/>
          <w:sz w:val="22"/>
          <w:shd w:fill="FFFFFF" w:val="clear"/>
        </w:rPr>
        <w:t xml:space="preserve">. UK in a Changing Europe.</w:t>
      </w:r>
    </w:p>
    <w:p>
      <w:pPr>
        <w:spacing w:before="0" w:after="160" w:line="360"/>
        <w:ind w:right="0"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Benett, A., Gobhai, C., O'Reilly, A. and Welch, G., 2025. </w:t>
      </w:r>
      <w:r>
        <w:rPr>
          <w:rFonts w:ascii="Arial" w:hAnsi="Arial" w:cs="Arial" w:eastAsia="Arial"/>
          <w:i/>
          <w:color w:val="auto"/>
          <w:spacing w:val="0"/>
          <w:position w:val="0"/>
          <w:sz w:val="22"/>
          <w:shd w:fill="FFFFFF" w:val="clear"/>
        </w:rPr>
        <w:t xml:space="preserve">Good for business: the rise of the conscious corporation</w:t>
      </w:r>
      <w:r>
        <w:rPr>
          <w:rFonts w:ascii="Arial" w:hAnsi="Arial" w:cs="Arial" w:eastAsia="Arial"/>
          <w:color w:val="auto"/>
          <w:spacing w:val="0"/>
          <w:position w:val="0"/>
          <w:sz w:val="22"/>
          <w:shd w:fill="FFFFFF" w:val="clear"/>
        </w:rPr>
        <w:t xml:space="preserve">. Macmillan+ ORM.</w:t>
      </w:r>
    </w:p>
    <w:p>
      <w:pPr>
        <w:spacing w:before="0" w:after="160" w:line="360"/>
        <w:ind w:right="0"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Biswas, D., Chakraborty, D. and Manna, A., 2025. </w:t>
      </w:r>
      <w:r>
        <w:rPr>
          <w:rFonts w:ascii="Arial" w:hAnsi="Arial" w:cs="Arial" w:eastAsia="Arial"/>
          <w:i/>
          <w:color w:val="auto"/>
          <w:spacing w:val="0"/>
          <w:position w:val="0"/>
          <w:sz w:val="22"/>
          <w:shd w:fill="FFFFFF" w:val="clear"/>
        </w:rPr>
        <w:t xml:space="preserve">Food Marketing and Labelling: A Practical Guide</w:t>
      </w:r>
      <w:r>
        <w:rPr>
          <w:rFonts w:ascii="Arial" w:hAnsi="Arial" w:cs="Arial" w:eastAsia="Arial"/>
          <w:color w:val="auto"/>
          <w:spacing w:val="0"/>
          <w:position w:val="0"/>
          <w:sz w:val="22"/>
          <w:shd w:fill="FFFFFF" w:val="clear"/>
        </w:rPr>
        <w:t xml:space="preserve">. CRC Press.</w:t>
      </w:r>
    </w:p>
    <w:p>
      <w:pPr>
        <w:spacing w:before="0" w:after="160" w:line="360"/>
        <w:ind w:right="0"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Bower, J., 2022. Varieties of capitalism, competition policy and the UK alcoholic beverages industry. In </w:t>
      </w:r>
      <w:r>
        <w:rPr>
          <w:rFonts w:ascii="Arial" w:hAnsi="Arial" w:cs="Arial" w:eastAsia="Arial"/>
          <w:i/>
          <w:color w:val="auto"/>
          <w:spacing w:val="0"/>
          <w:position w:val="0"/>
          <w:sz w:val="22"/>
          <w:shd w:fill="FFFFFF" w:val="clear"/>
        </w:rPr>
        <w:t xml:space="preserve">Varieties of Capitalism Over Time</w:t>
      </w:r>
      <w:r>
        <w:rPr>
          <w:rFonts w:ascii="Arial" w:hAnsi="Arial" w:cs="Arial" w:eastAsia="Arial"/>
          <w:color w:val="auto"/>
          <w:spacing w:val="0"/>
          <w:position w:val="0"/>
          <w:sz w:val="22"/>
          <w:shd w:fill="FFFFFF" w:val="clear"/>
        </w:rPr>
        <w:t xml:space="preserve"> (pp. 155-174). Routledge.</w:t>
      </w:r>
    </w:p>
    <w:p>
      <w:pPr>
        <w:spacing w:before="0" w:after="160" w:line="360"/>
        <w:ind w:right="0"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Chia, R.C. and Mackay, D., 2023. </w:t>
      </w:r>
      <w:r>
        <w:rPr>
          <w:rFonts w:ascii="Arial" w:hAnsi="Arial" w:cs="Arial" w:eastAsia="Arial"/>
          <w:i/>
          <w:color w:val="auto"/>
          <w:spacing w:val="0"/>
          <w:position w:val="0"/>
          <w:sz w:val="22"/>
          <w:shd w:fill="FFFFFF" w:val="clear"/>
        </w:rPr>
        <w:t xml:space="preserve">Strategy-in-practices: A process-philosophical perspective on strategy-making</w:t>
      </w:r>
      <w:r>
        <w:rPr>
          <w:rFonts w:ascii="Arial" w:hAnsi="Arial" w:cs="Arial" w:eastAsia="Arial"/>
          <w:color w:val="auto"/>
          <w:spacing w:val="0"/>
          <w:position w:val="0"/>
          <w:sz w:val="22"/>
          <w:shd w:fill="FFFFFF" w:val="clear"/>
        </w:rPr>
        <w:t xml:space="preserve">. Cambridge University Press.</w:t>
      </w:r>
    </w:p>
    <w:p>
      <w:pPr>
        <w:spacing w:before="0" w:after="160" w:line="360"/>
        <w:ind w:right="0"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Dessart, L. and Standaert, W., 2023. Strategic storytelling in the age of sustainability. </w:t>
      </w:r>
      <w:r>
        <w:rPr>
          <w:rFonts w:ascii="Arial" w:hAnsi="Arial" w:cs="Arial" w:eastAsia="Arial"/>
          <w:i/>
          <w:color w:val="auto"/>
          <w:spacing w:val="0"/>
          <w:position w:val="0"/>
          <w:sz w:val="22"/>
          <w:shd w:fill="FFFFFF" w:val="clear"/>
        </w:rPr>
        <w:t xml:space="preserve">Business Horizons</w:t>
      </w:r>
      <w:r>
        <w:rPr>
          <w:rFonts w:ascii="Arial" w:hAnsi="Arial" w:cs="Arial" w:eastAsia="Arial"/>
          <w:color w:val="auto"/>
          <w:spacing w:val="0"/>
          <w:position w:val="0"/>
          <w:sz w:val="22"/>
          <w:shd w:fill="FFFFFF" w:val="clear"/>
        </w:rPr>
        <w:t xml:space="preserve">, </w:t>
      </w:r>
      <w:r>
        <w:rPr>
          <w:rFonts w:ascii="Arial" w:hAnsi="Arial" w:cs="Arial" w:eastAsia="Arial"/>
          <w:i/>
          <w:color w:val="auto"/>
          <w:spacing w:val="0"/>
          <w:position w:val="0"/>
          <w:sz w:val="22"/>
          <w:shd w:fill="FFFFFF" w:val="clear"/>
        </w:rPr>
        <w:t xml:space="preserve">66</w:t>
      </w:r>
      <w:r>
        <w:rPr>
          <w:rFonts w:ascii="Arial" w:hAnsi="Arial" w:cs="Arial" w:eastAsia="Arial"/>
          <w:color w:val="auto"/>
          <w:spacing w:val="0"/>
          <w:position w:val="0"/>
          <w:sz w:val="22"/>
          <w:shd w:fill="FFFFFF" w:val="clear"/>
        </w:rPr>
        <w:t xml:space="preserve">(3), pp.371-385.</w:t>
      </w:r>
    </w:p>
    <w:p>
      <w:pPr>
        <w:spacing w:before="0" w:after="160" w:line="360"/>
        <w:ind w:right="0"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Farhang, H., 2022. </w:t>
      </w:r>
      <w:r>
        <w:rPr>
          <w:rFonts w:ascii="Arial" w:hAnsi="Arial" w:cs="Arial" w:eastAsia="Arial"/>
          <w:i/>
          <w:color w:val="auto"/>
          <w:spacing w:val="0"/>
          <w:position w:val="0"/>
          <w:sz w:val="22"/>
          <w:shd w:fill="FFFFFF" w:val="clear"/>
        </w:rPr>
        <w:t xml:space="preserve">The effectiveness of B Corp certifications on companies’ performance: UK Ecosystem</w:t>
      </w:r>
      <w:r>
        <w:rPr>
          <w:rFonts w:ascii="Arial" w:hAnsi="Arial" w:cs="Arial" w:eastAsia="Arial"/>
          <w:color w:val="auto"/>
          <w:spacing w:val="0"/>
          <w:position w:val="0"/>
          <w:sz w:val="22"/>
          <w:shd w:fill="FFFFFF" w:val="clear"/>
        </w:rPr>
        <w:t xml:space="preserve"> (Doctoral dissertation, Politecnico di Torino).</w:t>
      </w:r>
    </w:p>
    <w:p>
      <w:pPr>
        <w:spacing w:before="0" w:after="160" w:line="360"/>
        <w:ind w:right="0"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Fontanelli, F., 2023. The law of UK trade with the EU and the world after Brexit. </w:t>
      </w:r>
      <w:r>
        <w:rPr>
          <w:rFonts w:ascii="Arial" w:hAnsi="Arial" w:cs="Arial" w:eastAsia="Arial"/>
          <w:i/>
          <w:color w:val="auto"/>
          <w:spacing w:val="0"/>
          <w:position w:val="0"/>
          <w:sz w:val="22"/>
          <w:shd w:fill="FFFFFF" w:val="clear"/>
        </w:rPr>
        <w:t xml:space="preserve">King's Law Journal</w:t>
      </w:r>
      <w:r>
        <w:rPr>
          <w:rFonts w:ascii="Arial" w:hAnsi="Arial" w:cs="Arial" w:eastAsia="Arial"/>
          <w:color w:val="auto"/>
          <w:spacing w:val="0"/>
          <w:position w:val="0"/>
          <w:sz w:val="22"/>
          <w:shd w:fill="FFFFFF" w:val="clear"/>
        </w:rPr>
        <w:t xml:space="preserve">, </w:t>
      </w:r>
      <w:r>
        <w:rPr>
          <w:rFonts w:ascii="Arial" w:hAnsi="Arial" w:cs="Arial" w:eastAsia="Arial"/>
          <w:i/>
          <w:color w:val="auto"/>
          <w:spacing w:val="0"/>
          <w:position w:val="0"/>
          <w:sz w:val="22"/>
          <w:shd w:fill="FFFFFF" w:val="clear"/>
        </w:rPr>
        <w:t xml:space="preserve">34</w:t>
      </w:r>
      <w:r>
        <w:rPr>
          <w:rFonts w:ascii="Arial" w:hAnsi="Arial" w:cs="Arial" w:eastAsia="Arial"/>
          <w:color w:val="auto"/>
          <w:spacing w:val="0"/>
          <w:position w:val="0"/>
          <w:sz w:val="22"/>
          <w:shd w:fill="FFFFFF" w:val="clear"/>
        </w:rPr>
        <w:t xml:space="preserve">(1), pp.3-29.</w:t>
      </w:r>
    </w:p>
    <w:p>
      <w:pPr>
        <w:spacing w:before="0" w:after="160" w:line="360"/>
        <w:ind w:right="0"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Hope, A. and Laasch, O., 2024. </w:t>
      </w:r>
      <w:r>
        <w:rPr>
          <w:rFonts w:ascii="Arial" w:hAnsi="Arial" w:cs="Arial" w:eastAsia="Arial"/>
          <w:i/>
          <w:color w:val="auto"/>
          <w:spacing w:val="0"/>
          <w:position w:val="0"/>
          <w:sz w:val="22"/>
          <w:shd w:fill="FFFFFF" w:val="clear"/>
        </w:rPr>
        <w:t xml:space="preserve">Responsible Business: Foundations of Ethical and Sustainable Management</w:t>
      </w:r>
      <w:r>
        <w:rPr>
          <w:rFonts w:ascii="Arial" w:hAnsi="Arial" w:cs="Arial" w:eastAsia="Arial"/>
          <w:color w:val="auto"/>
          <w:spacing w:val="0"/>
          <w:position w:val="0"/>
          <w:sz w:val="22"/>
          <w:shd w:fill="FFFFFF" w:val="clear"/>
        </w:rPr>
        <w:t xml:space="preserve">. Routledge.</w:t>
      </w:r>
    </w:p>
    <w:p>
      <w:pPr>
        <w:spacing w:before="0" w:after="160" w:line="360"/>
        <w:ind w:right="0"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Hossain, M.S., Hussain, K., Kannan, S. and Kunju Raman Nair, S.K., 2022. Determinants of sustainable competitive advantage from the resource-based view: implications for hotel industry. </w:t>
      </w:r>
      <w:r>
        <w:rPr>
          <w:rFonts w:ascii="Arial" w:hAnsi="Arial" w:cs="Arial" w:eastAsia="Arial"/>
          <w:i/>
          <w:color w:val="auto"/>
          <w:spacing w:val="0"/>
          <w:position w:val="0"/>
          <w:sz w:val="22"/>
          <w:shd w:fill="FFFFFF" w:val="clear"/>
        </w:rPr>
        <w:t xml:space="preserve">Journal of Hospitality and Tourism Insights</w:t>
      </w:r>
      <w:r>
        <w:rPr>
          <w:rFonts w:ascii="Arial" w:hAnsi="Arial" w:cs="Arial" w:eastAsia="Arial"/>
          <w:color w:val="auto"/>
          <w:spacing w:val="0"/>
          <w:position w:val="0"/>
          <w:sz w:val="22"/>
          <w:shd w:fill="FFFFFF" w:val="clear"/>
        </w:rPr>
        <w:t xml:space="preserve">, </w:t>
      </w:r>
      <w:r>
        <w:rPr>
          <w:rFonts w:ascii="Arial" w:hAnsi="Arial" w:cs="Arial" w:eastAsia="Arial"/>
          <w:i/>
          <w:color w:val="auto"/>
          <w:spacing w:val="0"/>
          <w:position w:val="0"/>
          <w:sz w:val="22"/>
          <w:shd w:fill="FFFFFF" w:val="clear"/>
        </w:rPr>
        <w:t xml:space="preserve">5</w:t>
      </w:r>
      <w:r>
        <w:rPr>
          <w:rFonts w:ascii="Arial" w:hAnsi="Arial" w:cs="Arial" w:eastAsia="Arial"/>
          <w:color w:val="auto"/>
          <w:spacing w:val="0"/>
          <w:position w:val="0"/>
          <w:sz w:val="22"/>
          <w:shd w:fill="FFFFFF" w:val="clear"/>
        </w:rPr>
        <w:t xml:space="preserve">(1), pp.79-98.</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Innocent Drinks., 2025. </w:t>
      </w:r>
      <w:r>
        <w:rPr>
          <w:rFonts w:ascii="Arial" w:hAnsi="Arial" w:cs="Arial" w:eastAsia="Arial"/>
          <w:i/>
          <w:color w:val="auto"/>
          <w:spacing w:val="0"/>
          <w:position w:val="0"/>
          <w:sz w:val="22"/>
          <w:shd w:fill="auto" w:val="clear"/>
        </w:rPr>
        <w:t xml:space="preserve">Innocent Drinks</w:t>
      </w:r>
      <w:r>
        <w:rPr>
          <w:rFonts w:ascii="Arial" w:hAnsi="Arial" w:cs="Arial" w:eastAsia="Arial"/>
          <w:color w:val="auto"/>
          <w:spacing w:val="0"/>
          <w:position w:val="0"/>
          <w:sz w:val="22"/>
          <w:shd w:fill="auto" w:val="clear"/>
        </w:rPr>
        <w:t xml:space="preserve">. [online] </w:t>
      </w:r>
      <w:hyperlink xmlns:r="http://schemas.openxmlformats.org/officeDocument/2006/relationships" r:id="docRId20">
        <w:r>
          <w:rPr>
            <w:rFonts w:ascii="Arial" w:hAnsi="Arial" w:cs="Arial" w:eastAsia="Arial"/>
            <w:color w:val="0000FF"/>
            <w:spacing w:val="0"/>
            <w:position w:val="0"/>
            <w:sz w:val="22"/>
            <w:u w:val="single"/>
            <w:shd w:fill="auto" w:val="clear"/>
          </w:rPr>
          <w:t xml:space="preserve">www.innocentdrinks.co.uk</w:t>
        </w:r>
      </w:hyperlink>
      <w:r>
        <w:rPr>
          <w:rFonts w:ascii="Arial" w:hAnsi="Arial" w:cs="Arial" w:eastAsia="Arial"/>
          <w:color w:val="auto"/>
          <w:spacing w:val="0"/>
          <w:position w:val="0"/>
          <w:sz w:val="22"/>
          <w:shd w:fill="auto" w:val="clear"/>
        </w:rPr>
        <w:t xml:space="preserve">. Available at: </w:t>
      </w:r>
      <w:hyperlink xmlns:r="http://schemas.openxmlformats.org/officeDocument/2006/relationships" r:id="docRId21">
        <w:r>
          <w:rPr>
            <w:rFonts w:ascii="Arial" w:hAnsi="Arial" w:cs="Arial" w:eastAsia="Arial"/>
            <w:color w:val="0000FF"/>
            <w:spacing w:val="0"/>
            <w:position w:val="0"/>
            <w:sz w:val="22"/>
            <w:u w:val="single"/>
            <w:shd w:fill="auto" w:val="clear"/>
          </w:rPr>
          <w:t xml:space="preserve">https://www.innocentdrinks.co.uk/home</w:t>
        </w:r>
      </w:hyperlink>
      <w:r>
        <w:rPr>
          <w:rFonts w:ascii="Arial" w:hAnsi="Arial" w:cs="Arial" w:eastAsia="Arial"/>
          <w:color w:val="auto"/>
          <w:spacing w:val="0"/>
          <w:position w:val="0"/>
          <w:sz w:val="22"/>
          <w:shd w:fill="auto" w:val="clear"/>
        </w:rPr>
        <w:t xml:space="preserve">.</w:t>
      </w:r>
    </w:p>
    <w:p>
      <w:pPr>
        <w:spacing w:before="0" w:after="160" w:line="360"/>
        <w:ind w:right="0"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Khanra, S., Kaur, P., Joseph, R.P., Malik, A. and Dhir, A., 2022. A resource</w:t>
      </w:r>
      <w:r>
        <w:rPr>
          <w:rFonts w:ascii="Cambria Math" w:hAnsi="Cambria Math" w:cs="Cambria Math" w:eastAsia="Cambria Math"/>
          <w:color w:val="auto"/>
          <w:spacing w:val="0"/>
          <w:position w:val="0"/>
          <w:sz w:val="22"/>
          <w:shd w:fill="FFFFFF" w:val="clear"/>
        </w:rPr>
        <w:t xml:space="preserve">‐</w:t>
      </w:r>
      <w:r>
        <w:rPr>
          <w:rFonts w:ascii="Arial" w:hAnsi="Arial" w:cs="Arial" w:eastAsia="Arial"/>
          <w:color w:val="auto"/>
          <w:spacing w:val="0"/>
          <w:position w:val="0"/>
          <w:sz w:val="22"/>
          <w:shd w:fill="FFFFFF" w:val="clear"/>
        </w:rPr>
        <w:t xml:space="preserve">based view of green innovation as a strategic firm resource: Present status and future directions.</w:t>
      </w:r>
      <w:r>
        <w:rPr>
          <w:rFonts w:ascii="Arial" w:hAnsi="Arial" w:cs="Arial" w:eastAsia="Arial"/>
          <w:color w:val="auto"/>
          <w:spacing w:val="0"/>
          <w:position w:val="0"/>
          <w:sz w:val="22"/>
          <w:shd w:fill="FFFFFF" w:val="clear"/>
        </w:rPr>
        <w:t xml:space="preserve"> </w:t>
      </w:r>
      <w:r>
        <w:rPr>
          <w:rFonts w:ascii="Arial" w:hAnsi="Arial" w:cs="Arial" w:eastAsia="Arial"/>
          <w:i/>
          <w:color w:val="auto"/>
          <w:spacing w:val="0"/>
          <w:position w:val="0"/>
          <w:sz w:val="22"/>
          <w:shd w:fill="FFFFFF" w:val="clear"/>
        </w:rPr>
        <w:t xml:space="preserve">Business Strategy and the Environment</w:t>
      </w:r>
      <w:r>
        <w:rPr>
          <w:rFonts w:ascii="Arial" w:hAnsi="Arial" w:cs="Arial" w:eastAsia="Arial"/>
          <w:color w:val="auto"/>
          <w:spacing w:val="0"/>
          <w:position w:val="0"/>
          <w:sz w:val="22"/>
          <w:shd w:fill="FFFFFF" w:val="clear"/>
        </w:rPr>
        <w:t xml:space="preserve">, </w:t>
      </w:r>
      <w:r>
        <w:rPr>
          <w:rFonts w:ascii="Arial" w:hAnsi="Arial" w:cs="Arial" w:eastAsia="Arial"/>
          <w:i/>
          <w:color w:val="auto"/>
          <w:spacing w:val="0"/>
          <w:position w:val="0"/>
          <w:sz w:val="22"/>
          <w:shd w:fill="FFFFFF" w:val="clear"/>
        </w:rPr>
        <w:t xml:space="preserve">31</w:t>
      </w:r>
      <w:r>
        <w:rPr>
          <w:rFonts w:ascii="Arial" w:hAnsi="Arial" w:cs="Arial" w:eastAsia="Arial"/>
          <w:color w:val="auto"/>
          <w:spacing w:val="0"/>
          <w:position w:val="0"/>
          <w:sz w:val="22"/>
          <w:shd w:fill="FFFFFF" w:val="clear"/>
        </w:rPr>
        <w:t xml:space="preserve">(4), pp.1395-1413.</w:t>
      </w:r>
    </w:p>
    <w:p>
      <w:pPr>
        <w:spacing w:before="0" w:after="160" w:line="360"/>
        <w:ind w:right="0"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Koerniawan, N., 2024. </w:t>
      </w:r>
      <w:r>
        <w:rPr>
          <w:rFonts w:ascii="Arial" w:hAnsi="Arial" w:cs="Arial" w:eastAsia="Arial"/>
          <w:i/>
          <w:color w:val="auto"/>
          <w:spacing w:val="0"/>
          <w:position w:val="0"/>
          <w:sz w:val="22"/>
          <w:shd w:fill="FFFFFF" w:val="clear"/>
        </w:rPr>
        <w:t xml:space="preserve">The Use of Customised Market Intelligence by Small Food and Drink Producers: The Role of Strategic Orientations and Commitment</w:t>
      </w:r>
      <w:r>
        <w:rPr>
          <w:rFonts w:ascii="Arial" w:hAnsi="Arial" w:cs="Arial" w:eastAsia="Arial"/>
          <w:color w:val="auto"/>
          <w:spacing w:val="0"/>
          <w:position w:val="0"/>
          <w:sz w:val="22"/>
          <w:shd w:fill="FFFFFF" w:val="clear"/>
        </w:rPr>
        <w:t xml:space="preserve"> (Doctoral dissertation, University of East Anglia).</w:t>
      </w:r>
    </w:p>
    <w:p>
      <w:pPr>
        <w:spacing w:before="0" w:after="160" w:line="360"/>
        <w:ind w:right="0"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Lubis, N.W., 2022. Resource based view (RBV) in improving company strategic capacity. </w:t>
      </w:r>
      <w:r>
        <w:rPr>
          <w:rFonts w:ascii="Arial" w:hAnsi="Arial" w:cs="Arial" w:eastAsia="Arial"/>
          <w:i/>
          <w:color w:val="auto"/>
          <w:spacing w:val="0"/>
          <w:position w:val="0"/>
          <w:sz w:val="22"/>
          <w:shd w:fill="FFFFFF" w:val="clear"/>
        </w:rPr>
        <w:t xml:space="preserve">Research Horizon</w:t>
      </w:r>
      <w:r>
        <w:rPr>
          <w:rFonts w:ascii="Arial" w:hAnsi="Arial" w:cs="Arial" w:eastAsia="Arial"/>
          <w:color w:val="auto"/>
          <w:spacing w:val="0"/>
          <w:position w:val="0"/>
          <w:sz w:val="22"/>
          <w:shd w:fill="FFFFFF" w:val="clear"/>
        </w:rPr>
        <w:t xml:space="preserve">, </w:t>
      </w:r>
      <w:r>
        <w:rPr>
          <w:rFonts w:ascii="Arial" w:hAnsi="Arial" w:cs="Arial" w:eastAsia="Arial"/>
          <w:i/>
          <w:color w:val="auto"/>
          <w:spacing w:val="0"/>
          <w:position w:val="0"/>
          <w:sz w:val="22"/>
          <w:shd w:fill="FFFFFF" w:val="clear"/>
        </w:rPr>
        <w:t xml:space="preserve">2</w:t>
      </w:r>
      <w:r>
        <w:rPr>
          <w:rFonts w:ascii="Arial" w:hAnsi="Arial" w:cs="Arial" w:eastAsia="Arial"/>
          <w:color w:val="auto"/>
          <w:spacing w:val="0"/>
          <w:position w:val="0"/>
          <w:sz w:val="22"/>
          <w:shd w:fill="FFFFFF" w:val="clear"/>
        </w:rPr>
        <w:t xml:space="preserve">(6), pp.587-596.</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num w:numId="23">
    <w:abstractNumId w:val="48"/>
  </w:num>
  <w:num w:numId="142">
    <w:abstractNumId w:val="42"/>
  </w:num>
  <w:num w:numId="144">
    <w:abstractNumId w:val="36"/>
  </w:num>
  <w:num w:numId="146">
    <w:abstractNumId w:val="30"/>
  </w:num>
  <w:num w:numId="148">
    <w:abstractNumId w:val="24"/>
  </w:num>
  <w:num w:numId="150">
    <w:abstractNumId w:val="18"/>
  </w:num>
  <w:num w:numId="152">
    <w:abstractNumId w:val="12"/>
  </w:num>
  <w:num w:numId="154">
    <w:abstractNumId w:val="6"/>
  </w:num>
  <w:num w:numId="15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8.wmf" Id="docRId17" Type="http://schemas.openxmlformats.org/officeDocument/2006/relationships/image" /><Relationship Target="media/image3.wmf" Id="docRId7" Type="http://schemas.openxmlformats.org/officeDocument/2006/relationships/image" /><Relationship Target="embeddings/oleObject7.bin" Id="docRId14" Type="http://schemas.openxmlformats.org/officeDocument/2006/relationships/oleObject" /><Relationship Target="styles.xml" Id="docRId23" Type="http://schemas.openxmlformats.org/officeDocument/2006/relationships/styles"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edia/image7.wmf" Id="docRId15" Type="http://schemas.openxmlformats.org/officeDocument/2006/relationships/image" /><Relationship Target="media/image9.wmf" Id="docRId19" Type="http://schemas.openxmlformats.org/officeDocument/2006/relationships/image" /><Relationship Target="numbering.xml" Id="docRId22" Type="http://schemas.openxmlformats.org/officeDocument/2006/relationships/numbering"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embeddings/oleObject8.bin" Id="docRId16" Type="http://schemas.openxmlformats.org/officeDocument/2006/relationships/oleObject" /><Relationship TargetMode="External" Target="https://www.innocentdrinks.co.uk/home" Id="docRId21" Type="http://schemas.openxmlformats.org/officeDocument/2006/relationships/hyperlink" /><Relationship Target="embeddings/oleObject2.bin" Id="docRId4" Type="http://schemas.openxmlformats.org/officeDocument/2006/relationships/oleObject" /><Relationship Target="embeddings/oleObject4.bin" Id="docRId8" Type="http://schemas.openxmlformats.org/officeDocument/2006/relationships/oleObject" /><Relationship Target="media/image6.wmf" Id="docRId13" Type="http://schemas.openxmlformats.org/officeDocument/2006/relationships/image" /><Relationship TargetMode="External" Target="http://www.innocentdrinks.co.uk/" Id="docRId20" Type="http://schemas.openxmlformats.org/officeDocument/2006/relationships/hyperlink" /><Relationship Target="media/image1.wmf" Id="docRId3" Type="http://schemas.openxmlformats.org/officeDocument/2006/relationships/image" /><Relationship Target="embeddings/oleObject5.bin" Id="docRId10" Type="http://schemas.openxmlformats.org/officeDocument/2006/relationships/oleObject" /><Relationship Target="embeddings/oleObject9.bin" Id="docRId18" Type="http://schemas.openxmlformats.org/officeDocument/2006/relationships/oleObject" /><Relationship Target="embeddings/oleObject1.bin" Id="docRId2" Type="http://schemas.openxmlformats.org/officeDocument/2006/relationships/oleObject" /></Relationships>
</file>