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ED365" w14:textId="77777777" w:rsidR="00ED320A" w:rsidRPr="00ED320A" w:rsidRDefault="00ED320A" w:rsidP="00ED320A">
      <w:pPr>
        <w:spacing w:line="360" w:lineRule="auto"/>
        <w:rPr>
          <w:rFonts w:ascii="Arial" w:hAnsi="Arial" w:cs="Arial"/>
          <w:b/>
          <w:bCs/>
          <w:sz w:val="28"/>
          <w:szCs w:val="28"/>
        </w:rPr>
      </w:pPr>
      <w:r w:rsidRPr="00ED320A">
        <w:rPr>
          <w:rFonts w:ascii="Arial" w:hAnsi="Arial" w:cs="Arial"/>
          <w:b/>
          <w:bCs/>
          <w:sz w:val="28"/>
          <w:szCs w:val="28"/>
        </w:rPr>
        <w:t>Personnel Resourcing and Development</w:t>
      </w:r>
    </w:p>
    <w:p w14:paraId="50064F54" w14:textId="40B78961" w:rsidR="00ED320A" w:rsidRPr="00ED320A" w:rsidRDefault="00ED320A" w:rsidP="00ED320A">
      <w:pPr>
        <w:spacing w:line="360" w:lineRule="auto"/>
        <w:rPr>
          <w:rFonts w:ascii="Arial" w:hAnsi="Arial" w:cs="Arial"/>
          <w:b/>
          <w:bCs/>
          <w:sz w:val="28"/>
          <w:szCs w:val="28"/>
        </w:rPr>
      </w:pPr>
      <w:r w:rsidRPr="00ED320A">
        <w:rPr>
          <w:rFonts w:ascii="Arial" w:hAnsi="Arial" w:cs="Arial"/>
          <w:b/>
          <w:bCs/>
          <w:sz w:val="28"/>
          <w:szCs w:val="28"/>
        </w:rPr>
        <w:t>BMIH5005</w:t>
      </w:r>
    </w:p>
    <w:p w14:paraId="1D1E2C59" w14:textId="77777777" w:rsidR="00ED320A" w:rsidRPr="00ED320A" w:rsidRDefault="00ED320A" w:rsidP="00ED320A">
      <w:pPr>
        <w:spacing w:line="360" w:lineRule="auto"/>
        <w:rPr>
          <w:rFonts w:ascii="Arial" w:hAnsi="Arial" w:cs="Arial"/>
          <w:sz w:val="28"/>
          <w:szCs w:val="28"/>
        </w:rPr>
      </w:pPr>
      <w:r w:rsidRPr="00ED320A">
        <w:rPr>
          <w:rFonts w:ascii="Arial" w:hAnsi="Arial" w:cs="Arial"/>
          <w:sz w:val="28"/>
          <w:szCs w:val="28"/>
        </w:rPr>
        <w:t>Research Project Proposal</w:t>
      </w:r>
    </w:p>
    <w:p w14:paraId="29981C37" w14:textId="77777777" w:rsidR="00ED320A" w:rsidRPr="00ED320A" w:rsidRDefault="00ED320A" w:rsidP="00ED320A">
      <w:pPr>
        <w:spacing w:line="360" w:lineRule="auto"/>
        <w:rPr>
          <w:rFonts w:ascii="Arial" w:hAnsi="Arial" w:cs="Arial"/>
          <w:b/>
          <w:bCs/>
          <w:sz w:val="28"/>
          <w:szCs w:val="28"/>
        </w:rPr>
      </w:pPr>
    </w:p>
    <w:p w14:paraId="4B7F2134" w14:textId="77777777" w:rsidR="00ED320A" w:rsidRPr="00ED320A" w:rsidRDefault="00ED320A" w:rsidP="00ED320A">
      <w:pPr>
        <w:spacing w:line="360" w:lineRule="auto"/>
        <w:rPr>
          <w:rFonts w:ascii="Arial" w:hAnsi="Arial" w:cs="Arial"/>
          <w:b/>
          <w:bCs/>
          <w:sz w:val="28"/>
          <w:szCs w:val="28"/>
        </w:rPr>
      </w:pPr>
    </w:p>
    <w:p w14:paraId="67299CB5" w14:textId="77777777" w:rsidR="00ED320A" w:rsidRPr="00ED320A" w:rsidRDefault="00ED320A" w:rsidP="00ED320A">
      <w:pPr>
        <w:spacing w:line="360" w:lineRule="auto"/>
        <w:rPr>
          <w:rFonts w:ascii="Arial" w:hAnsi="Arial" w:cs="Arial"/>
          <w:sz w:val="28"/>
          <w:szCs w:val="28"/>
        </w:rPr>
      </w:pPr>
    </w:p>
    <w:p w14:paraId="426DBD45" w14:textId="38DD2261" w:rsidR="00ED320A" w:rsidRPr="00CC2DF2" w:rsidRDefault="00ED320A" w:rsidP="00ED320A">
      <w:pPr>
        <w:spacing w:line="360" w:lineRule="auto"/>
        <w:rPr>
          <w:rFonts w:ascii="Arial" w:hAnsi="Arial" w:cs="Arial"/>
          <w:kern w:val="0"/>
          <w:sz w:val="28"/>
          <w:szCs w:val="28"/>
          <w14:ligatures w14:val="none"/>
        </w:rPr>
      </w:pPr>
      <w:r w:rsidRPr="00CC2DF2">
        <w:rPr>
          <w:rFonts w:ascii="Arial" w:hAnsi="Arial" w:cs="Arial"/>
          <w:sz w:val="28"/>
          <w:szCs w:val="28"/>
        </w:rPr>
        <w:t xml:space="preserve">Student id: </w:t>
      </w:r>
      <w:r w:rsidR="00CC2DF2" w:rsidRPr="00CC2DF2">
        <w:rPr>
          <w:rFonts w:ascii="Arial" w:hAnsi="Arial" w:cs="Arial"/>
          <w:sz w:val="28"/>
          <w:szCs w:val="28"/>
        </w:rPr>
        <w:t>2126974</w:t>
      </w:r>
    </w:p>
    <w:p w14:paraId="0702E107" w14:textId="5F981632" w:rsidR="00ED320A" w:rsidRPr="00ED320A" w:rsidRDefault="00ED320A" w:rsidP="00ED320A">
      <w:pPr>
        <w:spacing w:line="360" w:lineRule="auto"/>
        <w:rPr>
          <w:rFonts w:ascii="Arial" w:hAnsi="Arial" w:cs="Arial"/>
          <w:sz w:val="28"/>
          <w:szCs w:val="28"/>
        </w:rPr>
      </w:pPr>
      <w:r w:rsidRPr="00ED320A">
        <w:rPr>
          <w:rFonts w:ascii="Arial" w:hAnsi="Arial" w:cs="Arial"/>
          <w:sz w:val="28"/>
          <w:szCs w:val="28"/>
        </w:rPr>
        <w:t xml:space="preserve">Student name: </w:t>
      </w:r>
      <w:r w:rsidR="00CC2DF2">
        <w:rPr>
          <w:rFonts w:ascii="Arial" w:hAnsi="Arial" w:cs="Arial"/>
          <w:sz w:val="28"/>
          <w:szCs w:val="28"/>
        </w:rPr>
        <w:t>Gabriela Iuliana Matei</w:t>
      </w:r>
    </w:p>
    <w:p w14:paraId="147F7EAC" w14:textId="0DA7994E" w:rsidR="00ED320A" w:rsidRPr="00ED320A" w:rsidRDefault="00ED320A" w:rsidP="00ED320A">
      <w:pPr>
        <w:spacing w:line="360" w:lineRule="auto"/>
        <w:rPr>
          <w:rFonts w:ascii="Arial" w:hAnsi="Arial" w:cs="Arial"/>
          <w:sz w:val="28"/>
          <w:szCs w:val="28"/>
        </w:rPr>
      </w:pPr>
      <w:r w:rsidRPr="00ED320A">
        <w:rPr>
          <w:rFonts w:ascii="Arial" w:hAnsi="Arial" w:cs="Arial"/>
          <w:sz w:val="28"/>
          <w:szCs w:val="28"/>
        </w:rPr>
        <w:t xml:space="preserve">Lecturer: </w:t>
      </w:r>
      <w:r w:rsidR="00CC2DF2">
        <w:rPr>
          <w:rFonts w:ascii="Arial" w:hAnsi="Arial" w:cs="Arial"/>
          <w:sz w:val="28"/>
          <w:szCs w:val="28"/>
        </w:rPr>
        <w:t>Scott James</w:t>
      </w:r>
    </w:p>
    <w:p w14:paraId="67028064" w14:textId="6F6F6F88" w:rsidR="00ED320A" w:rsidRPr="00ED320A" w:rsidRDefault="00ED320A" w:rsidP="00ED320A">
      <w:pPr>
        <w:spacing w:line="360" w:lineRule="auto"/>
        <w:rPr>
          <w:rFonts w:ascii="Arial" w:hAnsi="Arial" w:cs="Arial"/>
          <w:sz w:val="28"/>
          <w:szCs w:val="28"/>
        </w:rPr>
      </w:pPr>
      <w:r w:rsidRPr="00ED320A">
        <w:rPr>
          <w:rFonts w:ascii="Arial" w:hAnsi="Arial" w:cs="Arial"/>
          <w:sz w:val="28"/>
          <w:szCs w:val="28"/>
        </w:rPr>
        <w:t xml:space="preserve">Word count: </w:t>
      </w:r>
      <w:r w:rsidR="00CC2DF2">
        <w:rPr>
          <w:rFonts w:ascii="Arial" w:hAnsi="Arial" w:cs="Arial"/>
          <w:sz w:val="28"/>
          <w:szCs w:val="28"/>
        </w:rPr>
        <w:t>2004</w:t>
      </w:r>
    </w:p>
    <w:p w14:paraId="08ACE7D1" w14:textId="77777777" w:rsidR="00B151A8" w:rsidRDefault="00B151A8"/>
    <w:p w14:paraId="56435480" w14:textId="77777777" w:rsidR="00ED320A" w:rsidRDefault="00ED320A"/>
    <w:p w14:paraId="55519A4F" w14:textId="77777777" w:rsidR="00ED320A" w:rsidRDefault="00ED320A"/>
    <w:p w14:paraId="3E95DE76" w14:textId="77777777" w:rsidR="00ED320A" w:rsidRDefault="00ED320A"/>
    <w:p w14:paraId="672BF0FE" w14:textId="77777777" w:rsidR="00ED320A" w:rsidRDefault="00ED320A"/>
    <w:p w14:paraId="125F5E22" w14:textId="77777777" w:rsidR="00ED320A" w:rsidRDefault="00ED320A"/>
    <w:p w14:paraId="0E7EC77F" w14:textId="77777777" w:rsidR="00ED320A" w:rsidRDefault="00ED320A"/>
    <w:p w14:paraId="591E7649" w14:textId="77777777" w:rsidR="00ED320A" w:rsidRDefault="00ED320A"/>
    <w:p w14:paraId="7EF0F2FB" w14:textId="77777777" w:rsidR="00ED320A" w:rsidRDefault="00ED320A"/>
    <w:p w14:paraId="1BCCFC71" w14:textId="77777777" w:rsidR="00ED320A" w:rsidRDefault="00ED320A"/>
    <w:p w14:paraId="0C9D984D" w14:textId="77777777" w:rsidR="00ED320A" w:rsidRDefault="00ED320A"/>
    <w:p w14:paraId="33845EBF" w14:textId="77777777" w:rsidR="00ED320A" w:rsidRDefault="00ED320A"/>
    <w:p w14:paraId="6CB2E54C" w14:textId="77777777" w:rsidR="00ED320A" w:rsidRDefault="00ED320A"/>
    <w:p w14:paraId="53ABF613" w14:textId="77777777" w:rsidR="00ED320A" w:rsidRDefault="00ED320A"/>
    <w:p w14:paraId="74E83AD2" w14:textId="77777777" w:rsidR="00ED320A" w:rsidRDefault="00ED320A"/>
    <w:p w14:paraId="17CBAF1C" w14:textId="77777777" w:rsidR="00ED320A" w:rsidRDefault="00ED320A"/>
    <w:p w14:paraId="1690BA00" w14:textId="77777777" w:rsidR="00ED320A" w:rsidRDefault="00ED320A"/>
    <w:sdt>
      <w:sdtPr>
        <w:rPr>
          <w:rFonts w:asciiTheme="minorHAnsi" w:eastAsiaTheme="minorHAnsi" w:hAnsiTheme="minorHAnsi" w:cstheme="minorBidi"/>
          <w:color w:val="auto"/>
          <w:kern w:val="2"/>
          <w:sz w:val="22"/>
          <w:szCs w:val="22"/>
          <w:lang w:val="en-GB"/>
          <w14:ligatures w14:val="standardContextual"/>
        </w:rPr>
        <w:id w:val="295494151"/>
        <w:docPartObj>
          <w:docPartGallery w:val="Table of Contents"/>
          <w:docPartUnique/>
        </w:docPartObj>
      </w:sdtPr>
      <w:sdtEndPr>
        <w:rPr>
          <w:b/>
          <w:bCs/>
          <w:noProof/>
        </w:rPr>
      </w:sdtEndPr>
      <w:sdtContent>
        <w:p w14:paraId="3740FFD6" w14:textId="668B4B23" w:rsidR="00871436" w:rsidRPr="00871436" w:rsidRDefault="00871436" w:rsidP="00871436">
          <w:pPr>
            <w:pStyle w:val="TOCHeading"/>
            <w:spacing w:line="360" w:lineRule="auto"/>
            <w:rPr>
              <w:rFonts w:ascii="Arial" w:hAnsi="Arial" w:cs="Arial"/>
            </w:rPr>
          </w:pPr>
          <w:r w:rsidRPr="00871436">
            <w:rPr>
              <w:rFonts w:ascii="Arial" w:hAnsi="Arial" w:cs="Arial"/>
            </w:rPr>
            <w:t>Contents</w:t>
          </w:r>
        </w:p>
        <w:p w14:paraId="3E76331F" w14:textId="74BDD219" w:rsidR="00871436" w:rsidRPr="00871436" w:rsidRDefault="00871436" w:rsidP="00871436">
          <w:pPr>
            <w:pStyle w:val="TOC1"/>
            <w:tabs>
              <w:tab w:val="right" w:leader="dot" w:pos="9016"/>
            </w:tabs>
            <w:spacing w:line="360" w:lineRule="auto"/>
            <w:rPr>
              <w:rFonts w:ascii="Arial" w:hAnsi="Arial" w:cs="Arial"/>
              <w:noProof/>
            </w:rPr>
          </w:pPr>
          <w:r w:rsidRPr="00871436">
            <w:rPr>
              <w:rFonts w:ascii="Arial" w:hAnsi="Arial" w:cs="Arial"/>
            </w:rPr>
            <w:fldChar w:fldCharType="begin"/>
          </w:r>
          <w:r w:rsidRPr="00871436">
            <w:rPr>
              <w:rFonts w:ascii="Arial" w:hAnsi="Arial" w:cs="Arial"/>
            </w:rPr>
            <w:instrText xml:space="preserve"> TOC \o "1-3" \h \z \u </w:instrText>
          </w:r>
          <w:r w:rsidRPr="00871436">
            <w:rPr>
              <w:rFonts w:ascii="Arial" w:hAnsi="Arial" w:cs="Arial"/>
            </w:rPr>
            <w:fldChar w:fldCharType="separate"/>
          </w:r>
          <w:hyperlink w:anchor="_Toc168653185" w:history="1">
            <w:r w:rsidRPr="00871436">
              <w:rPr>
                <w:rStyle w:val="Hyperlink"/>
                <w:rFonts w:ascii="Arial" w:hAnsi="Arial" w:cs="Arial"/>
                <w:noProof/>
              </w:rPr>
              <w:t>Introduction</w:t>
            </w:r>
            <w:r w:rsidRPr="00871436">
              <w:rPr>
                <w:rFonts w:ascii="Arial" w:hAnsi="Arial" w:cs="Arial"/>
                <w:noProof/>
                <w:webHidden/>
              </w:rPr>
              <w:tab/>
            </w:r>
            <w:r w:rsidRPr="00871436">
              <w:rPr>
                <w:rFonts w:ascii="Arial" w:hAnsi="Arial" w:cs="Arial"/>
                <w:noProof/>
                <w:webHidden/>
              </w:rPr>
              <w:fldChar w:fldCharType="begin"/>
            </w:r>
            <w:r w:rsidRPr="00871436">
              <w:rPr>
                <w:rFonts w:ascii="Arial" w:hAnsi="Arial" w:cs="Arial"/>
                <w:noProof/>
                <w:webHidden/>
              </w:rPr>
              <w:instrText xml:space="preserve"> PAGEREF _Toc168653185 \h </w:instrText>
            </w:r>
            <w:r w:rsidRPr="00871436">
              <w:rPr>
                <w:rFonts w:ascii="Arial" w:hAnsi="Arial" w:cs="Arial"/>
                <w:noProof/>
                <w:webHidden/>
              </w:rPr>
            </w:r>
            <w:r w:rsidRPr="00871436">
              <w:rPr>
                <w:rFonts w:ascii="Arial" w:hAnsi="Arial" w:cs="Arial"/>
                <w:noProof/>
                <w:webHidden/>
              </w:rPr>
              <w:fldChar w:fldCharType="separate"/>
            </w:r>
            <w:r w:rsidR="00CC2DF2">
              <w:rPr>
                <w:rFonts w:ascii="Arial" w:hAnsi="Arial" w:cs="Arial"/>
                <w:noProof/>
                <w:webHidden/>
              </w:rPr>
              <w:t>3</w:t>
            </w:r>
            <w:r w:rsidRPr="00871436">
              <w:rPr>
                <w:rFonts w:ascii="Arial" w:hAnsi="Arial" w:cs="Arial"/>
                <w:noProof/>
                <w:webHidden/>
              </w:rPr>
              <w:fldChar w:fldCharType="end"/>
            </w:r>
          </w:hyperlink>
        </w:p>
        <w:p w14:paraId="57940FF4" w14:textId="1F51EBCD" w:rsidR="00871436" w:rsidRPr="00871436" w:rsidRDefault="00000000" w:rsidP="00871436">
          <w:pPr>
            <w:pStyle w:val="TOC1"/>
            <w:tabs>
              <w:tab w:val="right" w:leader="dot" w:pos="9016"/>
            </w:tabs>
            <w:spacing w:line="360" w:lineRule="auto"/>
            <w:rPr>
              <w:rFonts w:ascii="Arial" w:hAnsi="Arial" w:cs="Arial"/>
              <w:noProof/>
            </w:rPr>
          </w:pPr>
          <w:hyperlink w:anchor="_Toc168653186" w:history="1">
            <w:r w:rsidR="00871436" w:rsidRPr="00871436">
              <w:rPr>
                <w:rStyle w:val="Hyperlink"/>
                <w:rFonts w:ascii="Arial" w:eastAsia="Times New Roman" w:hAnsi="Arial" w:cs="Arial"/>
                <w:noProof/>
              </w:rPr>
              <w:t>Overview of the hotel</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_Toc168653186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3</w:t>
            </w:r>
            <w:r w:rsidR="00871436" w:rsidRPr="00871436">
              <w:rPr>
                <w:rFonts w:ascii="Arial" w:hAnsi="Arial" w:cs="Arial"/>
                <w:noProof/>
                <w:webHidden/>
              </w:rPr>
              <w:fldChar w:fldCharType="end"/>
            </w:r>
          </w:hyperlink>
        </w:p>
        <w:p w14:paraId="6634E425" w14:textId="1A386AC6" w:rsidR="00871436" w:rsidRPr="00871436" w:rsidRDefault="00000000" w:rsidP="00871436">
          <w:pPr>
            <w:pStyle w:val="TOC1"/>
            <w:tabs>
              <w:tab w:val="right" w:leader="dot" w:pos="9016"/>
            </w:tabs>
            <w:spacing w:line="360" w:lineRule="auto"/>
            <w:rPr>
              <w:rFonts w:ascii="Arial" w:hAnsi="Arial" w:cs="Arial"/>
              <w:noProof/>
            </w:rPr>
          </w:pPr>
          <w:hyperlink w:anchor="_Toc168653187" w:history="1">
            <w:r w:rsidR="00871436" w:rsidRPr="00871436">
              <w:rPr>
                <w:rStyle w:val="Hyperlink"/>
                <w:rFonts w:ascii="Arial" w:eastAsia="Times New Roman" w:hAnsi="Arial" w:cs="Arial"/>
                <w:noProof/>
              </w:rPr>
              <w:t>Socio-economic factors impacting hospitality</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_Toc168653187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4</w:t>
            </w:r>
            <w:r w:rsidR="00871436" w:rsidRPr="00871436">
              <w:rPr>
                <w:rFonts w:ascii="Arial" w:hAnsi="Arial" w:cs="Arial"/>
                <w:noProof/>
                <w:webHidden/>
              </w:rPr>
              <w:fldChar w:fldCharType="end"/>
            </w:r>
          </w:hyperlink>
        </w:p>
        <w:p w14:paraId="16215DD9" w14:textId="2312929D" w:rsidR="00871436" w:rsidRPr="00871436" w:rsidRDefault="00000000" w:rsidP="00871436">
          <w:pPr>
            <w:pStyle w:val="TOC1"/>
            <w:tabs>
              <w:tab w:val="right" w:leader="dot" w:pos="9016"/>
            </w:tabs>
            <w:spacing w:line="360" w:lineRule="auto"/>
            <w:rPr>
              <w:rFonts w:ascii="Arial" w:hAnsi="Arial" w:cs="Arial"/>
              <w:noProof/>
            </w:rPr>
          </w:pPr>
          <w:hyperlink w:anchor="_Toc168653188" w:history="1">
            <w:r w:rsidR="00871436" w:rsidRPr="00871436">
              <w:rPr>
                <w:rStyle w:val="Hyperlink"/>
                <w:rFonts w:ascii="Arial" w:eastAsia="Times New Roman" w:hAnsi="Arial" w:cs="Arial"/>
                <w:noProof/>
              </w:rPr>
              <w:t>Industry trends</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_Toc168653188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5</w:t>
            </w:r>
            <w:r w:rsidR="00871436" w:rsidRPr="00871436">
              <w:rPr>
                <w:rFonts w:ascii="Arial" w:hAnsi="Arial" w:cs="Arial"/>
                <w:noProof/>
                <w:webHidden/>
              </w:rPr>
              <w:fldChar w:fldCharType="end"/>
            </w:r>
          </w:hyperlink>
        </w:p>
        <w:p w14:paraId="191A11B8" w14:textId="0B661F51" w:rsidR="00871436" w:rsidRPr="00871436" w:rsidRDefault="00000000" w:rsidP="00871436">
          <w:pPr>
            <w:pStyle w:val="TOC1"/>
            <w:tabs>
              <w:tab w:val="right" w:leader="dot" w:pos="9016"/>
            </w:tabs>
            <w:spacing w:line="360" w:lineRule="auto"/>
            <w:rPr>
              <w:rFonts w:ascii="Arial" w:hAnsi="Arial" w:cs="Arial"/>
              <w:noProof/>
            </w:rPr>
          </w:pPr>
          <w:hyperlink w:anchor="_Toc168653189" w:history="1">
            <w:r w:rsidR="00871436" w:rsidRPr="00871436">
              <w:rPr>
                <w:rStyle w:val="Hyperlink"/>
                <w:rFonts w:ascii="Arial" w:eastAsia="Times New Roman" w:hAnsi="Arial" w:cs="Arial"/>
                <w:noProof/>
              </w:rPr>
              <w:t>Emerging work modalities</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_Toc168653189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5</w:t>
            </w:r>
            <w:r w:rsidR="00871436" w:rsidRPr="00871436">
              <w:rPr>
                <w:rFonts w:ascii="Arial" w:hAnsi="Arial" w:cs="Arial"/>
                <w:noProof/>
                <w:webHidden/>
              </w:rPr>
              <w:fldChar w:fldCharType="end"/>
            </w:r>
          </w:hyperlink>
        </w:p>
        <w:p w14:paraId="1826890D" w14:textId="4B232E54" w:rsidR="00871436" w:rsidRPr="00871436" w:rsidRDefault="00000000" w:rsidP="00871436">
          <w:pPr>
            <w:pStyle w:val="TOC1"/>
            <w:tabs>
              <w:tab w:val="right" w:leader="dot" w:pos="9016"/>
            </w:tabs>
            <w:spacing w:line="360" w:lineRule="auto"/>
            <w:rPr>
              <w:rFonts w:ascii="Arial" w:hAnsi="Arial" w:cs="Arial"/>
              <w:noProof/>
            </w:rPr>
          </w:pPr>
          <w:hyperlink w:anchor="_Toc168653190" w:history="1">
            <w:r w:rsidR="00871436" w:rsidRPr="00871436">
              <w:rPr>
                <w:rStyle w:val="Hyperlink"/>
                <w:rFonts w:ascii="Arial" w:eastAsia="Times New Roman" w:hAnsi="Arial" w:cs="Arial"/>
                <w:noProof/>
              </w:rPr>
              <w:t>Industry examples</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_Toc168653190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6</w:t>
            </w:r>
            <w:r w:rsidR="00871436" w:rsidRPr="00871436">
              <w:rPr>
                <w:rFonts w:ascii="Arial" w:hAnsi="Arial" w:cs="Arial"/>
                <w:noProof/>
                <w:webHidden/>
              </w:rPr>
              <w:fldChar w:fldCharType="end"/>
            </w:r>
          </w:hyperlink>
        </w:p>
        <w:p w14:paraId="19647CF6" w14:textId="4498E1F5" w:rsidR="00871436" w:rsidRPr="00871436" w:rsidRDefault="00000000" w:rsidP="00871436">
          <w:pPr>
            <w:pStyle w:val="TOC1"/>
            <w:tabs>
              <w:tab w:val="right" w:leader="dot" w:pos="9016"/>
            </w:tabs>
            <w:spacing w:line="360" w:lineRule="auto"/>
            <w:rPr>
              <w:rFonts w:ascii="Arial" w:hAnsi="Arial" w:cs="Arial"/>
              <w:noProof/>
            </w:rPr>
          </w:pPr>
          <w:hyperlink w:anchor="_Toc168653191" w:history="1">
            <w:r w:rsidR="00871436" w:rsidRPr="00871436">
              <w:rPr>
                <w:rStyle w:val="Hyperlink"/>
                <w:rFonts w:ascii="Arial" w:eastAsia="Times New Roman" w:hAnsi="Arial" w:cs="Arial"/>
                <w:noProof/>
              </w:rPr>
              <w:t>Conclusion</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_Toc168653191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7</w:t>
            </w:r>
            <w:r w:rsidR="00871436" w:rsidRPr="00871436">
              <w:rPr>
                <w:rFonts w:ascii="Arial" w:hAnsi="Arial" w:cs="Arial"/>
                <w:noProof/>
                <w:webHidden/>
              </w:rPr>
              <w:fldChar w:fldCharType="end"/>
            </w:r>
          </w:hyperlink>
        </w:p>
        <w:p w14:paraId="3F1A968D" w14:textId="0DB4AD90" w:rsidR="00871436" w:rsidRPr="00871436" w:rsidRDefault="00000000" w:rsidP="00871436">
          <w:pPr>
            <w:pStyle w:val="TOC1"/>
            <w:tabs>
              <w:tab w:val="right" w:leader="dot" w:pos="9016"/>
            </w:tabs>
            <w:spacing w:line="360" w:lineRule="auto"/>
            <w:rPr>
              <w:rFonts w:ascii="Arial" w:hAnsi="Arial" w:cs="Arial"/>
              <w:noProof/>
            </w:rPr>
          </w:pPr>
          <w:hyperlink w:anchor="_Toc168653192" w:history="1">
            <w:r w:rsidR="00871436" w:rsidRPr="00871436">
              <w:rPr>
                <w:rStyle w:val="Hyperlink"/>
                <w:rFonts w:ascii="Arial" w:eastAsia="Times New Roman" w:hAnsi="Arial" w:cs="Arial"/>
                <w:noProof/>
              </w:rPr>
              <w:t>Recommendations</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_Toc168653192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7</w:t>
            </w:r>
            <w:r w:rsidR="00871436" w:rsidRPr="00871436">
              <w:rPr>
                <w:rFonts w:ascii="Arial" w:hAnsi="Arial" w:cs="Arial"/>
                <w:noProof/>
                <w:webHidden/>
              </w:rPr>
              <w:fldChar w:fldCharType="end"/>
            </w:r>
          </w:hyperlink>
        </w:p>
        <w:p w14:paraId="7A0E6700" w14:textId="24952506" w:rsidR="00871436" w:rsidRPr="00871436" w:rsidRDefault="00000000" w:rsidP="00871436">
          <w:pPr>
            <w:pStyle w:val="TOC1"/>
            <w:tabs>
              <w:tab w:val="right" w:leader="dot" w:pos="9016"/>
            </w:tabs>
            <w:spacing w:line="360" w:lineRule="auto"/>
            <w:rPr>
              <w:rFonts w:ascii="Arial" w:hAnsi="Arial" w:cs="Arial"/>
              <w:noProof/>
            </w:rPr>
          </w:pPr>
          <w:hyperlink w:anchor="_Toc168653193" w:history="1">
            <w:r w:rsidR="00871436" w:rsidRPr="00871436">
              <w:rPr>
                <w:rStyle w:val="Hyperlink"/>
                <w:rFonts w:ascii="Arial" w:hAnsi="Arial" w:cs="Arial"/>
                <w:noProof/>
              </w:rPr>
              <w:t>References</w:t>
            </w:r>
            <w:r w:rsidR="00871436" w:rsidRPr="00871436">
              <w:rPr>
                <w:rFonts w:ascii="Arial" w:hAnsi="Arial" w:cs="Arial"/>
                <w:noProof/>
                <w:webHidden/>
              </w:rPr>
              <w:tab/>
            </w:r>
            <w:r w:rsidR="00871436" w:rsidRPr="00871436">
              <w:rPr>
                <w:rFonts w:ascii="Arial" w:hAnsi="Arial" w:cs="Arial"/>
                <w:noProof/>
                <w:webHidden/>
              </w:rPr>
              <w:fldChar w:fldCharType="begin"/>
            </w:r>
            <w:r w:rsidR="00871436" w:rsidRPr="00871436">
              <w:rPr>
                <w:rFonts w:ascii="Arial" w:hAnsi="Arial" w:cs="Arial"/>
                <w:noProof/>
                <w:webHidden/>
              </w:rPr>
              <w:instrText xml:space="preserve"> PAGEREF _Toc168653193 \h </w:instrText>
            </w:r>
            <w:r w:rsidR="00871436" w:rsidRPr="00871436">
              <w:rPr>
                <w:rFonts w:ascii="Arial" w:hAnsi="Arial" w:cs="Arial"/>
                <w:noProof/>
                <w:webHidden/>
              </w:rPr>
            </w:r>
            <w:r w:rsidR="00871436" w:rsidRPr="00871436">
              <w:rPr>
                <w:rFonts w:ascii="Arial" w:hAnsi="Arial" w:cs="Arial"/>
                <w:noProof/>
                <w:webHidden/>
              </w:rPr>
              <w:fldChar w:fldCharType="separate"/>
            </w:r>
            <w:r w:rsidR="00CC2DF2">
              <w:rPr>
                <w:rFonts w:ascii="Arial" w:hAnsi="Arial" w:cs="Arial"/>
                <w:noProof/>
                <w:webHidden/>
              </w:rPr>
              <w:t>9</w:t>
            </w:r>
            <w:r w:rsidR="00871436" w:rsidRPr="00871436">
              <w:rPr>
                <w:rFonts w:ascii="Arial" w:hAnsi="Arial" w:cs="Arial"/>
                <w:noProof/>
                <w:webHidden/>
              </w:rPr>
              <w:fldChar w:fldCharType="end"/>
            </w:r>
          </w:hyperlink>
        </w:p>
        <w:p w14:paraId="53A38A3C" w14:textId="2ECC1696" w:rsidR="00871436" w:rsidRDefault="00871436" w:rsidP="00871436">
          <w:pPr>
            <w:spacing w:line="360" w:lineRule="auto"/>
          </w:pPr>
          <w:r w:rsidRPr="00871436">
            <w:rPr>
              <w:rFonts w:ascii="Arial" w:hAnsi="Arial" w:cs="Arial"/>
              <w:b/>
              <w:bCs/>
              <w:noProof/>
            </w:rPr>
            <w:fldChar w:fldCharType="end"/>
          </w:r>
        </w:p>
      </w:sdtContent>
    </w:sdt>
    <w:p w14:paraId="290B61F1" w14:textId="77777777" w:rsidR="00ED320A" w:rsidRDefault="00ED320A"/>
    <w:p w14:paraId="6C102A66" w14:textId="77777777" w:rsidR="00ED320A" w:rsidRDefault="00ED320A"/>
    <w:p w14:paraId="429BCF1B" w14:textId="77777777" w:rsidR="00ED320A" w:rsidRDefault="00ED320A"/>
    <w:p w14:paraId="37EB046B" w14:textId="77777777" w:rsidR="00ED320A" w:rsidRDefault="00ED320A"/>
    <w:p w14:paraId="200EBF6F" w14:textId="77777777" w:rsidR="00ED320A" w:rsidRDefault="00ED320A"/>
    <w:p w14:paraId="625B3BDD" w14:textId="77777777" w:rsidR="00ED320A" w:rsidRDefault="00ED320A"/>
    <w:p w14:paraId="67E47B5D" w14:textId="77777777" w:rsidR="00ED320A" w:rsidRDefault="00ED320A"/>
    <w:p w14:paraId="75539380" w14:textId="77777777" w:rsidR="00ED320A" w:rsidRDefault="00ED320A"/>
    <w:p w14:paraId="38AD1059" w14:textId="77777777" w:rsidR="00ED320A" w:rsidRDefault="00ED320A"/>
    <w:p w14:paraId="0CD5793C" w14:textId="77777777" w:rsidR="00ED320A" w:rsidRDefault="00ED320A"/>
    <w:p w14:paraId="212C6637" w14:textId="77777777" w:rsidR="00ED320A" w:rsidRDefault="00ED320A"/>
    <w:p w14:paraId="7A877EB9" w14:textId="77777777" w:rsidR="00ED320A" w:rsidRDefault="00ED320A"/>
    <w:p w14:paraId="445DDE87" w14:textId="77777777" w:rsidR="00ED320A" w:rsidRDefault="00ED320A"/>
    <w:p w14:paraId="7B48A755" w14:textId="77777777" w:rsidR="00ED320A" w:rsidRDefault="00ED320A"/>
    <w:p w14:paraId="4B8BF972" w14:textId="77777777" w:rsidR="00ED320A" w:rsidRDefault="00ED320A"/>
    <w:p w14:paraId="54D88709" w14:textId="77777777" w:rsidR="00ED320A" w:rsidRDefault="00ED320A"/>
    <w:p w14:paraId="3E10E2FD" w14:textId="77777777" w:rsidR="00ED320A" w:rsidRDefault="00ED320A"/>
    <w:p w14:paraId="5759ECE4" w14:textId="77777777" w:rsidR="00ED320A" w:rsidRDefault="00ED320A"/>
    <w:p w14:paraId="352640B4" w14:textId="77777777" w:rsidR="00ED320A" w:rsidRPr="00163812" w:rsidRDefault="00ED320A" w:rsidP="00163812">
      <w:pPr>
        <w:spacing w:line="360" w:lineRule="auto"/>
        <w:jc w:val="both"/>
        <w:rPr>
          <w:rFonts w:ascii="Arial" w:hAnsi="Arial" w:cs="Arial"/>
          <w:b/>
          <w:bCs/>
          <w:sz w:val="24"/>
          <w:szCs w:val="24"/>
        </w:rPr>
      </w:pPr>
    </w:p>
    <w:p w14:paraId="49A8E450" w14:textId="281AAC52" w:rsidR="00ED320A" w:rsidRPr="00CC2DF2" w:rsidRDefault="00ED320A" w:rsidP="00CC2DF2">
      <w:pPr>
        <w:pStyle w:val="EU"/>
        <w:spacing w:line="360" w:lineRule="auto"/>
        <w:rPr>
          <w:color w:val="auto"/>
        </w:rPr>
      </w:pPr>
      <w:bookmarkStart w:id="0" w:name="_Toc168653185"/>
      <w:r w:rsidRPr="00CC2DF2">
        <w:rPr>
          <w:color w:val="auto"/>
        </w:rPr>
        <w:t>Introduction</w:t>
      </w:r>
      <w:bookmarkEnd w:id="0"/>
      <w:r w:rsidRPr="00CC2DF2">
        <w:rPr>
          <w:color w:val="auto"/>
        </w:rPr>
        <w:t xml:space="preserve"> </w:t>
      </w:r>
    </w:p>
    <w:p w14:paraId="76ABA54D" w14:textId="7DCBFFD1" w:rsidR="00ED320A" w:rsidRPr="00CC2DF2" w:rsidRDefault="00ED320A"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For global hotel chains like Radisson, human resources management  is essential. HRM helps a company get a competitive edge by including the strategic approach to the efficient management of people inside an organisation (Armstrong </w:t>
      </w:r>
      <w:r w:rsidR="009D31AA" w:rsidRPr="00CC2DF2">
        <w:rPr>
          <w:rFonts w:ascii="Arial" w:eastAsia="Times New Roman" w:hAnsi="Arial" w:cs="Arial"/>
          <w:kern w:val="0"/>
          <w:sz w:val="24"/>
          <w:szCs w:val="24"/>
          <w:lang w:eastAsia="en-GB"/>
          <w14:ligatures w14:val="none"/>
        </w:rPr>
        <w:t>and</w:t>
      </w:r>
      <w:r w:rsidRPr="00CC2DF2">
        <w:rPr>
          <w:rFonts w:ascii="Arial" w:eastAsia="Times New Roman" w:hAnsi="Arial" w:cs="Arial"/>
          <w:kern w:val="0"/>
          <w:sz w:val="24"/>
          <w:szCs w:val="24"/>
          <w:lang w:eastAsia="en-GB"/>
          <w14:ligatures w14:val="none"/>
        </w:rPr>
        <w:t xml:space="preserve"> Taylor, 2020). Because the hotel business focuses so much on providing excellent services, which in turn depends on the effectiveness and happiness of its staff, human resource management is essential (Torrington et al., 2020). Planning the workforce is forecasting and controlling the labour supply and demand to guarantee that the appropriate amount of workers with the appropriate skills are on hand when needed (CIPD, 202</w:t>
      </w:r>
      <w:r w:rsidR="009D31AA" w:rsidRPr="00CC2DF2">
        <w:rPr>
          <w:rFonts w:ascii="Arial" w:eastAsia="Times New Roman" w:hAnsi="Arial" w:cs="Arial"/>
          <w:kern w:val="0"/>
          <w:sz w:val="24"/>
          <w:szCs w:val="24"/>
          <w:lang w:eastAsia="en-GB"/>
          <w14:ligatures w14:val="none"/>
        </w:rPr>
        <w:t>3</w:t>
      </w:r>
      <w:r w:rsidRPr="00CC2DF2">
        <w:rPr>
          <w:rFonts w:ascii="Arial" w:eastAsia="Times New Roman" w:hAnsi="Arial" w:cs="Arial"/>
          <w:kern w:val="0"/>
          <w:sz w:val="24"/>
          <w:szCs w:val="24"/>
          <w:lang w:eastAsia="en-GB"/>
          <w14:ligatures w14:val="none"/>
        </w:rPr>
        <w:t>). While selection is selecting the best applicants from a pool of applications, recruitment is the process of drawing in and finding possible individuals to fill job openings (</w:t>
      </w:r>
      <w:r w:rsidR="009D31AA" w:rsidRPr="00CC2DF2">
        <w:rPr>
          <w:rFonts w:ascii="Arial" w:eastAsia="Times New Roman" w:hAnsi="Arial" w:cs="Arial"/>
          <w:kern w:val="0"/>
          <w:sz w:val="24"/>
          <w:szCs w:val="24"/>
          <w:lang w:eastAsia="en-GB"/>
          <w14:ligatures w14:val="none"/>
        </w:rPr>
        <w:t>Galagher</w:t>
      </w:r>
      <w:r w:rsidRPr="00CC2DF2">
        <w:rPr>
          <w:rFonts w:ascii="Arial" w:eastAsia="Times New Roman" w:hAnsi="Arial" w:cs="Arial"/>
          <w:kern w:val="0"/>
          <w:sz w:val="24"/>
          <w:szCs w:val="24"/>
          <w:lang w:eastAsia="en-GB"/>
          <w14:ligatures w14:val="none"/>
        </w:rPr>
        <w:t xml:space="preserve">, 2016). This </w:t>
      </w:r>
      <w:r w:rsidR="009D31AA" w:rsidRPr="00CC2DF2">
        <w:rPr>
          <w:rFonts w:ascii="Arial" w:eastAsia="Times New Roman" w:hAnsi="Arial" w:cs="Arial"/>
          <w:kern w:val="0"/>
          <w:sz w:val="24"/>
          <w:szCs w:val="24"/>
          <w:lang w:eastAsia="en-GB"/>
          <w14:ligatures w14:val="none"/>
        </w:rPr>
        <w:t>proposal</w:t>
      </w:r>
      <w:r w:rsidRPr="00CC2DF2">
        <w:rPr>
          <w:rFonts w:ascii="Arial" w:eastAsia="Times New Roman" w:hAnsi="Arial" w:cs="Arial"/>
          <w:kern w:val="0"/>
          <w:sz w:val="24"/>
          <w:szCs w:val="24"/>
          <w:lang w:eastAsia="en-GB"/>
          <w14:ligatures w14:val="none"/>
        </w:rPr>
        <w:t xml:space="preserve"> will examine how Radisson's strategic development has been made possible by the evolution of HRM, emphasising the shift from conventional practices to more strategic and technologically advanced HRM methods.</w:t>
      </w:r>
    </w:p>
    <w:p w14:paraId="6BF41DE3" w14:textId="77777777" w:rsidR="00ED320A" w:rsidRPr="00CC2DF2" w:rsidRDefault="00ED320A" w:rsidP="00CC2DF2">
      <w:pPr>
        <w:spacing w:after="0" w:line="360" w:lineRule="auto"/>
        <w:jc w:val="both"/>
        <w:rPr>
          <w:rFonts w:ascii="Arial" w:eastAsia="Times New Roman" w:hAnsi="Arial" w:cs="Arial"/>
          <w:kern w:val="0"/>
          <w:sz w:val="24"/>
          <w:szCs w:val="24"/>
          <w:lang w:eastAsia="en-GB"/>
          <w14:ligatures w14:val="none"/>
        </w:rPr>
      </w:pPr>
    </w:p>
    <w:p w14:paraId="10D339BE" w14:textId="3A3E6EF4" w:rsidR="00ED320A" w:rsidRPr="00CC2DF2" w:rsidRDefault="00ED320A" w:rsidP="00CC2DF2">
      <w:pPr>
        <w:pStyle w:val="EU"/>
        <w:spacing w:line="360" w:lineRule="auto"/>
        <w:rPr>
          <w:rFonts w:eastAsia="Times New Roman"/>
          <w:color w:val="auto"/>
        </w:rPr>
      </w:pPr>
      <w:bookmarkStart w:id="1" w:name="_Toc168653186"/>
      <w:r w:rsidRPr="00CC2DF2">
        <w:rPr>
          <w:rFonts w:eastAsia="Times New Roman"/>
          <w:color w:val="auto"/>
        </w:rPr>
        <w:t>Overview of the hotel</w:t>
      </w:r>
      <w:bookmarkEnd w:id="1"/>
      <w:r w:rsidRPr="00CC2DF2">
        <w:rPr>
          <w:rFonts w:eastAsia="Times New Roman"/>
          <w:color w:val="auto"/>
        </w:rPr>
        <w:t xml:space="preserve"> </w:t>
      </w:r>
    </w:p>
    <w:p w14:paraId="3553C1D2" w14:textId="397C26A3" w:rsidR="00ED320A" w:rsidRPr="00CC2DF2" w:rsidRDefault="00ED320A"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The Radisson Hotel Group has a long history, having started out as a division of Carlson Companies. After being renamed as Radisson Hotel Group in 2018 and then purchased by Jin Jiang International, it ranks </w:t>
      </w:r>
      <w:r w:rsidR="00AB3E8F" w:rsidRPr="00CC2DF2">
        <w:rPr>
          <w:rFonts w:ascii="Arial" w:eastAsia="Times New Roman" w:hAnsi="Arial" w:cs="Arial"/>
          <w:kern w:val="0"/>
          <w:sz w:val="24"/>
          <w:szCs w:val="24"/>
          <w:lang w:eastAsia="en-GB"/>
          <w14:ligatures w14:val="none"/>
        </w:rPr>
        <w:t>amid</w:t>
      </w:r>
      <w:r w:rsidRPr="00CC2DF2">
        <w:rPr>
          <w:rFonts w:ascii="Arial" w:eastAsia="Times New Roman" w:hAnsi="Arial" w:cs="Arial"/>
          <w:kern w:val="0"/>
          <w:sz w:val="24"/>
          <w:szCs w:val="24"/>
          <w:lang w:eastAsia="en-GB"/>
          <w14:ligatures w14:val="none"/>
        </w:rPr>
        <w:t xml:space="preserve"> the </w:t>
      </w:r>
      <w:r w:rsidR="00AB3E8F">
        <w:rPr>
          <w:rFonts w:ascii="Arial" w:eastAsia="Times New Roman" w:hAnsi="Arial" w:cs="Arial"/>
          <w:kern w:val="0"/>
          <w:sz w:val="24"/>
          <w:szCs w:val="24"/>
          <w:lang w:eastAsia="en-GB"/>
          <w14:ligatures w14:val="none"/>
        </w:rPr>
        <w:t xml:space="preserve">leader </w:t>
      </w:r>
      <w:r w:rsidRPr="00CC2DF2">
        <w:rPr>
          <w:rFonts w:ascii="Arial" w:eastAsia="Times New Roman" w:hAnsi="Arial" w:cs="Arial"/>
          <w:kern w:val="0"/>
          <w:sz w:val="24"/>
          <w:szCs w:val="24"/>
          <w:lang w:eastAsia="en-GB"/>
          <w14:ligatures w14:val="none"/>
        </w:rPr>
        <w:t>hotel groups in the world in terms of rooms and hotels (Radisson Hotel Group, 20</w:t>
      </w:r>
      <w:r w:rsidR="009D31AA" w:rsidRPr="00CC2DF2">
        <w:rPr>
          <w:rFonts w:ascii="Arial" w:eastAsia="Times New Roman" w:hAnsi="Arial" w:cs="Arial"/>
          <w:kern w:val="0"/>
          <w:sz w:val="24"/>
          <w:szCs w:val="24"/>
          <w:lang w:eastAsia="en-GB"/>
          <w14:ligatures w14:val="none"/>
        </w:rPr>
        <w:t>17</w:t>
      </w:r>
      <w:r w:rsidRPr="00CC2DF2">
        <w:rPr>
          <w:rFonts w:ascii="Arial" w:eastAsia="Times New Roman" w:hAnsi="Arial" w:cs="Arial"/>
          <w:kern w:val="0"/>
          <w:sz w:val="24"/>
          <w:szCs w:val="24"/>
          <w:lang w:eastAsia="en-GB"/>
          <w14:ligatures w14:val="none"/>
        </w:rPr>
        <w:t>). Across more than 95 countries, Radisson runs more than 1,320 hotels and 221,150 rooms, including the well-known brands Radisson Blu, Radisson RED, and Park Inn by Radisson. In addition, Radisson has concentrated lately on strategic expansion and innovation. With a 40% rise in hotel registrations over 2021—including 80 new hotels in China—the group had tremendous growth in the Asia Pacific area in 2022 (Radisson Hotel Group, 20</w:t>
      </w:r>
      <w:r w:rsidR="009D31AA" w:rsidRPr="00CC2DF2">
        <w:rPr>
          <w:rFonts w:ascii="Arial" w:eastAsia="Times New Roman" w:hAnsi="Arial" w:cs="Arial"/>
          <w:kern w:val="0"/>
          <w:sz w:val="24"/>
          <w:szCs w:val="24"/>
          <w:lang w:eastAsia="en-GB"/>
          <w14:ligatures w14:val="none"/>
        </w:rPr>
        <w:t>18</w:t>
      </w:r>
      <w:r w:rsidRPr="00CC2DF2">
        <w:rPr>
          <w:rFonts w:ascii="Arial" w:eastAsia="Times New Roman" w:hAnsi="Arial" w:cs="Arial"/>
          <w:kern w:val="0"/>
          <w:sz w:val="24"/>
          <w:szCs w:val="24"/>
          <w:lang w:eastAsia="en-GB"/>
          <w14:ligatures w14:val="none"/>
        </w:rPr>
        <w:t>). The creation of specific business units in important locations like Sydney and Bangkok to improve local market knowledge aided in this expansion. Radisson has strategically upgraded its HRM procedures as well to accommodate its international activities</w:t>
      </w:r>
      <w:r w:rsidR="009D31AA" w:rsidRPr="00CC2DF2">
        <w:rPr>
          <w:rFonts w:ascii="Arial" w:eastAsia="Times New Roman" w:hAnsi="Arial" w:cs="Arial"/>
          <w:kern w:val="0"/>
          <w:sz w:val="24"/>
          <w:szCs w:val="24"/>
          <w:lang w:eastAsia="en-GB"/>
          <w14:ligatures w14:val="none"/>
        </w:rPr>
        <w:t xml:space="preserve"> (Radisson, 2023). </w:t>
      </w:r>
      <w:r w:rsidRPr="00CC2DF2">
        <w:rPr>
          <w:rFonts w:ascii="Arial" w:eastAsia="Times New Roman" w:hAnsi="Arial" w:cs="Arial"/>
          <w:kern w:val="0"/>
          <w:sz w:val="24"/>
          <w:szCs w:val="24"/>
          <w:lang w:eastAsia="en-GB"/>
          <w14:ligatures w14:val="none"/>
        </w:rPr>
        <w:t xml:space="preserve">One noteworthy effort is the updated Radisson Rewards programme, which debuted in late 2022 and provides special advantages and encourages sustainability by allowing stays that are carbon neutral. This initiative links HR procedures with more general business sustainability objectives, therefore highlighting Radisson's dedication to employee and visitor happiness (Radisson, </w:t>
      </w:r>
      <w:r w:rsidR="00EE449C" w:rsidRPr="00CC2DF2">
        <w:rPr>
          <w:rFonts w:ascii="Arial" w:eastAsia="Times New Roman" w:hAnsi="Arial" w:cs="Arial"/>
          <w:kern w:val="0"/>
          <w:sz w:val="24"/>
          <w:szCs w:val="24"/>
          <w:lang w:eastAsia="en-GB"/>
          <w14:ligatures w14:val="none"/>
        </w:rPr>
        <w:t>2022</w:t>
      </w:r>
      <w:r w:rsidRPr="00CC2DF2">
        <w:rPr>
          <w:rFonts w:ascii="Arial" w:eastAsia="Times New Roman" w:hAnsi="Arial" w:cs="Arial"/>
          <w:kern w:val="0"/>
          <w:sz w:val="24"/>
          <w:szCs w:val="24"/>
          <w:lang w:eastAsia="en-GB"/>
          <w14:ligatures w14:val="none"/>
        </w:rPr>
        <w:t>).</w:t>
      </w:r>
    </w:p>
    <w:p w14:paraId="316BD32E" w14:textId="77777777" w:rsidR="00ED320A" w:rsidRPr="00CC2DF2" w:rsidRDefault="00ED320A" w:rsidP="00CC2DF2">
      <w:pPr>
        <w:spacing w:after="0" w:line="360" w:lineRule="auto"/>
        <w:jc w:val="both"/>
        <w:rPr>
          <w:rFonts w:ascii="Arial" w:eastAsia="Times New Roman" w:hAnsi="Arial" w:cs="Arial"/>
          <w:kern w:val="0"/>
          <w:sz w:val="24"/>
          <w:szCs w:val="24"/>
          <w:lang w:eastAsia="en-GB"/>
          <w14:ligatures w14:val="none"/>
        </w:rPr>
      </w:pPr>
    </w:p>
    <w:p w14:paraId="346A89F9" w14:textId="6BFD98EE" w:rsidR="00ED320A" w:rsidRPr="00CC2DF2" w:rsidRDefault="00ED320A" w:rsidP="00CC2DF2">
      <w:pPr>
        <w:pStyle w:val="EU"/>
        <w:spacing w:line="360" w:lineRule="auto"/>
        <w:rPr>
          <w:rFonts w:eastAsia="Times New Roman"/>
          <w:color w:val="auto"/>
        </w:rPr>
      </w:pPr>
      <w:bookmarkStart w:id="2" w:name="_Toc168653187"/>
      <w:r w:rsidRPr="00CC2DF2">
        <w:rPr>
          <w:rFonts w:eastAsia="Times New Roman"/>
          <w:color w:val="auto"/>
        </w:rPr>
        <w:t>Socio-economic factors impacting hospitality</w:t>
      </w:r>
      <w:bookmarkEnd w:id="2"/>
      <w:r w:rsidRPr="00CC2DF2">
        <w:rPr>
          <w:rFonts w:eastAsia="Times New Roman"/>
          <w:color w:val="auto"/>
        </w:rPr>
        <w:t xml:space="preserve"> </w:t>
      </w:r>
    </w:p>
    <w:p w14:paraId="65BABF63" w14:textId="363AFC76"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Socio-economic factors have a </w:t>
      </w:r>
      <w:r w:rsidR="00AB3E8F" w:rsidRPr="00CC2DF2">
        <w:rPr>
          <w:rFonts w:ascii="Arial" w:eastAsia="Times New Roman" w:hAnsi="Arial" w:cs="Arial"/>
          <w:kern w:val="0"/>
          <w:sz w:val="24"/>
          <w:szCs w:val="24"/>
          <w:lang w:eastAsia="en-GB"/>
          <w14:ligatures w14:val="none"/>
        </w:rPr>
        <w:t>substantial</w:t>
      </w:r>
      <w:r w:rsidRPr="00CC2DF2">
        <w:rPr>
          <w:rFonts w:ascii="Arial" w:eastAsia="Times New Roman" w:hAnsi="Arial" w:cs="Arial"/>
          <w:kern w:val="0"/>
          <w:sz w:val="24"/>
          <w:szCs w:val="24"/>
          <w:lang w:eastAsia="en-GB"/>
          <w14:ligatures w14:val="none"/>
        </w:rPr>
        <w:t xml:space="preserve"> </w:t>
      </w:r>
      <w:r w:rsidR="00AB3E8F" w:rsidRPr="00CC2DF2">
        <w:rPr>
          <w:rFonts w:ascii="Arial" w:eastAsia="Times New Roman" w:hAnsi="Arial" w:cs="Arial"/>
          <w:kern w:val="0"/>
          <w:sz w:val="24"/>
          <w:szCs w:val="24"/>
          <w:lang w:eastAsia="en-GB"/>
          <w14:ligatures w14:val="none"/>
        </w:rPr>
        <w:t>power</w:t>
      </w:r>
      <w:r w:rsidRPr="00CC2DF2">
        <w:rPr>
          <w:rFonts w:ascii="Arial" w:eastAsia="Times New Roman" w:hAnsi="Arial" w:cs="Arial"/>
          <w:kern w:val="0"/>
          <w:sz w:val="24"/>
          <w:szCs w:val="24"/>
          <w:lang w:eastAsia="en-GB"/>
          <w14:ligatures w14:val="none"/>
        </w:rPr>
        <w:t xml:space="preserve"> on the </w:t>
      </w:r>
      <w:r w:rsidR="00AB3E8F" w:rsidRPr="00CC2DF2">
        <w:rPr>
          <w:rFonts w:ascii="Arial" w:eastAsia="Times New Roman" w:hAnsi="Arial" w:cs="Arial"/>
          <w:kern w:val="0"/>
          <w:sz w:val="24"/>
          <w:szCs w:val="24"/>
          <w:lang w:eastAsia="en-GB"/>
          <w14:ligatures w14:val="none"/>
        </w:rPr>
        <w:t>progress</w:t>
      </w:r>
      <w:r w:rsidRPr="00CC2DF2">
        <w:rPr>
          <w:rFonts w:ascii="Arial" w:eastAsia="Times New Roman" w:hAnsi="Arial" w:cs="Arial"/>
          <w:kern w:val="0"/>
          <w:sz w:val="24"/>
          <w:szCs w:val="24"/>
          <w:lang w:eastAsia="en-GB"/>
          <w14:ligatures w14:val="none"/>
        </w:rPr>
        <w:t xml:space="preserve"> of companies, such the hotel industry. This sector is highly impacted by the changing work patterns, such as the shift to remote and hybrid labour arrangements. According to </w:t>
      </w:r>
      <w:r w:rsidR="00EE449C" w:rsidRPr="00CC2DF2">
        <w:rPr>
          <w:rFonts w:ascii="Arial" w:eastAsia="Times New Roman" w:hAnsi="Arial" w:cs="Arial"/>
          <w:kern w:val="0"/>
          <w:sz w:val="24"/>
          <w:szCs w:val="24"/>
          <w:lang w:eastAsia="en-GB"/>
          <w14:ligatures w14:val="none"/>
        </w:rPr>
        <w:t>research</w:t>
      </w:r>
      <w:r w:rsidRPr="00CC2DF2">
        <w:rPr>
          <w:rFonts w:ascii="Arial" w:eastAsia="Times New Roman" w:hAnsi="Arial" w:cs="Arial"/>
          <w:kern w:val="0"/>
          <w:sz w:val="24"/>
          <w:szCs w:val="24"/>
          <w:lang w:eastAsia="en-GB"/>
          <w14:ligatures w14:val="none"/>
        </w:rPr>
        <w:t xml:space="preserve"> the COVID-19 pandemic has accelerated the adoption of hybrid and remote work arrangements, which in turn affects hotel industry demand and customer behaviour</w:t>
      </w:r>
      <w:r w:rsidR="00EE449C" w:rsidRPr="00CC2DF2">
        <w:rPr>
          <w:rFonts w:ascii="Arial" w:eastAsia="Times New Roman" w:hAnsi="Arial" w:cs="Arial"/>
          <w:kern w:val="0"/>
          <w:sz w:val="24"/>
          <w:szCs w:val="24"/>
          <w:lang w:eastAsia="en-GB"/>
          <w14:ligatures w14:val="none"/>
        </w:rPr>
        <w:t xml:space="preserve"> (UK Parliament, 2022)</w:t>
      </w:r>
      <w:r w:rsidRPr="00CC2DF2">
        <w:rPr>
          <w:rFonts w:ascii="Arial" w:eastAsia="Times New Roman" w:hAnsi="Arial" w:cs="Arial"/>
          <w:kern w:val="0"/>
          <w:sz w:val="24"/>
          <w:szCs w:val="24"/>
          <w:lang w:eastAsia="en-GB"/>
          <w14:ligatures w14:val="none"/>
        </w:rPr>
        <w:t>. People now use hospitality services in society in different ways thanks to the emergence of hybrid and remote working patterns. As more individuals take workcations—when they combine work and vacation—fast internet and quiet work spaces at hotels and resorts are becoming necessities for remote workers. This tendency highlights flexibility and combining work and leisure, suggesting a shift in consumer preferences</w:t>
      </w:r>
      <w:r w:rsidR="00EE449C" w:rsidRPr="00CC2DF2">
        <w:rPr>
          <w:rFonts w:ascii="Arial" w:eastAsia="Times New Roman" w:hAnsi="Arial" w:cs="Arial"/>
          <w:kern w:val="0"/>
          <w:sz w:val="24"/>
          <w:szCs w:val="24"/>
          <w:lang w:eastAsia="en-GB"/>
          <w14:ligatures w14:val="none"/>
        </w:rPr>
        <w:t xml:space="preserve"> (Chevtaeva, Neuhofer, and Rainoldi, 2022).  </w:t>
      </w:r>
      <w:r w:rsidRPr="00CC2DF2">
        <w:rPr>
          <w:rFonts w:ascii="Arial" w:eastAsia="Times New Roman" w:hAnsi="Arial" w:cs="Arial"/>
          <w:kern w:val="0"/>
          <w:sz w:val="24"/>
          <w:szCs w:val="24"/>
          <w:lang w:eastAsia="en-GB"/>
          <w14:ligatures w14:val="none"/>
        </w:rPr>
        <w:t>Economically speaking, the changing workforce patterns affect the revenue streams and operational frameworks of the hotel industry</w:t>
      </w:r>
      <w:r w:rsidR="00EE449C" w:rsidRPr="00CC2DF2">
        <w:rPr>
          <w:rFonts w:ascii="Arial" w:eastAsia="Times New Roman" w:hAnsi="Arial" w:cs="Arial"/>
          <w:kern w:val="0"/>
          <w:sz w:val="24"/>
          <w:szCs w:val="24"/>
          <w:lang w:eastAsia="en-GB"/>
          <w14:ligatures w14:val="none"/>
        </w:rPr>
        <w:t xml:space="preserve">. </w:t>
      </w:r>
      <w:r w:rsidRPr="00CC2DF2">
        <w:rPr>
          <w:rFonts w:ascii="Arial" w:eastAsia="Times New Roman" w:hAnsi="Arial" w:cs="Arial"/>
          <w:kern w:val="0"/>
          <w:sz w:val="24"/>
          <w:szCs w:val="24"/>
          <w:lang w:eastAsia="en-GB"/>
          <w14:ligatures w14:val="none"/>
        </w:rPr>
        <w:t>Demand for hotels and restaurants may vary; in the middle of the week, for example, they can see greater occupancy rates as remote workers seek for temporary offices or a change of scenery</w:t>
      </w:r>
      <w:r w:rsidR="00EE449C" w:rsidRPr="00CC2DF2">
        <w:rPr>
          <w:rFonts w:ascii="Arial" w:eastAsia="Times New Roman" w:hAnsi="Arial" w:cs="Arial"/>
          <w:kern w:val="0"/>
          <w:sz w:val="24"/>
          <w:szCs w:val="24"/>
          <w:lang w:eastAsia="en-GB"/>
          <w14:ligatures w14:val="none"/>
        </w:rPr>
        <w:t xml:space="preserve"> </w:t>
      </w:r>
      <w:r w:rsidR="00EE449C" w:rsidRPr="00CC2DF2">
        <w:rPr>
          <w:rFonts w:ascii="Arial" w:hAnsi="Arial" w:cs="Arial"/>
          <w:sz w:val="24"/>
          <w:szCs w:val="24"/>
          <w:shd w:val="clear" w:color="auto" w:fill="FFFFFF"/>
        </w:rPr>
        <w:t xml:space="preserve">(López-Andreu and Hamedani, 2019). </w:t>
      </w:r>
      <w:r w:rsidRPr="00CC2DF2">
        <w:rPr>
          <w:rFonts w:ascii="Arial" w:eastAsia="Times New Roman" w:hAnsi="Arial" w:cs="Arial"/>
          <w:kern w:val="0"/>
          <w:sz w:val="24"/>
          <w:szCs w:val="24"/>
          <w:lang w:eastAsia="en-GB"/>
          <w14:ligatures w14:val="none"/>
        </w:rPr>
        <w:t xml:space="preserve"> To attract to this new customer group, the industry needs to make financial adjustments, such as reevaluating pricing strategies and investing in remote worker infrastructure</w:t>
      </w:r>
      <w:r w:rsidR="00EE449C" w:rsidRPr="00CC2DF2">
        <w:rPr>
          <w:rFonts w:ascii="Arial" w:eastAsia="Times New Roman" w:hAnsi="Arial" w:cs="Arial"/>
          <w:kern w:val="0"/>
          <w:sz w:val="24"/>
          <w:szCs w:val="24"/>
          <w:lang w:eastAsia="en-GB"/>
          <w14:ligatures w14:val="none"/>
        </w:rPr>
        <w:t xml:space="preserve">. </w:t>
      </w:r>
      <w:r w:rsidRPr="00CC2DF2">
        <w:rPr>
          <w:rFonts w:ascii="Arial" w:eastAsia="Times New Roman" w:hAnsi="Arial" w:cs="Arial"/>
          <w:kern w:val="0"/>
          <w:sz w:val="24"/>
          <w:szCs w:val="24"/>
          <w:lang w:eastAsia="en-GB"/>
          <w14:ligatures w14:val="none"/>
        </w:rPr>
        <w:t>The socioeconomic effects are also clearly seen in the personnel of the hotel industry. freedom required by remote and hybrid work arrangements might lead to employment problems since workers could want the same degree of freedom in their jobs. In a cutthroat market, this calls for a review of benefits and employment practices to draw in and keep workers. Socioeconomically speaking, the hotel sector has both potential and challenges with the shift to hybrid and remote working arrangements (</w:t>
      </w:r>
      <w:r w:rsidR="00EE449C" w:rsidRPr="00CC2DF2">
        <w:rPr>
          <w:rFonts w:ascii="Arial" w:eastAsia="Times New Roman" w:hAnsi="Arial" w:cs="Arial"/>
          <w:kern w:val="0"/>
          <w:sz w:val="24"/>
          <w:szCs w:val="24"/>
          <w:lang w:eastAsia="en-GB"/>
          <w14:ligatures w14:val="none"/>
        </w:rPr>
        <w:t xml:space="preserve">Shin and Shin, </w:t>
      </w:r>
      <w:r w:rsidRPr="00CC2DF2">
        <w:rPr>
          <w:rFonts w:ascii="Arial" w:eastAsia="Times New Roman" w:hAnsi="Arial" w:cs="Arial"/>
          <w:kern w:val="0"/>
          <w:sz w:val="24"/>
          <w:szCs w:val="24"/>
          <w:lang w:eastAsia="en-GB"/>
          <w14:ligatures w14:val="none"/>
        </w:rPr>
        <w:t xml:space="preserve"> 2020). To meet the evolving demands and preferences of customers and workers, employment policies, operating procedures, and services offered must be adjusted. To take use of the possible advantages of this revolution, like opening up new markets and increasing operational efficiency, the industry must appropriately handle these changes</w:t>
      </w:r>
      <w:r w:rsidR="00EE449C" w:rsidRPr="00CC2DF2">
        <w:rPr>
          <w:rFonts w:ascii="Arial" w:eastAsia="Times New Roman" w:hAnsi="Arial" w:cs="Arial"/>
          <w:kern w:val="0"/>
          <w:sz w:val="24"/>
          <w:szCs w:val="24"/>
          <w:lang w:eastAsia="en-GB"/>
          <w14:ligatures w14:val="none"/>
        </w:rPr>
        <w:t>.</w:t>
      </w:r>
    </w:p>
    <w:p w14:paraId="3D168C9E" w14:textId="77777777"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p>
    <w:p w14:paraId="73EDA766" w14:textId="59B15935" w:rsidR="00223B90" w:rsidRPr="00CC2DF2" w:rsidRDefault="00223B90" w:rsidP="00CC2DF2">
      <w:pPr>
        <w:pStyle w:val="EU"/>
        <w:spacing w:line="360" w:lineRule="auto"/>
        <w:rPr>
          <w:rFonts w:eastAsia="Times New Roman"/>
          <w:color w:val="auto"/>
        </w:rPr>
      </w:pPr>
      <w:bookmarkStart w:id="3" w:name="_Toc168653188"/>
      <w:r w:rsidRPr="00CC2DF2">
        <w:rPr>
          <w:rFonts w:eastAsia="Times New Roman"/>
          <w:color w:val="auto"/>
        </w:rPr>
        <w:t>Industry trends</w:t>
      </w:r>
      <w:bookmarkEnd w:id="3"/>
      <w:r w:rsidRPr="00CC2DF2">
        <w:rPr>
          <w:rFonts w:eastAsia="Times New Roman"/>
          <w:color w:val="auto"/>
        </w:rPr>
        <w:t xml:space="preserve"> </w:t>
      </w:r>
    </w:p>
    <w:p w14:paraId="5080CA13" w14:textId="435A54F0"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The hotel sector is going through a lot of changes and issues right now, especially with regard to staff turnover and retention. Performance and stability of organisations are greatly impacted by these tendencies. High staff turnover rates have long been a hallmark of the hotel industry, frequently topping 70% yearly, which is far greater than the norm for other businesses (</w:t>
      </w:r>
      <w:r w:rsidR="00EE449C" w:rsidRPr="00CC2DF2">
        <w:rPr>
          <w:rFonts w:ascii="Arial" w:eastAsia="Times New Roman" w:hAnsi="Arial" w:cs="Arial"/>
          <w:kern w:val="0"/>
          <w:sz w:val="24"/>
          <w:szCs w:val="24"/>
          <w:lang w:eastAsia="en-GB"/>
          <w14:ligatures w14:val="none"/>
        </w:rPr>
        <w:t xml:space="preserve">Ghani et al , 2022). </w:t>
      </w:r>
      <w:r w:rsidRPr="00CC2DF2">
        <w:rPr>
          <w:rFonts w:ascii="Arial" w:eastAsia="Times New Roman" w:hAnsi="Arial" w:cs="Arial"/>
          <w:kern w:val="0"/>
          <w:sz w:val="24"/>
          <w:szCs w:val="24"/>
          <w:lang w:eastAsia="en-GB"/>
          <w14:ligatures w14:val="none"/>
        </w:rPr>
        <w:t xml:space="preserve"> The difficult nature of hospitality work, seasonal employment patterns, comparatively low pay, and little chances for career growth are among the reasons for this high turnover. Additionally noticeably poor retention rates exist in the hotel sector, with many workers quitting their jobs in the first year. These problems have been made worse by the COVID-19 outbreak, since many workers fled the sector during lockouts and have been hesitant to return</w:t>
      </w:r>
      <w:r w:rsidR="00302094" w:rsidRPr="00CC2DF2">
        <w:rPr>
          <w:rFonts w:ascii="Arial" w:eastAsia="Times New Roman" w:hAnsi="Arial" w:cs="Arial"/>
          <w:kern w:val="0"/>
          <w:sz w:val="24"/>
          <w:szCs w:val="24"/>
          <w:lang w:eastAsia="en-GB"/>
          <w14:ligatures w14:val="none"/>
        </w:rPr>
        <w:t xml:space="preserve"> (Deloitte, n.d.).</w:t>
      </w:r>
      <w:r w:rsidRPr="00CC2DF2">
        <w:rPr>
          <w:rFonts w:ascii="Arial" w:eastAsia="Times New Roman" w:hAnsi="Arial" w:cs="Arial"/>
          <w:kern w:val="0"/>
          <w:sz w:val="24"/>
          <w:szCs w:val="24"/>
          <w:lang w:eastAsia="en-GB"/>
          <w14:ligatures w14:val="none"/>
        </w:rPr>
        <w:t>The epidemic</w:t>
      </w:r>
      <w:r w:rsidR="00EE449C" w:rsidRPr="00CC2DF2">
        <w:rPr>
          <w:rFonts w:ascii="Arial" w:eastAsia="Times New Roman" w:hAnsi="Arial" w:cs="Arial"/>
          <w:kern w:val="0"/>
          <w:sz w:val="24"/>
          <w:szCs w:val="24"/>
          <w:lang w:eastAsia="en-GB"/>
          <w14:ligatures w14:val="none"/>
        </w:rPr>
        <w:t xml:space="preserve"> </w:t>
      </w:r>
      <w:r w:rsidRPr="00CC2DF2">
        <w:rPr>
          <w:rFonts w:ascii="Arial" w:eastAsia="Times New Roman" w:hAnsi="Arial" w:cs="Arial"/>
          <w:kern w:val="0"/>
          <w:sz w:val="24"/>
          <w:szCs w:val="24"/>
          <w:lang w:eastAsia="en-GB"/>
          <w14:ligatures w14:val="none"/>
        </w:rPr>
        <w:t xml:space="preserve">brought attention to the job security, and working conditions—areas where the hotel industry has historically lagged. The pandemic's disruption has forced many workers to reconsider their professional paths in search of more steady and fulfilling alternatives </w:t>
      </w:r>
      <w:r w:rsidR="00EE449C" w:rsidRPr="00CC2DF2">
        <w:rPr>
          <w:rFonts w:ascii="Arial" w:eastAsia="Times New Roman" w:hAnsi="Arial" w:cs="Arial"/>
          <w:kern w:val="0"/>
          <w:sz w:val="24"/>
          <w:szCs w:val="24"/>
          <w:lang w:eastAsia="en-GB"/>
          <w14:ligatures w14:val="none"/>
        </w:rPr>
        <w:t>(CIPD, 2021).</w:t>
      </w:r>
    </w:p>
    <w:p w14:paraId="603CDBF5" w14:textId="77777777"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p>
    <w:p w14:paraId="3B8F416C" w14:textId="4A7370CF" w:rsidR="00223B90" w:rsidRPr="00CC2DF2" w:rsidRDefault="00223B90" w:rsidP="00CC2DF2">
      <w:pPr>
        <w:pStyle w:val="EU"/>
        <w:spacing w:line="360" w:lineRule="auto"/>
        <w:rPr>
          <w:rFonts w:eastAsia="Times New Roman"/>
          <w:color w:val="auto"/>
        </w:rPr>
      </w:pPr>
      <w:bookmarkStart w:id="4" w:name="_Toc168653189"/>
      <w:r w:rsidRPr="00CC2DF2">
        <w:rPr>
          <w:rFonts w:eastAsia="Times New Roman"/>
          <w:color w:val="auto"/>
        </w:rPr>
        <w:t>Emerging work modalities</w:t>
      </w:r>
      <w:bookmarkEnd w:id="4"/>
      <w:r w:rsidRPr="00CC2DF2">
        <w:rPr>
          <w:rFonts w:eastAsia="Times New Roman"/>
          <w:color w:val="auto"/>
        </w:rPr>
        <w:t xml:space="preserve"> </w:t>
      </w:r>
    </w:p>
    <w:p w14:paraId="08EDC746" w14:textId="179B0C40"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Given the hotel industry's reputation for providing in-person customer service, implementing remote, hybrid, and flexible work arrangements has proven challenging. The COVID-19 pandemic and technological advancements have caused a dramatic shift in work habits inside the company throughout the past five years. Increased use of technology, a reevaluation of labour management, and a greater emphasis on work-life balance characterise the shift. Corporate and administrative roles in the hotel sector are increasingly using hybrid work models, which combine in-person and remote work </w:t>
      </w:r>
      <w:r w:rsidR="00302094" w:rsidRPr="00CC2DF2">
        <w:rPr>
          <w:rFonts w:ascii="Arial" w:eastAsia="Times New Roman" w:hAnsi="Arial" w:cs="Arial"/>
          <w:kern w:val="0"/>
          <w:sz w:val="24"/>
          <w:szCs w:val="24"/>
          <w:lang w:eastAsia="en-GB"/>
          <w14:ligatures w14:val="none"/>
        </w:rPr>
        <w:t xml:space="preserve"> </w:t>
      </w:r>
      <w:r w:rsidR="00302094" w:rsidRPr="00CC2DF2">
        <w:rPr>
          <w:rFonts w:ascii="Arial" w:hAnsi="Arial" w:cs="Arial"/>
          <w:sz w:val="24"/>
          <w:szCs w:val="24"/>
          <w:shd w:val="clear" w:color="auto" w:fill="FFFFFF"/>
        </w:rPr>
        <w:t xml:space="preserve">(McKinsey Global Institute, 2023). </w:t>
      </w:r>
      <w:r w:rsidRPr="00CC2DF2">
        <w:rPr>
          <w:rFonts w:ascii="Arial" w:eastAsia="Times New Roman" w:hAnsi="Arial" w:cs="Arial"/>
          <w:kern w:val="0"/>
          <w:sz w:val="24"/>
          <w:szCs w:val="24"/>
          <w:lang w:eastAsia="en-GB"/>
          <w14:ligatures w14:val="none"/>
        </w:rPr>
        <w:t>With remote labour for tasks that do not require physical presence, this model combines on-site presence to maintain the hands-on, customer-focused part of the industry. By enabling administrative personnel to efficiently work from several locations through reservations, inventory management, and customer relationship management, digital technology, including cloud-based systems, has made the hybrid model possible</w:t>
      </w:r>
      <w:r w:rsidR="00302094" w:rsidRPr="00CC2DF2">
        <w:rPr>
          <w:rFonts w:ascii="Arial" w:eastAsia="Times New Roman" w:hAnsi="Arial" w:cs="Arial"/>
          <w:kern w:val="0"/>
          <w:sz w:val="24"/>
          <w:szCs w:val="24"/>
          <w:lang w:eastAsia="en-GB"/>
          <w14:ligatures w14:val="none"/>
        </w:rPr>
        <w:t xml:space="preserve"> </w:t>
      </w:r>
      <w:r w:rsidR="00302094" w:rsidRPr="00CC2DF2">
        <w:rPr>
          <w:rFonts w:ascii="Arial" w:hAnsi="Arial" w:cs="Arial"/>
          <w:sz w:val="24"/>
          <w:szCs w:val="24"/>
          <w:shd w:val="clear" w:color="auto" w:fill="FFFFFF"/>
        </w:rPr>
        <w:t xml:space="preserve"> (Battisti, Alfiero and Leonidou, 2022). </w:t>
      </w:r>
      <w:r w:rsidRPr="00CC2DF2">
        <w:rPr>
          <w:rFonts w:ascii="Arial" w:eastAsia="Times New Roman" w:hAnsi="Arial" w:cs="Arial"/>
          <w:kern w:val="0"/>
          <w:sz w:val="24"/>
          <w:szCs w:val="24"/>
          <w:lang w:eastAsia="en-GB"/>
          <w14:ligatures w14:val="none"/>
        </w:rPr>
        <w:t xml:space="preserve"> Although it is less common in frontline jobs, remote work is growing more and more common in sectors including digital marketing, customer support, and some administrative activities</w:t>
      </w:r>
      <w:r w:rsidR="00302094" w:rsidRPr="00CC2DF2">
        <w:rPr>
          <w:rFonts w:ascii="Arial" w:eastAsia="Times New Roman" w:hAnsi="Arial" w:cs="Arial"/>
          <w:kern w:val="0"/>
          <w:sz w:val="24"/>
          <w:szCs w:val="24"/>
          <w:lang w:eastAsia="en-GB"/>
          <w14:ligatures w14:val="none"/>
        </w:rPr>
        <w:t xml:space="preserve">. </w:t>
      </w:r>
      <w:r w:rsidRPr="00CC2DF2">
        <w:rPr>
          <w:rFonts w:ascii="Arial" w:eastAsia="Times New Roman" w:hAnsi="Arial" w:cs="Arial"/>
          <w:kern w:val="0"/>
          <w:sz w:val="24"/>
          <w:szCs w:val="24"/>
          <w:lang w:eastAsia="en-GB"/>
          <w14:ligatures w14:val="none"/>
        </w:rPr>
        <w:t>The epidemic brought attention to how well remote work can maintain, and in some cases even improve, employee happiness and productivity. In competitive job markets in particular, this awareness has led to a more deliberate use of remote work to attract and keep talent. More workers want different schedules to improve their work-life balance, hence flexible working choices are becoming more and more important. Increasing schedule flexibility, part-time options, and seasonal employment are now offered by the hotel industry</w:t>
      </w:r>
      <w:r w:rsidR="00302094" w:rsidRPr="00CC2DF2">
        <w:rPr>
          <w:rFonts w:ascii="Arial" w:eastAsia="Times New Roman" w:hAnsi="Arial" w:cs="Arial"/>
          <w:kern w:val="0"/>
          <w:sz w:val="24"/>
          <w:szCs w:val="24"/>
          <w:lang w:eastAsia="en-GB"/>
          <w14:ligatures w14:val="none"/>
        </w:rPr>
        <w:t xml:space="preserve"> </w:t>
      </w:r>
      <w:r w:rsidR="00302094" w:rsidRPr="00CC2DF2">
        <w:rPr>
          <w:rFonts w:ascii="Arial" w:hAnsi="Arial" w:cs="Arial"/>
          <w:sz w:val="24"/>
          <w:szCs w:val="24"/>
          <w:shd w:val="clear" w:color="auto" w:fill="FFFFFF"/>
        </w:rPr>
        <w:t>(Bieńkowska et al., 2022).</w:t>
      </w:r>
      <w:r w:rsidRPr="00CC2DF2">
        <w:rPr>
          <w:rFonts w:ascii="Arial" w:eastAsia="Times New Roman" w:hAnsi="Arial" w:cs="Arial"/>
          <w:kern w:val="0"/>
          <w:sz w:val="24"/>
          <w:szCs w:val="24"/>
          <w:lang w:eastAsia="en-GB"/>
          <w14:ligatures w14:val="none"/>
        </w:rPr>
        <w:t xml:space="preserve"> These solutions handle the yearly variations in demand for the sector while also meeting the individual needs of the workers. A more general transformation in the global labour market is reflected in the hotel industry's move towards hybrid, remote, and flexible employment arrangements. Although the core of the business is still physical locations and direct customer contact, these new working practices offer opportunities for creativity, resiliency, and happier employees</w:t>
      </w:r>
      <w:r w:rsidR="00302094" w:rsidRPr="00CC2DF2">
        <w:rPr>
          <w:rFonts w:ascii="Arial" w:eastAsia="Times New Roman" w:hAnsi="Arial" w:cs="Arial"/>
          <w:kern w:val="0"/>
          <w:sz w:val="24"/>
          <w:szCs w:val="24"/>
          <w:lang w:eastAsia="en-GB"/>
          <w14:ligatures w14:val="none"/>
        </w:rPr>
        <w:t xml:space="preserve"> (CIPD, 2022). </w:t>
      </w:r>
      <w:r w:rsidRPr="00CC2DF2">
        <w:rPr>
          <w:rFonts w:ascii="Arial" w:eastAsia="Times New Roman" w:hAnsi="Arial" w:cs="Arial"/>
          <w:kern w:val="0"/>
          <w:sz w:val="24"/>
          <w:szCs w:val="24"/>
          <w:lang w:eastAsia="en-GB"/>
          <w14:ligatures w14:val="none"/>
        </w:rPr>
        <w:t>Adoption of these models successfully requires careful planning, open communication, and a commitment to maintaining the hotel industry's well-known high standards of service.</w:t>
      </w:r>
    </w:p>
    <w:p w14:paraId="6EBD1005" w14:textId="77777777" w:rsidR="00223B90" w:rsidRPr="00CC2DF2" w:rsidRDefault="00223B90" w:rsidP="00CC2DF2">
      <w:pPr>
        <w:spacing w:after="0" w:line="360" w:lineRule="auto"/>
        <w:jc w:val="both"/>
        <w:rPr>
          <w:rFonts w:ascii="Arial" w:eastAsia="Times New Roman" w:hAnsi="Arial" w:cs="Arial"/>
          <w:kern w:val="0"/>
          <w:sz w:val="24"/>
          <w:szCs w:val="24"/>
          <w:lang w:eastAsia="en-GB"/>
          <w14:ligatures w14:val="none"/>
        </w:rPr>
      </w:pPr>
    </w:p>
    <w:p w14:paraId="713DFC97" w14:textId="6ACA7B20" w:rsidR="00223B90" w:rsidRPr="00CC2DF2" w:rsidRDefault="00223B90" w:rsidP="00CC2DF2">
      <w:pPr>
        <w:pStyle w:val="EU"/>
        <w:spacing w:line="360" w:lineRule="auto"/>
        <w:rPr>
          <w:rFonts w:eastAsia="Times New Roman"/>
          <w:color w:val="auto"/>
        </w:rPr>
      </w:pPr>
      <w:bookmarkStart w:id="5" w:name="_Toc168653190"/>
      <w:r w:rsidRPr="00CC2DF2">
        <w:rPr>
          <w:rFonts w:eastAsia="Times New Roman"/>
          <w:color w:val="auto"/>
        </w:rPr>
        <w:t>Industry examples</w:t>
      </w:r>
      <w:bookmarkEnd w:id="5"/>
      <w:r w:rsidRPr="00CC2DF2">
        <w:rPr>
          <w:rFonts w:eastAsia="Times New Roman"/>
          <w:color w:val="auto"/>
        </w:rPr>
        <w:t xml:space="preserve"> </w:t>
      </w:r>
    </w:p>
    <w:p w14:paraId="41EEDF0E" w14:textId="47FF1BAC" w:rsidR="00163812" w:rsidRPr="00CC2DF2" w:rsidRDefault="00163812"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Radisson Hotel Group has taken a number of calculated steps to oversee staff performance in various work modes, particularly in reaction to the changing demands of a hybrid workforce. Using sophisticated performance management systems that stress ongoing feedback and progress is one noteworthy tactic. Regular check-ins between managers and staff members are one feature of these systems that guarantees performance goals are precisely matched with company objectives and modified as needed to reflect shifting market conditions (Radisson Hotel Group, 2023). Radisson has included technology as well to help with efficient performance management. Digital platforms allow team members to collaborate and communicate easily from any place. This method guarantees that workers get prompt feedback and acknowledgment, which are essential for sustaining motivation and engagement, in addition to supporting remote and hybrid work arrangements </w:t>
      </w:r>
      <w:r w:rsidR="00CC2DF2" w:rsidRPr="00CC2DF2">
        <w:rPr>
          <w:rFonts w:ascii="Arial" w:hAnsi="Arial" w:cs="Arial"/>
          <w:sz w:val="24"/>
          <w:szCs w:val="24"/>
          <w:shd w:val="clear" w:color="auto" w:fill="FFFFFF"/>
        </w:rPr>
        <w:t xml:space="preserve">(McKinsey &amp; Company, 2018). </w:t>
      </w:r>
      <w:r w:rsidRPr="00CC2DF2">
        <w:rPr>
          <w:rFonts w:ascii="Arial" w:eastAsia="Times New Roman" w:hAnsi="Arial" w:cs="Arial"/>
          <w:kern w:val="0"/>
          <w:sz w:val="24"/>
          <w:szCs w:val="24"/>
          <w:lang w:eastAsia="en-GB"/>
          <w14:ligatures w14:val="none"/>
        </w:rPr>
        <w:t xml:space="preserve">Inside its performance management system, Radisson also stresses the value of coaching and mentoring. It is the training of managers to offer their staff members constant assistance and direction, therefore promoting a culture of ongoing development and personal development. In a </w:t>
      </w:r>
      <w:r w:rsidR="00CC2DF2" w:rsidRPr="00CC2DF2">
        <w:rPr>
          <w:rFonts w:ascii="Arial" w:eastAsia="Times New Roman" w:hAnsi="Arial" w:cs="Arial"/>
          <w:kern w:val="0"/>
          <w:sz w:val="24"/>
          <w:szCs w:val="24"/>
          <w:lang w:eastAsia="en-GB"/>
          <w14:ligatures w14:val="none"/>
        </w:rPr>
        <w:t>agglomerate</w:t>
      </w:r>
      <w:r w:rsidRPr="00CC2DF2">
        <w:rPr>
          <w:rFonts w:ascii="Arial" w:eastAsia="Times New Roman" w:hAnsi="Arial" w:cs="Arial"/>
          <w:kern w:val="0"/>
          <w:sz w:val="24"/>
          <w:szCs w:val="24"/>
          <w:lang w:eastAsia="en-GB"/>
          <w14:ligatures w14:val="none"/>
        </w:rPr>
        <w:t xml:space="preserve"> market, keeping top talent requires that employees feel appreciated and encouraged, which is what this emphasis on leadership development helps to provide (</w:t>
      </w:r>
      <w:r w:rsidR="00CC2DF2" w:rsidRPr="00CC2DF2">
        <w:rPr>
          <w:rFonts w:ascii="Arial" w:eastAsia="Times New Roman" w:hAnsi="Arial" w:cs="Arial"/>
          <w:kern w:val="0"/>
          <w:sz w:val="24"/>
          <w:szCs w:val="24"/>
          <w:lang w:eastAsia="en-GB"/>
          <w14:ligatures w14:val="none"/>
        </w:rPr>
        <w:t>Radisson Group, 2022</w:t>
      </w:r>
      <w:r w:rsidRPr="00CC2DF2">
        <w:rPr>
          <w:rFonts w:ascii="Arial" w:eastAsia="Times New Roman" w:hAnsi="Arial" w:cs="Arial"/>
          <w:kern w:val="0"/>
          <w:sz w:val="24"/>
          <w:szCs w:val="24"/>
          <w:lang w:eastAsia="en-GB"/>
          <w14:ligatures w14:val="none"/>
        </w:rPr>
        <w:t>). Radisson's dedication to matching performance management with more general company principles like sustainability and corporate social responsibility complements these efforts. Through incorporating these principles throughout its performance management procedures, Radisson improves employee engagement while also fortifying its competitive edge and brand reputation</w:t>
      </w:r>
      <w:r w:rsidR="00CC2DF2" w:rsidRPr="00CC2DF2">
        <w:rPr>
          <w:rFonts w:ascii="Arial" w:eastAsia="Times New Roman" w:hAnsi="Arial" w:cs="Arial"/>
          <w:kern w:val="0"/>
          <w:sz w:val="24"/>
          <w:szCs w:val="24"/>
          <w:lang w:eastAsia="en-GB"/>
          <w14:ligatures w14:val="none"/>
        </w:rPr>
        <w:t>.</w:t>
      </w:r>
    </w:p>
    <w:p w14:paraId="68AE5615" w14:textId="77777777" w:rsidR="00163812" w:rsidRPr="00CC2DF2" w:rsidRDefault="00163812" w:rsidP="00CC2DF2">
      <w:pPr>
        <w:spacing w:after="0" w:line="360" w:lineRule="auto"/>
        <w:jc w:val="both"/>
        <w:rPr>
          <w:rFonts w:ascii="Arial" w:eastAsia="Times New Roman" w:hAnsi="Arial" w:cs="Arial"/>
          <w:kern w:val="0"/>
          <w:sz w:val="24"/>
          <w:szCs w:val="24"/>
          <w:lang w:eastAsia="en-GB"/>
          <w14:ligatures w14:val="none"/>
        </w:rPr>
      </w:pPr>
    </w:p>
    <w:p w14:paraId="609AF117" w14:textId="1DC2B2FC" w:rsidR="00163812" w:rsidRPr="00CC2DF2" w:rsidRDefault="00163812" w:rsidP="00CC2DF2">
      <w:pPr>
        <w:pStyle w:val="EU"/>
        <w:spacing w:line="360" w:lineRule="auto"/>
        <w:rPr>
          <w:rFonts w:eastAsia="Times New Roman"/>
          <w:color w:val="auto"/>
        </w:rPr>
      </w:pPr>
      <w:bookmarkStart w:id="6" w:name="_Toc168653191"/>
      <w:r w:rsidRPr="00CC2DF2">
        <w:rPr>
          <w:rFonts w:eastAsia="Times New Roman"/>
          <w:color w:val="auto"/>
        </w:rPr>
        <w:t>Conclusion</w:t>
      </w:r>
      <w:bookmarkEnd w:id="6"/>
    </w:p>
    <w:p w14:paraId="5B332AD2" w14:textId="2EEEFD1E" w:rsidR="00163812" w:rsidRPr="00CC2DF2" w:rsidRDefault="00163812" w:rsidP="00CC2DF2">
      <w:pPr>
        <w:spacing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In conlusion, global hotel chains depend on human resources management which, by strategic people management, gives them a competitive advantage. Excellent service quality in the hotel industry is dependent on the efficacy and contentment of the personnel, hence HRM is crucial. Predicting and controlling the labour supply is part of workforce planning, which guarantees that the appropriate skills are available when needed. Selection finds the top applicants; recruitment draws in possible ones. Socioeconomic variables like hybrid and remote work trends have a big impact on the business and have changed operational plans and consumer behaviour. This change requires changes to employment practices and service packages to satisfy new needs from both staff and customers. Reducing high turnover and retention is still important, and two important tactics are better working conditions and career prospects. The industry is adopting flexible work schedules as a result of the epidemic and technical developments, which emphasises the requirement of creative HRM techniques to sustain competitiveness and operational effectiveness.</w:t>
      </w:r>
    </w:p>
    <w:p w14:paraId="542C5F3C" w14:textId="77777777" w:rsidR="00163812" w:rsidRPr="00CC2DF2" w:rsidRDefault="00163812" w:rsidP="00CC2DF2">
      <w:pPr>
        <w:spacing w:after="0" w:line="360" w:lineRule="auto"/>
        <w:jc w:val="both"/>
        <w:rPr>
          <w:rFonts w:ascii="Arial" w:eastAsia="Times New Roman" w:hAnsi="Arial" w:cs="Arial"/>
          <w:kern w:val="0"/>
          <w:sz w:val="24"/>
          <w:szCs w:val="24"/>
          <w:lang w:eastAsia="en-GB"/>
          <w14:ligatures w14:val="none"/>
        </w:rPr>
      </w:pPr>
    </w:p>
    <w:p w14:paraId="6D64A971" w14:textId="5F0AF4E6" w:rsidR="00163812" w:rsidRPr="00CC2DF2" w:rsidRDefault="00163812" w:rsidP="00CC2DF2">
      <w:pPr>
        <w:pStyle w:val="EU"/>
        <w:spacing w:line="360" w:lineRule="auto"/>
        <w:rPr>
          <w:rFonts w:eastAsia="Times New Roman"/>
          <w:color w:val="auto"/>
        </w:rPr>
      </w:pPr>
      <w:bookmarkStart w:id="7" w:name="_Toc168653192"/>
      <w:r w:rsidRPr="00CC2DF2">
        <w:rPr>
          <w:rFonts w:eastAsia="Times New Roman"/>
          <w:color w:val="auto"/>
        </w:rPr>
        <w:t>Recommendations</w:t>
      </w:r>
      <w:bookmarkEnd w:id="7"/>
    </w:p>
    <w:p w14:paraId="4261F9E4" w14:textId="4B796813" w:rsidR="00163812" w:rsidRPr="00CC2DF2" w:rsidRDefault="00163812" w:rsidP="00CC2DF2">
      <w:pPr>
        <w:spacing w:after="0" w:line="360" w:lineRule="auto"/>
        <w:jc w:val="both"/>
        <w:rPr>
          <w:rFonts w:ascii="Arial" w:eastAsia="Times New Roman" w:hAnsi="Arial" w:cs="Arial"/>
          <w:kern w:val="0"/>
          <w:sz w:val="24"/>
          <w:szCs w:val="24"/>
          <w:lang w:eastAsia="en-GB"/>
          <w14:ligatures w14:val="none"/>
        </w:rPr>
      </w:pPr>
      <w:r w:rsidRPr="00CC2DF2">
        <w:rPr>
          <w:rFonts w:ascii="Arial" w:eastAsia="Times New Roman" w:hAnsi="Arial" w:cs="Arial"/>
          <w:kern w:val="0"/>
          <w:sz w:val="24"/>
          <w:szCs w:val="24"/>
          <w:lang w:eastAsia="en-GB"/>
          <w14:ligatures w14:val="none"/>
        </w:rPr>
        <w:t xml:space="preserve">In order to deal with these issues, hospitality businesses are implementing a number of strategic plans meant to raise staff retention and lower turnover. Improving the experience and involvement of employees is one important strategy. Improved benefits packages, more flexible working arrangements, and improved training and development programmes are some examples of this (Armstrong </w:t>
      </w:r>
      <w:r w:rsidR="009D31AA" w:rsidRPr="00CC2DF2">
        <w:rPr>
          <w:rFonts w:ascii="Arial" w:eastAsia="Times New Roman" w:hAnsi="Arial" w:cs="Arial"/>
          <w:kern w:val="0"/>
          <w:sz w:val="24"/>
          <w:szCs w:val="24"/>
          <w:lang w:eastAsia="en-GB"/>
          <w14:ligatures w14:val="none"/>
        </w:rPr>
        <w:t>and</w:t>
      </w:r>
      <w:r w:rsidRPr="00CC2DF2">
        <w:rPr>
          <w:rFonts w:ascii="Arial" w:eastAsia="Times New Roman" w:hAnsi="Arial" w:cs="Arial"/>
          <w:kern w:val="0"/>
          <w:sz w:val="24"/>
          <w:szCs w:val="24"/>
          <w:lang w:eastAsia="en-GB"/>
          <w14:ligatures w14:val="none"/>
        </w:rPr>
        <w:t xml:space="preserve"> Taylor, 2020). Because training and development provide workers the abilities to carry out their responsibilities well and progress in their careers, they also boost job satisfaction and loyalty. Companies are also using technology to simplify procedures and lessen the workload of staff members, which can raise job satisfaction and retention. By ensuring more equitable and predictable work schedules, for example, stress can be reduced and workers' work-life balance can be improved (Torrington et al., 2020). More effective feedback and communication systems made possible by technology can also make staff members feel more appreciated and connected. An additional noteworthy development is the matching of company ideals with employee values. Talent seeking more than simply a salary can be drawn to and employee loyalty increased by an emphasis on sustainability, diversity, and corporate social responsibility. Actively promoting and implementing these principles, companies often have better retention rates since staff members feel happy to work for a company that shares their own ideals and views </w:t>
      </w:r>
      <w:r w:rsidR="009D31AA" w:rsidRPr="00CC2DF2">
        <w:rPr>
          <w:rFonts w:ascii="Arial" w:hAnsi="Arial" w:cs="Arial"/>
          <w:sz w:val="24"/>
          <w:szCs w:val="24"/>
          <w:shd w:val="clear" w:color="auto" w:fill="FFFFFF"/>
        </w:rPr>
        <w:t xml:space="preserve"> (McKinsey and Company, 2023). </w:t>
      </w:r>
      <w:r w:rsidRPr="00CC2DF2">
        <w:rPr>
          <w:rFonts w:ascii="Arial" w:eastAsia="Times New Roman" w:hAnsi="Arial" w:cs="Arial"/>
          <w:kern w:val="0"/>
          <w:sz w:val="24"/>
          <w:szCs w:val="24"/>
          <w:lang w:eastAsia="en-GB"/>
          <w14:ligatures w14:val="none"/>
        </w:rPr>
        <w:t>Comprehensive employee wellness programmes have also been demonstrated to increase retention rates. These initiatives include a range of facets of the financial, emotional, and physical wellness of employees. Companies may lower burnout and boost work satisfaction, which raises retention rates, by giving staff members tools and assistance to manage their health and well-being (CIPD, 202</w:t>
      </w:r>
      <w:r w:rsidR="009D31AA" w:rsidRPr="00CC2DF2">
        <w:rPr>
          <w:rFonts w:ascii="Arial" w:eastAsia="Times New Roman" w:hAnsi="Arial" w:cs="Arial"/>
          <w:kern w:val="0"/>
          <w:sz w:val="24"/>
          <w:szCs w:val="24"/>
          <w:lang w:eastAsia="en-GB"/>
          <w14:ligatures w14:val="none"/>
        </w:rPr>
        <w:t>3</w:t>
      </w:r>
      <w:r w:rsidRPr="00CC2DF2">
        <w:rPr>
          <w:rFonts w:ascii="Arial" w:eastAsia="Times New Roman" w:hAnsi="Arial" w:cs="Arial"/>
          <w:kern w:val="0"/>
          <w:sz w:val="24"/>
          <w:szCs w:val="24"/>
          <w:lang w:eastAsia="en-GB"/>
          <w14:ligatures w14:val="none"/>
        </w:rPr>
        <w:t xml:space="preserve">). Additionally important to employee retention are management and leadership techniques. Giving staff members clear instructions, encouragement, and acknowledgement is part of effective leadership. Regular coaching and feedback sessions by managers assist staff members learn their responsibilities, establish reasonable objectives, and feel valued for their efforts. Good work atmospheres and increased employee loyalty to the company are promoted by this kind of supportive management (Marchington </w:t>
      </w:r>
      <w:r w:rsidR="009D31AA" w:rsidRPr="00CC2DF2">
        <w:rPr>
          <w:rFonts w:ascii="Arial" w:eastAsia="Times New Roman" w:hAnsi="Arial" w:cs="Arial"/>
          <w:kern w:val="0"/>
          <w:sz w:val="24"/>
          <w:szCs w:val="24"/>
          <w:lang w:eastAsia="en-GB"/>
          <w14:ligatures w14:val="none"/>
        </w:rPr>
        <w:t>and</w:t>
      </w:r>
      <w:r w:rsidRPr="00CC2DF2">
        <w:rPr>
          <w:rFonts w:ascii="Arial" w:eastAsia="Times New Roman" w:hAnsi="Arial" w:cs="Arial"/>
          <w:kern w:val="0"/>
          <w:sz w:val="24"/>
          <w:szCs w:val="24"/>
          <w:lang w:eastAsia="en-GB"/>
          <w14:ligatures w14:val="none"/>
        </w:rPr>
        <w:t xml:space="preserve"> Wilkinson, 2016). </w:t>
      </w:r>
    </w:p>
    <w:p w14:paraId="38D48123" w14:textId="77777777" w:rsidR="00163812" w:rsidRDefault="00163812" w:rsidP="00163812">
      <w:pPr>
        <w:spacing w:after="0" w:line="360" w:lineRule="auto"/>
        <w:jc w:val="both"/>
        <w:rPr>
          <w:rFonts w:ascii="Arial" w:eastAsia="Times New Roman" w:hAnsi="Arial" w:cs="Arial"/>
          <w:kern w:val="0"/>
          <w:sz w:val="24"/>
          <w:szCs w:val="24"/>
          <w:lang w:eastAsia="en-GB"/>
          <w14:ligatures w14:val="none"/>
        </w:rPr>
      </w:pPr>
    </w:p>
    <w:p w14:paraId="1415040A" w14:textId="1E83D0D3" w:rsidR="00163812" w:rsidRPr="00163812" w:rsidRDefault="00163812" w:rsidP="00163812">
      <w:pPr>
        <w:spacing w:after="0" w:line="360" w:lineRule="auto"/>
        <w:jc w:val="both"/>
        <w:rPr>
          <w:rFonts w:ascii="Arial" w:eastAsia="Times New Roman" w:hAnsi="Arial" w:cs="Arial"/>
          <w:kern w:val="0"/>
          <w:sz w:val="24"/>
          <w:szCs w:val="24"/>
          <w:lang w:eastAsia="en-GB"/>
          <w14:ligatures w14:val="none"/>
        </w:rPr>
      </w:pPr>
      <w:r w:rsidRPr="00163812">
        <w:rPr>
          <w:rFonts w:ascii="Arial" w:eastAsia="Times New Roman" w:hAnsi="Arial" w:cs="Arial"/>
          <w:kern w:val="0"/>
          <w:sz w:val="24"/>
          <w:szCs w:val="24"/>
          <w:lang w:eastAsia="en-GB"/>
          <w14:ligatures w14:val="none"/>
        </w:rPr>
        <w:br/>
      </w:r>
    </w:p>
    <w:p w14:paraId="3470F2B9" w14:textId="77777777" w:rsidR="00ED320A" w:rsidRPr="00ED320A" w:rsidRDefault="00ED320A" w:rsidP="00163812">
      <w:pPr>
        <w:spacing w:after="0" w:line="360" w:lineRule="auto"/>
        <w:jc w:val="both"/>
        <w:rPr>
          <w:rFonts w:ascii="Arial" w:eastAsia="Times New Roman" w:hAnsi="Arial" w:cs="Arial"/>
          <w:b/>
          <w:bCs/>
          <w:kern w:val="0"/>
          <w:sz w:val="24"/>
          <w:szCs w:val="24"/>
          <w:lang w:eastAsia="en-GB"/>
          <w14:ligatures w14:val="none"/>
        </w:rPr>
      </w:pPr>
    </w:p>
    <w:p w14:paraId="2229E0F2" w14:textId="77777777" w:rsidR="00ED320A" w:rsidRPr="00ED320A" w:rsidRDefault="00ED320A" w:rsidP="00ED320A">
      <w:pPr>
        <w:spacing w:line="360" w:lineRule="auto"/>
        <w:jc w:val="both"/>
        <w:rPr>
          <w:rFonts w:ascii="Arial" w:hAnsi="Arial" w:cs="Arial"/>
        </w:rPr>
      </w:pPr>
    </w:p>
    <w:p w14:paraId="21627FE0" w14:textId="77777777" w:rsidR="00ED320A" w:rsidRDefault="00ED320A"/>
    <w:p w14:paraId="0CEFB109" w14:textId="77777777" w:rsidR="00ED320A" w:rsidRDefault="00ED320A"/>
    <w:p w14:paraId="268F7556" w14:textId="77777777" w:rsidR="00302094" w:rsidRDefault="00302094"/>
    <w:p w14:paraId="3D5C6141" w14:textId="77777777" w:rsidR="00302094" w:rsidRDefault="00302094"/>
    <w:p w14:paraId="347468D5" w14:textId="77777777" w:rsidR="00ED320A" w:rsidRDefault="00ED320A"/>
    <w:p w14:paraId="561B0228" w14:textId="7164DAAC" w:rsidR="00ED320A" w:rsidRPr="00CC2DF2" w:rsidRDefault="00163812" w:rsidP="00CC2DF2">
      <w:pPr>
        <w:pStyle w:val="EU"/>
        <w:spacing w:line="360" w:lineRule="auto"/>
        <w:rPr>
          <w:color w:val="auto"/>
        </w:rPr>
      </w:pPr>
      <w:bookmarkStart w:id="8" w:name="_Toc168653193"/>
      <w:r w:rsidRPr="00CC2DF2">
        <w:rPr>
          <w:color w:val="auto"/>
        </w:rPr>
        <w:t>References</w:t>
      </w:r>
      <w:bookmarkEnd w:id="8"/>
      <w:r w:rsidRPr="00CC2DF2">
        <w:rPr>
          <w:color w:val="auto"/>
        </w:rPr>
        <w:t xml:space="preserve"> </w:t>
      </w:r>
    </w:p>
    <w:p w14:paraId="46111F6D" w14:textId="77777777" w:rsidR="00ED320A" w:rsidRPr="00CC2DF2" w:rsidRDefault="00ED320A" w:rsidP="00CC2DF2">
      <w:pPr>
        <w:spacing w:line="360" w:lineRule="auto"/>
        <w:jc w:val="both"/>
        <w:rPr>
          <w:rFonts w:ascii="Arial" w:hAnsi="Arial" w:cs="Arial"/>
          <w:sz w:val="24"/>
          <w:szCs w:val="24"/>
        </w:rPr>
      </w:pPr>
    </w:p>
    <w:p w14:paraId="39A22DD4" w14:textId="14CBAFF7" w:rsidR="00302094" w:rsidRPr="00CC2DF2" w:rsidRDefault="009D31AA" w:rsidP="00CC2DF2">
      <w:pPr>
        <w:spacing w:line="360" w:lineRule="auto"/>
        <w:jc w:val="both"/>
        <w:rPr>
          <w:rFonts w:ascii="Arial" w:hAnsi="Arial" w:cs="Arial"/>
          <w:sz w:val="24"/>
          <w:szCs w:val="24"/>
        </w:rPr>
      </w:pPr>
      <w:r w:rsidRPr="00CC2DF2">
        <w:rPr>
          <w:rFonts w:ascii="Arial" w:hAnsi="Arial" w:cs="Arial"/>
          <w:sz w:val="24"/>
          <w:szCs w:val="24"/>
        </w:rPr>
        <w:t>Armstrong, M. and Taylor, S. (2020) Armstrong’s handbook of human resource management practice. 15th edition. London, United Kingdom ;: KoganPage.</w:t>
      </w:r>
    </w:p>
    <w:p w14:paraId="262957F8" w14:textId="05E09BF5" w:rsidR="00302094" w:rsidRPr="00CC2DF2" w:rsidRDefault="00302094" w:rsidP="00CC2DF2">
      <w:pPr>
        <w:pStyle w:val="NormalWeb"/>
        <w:spacing w:before="0" w:beforeAutospacing="0" w:after="0" w:afterAutospacing="0" w:line="360" w:lineRule="auto"/>
        <w:jc w:val="both"/>
        <w:rPr>
          <w:rFonts w:ascii="Arial" w:hAnsi="Arial" w:cs="Arial"/>
        </w:rPr>
      </w:pPr>
      <w:r w:rsidRPr="00CC2DF2">
        <w:rPr>
          <w:rFonts w:ascii="Arial" w:hAnsi="Arial" w:cs="Arial"/>
        </w:rPr>
        <w:t>Battisti, E., Alfiero, S. and Leonidou, E. (2022). Remote Working and Digital Transformation during the COVID-19 pandemic: Economic–financial Impacts and Psychological Drivers for Employees. </w:t>
      </w:r>
      <w:r w:rsidRPr="00CC2DF2">
        <w:rPr>
          <w:rFonts w:ascii="Arial" w:hAnsi="Arial" w:cs="Arial"/>
          <w:i/>
          <w:iCs/>
        </w:rPr>
        <w:t>Journal of Business Research</w:t>
      </w:r>
      <w:r w:rsidRPr="00CC2DF2">
        <w:rPr>
          <w:rFonts w:ascii="Arial" w:hAnsi="Arial" w:cs="Arial"/>
        </w:rPr>
        <w:t>, [online] 150(1), pp.38–50. doi:https://doi.org/10.1016/j.jbusres.2022.06.010.</w:t>
      </w:r>
    </w:p>
    <w:p w14:paraId="468F37C8" w14:textId="77777777" w:rsidR="00302094" w:rsidRPr="00CC2DF2" w:rsidRDefault="00302094" w:rsidP="00CC2DF2">
      <w:pPr>
        <w:pStyle w:val="NormalWeb"/>
        <w:spacing w:before="0" w:beforeAutospacing="0" w:after="0" w:afterAutospacing="0" w:line="360" w:lineRule="auto"/>
        <w:jc w:val="both"/>
        <w:rPr>
          <w:rFonts w:ascii="Arial" w:hAnsi="Arial" w:cs="Arial"/>
        </w:rPr>
      </w:pPr>
    </w:p>
    <w:p w14:paraId="7DBF6BA3" w14:textId="3B906727" w:rsidR="00302094" w:rsidRPr="00CC2DF2" w:rsidRDefault="00302094" w:rsidP="00CC2DF2">
      <w:pPr>
        <w:pStyle w:val="NormalWeb"/>
        <w:spacing w:before="0" w:beforeAutospacing="0" w:after="0" w:afterAutospacing="0" w:line="360" w:lineRule="auto"/>
        <w:jc w:val="both"/>
        <w:rPr>
          <w:rFonts w:ascii="Arial" w:hAnsi="Arial" w:cs="Arial"/>
        </w:rPr>
      </w:pPr>
      <w:r w:rsidRPr="00CC2DF2">
        <w:rPr>
          <w:rFonts w:ascii="Arial" w:hAnsi="Arial" w:cs="Arial"/>
        </w:rPr>
        <w:t>Bieńkowska, A., Koszela, A., Sałamacha, A. and Tworek, K. (2022). COVID-19 oriented HRM strategies influence on job and organizational performance through job-related attitudes. </w:t>
      </w:r>
      <w:r w:rsidRPr="00CC2DF2">
        <w:rPr>
          <w:rFonts w:ascii="Arial" w:hAnsi="Arial" w:cs="Arial"/>
          <w:i/>
          <w:iCs/>
        </w:rPr>
        <w:t>PLOS ONE</w:t>
      </w:r>
      <w:r w:rsidRPr="00CC2DF2">
        <w:rPr>
          <w:rFonts w:ascii="Arial" w:hAnsi="Arial" w:cs="Arial"/>
        </w:rPr>
        <w:t>, 17(4), p.e0266364. doi:https://doi.org/10.1371/journal.pone.0266364.</w:t>
      </w:r>
    </w:p>
    <w:p w14:paraId="0ED7C0B4" w14:textId="77777777" w:rsidR="00EE449C" w:rsidRPr="00CC2DF2" w:rsidRDefault="00EE449C" w:rsidP="00CC2DF2">
      <w:pPr>
        <w:spacing w:line="360" w:lineRule="auto"/>
        <w:jc w:val="both"/>
        <w:rPr>
          <w:rFonts w:ascii="Arial" w:hAnsi="Arial" w:cs="Arial"/>
          <w:sz w:val="24"/>
          <w:szCs w:val="24"/>
        </w:rPr>
      </w:pPr>
    </w:p>
    <w:p w14:paraId="0C39D2D7" w14:textId="42FAE9ED" w:rsidR="00EE449C" w:rsidRPr="00CC2DF2" w:rsidRDefault="00EE449C" w:rsidP="00CC2DF2">
      <w:pPr>
        <w:spacing w:line="360" w:lineRule="auto"/>
        <w:jc w:val="both"/>
        <w:rPr>
          <w:rFonts w:ascii="Arial" w:hAnsi="Arial" w:cs="Arial"/>
          <w:sz w:val="24"/>
          <w:szCs w:val="24"/>
          <w:shd w:val="clear" w:color="auto" w:fill="FFFFFF"/>
        </w:rPr>
      </w:pPr>
      <w:r w:rsidRPr="00CC2DF2">
        <w:rPr>
          <w:rFonts w:ascii="Arial" w:hAnsi="Arial" w:cs="Arial"/>
          <w:sz w:val="24"/>
          <w:szCs w:val="24"/>
          <w:shd w:val="clear" w:color="auto" w:fill="FFFFFF"/>
        </w:rPr>
        <w:t>Chevtaeva, E., Neuhofer, B. and Rainoldi, M., 2022, January. The" next normal" of work: How tourism shapes the wellbeing of remote workers. In </w:t>
      </w:r>
      <w:r w:rsidRPr="00CC2DF2">
        <w:rPr>
          <w:rFonts w:ascii="Arial" w:hAnsi="Arial" w:cs="Arial"/>
          <w:i/>
          <w:iCs/>
          <w:sz w:val="24"/>
          <w:szCs w:val="24"/>
          <w:shd w:val="clear" w:color="auto" w:fill="FFFFFF"/>
        </w:rPr>
        <w:t>CAUTHE 2022 Conference Online: Shaping the Next Normal in Tourism, Hospitality and Events: Handbook of Abstracts of the 32nd Annual Conference: Handbook of Abstracts of the 32nd Annual Conference, Council for Australasian University Tourism and Hospitality Education (CAUTHE</w:t>
      </w:r>
      <w:r w:rsidRPr="00CC2DF2">
        <w:rPr>
          <w:rFonts w:ascii="Arial" w:hAnsi="Arial" w:cs="Arial"/>
          <w:sz w:val="24"/>
          <w:szCs w:val="24"/>
          <w:shd w:val="clear" w:color="auto" w:fill="FFFFFF"/>
        </w:rPr>
        <w:t> (p. 33).</w:t>
      </w:r>
    </w:p>
    <w:p w14:paraId="00FCB67C" w14:textId="77777777" w:rsidR="00EE449C" w:rsidRPr="00CC2DF2" w:rsidRDefault="00EE449C" w:rsidP="00CC2DF2">
      <w:pPr>
        <w:spacing w:line="360" w:lineRule="auto"/>
        <w:jc w:val="both"/>
        <w:rPr>
          <w:rFonts w:ascii="Arial" w:hAnsi="Arial" w:cs="Arial"/>
          <w:sz w:val="24"/>
          <w:szCs w:val="24"/>
          <w:shd w:val="clear" w:color="auto" w:fill="FFFFFF"/>
        </w:rPr>
      </w:pPr>
    </w:p>
    <w:p w14:paraId="3EBA400D" w14:textId="619C5CED" w:rsidR="00EE449C" w:rsidRPr="00CC2DF2" w:rsidRDefault="00EE449C" w:rsidP="00CC2DF2">
      <w:pPr>
        <w:pStyle w:val="NormalWeb"/>
        <w:spacing w:before="0" w:beforeAutospacing="0" w:after="0" w:afterAutospacing="0" w:line="360" w:lineRule="auto"/>
        <w:jc w:val="both"/>
        <w:rPr>
          <w:rFonts w:ascii="Arial" w:hAnsi="Arial" w:cs="Arial"/>
        </w:rPr>
      </w:pPr>
      <w:r w:rsidRPr="00CC2DF2">
        <w:rPr>
          <w:rFonts w:ascii="Arial" w:hAnsi="Arial" w:cs="Arial"/>
        </w:rPr>
        <w:t>CIPD (2021). </w:t>
      </w:r>
      <w:r w:rsidRPr="00CC2DF2">
        <w:rPr>
          <w:rFonts w:ascii="Arial" w:hAnsi="Arial" w:cs="Arial"/>
          <w:i/>
          <w:iCs/>
        </w:rPr>
        <w:t>ADDRESSING SKILLS AND LABOUR SHORTAGES POST-BREXIT Report</w:t>
      </w:r>
      <w:r w:rsidRPr="00CC2DF2">
        <w:rPr>
          <w:rFonts w:ascii="Arial" w:hAnsi="Arial" w:cs="Arial"/>
        </w:rPr>
        <w:t xml:space="preserve">. [online] Available at: </w:t>
      </w:r>
      <w:hyperlink r:id="rId6" w:history="1">
        <w:r w:rsidR="00302094" w:rsidRPr="00CC2DF2">
          <w:rPr>
            <w:rStyle w:val="Hyperlink"/>
            <w:rFonts w:ascii="Arial" w:hAnsi="Arial" w:cs="Arial"/>
            <w:color w:val="auto"/>
          </w:rPr>
          <w:t>https://www.cipd.org/globalassets/media/knowledge/knowledge-hub/reports/addressing-skills-labour-shortages-post-brexit_tcm18-102313.pdf</w:t>
        </w:r>
      </w:hyperlink>
      <w:r w:rsidRPr="00CC2DF2">
        <w:rPr>
          <w:rFonts w:ascii="Arial" w:hAnsi="Arial" w:cs="Arial"/>
        </w:rPr>
        <w:t>.</w:t>
      </w:r>
    </w:p>
    <w:p w14:paraId="3723703E" w14:textId="77777777" w:rsidR="00302094" w:rsidRPr="00CC2DF2" w:rsidRDefault="00302094" w:rsidP="00CC2DF2">
      <w:pPr>
        <w:pStyle w:val="NormalWeb"/>
        <w:spacing w:before="0" w:beforeAutospacing="0" w:after="0" w:afterAutospacing="0" w:line="360" w:lineRule="auto"/>
        <w:jc w:val="both"/>
        <w:rPr>
          <w:rFonts w:ascii="Arial" w:hAnsi="Arial" w:cs="Arial"/>
        </w:rPr>
      </w:pPr>
    </w:p>
    <w:p w14:paraId="51B37754" w14:textId="26DEA752" w:rsidR="00302094" w:rsidRPr="00CC2DF2" w:rsidRDefault="00302094" w:rsidP="00CC2DF2">
      <w:pPr>
        <w:pStyle w:val="NormalWeb"/>
        <w:spacing w:before="0" w:beforeAutospacing="0" w:after="0" w:afterAutospacing="0" w:line="360" w:lineRule="auto"/>
        <w:jc w:val="both"/>
        <w:rPr>
          <w:rFonts w:ascii="Arial" w:hAnsi="Arial" w:cs="Arial"/>
        </w:rPr>
      </w:pPr>
      <w:r w:rsidRPr="00CC2DF2">
        <w:rPr>
          <w:rFonts w:ascii="Arial" w:hAnsi="Arial" w:cs="Arial"/>
        </w:rPr>
        <w:t>CIPD (2022). </w:t>
      </w:r>
      <w:r w:rsidRPr="00CC2DF2">
        <w:rPr>
          <w:rFonts w:ascii="Arial" w:hAnsi="Arial" w:cs="Arial"/>
          <w:i/>
          <w:iCs/>
        </w:rPr>
        <w:t>Case studies AN UPDATE ON FLEXIBLE AND HYBRID WORKING PRACTICES</w:t>
      </w:r>
      <w:r w:rsidRPr="00CC2DF2">
        <w:rPr>
          <w:rFonts w:ascii="Arial" w:hAnsi="Arial" w:cs="Arial"/>
        </w:rPr>
        <w:t>. [online] Available at: https://www.cipd.org/globalassets/media/knowledge/knowledge-hub/reports/flexible-hybrid-working-practices-case-studies_tcm18-109033.pdf.</w:t>
      </w:r>
    </w:p>
    <w:p w14:paraId="2ADEE42B" w14:textId="77777777" w:rsidR="00EE449C" w:rsidRPr="00CC2DF2" w:rsidRDefault="00EE449C" w:rsidP="00CC2DF2">
      <w:pPr>
        <w:spacing w:line="360" w:lineRule="auto"/>
        <w:jc w:val="both"/>
        <w:rPr>
          <w:rFonts w:ascii="Arial" w:hAnsi="Arial" w:cs="Arial"/>
          <w:sz w:val="24"/>
          <w:szCs w:val="24"/>
        </w:rPr>
      </w:pPr>
    </w:p>
    <w:p w14:paraId="022A9833" w14:textId="1F846BB6" w:rsidR="00ED320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CIPD (2023). </w:t>
      </w:r>
      <w:r w:rsidRPr="00CC2DF2">
        <w:rPr>
          <w:rFonts w:ascii="Arial" w:hAnsi="Arial" w:cs="Arial"/>
          <w:i/>
          <w:iCs/>
        </w:rPr>
        <w:t>Strategic workforce planning</w:t>
      </w:r>
      <w:r w:rsidRPr="00CC2DF2">
        <w:rPr>
          <w:rFonts w:ascii="Arial" w:hAnsi="Arial" w:cs="Arial"/>
        </w:rPr>
        <w:t xml:space="preserve">. [online] CIPD. Available at: </w:t>
      </w:r>
      <w:hyperlink r:id="rId7" w:history="1">
        <w:r w:rsidRPr="00CC2DF2">
          <w:rPr>
            <w:rStyle w:val="Hyperlink"/>
            <w:rFonts w:ascii="Arial" w:hAnsi="Arial" w:cs="Arial"/>
            <w:color w:val="auto"/>
          </w:rPr>
          <w:t>https://www.cipd.org/uk/knowledge/guides/strategic-workforce-planning/</w:t>
        </w:r>
      </w:hyperlink>
      <w:r w:rsidRPr="00CC2DF2">
        <w:rPr>
          <w:rFonts w:ascii="Arial" w:hAnsi="Arial" w:cs="Arial"/>
        </w:rPr>
        <w:t>.</w:t>
      </w:r>
    </w:p>
    <w:p w14:paraId="7AF325DD" w14:textId="77777777" w:rsidR="00302094" w:rsidRPr="00CC2DF2" w:rsidRDefault="00302094" w:rsidP="00CC2DF2">
      <w:pPr>
        <w:pStyle w:val="NormalWeb"/>
        <w:spacing w:before="0" w:beforeAutospacing="0" w:after="0" w:afterAutospacing="0" w:line="360" w:lineRule="auto"/>
        <w:jc w:val="both"/>
        <w:rPr>
          <w:rFonts w:ascii="Arial" w:hAnsi="Arial" w:cs="Arial"/>
        </w:rPr>
      </w:pPr>
    </w:p>
    <w:p w14:paraId="7931844B" w14:textId="7A4596F4" w:rsidR="00302094" w:rsidRPr="00CC2DF2" w:rsidRDefault="00302094" w:rsidP="00CC2DF2">
      <w:pPr>
        <w:pStyle w:val="NormalWeb"/>
        <w:spacing w:before="0" w:beforeAutospacing="0" w:after="0" w:afterAutospacing="0" w:line="360" w:lineRule="auto"/>
        <w:jc w:val="both"/>
        <w:rPr>
          <w:rFonts w:ascii="Arial" w:hAnsi="Arial" w:cs="Arial"/>
        </w:rPr>
      </w:pPr>
      <w:r w:rsidRPr="00CC2DF2">
        <w:rPr>
          <w:rFonts w:ascii="Arial" w:hAnsi="Arial" w:cs="Arial"/>
        </w:rPr>
        <w:t xml:space="preserve">Deloitte (n.d.). </w:t>
      </w:r>
      <w:r w:rsidRPr="00CC2DF2">
        <w:rPr>
          <w:rFonts w:ascii="Arial" w:hAnsi="Arial" w:cs="Arial"/>
          <w:i/>
          <w:iCs/>
        </w:rPr>
        <w:t>Workers are shunning hospitality jobs. What the sector can do about it.</w:t>
      </w:r>
      <w:r w:rsidRPr="00CC2DF2">
        <w:rPr>
          <w:rFonts w:ascii="Arial" w:hAnsi="Arial" w:cs="Arial"/>
        </w:rPr>
        <w:t> [online] Available at: https://action.deloitte.com/insight/2376/workers-are-shunning-hospitality-jobs.-what-the-sector-can-do-about-it..</w:t>
      </w:r>
    </w:p>
    <w:p w14:paraId="2FE56364"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7A8A8D93" w14:textId="11833EB3"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Gallagher, K. (2016) Essential study and employment skills for business and management students. Oxford: Oxford University Press.</w:t>
      </w:r>
    </w:p>
    <w:p w14:paraId="37650EB6" w14:textId="77777777" w:rsidR="00EE449C" w:rsidRPr="00CC2DF2" w:rsidRDefault="00EE449C" w:rsidP="00CC2DF2">
      <w:pPr>
        <w:pStyle w:val="NormalWeb"/>
        <w:spacing w:before="0" w:beforeAutospacing="0" w:after="0" w:afterAutospacing="0" w:line="360" w:lineRule="auto"/>
        <w:jc w:val="both"/>
        <w:rPr>
          <w:rFonts w:ascii="Arial" w:hAnsi="Arial" w:cs="Arial"/>
        </w:rPr>
      </w:pPr>
    </w:p>
    <w:p w14:paraId="79B0A24D" w14:textId="2D318EC0" w:rsidR="00EE449C" w:rsidRPr="00CC2DF2" w:rsidRDefault="00EE449C" w:rsidP="00CC2DF2">
      <w:pPr>
        <w:pStyle w:val="NormalWeb"/>
        <w:spacing w:before="0" w:beforeAutospacing="0" w:after="0" w:afterAutospacing="0" w:line="360" w:lineRule="auto"/>
        <w:jc w:val="both"/>
        <w:rPr>
          <w:rFonts w:ascii="Arial" w:hAnsi="Arial" w:cs="Arial"/>
        </w:rPr>
      </w:pPr>
      <w:r w:rsidRPr="00CC2DF2">
        <w:rPr>
          <w:rFonts w:ascii="Arial" w:hAnsi="Arial" w:cs="Arial"/>
        </w:rPr>
        <w:t>Ghani, B., Zada, M., Memon, K.R., Ullah, R., Khattak, A., Han, H., Montes, A.A. and Castillo, L.A. (2022). Challenges and Strategies for Employee Retention in the Hospitality Industry: A Review. </w:t>
      </w:r>
      <w:r w:rsidRPr="00CC2DF2">
        <w:rPr>
          <w:rFonts w:ascii="Arial" w:hAnsi="Arial" w:cs="Arial"/>
          <w:i/>
          <w:iCs/>
        </w:rPr>
        <w:t>Sustainability</w:t>
      </w:r>
      <w:r w:rsidRPr="00CC2DF2">
        <w:rPr>
          <w:rFonts w:ascii="Arial" w:hAnsi="Arial" w:cs="Arial"/>
        </w:rPr>
        <w:t>, [online] 14(5), p.2885. doi:https://doi.org/10.3390/su14052885.</w:t>
      </w:r>
    </w:p>
    <w:p w14:paraId="766EE744" w14:textId="77777777" w:rsidR="00EE449C" w:rsidRPr="00CC2DF2" w:rsidRDefault="00EE449C" w:rsidP="00CC2DF2">
      <w:pPr>
        <w:pStyle w:val="NormalWeb"/>
        <w:spacing w:before="0" w:beforeAutospacing="0" w:after="0" w:afterAutospacing="0" w:line="360" w:lineRule="auto"/>
        <w:jc w:val="both"/>
        <w:rPr>
          <w:rFonts w:ascii="Arial" w:hAnsi="Arial" w:cs="Arial"/>
        </w:rPr>
      </w:pPr>
    </w:p>
    <w:p w14:paraId="16835143" w14:textId="0166E014" w:rsidR="00EE449C" w:rsidRPr="00CC2DF2" w:rsidRDefault="00EE449C" w:rsidP="00CC2DF2">
      <w:pPr>
        <w:pStyle w:val="NormalWeb"/>
        <w:spacing w:before="0" w:beforeAutospacing="0" w:after="0" w:afterAutospacing="0" w:line="360" w:lineRule="auto"/>
        <w:jc w:val="both"/>
        <w:rPr>
          <w:rFonts w:ascii="Arial" w:hAnsi="Arial" w:cs="Arial"/>
        </w:rPr>
      </w:pPr>
      <w:r w:rsidRPr="00CC2DF2">
        <w:rPr>
          <w:rFonts w:ascii="Arial" w:hAnsi="Arial" w:cs="Arial"/>
        </w:rPr>
        <w:t>López-Andreu, M. and Hamedani, M. (2019). </w:t>
      </w:r>
      <w:r w:rsidRPr="00CC2DF2">
        <w:rPr>
          <w:rFonts w:ascii="Arial" w:hAnsi="Arial" w:cs="Arial"/>
          <w:i/>
          <w:iCs/>
        </w:rPr>
        <w:t>HOW HAS THE UK HOTELS SECTOR BEEN AFFECTED BY THE FISSURING OF THE WORKER- EMPLOYER RELATIONSHIP IN THE LAST 10 YEARS? Final Report</w:t>
      </w:r>
      <w:r w:rsidRPr="00CC2DF2">
        <w:rPr>
          <w:rFonts w:ascii="Arial" w:hAnsi="Arial" w:cs="Arial"/>
        </w:rPr>
        <w:t>. [online] Available at: https://assets.publishing.service.gov.uk/media/5d1dd8bce5274a08dd57c3be/UK_Hotels_Sector_Director_of_labour_market_enforcement_July_2019.pdf.</w:t>
      </w:r>
    </w:p>
    <w:p w14:paraId="40359EC4"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1DEB0E12" w14:textId="765A4BD7"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Marchington, M. and Wilkinson, A. (2016) Human resource management at work. 6th ed. London: Chartered Institute of Personnel and Development.</w:t>
      </w:r>
    </w:p>
    <w:p w14:paraId="5BDA9EA5" w14:textId="77777777" w:rsidR="00CC2DF2" w:rsidRPr="00CC2DF2" w:rsidRDefault="00CC2DF2" w:rsidP="00CC2DF2">
      <w:pPr>
        <w:pStyle w:val="NormalWeb"/>
        <w:spacing w:before="0" w:beforeAutospacing="0" w:after="0" w:afterAutospacing="0" w:line="360" w:lineRule="auto"/>
        <w:jc w:val="both"/>
        <w:rPr>
          <w:rFonts w:ascii="Arial" w:hAnsi="Arial" w:cs="Arial"/>
        </w:rPr>
      </w:pPr>
    </w:p>
    <w:p w14:paraId="751446A0" w14:textId="7152C1F6" w:rsidR="00CC2DF2" w:rsidRPr="00CC2DF2" w:rsidRDefault="00CC2DF2" w:rsidP="00CC2DF2">
      <w:pPr>
        <w:pStyle w:val="NormalWeb"/>
        <w:spacing w:before="0" w:beforeAutospacing="0" w:after="0" w:afterAutospacing="0" w:line="360" w:lineRule="auto"/>
        <w:jc w:val="both"/>
        <w:rPr>
          <w:rFonts w:ascii="Arial" w:hAnsi="Arial" w:cs="Arial"/>
        </w:rPr>
      </w:pPr>
      <w:r w:rsidRPr="00CC2DF2">
        <w:rPr>
          <w:rFonts w:ascii="Arial" w:hAnsi="Arial" w:cs="Arial"/>
        </w:rPr>
        <w:t>McKinsey &amp; Company (2018). </w:t>
      </w:r>
      <w:r w:rsidRPr="00CC2DF2">
        <w:rPr>
          <w:rFonts w:ascii="Arial" w:hAnsi="Arial" w:cs="Arial"/>
          <w:i/>
          <w:iCs/>
        </w:rPr>
        <w:t>The keys to a successful digital transformation | McKinsey</w:t>
      </w:r>
      <w:r w:rsidRPr="00CC2DF2">
        <w:rPr>
          <w:rFonts w:ascii="Arial" w:hAnsi="Arial" w:cs="Arial"/>
        </w:rPr>
        <w:t>. [online] www.mckinsey.com. Available at: https://www.mckinsey.com/capabilities/people-and-organizational-performance/our-insights/unlocking-success-in-digital-transformations.</w:t>
      </w:r>
    </w:p>
    <w:p w14:paraId="73DF0121" w14:textId="77777777" w:rsidR="00302094" w:rsidRPr="00CC2DF2" w:rsidRDefault="00302094" w:rsidP="00CC2DF2">
      <w:pPr>
        <w:pStyle w:val="NormalWeb"/>
        <w:spacing w:before="0" w:beforeAutospacing="0" w:after="0" w:afterAutospacing="0" w:line="360" w:lineRule="auto"/>
        <w:jc w:val="both"/>
        <w:rPr>
          <w:rFonts w:ascii="Arial" w:hAnsi="Arial" w:cs="Arial"/>
        </w:rPr>
      </w:pPr>
    </w:p>
    <w:p w14:paraId="74D039C6" w14:textId="63F21407" w:rsidR="00302094" w:rsidRPr="00CC2DF2" w:rsidRDefault="00302094" w:rsidP="00CC2DF2">
      <w:pPr>
        <w:pStyle w:val="NormalWeb"/>
        <w:spacing w:before="0" w:beforeAutospacing="0" w:after="0" w:afterAutospacing="0" w:line="360" w:lineRule="auto"/>
        <w:jc w:val="both"/>
        <w:rPr>
          <w:rFonts w:ascii="Arial" w:hAnsi="Arial" w:cs="Arial"/>
        </w:rPr>
      </w:pPr>
      <w:r w:rsidRPr="00CC2DF2">
        <w:rPr>
          <w:rFonts w:ascii="Arial" w:hAnsi="Arial" w:cs="Arial"/>
        </w:rPr>
        <w:t>McKinsey Global Institute (2023). </w:t>
      </w:r>
      <w:r w:rsidRPr="00CC2DF2">
        <w:rPr>
          <w:rFonts w:ascii="Arial" w:hAnsi="Arial" w:cs="Arial"/>
          <w:i/>
          <w:iCs/>
        </w:rPr>
        <w:t>How Hybrid Work Has Changed the Way People work, live, and Shop | McKinsey</w:t>
      </w:r>
      <w:r w:rsidRPr="00CC2DF2">
        <w:rPr>
          <w:rFonts w:ascii="Arial" w:hAnsi="Arial" w:cs="Arial"/>
        </w:rPr>
        <w:t>. [online] www.mckinsey.com. Available at: https://www.mckinsey.com/mgi/our-research/empty-spaces-and-hybrid-places-chapter-1.</w:t>
      </w:r>
    </w:p>
    <w:p w14:paraId="6B364CE1"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5F5C558A" w14:textId="2AE98348"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McKinsey &amp; Company (2023). </w:t>
      </w:r>
      <w:r w:rsidRPr="00CC2DF2">
        <w:rPr>
          <w:rFonts w:ascii="Arial" w:hAnsi="Arial" w:cs="Arial"/>
          <w:i/>
          <w:iCs/>
        </w:rPr>
        <w:t>State of Organizations 2023 McKinsey &amp; Company</w:t>
      </w:r>
      <w:r w:rsidRPr="00CC2DF2">
        <w:rPr>
          <w:rFonts w:ascii="Arial" w:hAnsi="Arial" w:cs="Arial"/>
        </w:rPr>
        <w:t xml:space="preserve">. [online] Available at: </w:t>
      </w:r>
      <w:hyperlink r:id="rId8" w:history="1">
        <w:r w:rsidRPr="00CC2DF2">
          <w:rPr>
            <w:rStyle w:val="Hyperlink"/>
            <w:rFonts w:ascii="Arial" w:hAnsi="Arial" w:cs="Arial"/>
            <w:color w:val="auto"/>
          </w:rPr>
          <w:t>https://www.mckinsey.com/~/media/mckinsey/business%20functions/people%20and%20organizational%20performance/our%20insights/the%20state%20of%20organizations%202023/the-state-of-organizations-2023.pdf</w:t>
        </w:r>
      </w:hyperlink>
      <w:r w:rsidRPr="00CC2DF2">
        <w:rPr>
          <w:rFonts w:ascii="Arial" w:hAnsi="Arial" w:cs="Arial"/>
        </w:rPr>
        <w:t>.</w:t>
      </w:r>
    </w:p>
    <w:p w14:paraId="44DB6FD4"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7E3C1765" w14:textId="2F358F67"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Radisson (</w:t>
      </w:r>
      <w:r w:rsidR="00EE449C" w:rsidRPr="00CC2DF2">
        <w:rPr>
          <w:rFonts w:ascii="Arial" w:hAnsi="Arial" w:cs="Arial"/>
        </w:rPr>
        <w:t>2022</w:t>
      </w:r>
      <w:r w:rsidRPr="00CC2DF2">
        <w:rPr>
          <w:rFonts w:ascii="Arial" w:hAnsi="Arial" w:cs="Arial"/>
        </w:rPr>
        <w:t xml:space="preserve">). </w:t>
      </w:r>
      <w:r w:rsidR="00EE449C" w:rsidRPr="00CC2DF2">
        <w:rPr>
          <w:rFonts w:ascii="Arial" w:hAnsi="Arial" w:cs="Arial"/>
          <w:i/>
          <w:iCs/>
        </w:rPr>
        <w:t>Radisson Hotel Group releases its 2022 Responsible Business ...</w:t>
      </w:r>
      <w:r w:rsidR="00EE449C" w:rsidRPr="00CC2DF2">
        <w:rPr>
          <w:rFonts w:ascii="Arial" w:hAnsi="Arial" w:cs="Arial"/>
        </w:rPr>
        <w:t> [online] Radisson Hotels &amp; Resorts. Available at: https://www.radissonhotels.com/en-us/corporate/media/press-releases/radisson-hotel-group-releases-2022-responsible-business-report-outlining-ley-milestones-and-achievements.</w:t>
      </w:r>
    </w:p>
    <w:p w14:paraId="6032BD4F"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6A8D7F24" w14:textId="6484682D"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Radisson (2023). </w:t>
      </w:r>
      <w:r w:rsidRPr="00CC2DF2">
        <w:rPr>
          <w:rFonts w:ascii="Arial" w:hAnsi="Arial" w:cs="Arial"/>
          <w:i/>
          <w:iCs/>
        </w:rPr>
        <w:t>Radisson Hotel Group enters 2023 with strong foundation for ...</w:t>
      </w:r>
      <w:r w:rsidRPr="00CC2DF2">
        <w:rPr>
          <w:rFonts w:ascii="Arial" w:hAnsi="Arial" w:cs="Arial"/>
        </w:rPr>
        <w:t xml:space="preserve"> [online] Radisson Hotels &amp; Resorts. Available at: </w:t>
      </w:r>
      <w:hyperlink r:id="rId9" w:history="1">
        <w:r w:rsidR="00CC2DF2" w:rsidRPr="00CC2DF2">
          <w:rPr>
            <w:rStyle w:val="Hyperlink"/>
            <w:rFonts w:ascii="Arial" w:hAnsi="Arial" w:cs="Arial"/>
            <w:color w:val="auto"/>
          </w:rPr>
          <w:t>https://www.radissonhotels.com/en-us/corporate/media/press-releases/radisson-hotel-group-enters-2023-with-strong-foundation-for-growth</w:t>
        </w:r>
      </w:hyperlink>
      <w:r w:rsidRPr="00CC2DF2">
        <w:rPr>
          <w:rFonts w:ascii="Arial" w:hAnsi="Arial" w:cs="Arial"/>
        </w:rPr>
        <w:t>.</w:t>
      </w:r>
    </w:p>
    <w:p w14:paraId="3A051354" w14:textId="77777777" w:rsidR="00CC2DF2" w:rsidRPr="00CC2DF2" w:rsidRDefault="00CC2DF2" w:rsidP="00CC2DF2">
      <w:pPr>
        <w:pStyle w:val="NormalWeb"/>
        <w:spacing w:before="0" w:beforeAutospacing="0" w:after="0" w:afterAutospacing="0" w:line="360" w:lineRule="auto"/>
        <w:jc w:val="both"/>
        <w:rPr>
          <w:rFonts w:ascii="Arial" w:hAnsi="Arial" w:cs="Arial"/>
        </w:rPr>
      </w:pPr>
    </w:p>
    <w:p w14:paraId="00FFAC83" w14:textId="720B88A9" w:rsidR="00ED320A" w:rsidRPr="00CC2DF2" w:rsidRDefault="00CC2DF2" w:rsidP="00CC2DF2">
      <w:pPr>
        <w:pStyle w:val="NormalWeb"/>
        <w:spacing w:before="0" w:beforeAutospacing="0" w:after="0" w:afterAutospacing="0" w:line="360" w:lineRule="auto"/>
        <w:jc w:val="both"/>
        <w:rPr>
          <w:rFonts w:ascii="Arial" w:hAnsi="Arial" w:cs="Arial"/>
        </w:rPr>
      </w:pPr>
      <w:r w:rsidRPr="00CC2DF2">
        <w:rPr>
          <w:rFonts w:ascii="Arial" w:hAnsi="Arial" w:cs="Arial"/>
        </w:rPr>
        <w:t>Raddison Group (2022). </w:t>
      </w:r>
      <w:r w:rsidRPr="00CC2DF2">
        <w:rPr>
          <w:rFonts w:ascii="Arial" w:hAnsi="Arial" w:cs="Arial"/>
          <w:i/>
          <w:iCs/>
        </w:rPr>
        <w:t>Radisson Hotel Group delivers on its strategic transformatio...</w:t>
      </w:r>
      <w:r w:rsidRPr="00CC2DF2">
        <w:rPr>
          <w:rFonts w:ascii="Arial" w:hAnsi="Arial" w:cs="Arial"/>
        </w:rPr>
        <w:t xml:space="preserve"> [online] Radisson Hotels &amp; Resorts. Available at: </w:t>
      </w:r>
      <w:hyperlink r:id="rId10" w:history="1">
        <w:r w:rsidRPr="00CC2DF2">
          <w:rPr>
            <w:rStyle w:val="Hyperlink"/>
            <w:rFonts w:ascii="Arial" w:hAnsi="Arial" w:cs="Arial"/>
            <w:color w:val="auto"/>
          </w:rPr>
          <w:t>https://www.radissonhotels.com/en-us/corporate/media/press-releases/radisson-hotel-group-delivers-on-its-strategic-transformation-plan-and-plans-to-sign-330-hotels-in-2022</w:t>
        </w:r>
      </w:hyperlink>
      <w:r w:rsidRPr="00CC2DF2">
        <w:rPr>
          <w:rFonts w:ascii="Arial" w:hAnsi="Arial" w:cs="Arial"/>
        </w:rPr>
        <w:t>.</w:t>
      </w:r>
    </w:p>
    <w:p w14:paraId="759DA254" w14:textId="77777777" w:rsidR="00CC2DF2" w:rsidRPr="00CC2DF2" w:rsidRDefault="00CC2DF2" w:rsidP="00CC2DF2">
      <w:pPr>
        <w:pStyle w:val="NormalWeb"/>
        <w:spacing w:before="0" w:beforeAutospacing="0" w:after="0" w:afterAutospacing="0" w:line="360" w:lineRule="auto"/>
        <w:jc w:val="both"/>
        <w:rPr>
          <w:rFonts w:ascii="Arial" w:hAnsi="Arial" w:cs="Arial"/>
        </w:rPr>
      </w:pPr>
    </w:p>
    <w:p w14:paraId="4F63103B" w14:textId="5EC4374B"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Radisson Hotel Group (2017). </w:t>
      </w:r>
      <w:r w:rsidRPr="00CC2DF2">
        <w:rPr>
          <w:rFonts w:ascii="Arial" w:hAnsi="Arial" w:cs="Arial"/>
          <w:i/>
          <w:iCs/>
        </w:rPr>
        <w:t>Our company history | Radisson Hotel Group</w:t>
      </w:r>
      <w:r w:rsidRPr="00CC2DF2">
        <w:rPr>
          <w:rFonts w:ascii="Arial" w:hAnsi="Arial" w:cs="Arial"/>
        </w:rPr>
        <w:t xml:space="preserve">. [online] Radisson Hotel Group. Available at: </w:t>
      </w:r>
      <w:hyperlink r:id="rId11" w:history="1">
        <w:r w:rsidRPr="00CC2DF2">
          <w:rPr>
            <w:rStyle w:val="Hyperlink"/>
            <w:rFonts w:ascii="Arial" w:hAnsi="Arial" w:cs="Arial"/>
            <w:color w:val="auto"/>
          </w:rPr>
          <w:t>https://www.radissonhotels.com/en-us/corporate/about-us/our-company</w:t>
        </w:r>
      </w:hyperlink>
      <w:r w:rsidRPr="00CC2DF2">
        <w:rPr>
          <w:rFonts w:ascii="Arial" w:hAnsi="Arial" w:cs="Arial"/>
        </w:rPr>
        <w:t>.</w:t>
      </w:r>
    </w:p>
    <w:p w14:paraId="0E3FB494" w14:textId="77777777" w:rsidR="009D31AA" w:rsidRPr="00CC2DF2" w:rsidRDefault="009D31AA" w:rsidP="00CC2DF2">
      <w:pPr>
        <w:pStyle w:val="NormalWeb"/>
        <w:spacing w:before="0" w:beforeAutospacing="0" w:after="0" w:afterAutospacing="0" w:line="360" w:lineRule="auto"/>
        <w:jc w:val="both"/>
        <w:rPr>
          <w:rFonts w:ascii="Arial" w:hAnsi="Arial" w:cs="Arial"/>
        </w:rPr>
      </w:pPr>
    </w:p>
    <w:p w14:paraId="20BE13CB" w14:textId="192A68B6" w:rsidR="009D31AA" w:rsidRPr="00CC2DF2" w:rsidRDefault="009D31AA" w:rsidP="00CC2DF2">
      <w:pPr>
        <w:pStyle w:val="NormalWeb"/>
        <w:spacing w:before="0" w:beforeAutospacing="0" w:after="0" w:afterAutospacing="0" w:line="360" w:lineRule="auto"/>
        <w:jc w:val="both"/>
        <w:rPr>
          <w:rFonts w:ascii="Arial" w:hAnsi="Arial" w:cs="Arial"/>
        </w:rPr>
      </w:pPr>
      <w:r w:rsidRPr="00CC2DF2">
        <w:rPr>
          <w:rFonts w:ascii="Arial" w:hAnsi="Arial" w:cs="Arial"/>
        </w:rPr>
        <w:t xml:space="preserve">Raddison Hotel Group (2018). </w:t>
      </w:r>
      <w:r w:rsidRPr="00CC2DF2">
        <w:rPr>
          <w:rFonts w:ascii="Arial" w:hAnsi="Arial" w:cs="Arial"/>
          <w:i/>
          <w:iCs/>
        </w:rPr>
        <w:t>Our global presence | Radisson Hotel Group</w:t>
      </w:r>
      <w:r w:rsidRPr="00CC2DF2">
        <w:rPr>
          <w:rFonts w:ascii="Arial" w:hAnsi="Arial" w:cs="Arial"/>
        </w:rPr>
        <w:t xml:space="preserve">. [online] Radisson Hotel Group. Available at: </w:t>
      </w:r>
      <w:hyperlink r:id="rId12" w:history="1">
        <w:r w:rsidR="00EE449C" w:rsidRPr="00CC2DF2">
          <w:rPr>
            <w:rStyle w:val="Hyperlink"/>
            <w:rFonts w:ascii="Arial" w:hAnsi="Arial" w:cs="Arial"/>
            <w:color w:val="auto"/>
          </w:rPr>
          <w:t>https://www.radissonhotels.com/en-us/corporate/about-us/our-presence</w:t>
        </w:r>
      </w:hyperlink>
      <w:r w:rsidRPr="00CC2DF2">
        <w:rPr>
          <w:rFonts w:ascii="Arial" w:hAnsi="Arial" w:cs="Arial"/>
        </w:rPr>
        <w:t>.</w:t>
      </w:r>
    </w:p>
    <w:p w14:paraId="51FCC477" w14:textId="77777777" w:rsidR="00C55BCE" w:rsidRPr="00CC2DF2" w:rsidRDefault="00C55BCE" w:rsidP="00CC2DF2">
      <w:pPr>
        <w:pStyle w:val="NormalWeb"/>
        <w:spacing w:before="0" w:beforeAutospacing="0" w:after="0" w:afterAutospacing="0" w:line="360" w:lineRule="auto"/>
        <w:jc w:val="both"/>
        <w:rPr>
          <w:rFonts w:ascii="Arial" w:hAnsi="Arial" w:cs="Arial"/>
        </w:rPr>
      </w:pPr>
    </w:p>
    <w:p w14:paraId="3E9A95B5" w14:textId="7A06ABAE" w:rsidR="00C55BCE" w:rsidRPr="00CC2DF2" w:rsidRDefault="00C55BCE" w:rsidP="00CC2DF2">
      <w:pPr>
        <w:pStyle w:val="NormalWeb"/>
        <w:spacing w:before="0" w:beforeAutospacing="0" w:after="0" w:afterAutospacing="0" w:line="360" w:lineRule="auto"/>
        <w:jc w:val="both"/>
        <w:rPr>
          <w:rFonts w:ascii="Arial" w:hAnsi="Arial" w:cs="Arial"/>
        </w:rPr>
      </w:pPr>
      <w:r w:rsidRPr="00CC2DF2">
        <w:rPr>
          <w:rFonts w:ascii="Arial" w:hAnsi="Arial" w:cs="Arial"/>
        </w:rPr>
        <w:t>Radisson Hotel Group (2023). </w:t>
      </w:r>
      <w:r w:rsidRPr="00CC2DF2">
        <w:rPr>
          <w:rFonts w:ascii="Arial" w:hAnsi="Arial" w:cs="Arial"/>
          <w:i/>
          <w:iCs/>
        </w:rPr>
        <w:t>Radisson Hotel Group enters next phase of digital transforma...</w:t>
      </w:r>
      <w:r w:rsidRPr="00CC2DF2">
        <w:rPr>
          <w:rFonts w:ascii="Arial" w:hAnsi="Arial" w:cs="Arial"/>
        </w:rPr>
        <w:t> [online] Radisson Hotels &amp; Resorts. Available at: https://www.radissonhotels.com/en-us/corporate/media/press-releases/radisson-hotel-group-enters-next-phase-of-digital-transformation.</w:t>
      </w:r>
    </w:p>
    <w:p w14:paraId="2BE064BE" w14:textId="77777777" w:rsidR="00EE449C" w:rsidRPr="00CC2DF2" w:rsidRDefault="00EE449C" w:rsidP="00CC2DF2">
      <w:pPr>
        <w:pStyle w:val="NormalWeb"/>
        <w:spacing w:before="0" w:beforeAutospacing="0" w:after="0" w:afterAutospacing="0" w:line="360" w:lineRule="auto"/>
        <w:jc w:val="both"/>
        <w:rPr>
          <w:rFonts w:ascii="Arial" w:hAnsi="Arial" w:cs="Arial"/>
        </w:rPr>
      </w:pPr>
    </w:p>
    <w:p w14:paraId="5B3C0AE2" w14:textId="7A800232" w:rsidR="00EE449C" w:rsidRPr="00CC2DF2" w:rsidRDefault="00EE449C" w:rsidP="00CC2DF2">
      <w:pPr>
        <w:pStyle w:val="NormalWeb"/>
        <w:spacing w:before="0" w:beforeAutospacing="0" w:after="0" w:afterAutospacing="0" w:line="360" w:lineRule="auto"/>
        <w:jc w:val="both"/>
        <w:rPr>
          <w:rFonts w:ascii="Arial" w:hAnsi="Arial" w:cs="Arial"/>
        </w:rPr>
      </w:pPr>
      <w:r w:rsidRPr="00CC2DF2">
        <w:rPr>
          <w:rFonts w:ascii="Arial" w:hAnsi="Arial" w:cs="Arial"/>
        </w:rPr>
        <w:t>Shin, J. and Shin, H. (2020). Impact of Job Insecurity on Hotel Workers’ Workaholism and Work–Family Conflict in Korea. </w:t>
      </w:r>
      <w:r w:rsidRPr="00CC2DF2">
        <w:rPr>
          <w:rFonts w:ascii="Arial" w:hAnsi="Arial" w:cs="Arial"/>
          <w:i/>
          <w:iCs/>
        </w:rPr>
        <w:t>International Journal of Environmental Research and Public Health</w:t>
      </w:r>
      <w:r w:rsidRPr="00CC2DF2">
        <w:rPr>
          <w:rFonts w:ascii="Arial" w:hAnsi="Arial" w:cs="Arial"/>
        </w:rPr>
        <w:t>, 17(21), p.7783. doi:https://doi.org/10.3390/ijerph17217783.</w:t>
      </w:r>
    </w:p>
    <w:p w14:paraId="2BB4CF08" w14:textId="77777777" w:rsidR="00EE449C" w:rsidRPr="00CC2DF2" w:rsidRDefault="00EE449C" w:rsidP="00CC2DF2">
      <w:pPr>
        <w:pStyle w:val="NormalWeb"/>
        <w:spacing w:before="0" w:beforeAutospacing="0" w:after="0" w:afterAutospacing="0" w:line="360" w:lineRule="auto"/>
        <w:jc w:val="both"/>
        <w:rPr>
          <w:rFonts w:ascii="Arial" w:hAnsi="Arial" w:cs="Arial"/>
        </w:rPr>
      </w:pPr>
    </w:p>
    <w:p w14:paraId="0913A3E2" w14:textId="248859E8" w:rsidR="00ED320A" w:rsidRPr="00CC2DF2" w:rsidRDefault="009D31AA" w:rsidP="00CC2DF2">
      <w:pPr>
        <w:spacing w:line="360" w:lineRule="auto"/>
        <w:jc w:val="both"/>
        <w:rPr>
          <w:rFonts w:ascii="Arial" w:hAnsi="Arial" w:cs="Arial"/>
          <w:sz w:val="24"/>
          <w:szCs w:val="24"/>
        </w:rPr>
      </w:pPr>
      <w:r w:rsidRPr="00CC2DF2">
        <w:rPr>
          <w:rFonts w:ascii="Arial" w:hAnsi="Arial" w:cs="Arial"/>
          <w:sz w:val="24"/>
          <w:szCs w:val="24"/>
        </w:rPr>
        <w:t>Torrington, D, Hall, L, Atkinson, C, &amp; Taylor, S (2020), Human Resource Management PDF EBook, Pearson Education, Limited, Harlow. Available from: ProQuest Ebook Central.</w:t>
      </w:r>
    </w:p>
    <w:p w14:paraId="2152C792" w14:textId="5FCA5658" w:rsidR="00ED320A" w:rsidRPr="00CC2DF2" w:rsidRDefault="00EE449C" w:rsidP="00CC2DF2">
      <w:pPr>
        <w:spacing w:line="360" w:lineRule="auto"/>
        <w:jc w:val="both"/>
        <w:rPr>
          <w:rFonts w:ascii="Arial" w:hAnsi="Arial" w:cs="Arial"/>
          <w:sz w:val="24"/>
          <w:szCs w:val="24"/>
        </w:rPr>
      </w:pPr>
      <w:r w:rsidRPr="00CC2DF2">
        <w:rPr>
          <w:rFonts w:ascii="Arial" w:hAnsi="Arial" w:cs="Arial"/>
          <w:sz w:val="24"/>
          <w:szCs w:val="24"/>
        </w:rPr>
        <w:t>UK Parliament (2022). The impact of remote and hybrid working on workers and organisations. Available at: https://post.parliament.uk/research-briefings/post-pb-0049/</w:t>
      </w:r>
    </w:p>
    <w:sectPr w:rsidR="00ED320A" w:rsidRPr="00CC2DF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181C72" w14:textId="77777777" w:rsidR="00AB17EF" w:rsidRDefault="00AB17EF" w:rsidP="00ED320A">
      <w:pPr>
        <w:spacing w:after="0" w:line="240" w:lineRule="auto"/>
      </w:pPr>
      <w:r>
        <w:separator/>
      </w:r>
    </w:p>
  </w:endnote>
  <w:endnote w:type="continuationSeparator" w:id="0">
    <w:p w14:paraId="7BB3F6A7" w14:textId="77777777" w:rsidR="00AB17EF" w:rsidRDefault="00AB17EF" w:rsidP="00ED3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1579132"/>
      <w:docPartObj>
        <w:docPartGallery w:val="Page Numbers (Bottom of Page)"/>
        <w:docPartUnique/>
      </w:docPartObj>
    </w:sdtPr>
    <w:sdtEndPr>
      <w:rPr>
        <w:noProof/>
      </w:rPr>
    </w:sdtEndPr>
    <w:sdtContent>
      <w:p w14:paraId="146D6CD6" w14:textId="061FD450" w:rsidR="00ED320A" w:rsidRDefault="00ED32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2EC76" w14:textId="77777777" w:rsidR="00ED320A" w:rsidRDefault="00ED3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70237B" w14:textId="77777777" w:rsidR="00AB17EF" w:rsidRDefault="00AB17EF" w:rsidP="00ED320A">
      <w:pPr>
        <w:spacing w:after="0" w:line="240" w:lineRule="auto"/>
      </w:pPr>
      <w:r>
        <w:separator/>
      </w:r>
    </w:p>
  </w:footnote>
  <w:footnote w:type="continuationSeparator" w:id="0">
    <w:p w14:paraId="7301D2FA" w14:textId="77777777" w:rsidR="00AB17EF" w:rsidRDefault="00AB17EF" w:rsidP="00ED32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20A"/>
    <w:rsid w:val="00143EB7"/>
    <w:rsid w:val="00163812"/>
    <w:rsid w:val="00223B90"/>
    <w:rsid w:val="002D3DB1"/>
    <w:rsid w:val="00302094"/>
    <w:rsid w:val="004B1CF1"/>
    <w:rsid w:val="00774DB4"/>
    <w:rsid w:val="007B0CC3"/>
    <w:rsid w:val="00871436"/>
    <w:rsid w:val="009D31AA"/>
    <w:rsid w:val="00AB17EF"/>
    <w:rsid w:val="00AB3E8F"/>
    <w:rsid w:val="00B151A8"/>
    <w:rsid w:val="00C55BCE"/>
    <w:rsid w:val="00C60F12"/>
    <w:rsid w:val="00C82D1F"/>
    <w:rsid w:val="00CC2DF2"/>
    <w:rsid w:val="00DD7124"/>
    <w:rsid w:val="00ED320A"/>
    <w:rsid w:val="00EE449C"/>
    <w:rsid w:val="00F11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12A63"/>
  <w15:chartTrackingRefBased/>
  <w15:docId w15:val="{8AD546DD-53A7-4A56-8DD5-06224DC14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20A"/>
    <w:pPr>
      <w:spacing w:line="256" w:lineRule="auto"/>
    </w:pPr>
  </w:style>
  <w:style w:type="paragraph" w:styleId="Heading1">
    <w:name w:val="heading 1"/>
    <w:basedOn w:val="Normal"/>
    <w:next w:val="Normal"/>
    <w:link w:val="Heading1Char"/>
    <w:uiPriority w:val="9"/>
    <w:qFormat/>
    <w:rsid w:val="007B0CC3"/>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D320A"/>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20A"/>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20A"/>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20A"/>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20A"/>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20A"/>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20A"/>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20A"/>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D3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20A"/>
    <w:rPr>
      <w:rFonts w:eastAsiaTheme="majorEastAsia" w:cstheme="majorBidi"/>
      <w:color w:val="272727" w:themeColor="text1" w:themeTint="D8"/>
    </w:rPr>
  </w:style>
  <w:style w:type="paragraph" w:styleId="Title">
    <w:name w:val="Title"/>
    <w:basedOn w:val="Normal"/>
    <w:next w:val="Normal"/>
    <w:link w:val="TitleChar"/>
    <w:uiPriority w:val="10"/>
    <w:qFormat/>
    <w:rsid w:val="00ED32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20A"/>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20A"/>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ED320A"/>
    <w:rPr>
      <w:i/>
      <w:iCs/>
      <w:color w:val="404040" w:themeColor="text1" w:themeTint="BF"/>
    </w:rPr>
  </w:style>
  <w:style w:type="paragraph" w:styleId="ListParagraph">
    <w:name w:val="List Paragraph"/>
    <w:basedOn w:val="Normal"/>
    <w:uiPriority w:val="34"/>
    <w:qFormat/>
    <w:rsid w:val="00ED320A"/>
    <w:pPr>
      <w:spacing w:line="259" w:lineRule="auto"/>
      <w:ind w:left="720"/>
      <w:contextualSpacing/>
    </w:pPr>
  </w:style>
  <w:style w:type="character" w:styleId="IntenseEmphasis">
    <w:name w:val="Intense Emphasis"/>
    <w:basedOn w:val="DefaultParagraphFont"/>
    <w:uiPriority w:val="21"/>
    <w:qFormat/>
    <w:rsid w:val="00ED320A"/>
    <w:rPr>
      <w:i/>
      <w:iCs/>
      <w:color w:val="0F4761" w:themeColor="accent1" w:themeShade="BF"/>
    </w:rPr>
  </w:style>
  <w:style w:type="paragraph" w:styleId="IntenseQuote">
    <w:name w:val="Intense Quote"/>
    <w:basedOn w:val="Normal"/>
    <w:next w:val="Normal"/>
    <w:link w:val="IntenseQuoteChar"/>
    <w:uiPriority w:val="30"/>
    <w:qFormat/>
    <w:rsid w:val="00ED320A"/>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20A"/>
    <w:rPr>
      <w:i/>
      <w:iCs/>
      <w:color w:val="0F4761" w:themeColor="accent1" w:themeShade="BF"/>
    </w:rPr>
  </w:style>
  <w:style w:type="character" w:styleId="IntenseReference">
    <w:name w:val="Intense Reference"/>
    <w:basedOn w:val="DefaultParagraphFont"/>
    <w:uiPriority w:val="32"/>
    <w:qFormat/>
    <w:rsid w:val="00ED320A"/>
    <w:rPr>
      <w:b/>
      <w:bCs/>
      <w:smallCaps/>
      <w:color w:val="0F4761" w:themeColor="accent1" w:themeShade="BF"/>
      <w:spacing w:val="5"/>
    </w:rPr>
  </w:style>
  <w:style w:type="paragraph" w:styleId="Header">
    <w:name w:val="header"/>
    <w:basedOn w:val="Normal"/>
    <w:link w:val="HeaderChar"/>
    <w:uiPriority w:val="99"/>
    <w:unhideWhenUsed/>
    <w:rsid w:val="00ED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20A"/>
  </w:style>
  <w:style w:type="paragraph" w:styleId="Footer">
    <w:name w:val="footer"/>
    <w:basedOn w:val="Normal"/>
    <w:link w:val="FooterChar"/>
    <w:uiPriority w:val="99"/>
    <w:unhideWhenUsed/>
    <w:rsid w:val="00ED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20A"/>
  </w:style>
  <w:style w:type="paragraph" w:styleId="TOCHeading">
    <w:name w:val="TOC Heading"/>
    <w:basedOn w:val="Heading1"/>
    <w:next w:val="Normal"/>
    <w:uiPriority w:val="39"/>
    <w:unhideWhenUsed/>
    <w:qFormat/>
    <w:rsid w:val="00871436"/>
    <w:pPr>
      <w:outlineLvl w:val="9"/>
    </w:pPr>
    <w:rPr>
      <w:kern w:val="0"/>
      <w:lang w:val="en-US"/>
      <w14:ligatures w14:val="none"/>
    </w:rPr>
  </w:style>
  <w:style w:type="paragraph" w:styleId="TOC1">
    <w:name w:val="toc 1"/>
    <w:basedOn w:val="Normal"/>
    <w:next w:val="Normal"/>
    <w:autoRedefine/>
    <w:uiPriority w:val="39"/>
    <w:unhideWhenUsed/>
    <w:rsid w:val="00871436"/>
    <w:pPr>
      <w:spacing w:after="100"/>
    </w:pPr>
  </w:style>
  <w:style w:type="character" w:styleId="Hyperlink">
    <w:name w:val="Hyperlink"/>
    <w:basedOn w:val="DefaultParagraphFont"/>
    <w:uiPriority w:val="99"/>
    <w:unhideWhenUsed/>
    <w:rsid w:val="00871436"/>
    <w:rPr>
      <w:color w:val="467886" w:themeColor="hyperlink"/>
      <w:u w:val="single"/>
    </w:rPr>
  </w:style>
  <w:style w:type="paragraph" w:styleId="NormalWeb">
    <w:name w:val="Normal (Web)"/>
    <w:basedOn w:val="Normal"/>
    <w:uiPriority w:val="99"/>
    <w:unhideWhenUsed/>
    <w:rsid w:val="009D3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D31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643818">
      <w:bodyDiv w:val="1"/>
      <w:marLeft w:val="0"/>
      <w:marRight w:val="0"/>
      <w:marTop w:val="0"/>
      <w:marBottom w:val="0"/>
      <w:divBdr>
        <w:top w:val="none" w:sz="0" w:space="0" w:color="auto"/>
        <w:left w:val="none" w:sz="0" w:space="0" w:color="auto"/>
        <w:bottom w:val="none" w:sz="0" w:space="0" w:color="auto"/>
        <w:right w:val="none" w:sz="0" w:space="0" w:color="auto"/>
      </w:divBdr>
    </w:div>
    <w:div w:id="169683446">
      <w:bodyDiv w:val="1"/>
      <w:marLeft w:val="0"/>
      <w:marRight w:val="0"/>
      <w:marTop w:val="0"/>
      <w:marBottom w:val="0"/>
      <w:divBdr>
        <w:top w:val="none" w:sz="0" w:space="0" w:color="auto"/>
        <w:left w:val="none" w:sz="0" w:space="0" w:color="auto"/>
        <w:bottom w:val="none" w:sz="0" w:space="0" w:color="auto"/>
        <w:right w:val="none" w:sz="0" w:space="0" w:color="auto"/>
      </w:divBdr>
    </w:div>
    <w:div w:id="251545944">
      <w:bodyDiv w:val="1"/>
      <w:marLeft w:val="0"/>
      <w:marRight w:val="0"/>
      <w:marTop w:val="0"/>
      <w:marBottom w:val="0"/>
      <w:divBdr>
        <w:top w:val="none" w:sz="0" w:space="0" w:color="auto"/>
        <w:left w:val="none" w:sz="0" w:space="0" w:color="auto"/>
        <w:bottom w:val="none" w:sz="0" w:space="0" w:color="auto"/>
        <w:right w:val="none" w:sz="0" w:space="0" w:color="auto"/>
      </w:divBdr>
    </w:div>
    <w:div w:id="278339902">
      <w:bodyDiv w:val="1"/>
      <w:marLeft w:val="0"/>
      <w:marRight w:val="0"/>
      <w:marTop w:val="0"/>
      <w:marBottom w:val="0"/>
      <w:divBdr>
        <w:top w:val="none" w:sz="0" w:space="0" w:color="auto"/>
        <w:left w:val="none" w:sz="0" w:space="0" w:color="auto"/>
        <w:bottom w:val="none" w:sz="0" w:space="0" w:color="auto"/>
        <w:right w:val="none" w:sz="0" w:space="0" w:color="auto"/>
      </w:divBdr>
    </w:div>
    <w:div w:id="373694109">
      <w:bodyDiv w:val="1"/>
      <w:marLeft w:val="0"/>
      <w:marRight w:val="0"/>
      <w:marTop w:val="0"/>
      <w:marBottom w:val="0"/>
      <w:divBdr>
        <w:top w:val="none" w:sz="0" w:space="0" w:color="auto"/>
        <w:left w:val="none" w:sz="0" w:space="0" w:color="auto"/>
        <w:bottom w:val="none" w:sz="0" w:space="0" w:color="auto"/>
        <w:right w:val="none" w:sz="0" w:space="0" w:color="auto"/>
      </w:divBdr>
    </w:div>
    <w:div w:id="615259383">
      <w:bodyDiv w:val="1"/>
      <w:marLeft w:val="0"/>
      <w:marRight w:val="0"/>
      <w:marTop w:val="0"/>
      <w:marBottom w:val="0"/>
      <w:divBdr>
        <w:top w:val="none" w:sz="0" w:space="0" w:color="auto"/>
        <w:left w:val="none" w:sz="0" w:space="0" w:color="auto"/>
        <w:bottom w:val="none" w:sz="0" w:space="0" w:color="auto"/>
        <w:right w:val="none" w:sz="0" w:space="0" w:color="auto"/>
      </w:divBdr>
    </w:div>
    <w:div w:id="626930987">
      <w:bodyDiv w:val="1"/>
      <w:marLeft w:val="0"/>
      <w:marRight w:val="0"/>
      <w:marTop w:val="0"/>
      <w:marBottom w:val="0"/>
      <w:divBdr>
        <w:top w:val="none" w:sz="0" w:space="0" w:color="auto"/>
        <w:left w:val="none" w:sz="0" w:space="0" w:color="auto"/>
        <w:bottom w:val="none" w:sz="0" w:space="0" w:color="auto"/>
        <w:right w:val="none" w:sz="0" w:space="0" w:color="auto"/>
      </w:divBdr>
    </w:div>
    <w:div w:id="633296301">
      <w:bodyDiv w:val="1"/>
      <w:marLeft w:val="0"/>
      <w:marRight w:val="0"/>
      <w:marTop w:val="0"/>
      <w:marBottom w:val="0"/>
      <w:divBdr>
        <w:top w:val="none" w:sz="0" w:space="0" w:color="auto"/>
        <w:left w:val="none" w:sz="0" w:space="0" w:color="auto"/>
        <w:bottom w:val="none" w:sz="0" w:space="0" w:color="auto"/>
        <w:right w:val="none" w:sz="0" w:space="0" w:color="auto"/>
      </w:divBdr>
    </w:div>
    <w:div w:id="730494488">
      <w:bodyDiv w:val="1"/>
      <w:marLeft w:val="0"/>
      <w:marRight w:val="0"/>
      <w:marTop w:val="0"/>
      <w:marBottom w:val="0"/>
      <w:divBdr>
        <w:top w:val="none" w:sz="0" w:space="0" w:color="auto"/>
        <w:left w:val="none" w:sz="0" w:space="0" w:color="auto"/>
        <w:bottom w:val="none" w:sz="0" w:space="0" w:color="auto"/>
        <w:right w:val="none" w:sz="0" w:space="0" w:color="auto"/>
      </w:divBdr>
    </w:div>
    <w:div w:id="828864351">
      <w:bodyDiv w:val="1"/>
      <w:marLeft w:val="0"/>
      <w:marRight w:val="0"/>
      <w:marTop w:val="0"/>
      <w:marBottom w:val="0"/>
      <w:divBdr>
        <w:top w:val="none" w:sz="0" w:space="0" w:color="auto"/>
        <w:left w:val="none" w:sz="0" w:space="0" w:color="auto"/>
        <w:bottom w:val="none" w:sz="0" w:space="0" w:color="auto"/>
        <w:right w:val="none" w:sz="0" w:space="0" w:color="auto"/>
      </w:divBdr>
    </w:div>
    <w:div w:id="916591440">
      <w:bodyDiv w:val="1"/>
      <w:marLeft w:val="0"/>
      <w:marRight w:val="0"/>
      <w:marTop w:val="0"/>
      <w:marBottom w:val="0"/>
      <w:divBdr>
        <w:top w:val="none" w:sz="0" w:space="0" w:color="auto"/>
        <w:left w:val="none" w:sz="0" w:space="0" w:color="auto"/>
        <w:bottom w:val="none" w:sz="0" w:space="0" w:color="auto"/>
        <w:right w:val="none" w:sz="0" w:space="0" w:color="auto"/>
      </w:divBdr>
    </w:div>
    <w:div w:id="1046217869">
      <w:bodyDiv w:val="1"/>
      <w:marLeft w:val="0"/>
      <w:marRight w:val="0"/>
      <w:marTop w:val="0"/>
      <w:marBottom w:val="0"/>
      <w:divBdr>
        <w:top w:val="none" w:sz="0" w:space="0" w:color="auto"/>
        <w:left w:val="none" w:sz="0" w:space="0" w:color="auto"/>
        <w:bottom w:val="none" w:sz="0" w:space="0" w:color="auto"/>
        <w:right w:val="none" w:sz="0" w:space="0" w:color="auto"/>
      </w:divBdr>
    </w:div>
    <w:div w:id="1161970625">
      <w:bodyDiv w:val="1"/>
      <w:marLeft w:val="0"/>
      <w:marRight w:val="0"/>
      <w:marTop w:val="0"/>
      <w:marBottom w:val="0"/>
      <w:divBdr>
        <w:top w:val="none" w:sz="0" w:space="0" w:color="auto"/>
        <w:left w:val="none" w:sz="0" w:space="0" w:color="auto"/>
        <w:bottom w:val="none" w:sz="0" w:space="0" w:color="auto"/>
        <w:right w:val="none" w:sz="0" w:space="0" w:color="auto"/>
      </w:divBdr>
    </w:div>
    <w:div w:id="1202594850">
      <w:bodyDiv w:val="1"/>
      <w:marLeft w:val="0"/>
      <w:marRight w:val="0"/>
      <w:marTop w:val="0"/>
      <w:marBottom w:val="0"/>
      <w:divBdr>
        <w:top w:val="none" w:sz="0" w:space="0" w:color="auto"/>
        <w:left w:val="none" w:sz="0" w:space="0" w:color="auto"/>
        <w:bottom w:val="none" w:sz="0" w:space="0" w:color="auto"/>
        <w:right w:val="none" w:sz="0" w:space="0" w:color="auto"/>
      </w:divBdr>
    </w:div>
    <w:div w:id="1250577431">
      <w:bodyDiv w:val="1"/>
      <w:marLeft w:val="0"/>
      <w:marRight w:val="0"/>
      <w:marTop w:val="0"/>
      <w:marBottom w:val="0"/>
      <w:divBdr>
        <w:top w:val="none" w:sz="0" w:space="0" w:color="auto"/>
        <w:left w:val="none" w:sz="0" w:space="0" w:color="auto"/>
        <w:bottom w:val="none" w:sz="0" w:space="0" w:color="auto"/>
        <w:right w:val="none" w:sz="0" w:space="0" w:color="auto"/>
      </w:divBdr>
    </w:div>
    <w:div w:id="1433279188">
      <w:bodyDiv w:val="1"/>
      <w:marLeft w:val="0"/>
      <w:marRight w:val="0"/>
      <w:marTop w:val="0"/>
      <w:marBottom w:val="0"/>
      <w:divBdr>
        <w:top w:val="none" w:sz="0" w:space="0" w:color="auto"/>
        <w:left w:val="none" w:sz="0" w:space="0" w:color="auto"/>
        <w:bottom w:val="none" w:sz="0" w:space="0" w:color="auto"/>
        <w:right w:val="none" w:sz="0" w:space="0" w:color="auto"/>
      </w:divBdr>
    </w:div>
    <w:div w:id="1507206041">
      <w:bodyDiv w:val="1"/>
      <w:marLeft w:val="0"/>
      <w:marRight w:val="0"/>
      <w:marTop w:val="0"/>
      <w:marBottom w:val="0"/>
      <w:divBdr>
        <w:top w:val="none" w:sz="0" w:space="0" w:color="auto"/>
        <w:left w:val="none" w:sz="0" w:space="0" w:color="auto"/>
        <w:bottom w:val="none" w:sz="0" w:space="0" w:color="auto"/>
        <w:right w:val="none" w:sz="0" w:space="0" w:color="auto"/>
      </w:divBdr>
    </w:div>
    <w:div w:id="1589390352">
      <w:bodyDiv w:val="1"/>
      <w:marLeft w:val="0"/>
      <w:marRight w:val="0"/>
      <w:marTop w:val="0"/>
      <w:marBottom w:val="0"/>
      <w:divBdr>
        <w:top w:val="none" w:sz="0" w:space="0" w:color="auto"/>
        <w:left w:val="none" w:sz="0" w:space="0" w:color="auto"/>
        <w:bottom w:val="none" w:sz="0" w:space="0" w:color="auto"/>
        <w:right w:val="none" w:sz="0" w:space="0" w:color="auto"/>
      </w:divBdr>
    </w:div>
    <w:div w:id="1672175827">
      <w:bodyDiv w:val="1"/>
      <w:marLeft w:val="0"/>
      <w:marRight w:val="0"/>
      <w:marTop w:val="0"/>
      <w:marBottom w:val="0"/>
      <w:divBdr>
        <w:top w:val="none" w:sz="0" w:space="0" w:color="auto"/>
        <w:left w:val="none" w:sz="0" w:space="0" w:color="auto"/>
        <w:bottom w:val="none" w:sz="0" w:space="0" w:color="auto"/>
        <w:right w:val="none" w:sz="0" w:space="0" w:color="auto"/>
      </w:divBdr>
    </w:div>
    <w:div w:id="1752191249">
      <w:bodyDiv w:val="1"/>
      <w:marLeft w:val="0"/>
      <w:marRight w:val="0"/>
      <w:marTop w:val="0"/>
      <w:marBottom w:val="0"/>
      <w:divBdr>
        <w:top w:val="none" w:sz="0" w:space="0" w:color="auto"/>
        <w:left w:val="none" w:sz="0" w:space="0" w:color="auto"/>
        <w:bottom w:val="none" w:sz="0" w:space="0" w:color="auto"/>
        <w:right w:val="none" w:sz="0" w:space="0" w:color="auto"/>
      </w:divBdr>
    </w:div>
    <w:div w:id="1927498597">
      <w:bodyDiv w:val="1"/>
      <w:marLeft w:val="0"/>
      <w:marRight w:val="0"/>
      <w:marTop w:val="0"/>
      <w:marBottom w:val="0"/>
      <w:divBdr>
        <w:top w:val="none" w:sz="0" w:space="0" w:color="auto"/>
        <w:left w:val="none" w:sz="0" w:space="0" w:color="auto"/>
        <w:bottom w:val="none" w:sz="0" w:space="0" w:color="auto"/>
        <w:right w:val="none" w:sz="0" w:space="0" w:color="auto"/>
      </w:divBdr>
    </w:div>
    <w:div w:id="1946422803">
      <w:bodyDiv w:val="1"/>
      <w:marLeft w:val="0"/>
      <w:marRight w:val="0"/>
      <w:marTop w:val="0"/>
      <w:marBottom w:val="0"/>
      <w:divBdr>
        <w:top w:val="none" w:sz="0" w:space="0" w:color="auto"/>
        <w:left w:val="none" w:sz="0" w:space="0" w:color="auto"/>
        <w:bottom w:val="none" w:sz="0" w:space="0" w:color="auto"/>
        <w:right w:val="none" w:sz="0" w:space="0" w:color="auto"/>
      </w:divBdr>
    </w:div>
    <w:div w:id="2003659280">
      <w:bodyDiv w:val="1"/>
      <w:marLeft w:val="0"/>
      <w:marRight w:val="0"/>
      <w:marTop w:val="0"/>
      <w:marBottom w:val="0"/>
      <w:divBdr>
        <w:top w:val="none" w:sz="0" w:space="0" w:color="auto"/>
        <w:left w:val="none" w:sz="0" w:space="0" w:color="auto"/>
        <w:bottom w:val="none" w:sz="0" w:space="0" w:color="auto"/>
        <w:right w:val="none" w:sz="0" w:space="0" w:color="auto"/>
      </w:divBdr>
    </w:div>
    <w:div w:id="2008243478">
      <w:bodyDiv w:val="1"/>
      <w:marLeft w:val="0"/>
      <w:marRight w:val="0"/>
      <w:marTop w:val="0"/>
      <w:marBottom w:val="0"/>
      <w:divBdr>
        <w:top w:val="none" w:sz="0" w:space="0" w:color="auto"/>
        <w:left w:val="none" w:sz="0" w:space="0" w:color="auto"/>
        <w:bottom w:val="none" w:sz="0" w:space="0" w:color="auto"/>
        <w:right w:val="none" w:sz="0" w:space="0" w:color="auto"/>
      </w:divBdr>
    </w:div>
    <w:div w:id="2033535576">
      <w:bodyDiv w:val="1"/>
      <w:marLeft w:val="0"/>
      <w:marRight w:val="0"/>
      <w:marTop w:val="0"/>
      <w:marBottom w:val="0"/>
      <w:divBdr>
        <w:top w:val="none" w:sz="0" w:space="0" w:color="auto"/>
        <w:left w:val="none" w:sz="0" w:space="0" w:color="auto"/>
        <w:bottom w:val="none" w:sz="0" w:space="0" w:color="auto"/>
        <w:right w:val="none" w:sz="0" w:space="0" w:color="auto"/>
      </w:divBdr>
    </w:div>
    <w:div w:id="2045330084">
      <w:bodyDiv w:val="1"/>
      <w:marLeft w:val="0"/>
      <w:marRight w:val="0"/>
      <w:marTop w:val="0"/>
      <w:marBottom w:val="0"/>
      <w:divBdr>
        <w:top w:val="none" w:sz="0" w:space="0" w:color="auto"/>
        <w:left w:val="none" w:sz="0" w:space="0" w:color="auto"/>
        <w:bottom w:val="none" w:sz="0" w:space="0" w:color="auto"/>
        <w:right w:val="none" w:sz="0" w:space="0" w:color="auto"/>
      </w:divBdr>
    </w:div>
    <w:div w:id="212665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media/mckinsey/business%20functions/people%20and%20organizational%20performance/our%20insights/the%20state%20of%20organizations%202023/the-state-of-organizations-2023.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ipd.org/uk/knowledge/guides/strategic-workforce-planning/" TargetMode="External"/><Relationship Id="rId12" Type="http://schemas.openxmlformats.org/officeDocument/2006/relationships/hyperlink" Target="https://www.radissonhotels.com/en-us/corporate/about-us/our-pres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globalassets/media/knowledge/knowledge-hub/reports/addressing-skills-labour-shortages-post-brexit_tcm18-102313.pdf" TargetMode="External"/><Relationship Id="rId11" Type="http://schemas.openxmlformats.org/officeDocument/2006/relationships/hyperlink" Target="https://www.radissonhotels.com/en-us/corporate/about-us/our-compan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adissonhotels.com/en-us/corporate/media/press-releases/radisson-hotel-group-delivers-on-its-strategic-transformation-plan-and-plans-to-sign-330-hotels-in-2022" TargetMode="External"/><Relationship Id="rId4" Type="http://schemas.openxmlformats.org/officeDocument/2006/relationships/footnotes" Target="footnotes.xml"/><Relationship Id="rId9" Type="http://schemas.openxmlformats.org/officeDocument/2006/relationships/hyperlink" Target="https://www.radissonhotels.com/en-us/corporate/media/press-releases/radisson-hotel-group-enters-2023-with-strong-foundation-for-grow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12</Pages>
  <Words>3242</Words>
  <Characters>18480</Characters>
  <Application>Microsoft Office Word</Application>
  <DocSecurity>0</DocSecurity>
  <Lines>154</Lines>
  <Paragraphs>43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 </vt:lpstr>
      <vt:lpstr>Overview of the hotel </vt:lpstr>
      <vt:lpstr>Socio-economic factors impacting hospitality </vt:lpstr>
      <vt:lpstr>Industry trends </vt:lpstr>
      <vt:lpstr>Emerging work modalities </vt:lpstr>
      <vt:lpstr>Industry examples </vt:lpstr>
      <vt:lpstr>Conclusion</vt:lpstr>
      <vt:lpstr>Recommendations</vt:lpstr>
      <vt:lpstr>References </vt:lpstr>
    </vt:vector>
  </TitlesOfParts>
  <Company/>
  <LinksUpToDate>false</LinksUpToDate>
  <CharactersWithSpaces>21679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2024-06-07T10:14:00Z</dcterms:created>
  <dcterms:modified xsi:type="dcterms:W3CDTF">2024-06-07T13:33:00Z</dcterms:modified>
</cp:coreProperties>
</file>