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tl w:val="0"/>
        </w:rPr>
        <w:t>A Critique Reading:ELT in South Korea and its Effects</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Module: HPEN 7004</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Student: Wei Yanfeng 2105650</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In their essay “English as International Language Revisited: Implications on South Korea</w:t>
      </w:r>
      <w:r>
        <w:rPr>
          <w:rFonts w:hint="default" w:ascii="Times New Roman" w:hAnsi="Times New Roman" w:cs="Times New Roman"/>
          <w:sz w:val="28"/>
          <w:szCs w:val="28"/>
          <w:rtl/>
        </w:rPr>
        <w:t>’</w:t>
      </w:r>
      <w:r>
        <w:rPr>
          <w:rFonts w:hint="default" w:ascii="Times New Roman" w:hAnsi="Times New Roman" w:cs="Times New Roman"/>
          <w:sz w:val="28"/>
          <w:szCs w:val="28"/>
          <w:rtl w:val="0"/>
          <w:lang w:val="de-DE"/>
        </w:rPr>
        <w:t>s ELT Context</w:t>
      </w:r>
      <w:r>
        <w:rPr>
          <w:rFonts w:hint="default" w:ascii="Times New Roman" w:hAnsi="Times New Roman" w:cs="Times New Roman"/>
          <w:sz w:val="28"/>
          <w:szCs w:val="28"/>
          <w:rtl w:val="0"/>
        </w:rPr>
        <w:t xml:space="preserve">” Fadhlur Rahman and </w:t>
      </w:r>
      <w:r>
        <w:rPr>
          <w:rFonts w:hint="default" w:ascii="Times New Roman" w:hAnsi="Times New Roman" w:cs="Times New Roman"/>
          <w:sz w:val="28"/>
          <w:szCs w:val="28"/>
          <w:rtl w:val="0"/>
          <w:lang w:val="pt-PT"/>
        </w:rPr>
        <w:t>Nizar Saputra</w:t>
      </w:r>
      <w:r>
        <w:rPr>
          <w:rFonts w:hint="default" w:ascii="Times New Roman" w:hAnsi="Times New Roman" w:cs="Times New Roman"/>
          <w:sz w:val="28"/>
          <w:szCs w:val="28"/>
          <w:rtl w:val="0"/>
        </w:rPr>
        <w:t>, two TESOL researchers from Indonesia and Australia, have conducted a “systematic review on English pedagogy in South Korea”, that is, according to the essay, a document study based on a reliable source of literature, covering “64 research papers, books and book chapters,” published “by Routledge, Springer, Taylor and Francis, and Palgrave Macmillan or papers indexed by Scopus, DOAJ, WOS and ERIC”. The authors hoped the study can be more than a “preclude” to future researches but “to reconceptualize the language policy, teachers</w:t>
      </w:r>
      <w:r>
        <w:rPr>
          <w:rFonts w:hint="default" w:ascii="Times New Roman" w:hAnsi="Times New Roman" w:cs="Times New Roman"/>
          <w:sz w:val="28"/>
          <w:szCs w:val="28"/>
          <w:rtl/>
        </w:rPr>
        <w:t xml:space="preserve">’ </w:t>
      </w:r>
      <w:r>
        <w:rPr>
          <w:rFonts w:hint="default" w:ascii="Times New Roman" w:hAnsi="Times New Roman" w:cs="Times New Roman"/>
          <w:sz w:val="28"/>
          <w:szCs w:val="28"/>
          <w:rtl w:val="0"/>
        </w:rPr>
        <w:t>recruitment and curriculum developments in South Korea”.</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Thereafter, the essay discussed three aspects of the topic, i.e. “the development of English language curriculum and policy in South Korea, attitudes toward NEST and NNEST, and the status of English language in the community (a language killer or a language promoter).” The first aspect was designated to outline the significance of English language education and the pedagogy development in South korea. The other two aspects were focused on the authors main point for policy improvement.</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Based on their research, the authors observed that “South Korean educational system has been highly influenced by a considerable impact of world globalization and the U.S political agenda.” and therefore has a preference to American English in its foreign language promotion policy. In that case the author suggested to adopt a teaching methodology that “ ‘Koreanize</w:t>
      </w:r>
      <w:r>
        <w:rPr>
          <w:rFonts w:hint="default" w:ascii="Times New Roman" w:hAnsi="Times New Roman" w:cs="Times New Roman"/>
          <w:sz w:val="28"/>
          <w:szCs w:val="28"/>
          <w:rtl/>
        </w:rPr>
        <w:t xml:space="preserve">’ </w:t>
      </w:r>
      <w:r>
        <w:rPr>
          <w:rFonts w:hint="default" w:ascii="Times New Roman" w:hAnsi="Times New Roman" w:cs="Times New Roman"/>
          <w:sz w:val="28"/>
          <w:szCs w:val="28"/>
          <w:rtl w:val="0"/>
        </w:rPr>
        <w:t xml:space="preserve">the English teaching material with a great sense of Koreanism”. The notion of respecting Korean indigenous culture in English pedagogy leads to the answer to the second aspect concerning </w:t>
      </w:r>
      <w:r>
        <w:rPr>
          <w:rFonts w:hint="default" w:ascii="Times New Roman" w:hAnsi="Times New Roman" w:cs="Times New Roman"/>
          <w:sz w:val="28"/>
          <w:szCs w:val="28"/>
          <w:rtl w:val="0"/>
          <w:lang w:val="de-DE"/>
        </w:rPr>
        <w:t>NEST and NNEST</w:t>
      </w:r>
      <w:r>
        <w:rPr>
          <w:rFonts w:hint="default" w:ascii="Times New Roman" w:hAnsi="Times New Roman" w:cs="Times New Roman"/>
          <w:sz w:val="28"/>
          <w:szCs w:val="28"/>
          <w:rtl w:val="0"/>
        </w:rPr>
        <w:t xml:space="preserve"> employment. The authors believed that “experienced local teachers” deserved more  job opportunities than Native English Speaker Teachers (NEST), for “the NNESTs are believed to possess a socio-cultural understanding as well as metalinguistic knowledge.” As to “the question of whether English is disrupting the local language ecology or not,” the authors strongly believed that there is no possibility of that, for the reason that South Korean’s “nationalism is firmly attached in any individual” and the people in South Korea “proudly present and promote their national language in the eyes of world media.” A strong evidence is South Korea’s “worldwide spread of Korean entertainment industry.”</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 xml:space="preserve">In their first argument, the authors ran a  chronicle survey starting from 1945 to the present on English education curriculum in the secondary school system of South Korean, in order to present a perspective view on how English language education has evolved to undertake considerable importance in this country’s educational system. In the authors’ opinion, this evolvement was mainly driven by the tension in South Korean society for better education and therefore better career prospects. They believed that “English language education in South Korea is considered as the top priority in the country, a success in this subject is highly regarded as the possibilities to create more opportunities in future careers.” </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In the discussion of the choice between native or non-native English teachers, the authors didn’t fail to give due credit to the importance of hiring NESTs for their representativity of model standard of English. The authors agreed that “English language teaching will always be evolved around the notion of the native speakers”. But they seemed to advocate the professionalism of non-native English teachers in actual educational practice for three reasons: The first reason was the relative stability of NNESTs’ career commitment, comparing with the NESTs’ mobility in taking English teaching jobs globally, local teachers always tends to hold onto their career. Secondly, the authors believed that in Asian countries, people has their own understandings of English and individual ways of applying it, which was infused by local cultural features. Most of the time, “English usage in Asia is predominantly used between non-native speakers than to communicate with native speakers (Moodie, 2020)”, that is, for example, a Chinese may use some kind of “Chinese-styled English” when talking to a South Korean whom may be familiar with “a Korean-English”, luckily they’d often managed to understand each other. In that case, NESTs may be considered inadequate in conducting a multi-cultural syllabus. The third reason in favor of NNESTs is they are more valuable in teaching beginners, for the reason that the NNESTs apply a pedagogy suitable to most non-native speakers.</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When studying the last aspect of whether English is a “language promoter or a language killer”, the authors acknowledged the opinions that marked English as an annihilator of “indigenous and minority languages”, but they further extended their argument that English as a “globalized” notion, possessing a importance part in modern society and that of South Korea,  is capable of cultural integration, therefore, promoting a  multilateral and mutual inclusive language policy will not put pressure on culture diversity as long as language learners fully appreciate both cultures.</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The paper has successfully mapped out some of the key issues in ELT and EIL, and with substantial discussions expressed reasonable propositions.  But some of the theoretical premises are somewhat arbitrary. In the discussion of the first aspect, English education was “considered as the top priority in this county”,  but without documental or statistic support to underpin this idea. It is understandable that learning English is among the biggest concerns of most Korean as well as Chinese, especially propelled by high stimulations of economic growth, but that concern can not be easily defined as a “top priority”. In fact, in South Korea there are five subjects in its tertiary education admittance test (</w:t>
      </w:r>
      <w:r>
        <w:rPr>
          <w:rFonts w:hint="default" w:ascii="Times New Roman" w:hAnsi="Times New Roman" w:eastAsia="Arial Unicode MS" w:cs="Times New Roman"/>
          <w:b w:val="0"/>
          <w:bCs w:val="0"/>
          <w:i w:val="0"/>
          <w:iCs w:val="0"/>
          <w:sz w:val="28"/>
          <w:szCs w:val="28"/>
          <w:rtl w:val="0"/>
          <w:lang w:val="ko-KR" w:eastAsia="ko-KR"/>
        </w:rPr>
        <w:t>수능시험</w:t>
      </w:r>
      <w:r>
        <w:rPr>
          <w:rFonts w:hint="default" w:ascii="Times New Roman" w:hAnsi="Times New Roman" w:cs="Times New Roman"/>
          <w:sz w:val="28"/>
          <w:szCs w:val="28"/>
          <w:rtl w:val="0"/>
          <w:lang w:val="ko-KR" w:eastAsia="ko-KR"/>
        </w:rPr>
        <w:t xml:space="preserve">), </w:t>
      </w:r>
      <w:r>
        <w:rPr>
          <w:rFonts w:hint="default" w:ascii="Times New Roman" w:hAnsi="Times New Roman" w:cs="Times New Roman"/>
          <w:sz w:val="28"/>
          <w:szCs w:val="28"/>
          <w:rtl w:val="0"/>
        </w:rPr>
        <w:t>English for one share the same credit as the other four. Another example is a document issued by Ministry of Education in China regulating national entrance examination for higher education in 2020, it specified that one of six foreign languages can be chosen as a test subject, English was included along with Russian, Japanese, French, German and Spanish. It thus safer to say that English is one importance language and will stay at that position for a very long time for its established global perfusion, but its role as a top priority may be neutralized in some of the outer circle east Asian counties</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Still when discussing the choice between NESTs and NNESTs, the essay seems omit a fact that it is far more difficult for a non-native speaker to master a target language than for a native speaker to manage a cross-culture pedagogy. In 2005, a research in China conducted a sample study on the comparison of NESTs from Canada between NNESTs from China mainland, the study disclosed a feature that Chinese teachers showed deficiencies on spoken language and compositional skills while Canadian teachers presented unfamiliarities to the language test requirements in China (Dong naiting 2005). It is presumably the same case in South Korean, that most of the NNESTs placed great effort on teaching grammar and examinations, which helped scoring but lost one essential function of a language, i.e communication.  As long as both NEST and NNEST are both qualified for the job, it is always a preferable choice to have NESTs in language teaching, when only a realization of insufficient training limits this proposition. It is then more practical to suggest a usage-based English language education policy and a better teacher development projects than bewildering in the hesitation of teacher preference. When the criteria of better English writing and speaking skills be introduced to the education system, an improvement will surely be realized in NNESTs’ classrooms.</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 xml:space="preserve">Undoubtedly, English has been applied as a tool for colonialism, and later its augmented application has been ensured with the emerging hegemony of U.S in politics, science and technology, popular culture and economy. As one of those countries most influenced by U.S ideology, South Korean adopted multiple “American ways”. Like the “K-pop” music mentioned in the essay, which is a working variation of “hip-pop” music style appeared in U.S, according to a report by CoffeeBI, a coffee business consultant company, South Korea is considered to be the major coffee consumer in Asia, with estimated 49000 coffee shops serving 26.5 billion cups in 2020. More over there are about 5-10% vocabulary in South Korea originate from English. It is then hard to be certain that “there is no evidence or whatsoever that claim(s) English is affecting the Korean language.” as the authors concluded. </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 xml:space="preserve">English as lingua franca is no doubt a most successful model of language promotion, It was empowered from a language of a few million people 400 years ago to a language of 400 million native speaker and over 700 million people </w:t>
      </w:r>
      <w:r>
        <w:rPr>
          <w:rFonts w:hint="default" w:ascii="Times New Roman" w:hAnsi="Times New Roman" w:cs="Times New Roman"/>
          <w:sz w:val="28"/>
          <w:szCs w:val="28"/>
          <w:rtl w:val="0"/>
          <w:lang w:val="de-DE"/>
        </w:rPr>
        <w:t>speak English</w:t>
      </w:r>
      <w:r>
        <w:rPr>
          <w:rFonts w:hint="default" w:ascii="Times New Roman" w:hAnsi="Times New Roman" w:cs="Times New Roman"/>
          <w:sz w:val="28"/>
          <w:szCs w:val="28"/>
          <w:rtl w:val="0"/>
        </w:rPr>
        <w:t xml:space="preserve"> as a foreign language.(E</w:t>
      </w:r>
      <w:r>
        <w:rPr>
          <w:rFonts w:hint="default" w:ascii="Times New Roman" w:hAnsi="Times New Roman" w:cs="Times New Roman"/>
          <w:sz w:val="28"/>
          <w:szCs w:val="28"/>
          <w:rtl w:val="0"/>
          <w:lang w:val="de-DE"/>
        </w:rPr>
        <w:t>nglishlanguageguide</w:t>
      </w:r>
      <w:r>
        <w:rPr>
          <w:rFonts w:hint="default" w:ascii="Times New Roman" w:hAnsi="Times New Roman" w:cs="Times New Roman"/>
          <w:sz w:val="28"/>
          <w:szCs w:val="28"/>
          <w:rtl w:val="0"/>
        </w:rPr>
        <w:t>, 2020), with additional 1.4 billion learners cross the world, and ELT as a industry of $38 billion valuable. (British Council, 2021). The spread of English is obviously not a natural progress, apart from historical reasons, the contribution of English language education is one of the crucial elements that can’t not be neglected. In 2019-2020 more than 130,000 English teachers took part in the training, (ibid 2019/20). As a co-owner of IELTS, British Council builds its priorities on improving English teaching and “grow the UK</w:t>
      </w:r>
      <w:r>
        <w:rPr>
          <w:rFonts w:hint="default" w:ascii="Times New Roman" w:hAnsi="Times New Roman" w:cs="Times New Roman"/>
          <w:sz w:val="28"/>
          <w:szCs w:val="28"/>
          <w:rtl/>
        </w:rPr>
        <w:t>’</w:t>
      </w:r>
      <w:r>
        <w:rPr>
          <w:rFonts w:hint="default" w:ascii="Times New Roman" w:hAnsi="Times New Roman" w:cs="Times New Roman"/>
          <w:sz w:val="28"/>
          <w:szCs w:val="28"/>
          <w:rtl w:val="0"/>
        </w:rPr>
        <w:t>s reputation as a leader and trusted partner in English teaching, learning and testing.”(ibid, 2021). Therefore it is reasonable to classify ELT both as a pedagogy project and a social-engineering strategy. Even 36 years ago, the famous dictionary editor Robert Burchfield (1985, p160) has observed that “any literate educated person is in a very real sense deprived if he does not know English”. Though ignorance is unnecessarily related to the unfamiliarity of a foreign language like English, it nevertheless has become a “safety need” for most “literate person” world-wide.</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 xml:space="preserve">In Maslow’s hierarchy of needs, the safety needs includes the needs to fulfill a career accomplishment. (Maslow, 1943). And the vast application of English in the field of almost every aspect of modern societies ensured a continuous accumulation and aggregation of resources and information around English-speakers, whoever wanted to benefit from this convergence finds English proficiency a deciding factor. Therefore, are there any other languages tried to promote themselves to become a “language of the world”? As a language of the biggest population, thought not as widely spread as English, Chinese language has endowed to introduce itself to the world, only with limited effect. One of the reasons is quite simple: it is universally agreed that acquiring a new language is not a easy accomplishment, while at the same time Chinese is believe to be among one of the most complicated languages on earth. It has two distinctively different system for phonology and writing. It means, the links between a word of Chinese (character) and its pronunciation has been designed mostly randomly, and usually one phoneme (or sound of a word) refers to more than one meaning in different contexts, and with a changing of four tones, the variation can be enhanced to a large repertoire of  vocabulary. Even with the help of morphemes ( elementary parts) constructing word, a Chinese learner usually needs to remember hundreds of word to begin with the study. Retrospectively, a deep sense of word-ideographic systems would generate certain alienation to sign-syllabic systems, that is why most Chinese people found learning English is difficult and culture emergence is some times uncomfortable. On a bright side, Chinese people seldom worries about the alleged </w:t>
      </w:r>
      <w:r>
        <w:rPr>
          <w:rFonts w:hint="default" w:ascii="Times New Roman" w:hAnsi="Times New Roman" w:cs="Times New Roman"/>
          <w:sz w:val="28"/>
          <w:szCs w:val="28"/>
          <w:rtl/>
          <w:lang w:val="ar-SA" w:bidi="ar-SA"/>
        </w:rPr>
        <w:t>“</w:t>
      </w:r>
      <w:r>
        <w:rPr>
          <w:rFonts w:hint="default" w:ascii="Times New Roman" w:hAnsi="Times New Roman" w:cs="Times New Roman"/>
          <w:sz w:val="28"/>
          <w:szCs w:val="28"/>
          <w:rtl w:val="0"/>
          <w:lang w:val="it-IT"/>
        </w:rPr>
        <w:t>language invasion</w:t>
      </w:r>
      <w:r>
        <w:rPr>
          <w:rFonts w:hint="default" w:ascii="Times New Roman" w:hAnsi="Times New Roman" w:cs="Times New Roman"/>
          <w:sz w:val="28"/>
          <w:szCs w:val="28"/>
          <w:rtl w:val="0"/>
        </w:rPr>
        <w:t xml:space="preserve">” like authors of  </w:t>
      </w:r>
      <w:r>
        <w:rPr>
          <w:rFonts w:hint="default" w:ascii="Times New Roman" w:hAnsi="Times New Roman" w:cs="Times New Roman"/>
          <w:sz w:val="28"/>
          <w:szCs w:val="28"/>
          <w:rtl/>
          <w:lang w:val="ar-SA" w:bidi="ar-SA"/>
        </w:rPr>
        <w:t>“</w:t>
      </w:r>
      <w:r>
        <w:rPr>
          <w:rFonts w:hint="default" w:ascii="Times New Roman" w:hAnsi="Times New Roman" w:cs="Times New Roman"/>
          <w:sz w:val="28"/>
          <w:szCs w:val="28"/>
          <w:rtl w:val="0"/>
        </w:rPr>
        <w:t>English as International Language Revisited: Implications on South Korea</w:t>
      </w:r>
      <w:r>
        <w:rPr>
          <w:rFonts w:hint="default" w:ascii="Times New Roman" w:hAnsi="Times New Roman" w:cs="Times New Roman"/>
          <w:sz w:val="28"/>
          <w:szCs w:val="28"/>
          <w:rtl/>
        </w:rPr>
        <w:t>’</w:t>
      </w:r>
      <w:r>
        <w:rPr>
          <w:rFonts w:hint="default" w:ascii="Times New Roman" w:hAnsi="Times New Roman" w:cs="Times New Roman"/>
          <w:sz w:val="28"/>
          <w:szCs w:val="28"/>
          <w:rtl w:val="0"/>
          <w:lang w:val="de-DE"/>
        </w:rPr>
        <w:t>s ELT Context</w:t>
      </w:r>
      <w:r>
        <w:rPr>
          <w:rFonts w:hint="default" w:ascii="Times New Roman" w:hAnsi="Times New Roman" w:cs="Times New Roman"/>
          <w:sz w:val="28"/>
          <w:szCs w:val="28"/>
          <w:rtl w:val="0"/>
        </w:rPr>
        <w:t>” did when talking about ELT pedagogy in South Korea, for it is necessary to note that Korean language is in fact a sign-syllabic system though doesn</w:t>
      </w:r>
      <w:r>
        <w:rPr>
          <w:rFonts w:hint="default" w:ascii="Times New Roman" w:hAnsi="Times New Roman" w:cs="Times New Roman"/>
          <w:sz w:val="28"/>
          <w:szCs w:val="28"/>
          <w:rtl/>
        </w:rPr>
        <w:t>’</w:t>
      </w:r>
      <w:r>
        <w:rPr>
          <w:rFonts w:hint="default" w:ascii="Times New Roman" w:hAnsi="Times New Roman" w:cs="Times New Roman"/>
          <w:sz w:val="28"/>
          <w:szCs w:val="28"/>
          <w:rtl w:val="0"/>
        </w:rPr>
        <w:t>t looked like one.</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sz w:val="28"/>
          <w:szCs w:val="28"/>
          <w:rtl w:val="0"/>
        </w:rPr>
        <w:t xml:space="preserve">When comparing the two major writing systems, i.e the sign-syllabic systems and the word-ideographic system, Wilbur Schramm, a famous scholar on mass media, made a very interesting observation that the difficulty in Chinese language seems to “go with a need for stability and a deep sense of the past.” (1973, p11). It is then quite a difficult job to market such a ancient language within an era of rapid pace and scant patience. </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eastAsia" w:ascii="Times New Roman" w:hAnsi="Times New Roman" w:eastAsia="宋体" w:cs="Times New Roman"/>
          <w:sz w:val="28"/>
          <w:szCs w:val="28"/>
          <w:rtl w:val="0"/>
          <w:lang w:val="en-US" w:eastAsia="zh-CN"/>
        </w:rPr>
      </w:pPr>
      <w:r>
        <w:rPr>
          <w:rFonts w:hint="default" w:ascii="Times New Roman" w:hAnsi="Times New Roman" w:cs="Times New Roman"/>
          <w:sz w:val="28"/>
          <w:szCs w:val="28"/>
          <w:rtl w:val="0"/>
        </w:rPr>
        <w:t xml:space="preserve"> </w:t>
      </w:r>
      <w:r>
        <w:rPr>
          <w:rFonts w:hint="eastAsia" w:ascii="Times New Roman" w:hAnsi="Times New Roman" w:eastAsia="宋体" w:cs="Times New Roman"/>
          <w:sz w:val="28"/>
          <w:szCs w:val="28"/>
          <w:rtl w:val="0"/>
          <w:lang w:val="en-US" w:eastAsia="zh-CN"/>
        </w:rPr>
        <w:t>Reference</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vanish w:val="0"/>
          <w:sz w:val="28"/>
          <w:szCs w:val="28"/>
          <w:rtl w:val="0"/>
          <w:lang w:val="en-US" w:eastAsia="zh-CN"/>
        </w:rPr>
        <w:t xml:space="preserve">British Council 2019-2020 Annual Report. Available at: </w:t>
      </w:r>
      <w:r>
        <w:rPr>
          <w:rFonts w:hint="default" w:ascii="Times New Roman" w:hAnsi="Times New Roman" w:cs="Times New Roman"/>
          <w:b w:val="0"/>
          <w:bCs w:val="0"/>
          <w:i w:val="0"/>
          <w:iCs w:val="0"/>
          <w:caps w:val="0"/>
          <w:smallCaps w:val="0"/>
          <w:strike w:val="0"/>
          <w:dstrike w:val="0"/>
          <w:vanish w:val="0"/>
          <w:sz w:val="28"/>
          <w:szCs w:val="28"/>
          <w:rtl w:val="0"/>
          <w:lang w:val="en-US" w:eastAsia="zh-CN"/>
        </w:rPr>
        <w:fldChar w:fldCharType="begin"/>
      </w:r>
      <w:r>
        <w:rPr>
          <w:rFonts w:hint="default" w:ascii="Times New Roman" w:hAnsi="Times New Roman" w:cs="Times New Roman"/>
          <w:b w:val="0"/>
          <w:bCs w:val="0"/>
          <w:i w:val="0"/>
          <w:iCs w:val="0"/>
          <w:caps w:val="0"/>
          <w:smallCaps w:val="0"/>
          <w:strike w:val="0"/>
          <w:dstrike w:val="0"/>
          <w:vanish w:val="0"/>
          <w:sz w:val="28"/>
          <w:szCs w:val="28"/>
          <w:rtl w:val="0"/>
          <w:lang w:val="en-US" w:eastAsia="zh-CN"/>
        </w:rPr>
        <w:instrText xml:space="preserve"> HYPERLINK "http://www.british" </w:instrText>
      </w:r>
      <w:r>
        <w:rPr>
          <w:rFonts w:hint="default" w:ascii="Times New Roman" w:hAnsi="Times New Roman" w:cs="Times New Roman"/>
          <w:b w:val="0"/>
          <w:bCs w:val="0"/>
          <w:i w:val="0"/>
          <w:iCs w:val="0"/>
          <w:caps w:val="0"/>
          <w:smallCaps w:val="0"/>
          <w:strike w:val="0"/>
          <w:dstrike w:val="0"/>
          <w:vanish w:val="0"/>
          <w:sz w:val="28"/>
          <w:szCs w:val="28"/>
          <w:rtl w:val="0"/>
          <w:lang w:val="en-US" w:eastAsia="zh-CN"/>
        </w:rPr>
        <w:fldChar w:fldCharType="separate"/>
      </w:r>
      <w:r>
        <w:rPr>
          <w:rFonts w:hint="default" w:ascii="Times New Roman" w:hAnsi="Times New Roman" w:cs="Times New Roman"/>
          <w:b w:val="0"/>
          <w:bCs w:val="0"/>
          <w:i w:val="0"/>
          <w:iCs w:val="0"/>
          <w:caps w:val="0"/>
          <w:smallCaps w:val="0"/>
          <w:strike w:val="0"/>
          <w:dstrike w:val="0"/>
          <w:vanish w:val="0"/>
          <w:sz w:val="28"/>
          <w:szCs w:val="28"/>
          <w:rtl w:val="0"/>
          <w:lang w:val="en-US" w:eastAsia="zh-CN"/>
        </w:rPr>
        <w:t>http://www.british</w:t>
      </w:r>
      <w:r>
        <w:rPr>
          <w:rFonts w:hint="default" w:ascii="Times New Roman" w:hAnsi="Times New Roman" w:cs="Times New Roman"/>
          <w:b w:val="0"/>
          <w:bCs w:val="0"/>
          <w:i w:val="0"/>
          <w:iCs w:val="0"/>
          <w:caps w:val="0"/>
          <w:smallCaps w:val="0"/>
          <w:strike w:val="0"/>
          <w:dstrike w:val="0"/>
          <w:vanish w:val="0"/>
          <w:sz w:val="28"/>
          <w:szCs w:val="28"/>
          <w:rtl w:val="0"/>
          <w:lang w:val="en-US" w:eastAsia="zh-CN"/>
        </w:rPr>
        <w:fldChar w:fldCharType="end"/>
      </w:r>
      <w:r>
        <w:rPr>
          <w:rFonts w:hint="default" w:ascii="Times New Roman" w:hAnsi="Times New Roman" w:cs="Times New Roman"/>
          <w:b w:val="0"/>
          <w:bCs w:val="0"/>
          <w:i w:val="0"/>
          <w:iCs w:val="0"/>
          <w:caps w:val="0"/>
          <w:smallCaps w:val="0"/>
          <w:strike w:val="0"/>
          <w:dstrike w:val="0"/>
          <w:vanish w:val="0"/>
          <w:sz w:val="28"/>
          <w:szCs w:val="28"/>
          <w:rtl w:val="0"/>
          <w:lang w:val="en-US" w:eastAsia="zh-CN"/>
        </w:rPr>
        <w:t>council.org.</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vanish w:val="0"/>
          <w:sz w:val="28"/>
          <w:szCs w:val="28"/>
          <w:rtl w:val="0"/>
          <w:lang w:val="en-US" w:eastAsia="zh-CN"/>
        </w:rPr>
        <w:t>Burchfield, R. (1985). The English Language. Oxford University Press.</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vanish w:val="0"/>
          <w:sz w:val="28"/>
          <w:szCs w:val="28"/>
          <w:rtl w:val="0"/>
          <w:lang w:val="en-US" w:eastAsia="zh-CN"/>
        </w:rPr>
        <w:t xml:space="preserve">Coffee Business Intelligence. The South Korean coffee market, one of the leading markets in the world. (2019). Available at: </w:t>
      </w:r>
      <w:r>
        <w:rPr>
          <w:rFonts w:hint="default" w:ascii="Times New Roman" w:hAnsi="Times New Roman" w:cs="Times New Roman"/>
          <w:b w:val="0"/>
          <w:bCs w:val="0"/>
          <w:i w:val="0"/>
          <w:iCs w:val="0"/>
          <w:caps w:val="0"/>
          <w:smallCaps w:val="0"/>
          <w:strike w:val="0"/>
          <w:dstrike w:val="0"/>
          <w:vanish w:val="0"/>
          <w:sz w:val="28"/>
          <w:szCs w:val="28"/>
          <w:rtl w:val="0"/>
        </w:rPr>
        <w:fldChar w:fldCharType="begin"/>
      </w:r>
      <w:r>
        <w:rPr>
          <w:rFonts w:hint="default" w:ascii="Times New Roman" w:hAnsi="Times New Roman" w:cs="Times New Roman"/>
          <w:b w:val="0"/>
          <w:bCs w:val="0"/>
          <w:i w:val="0"/>
          <w:iCs w:val="0"/>
          <w:caps w:val="0"/>
          <w:smallCaps w:val="0"/>
          <w:strike w:val="0"/>
          <w:dstrike w:val="0"/>
          <w:vanish w:val="0"/>
          <w:sz w:val="28"/>
          <w:szCs w:val="28"/>
          <w:rtl w:val="0"/>
        </w:rPr>
        <w:instrText xml:space="preserve"> HYPERLINK "https://coffeebi.com/2019/03/13/south-korean-coffee-market/." </w:instrText>
      </w:r>
      <w:r>
        <w:rPr>
          <w:rFonts w:hint="default" w:ascii="Times New Roman" w:hAnsi="Times New Roman" w:cs="Times New Roman"/>
          <w:b w:val="0"/>
          <w:bCs w:val="0"/>
          <w:i w:val="0"/>
          <w:iCs w:val="0"/>
          <w:caps w:val="0"/>
          <w:smallCaps w:val="0"/>
          <w:strike w:val="0"/>
          <w:dstrike w:val="0"/>
          <w:vanish w:val="0"/>
          <w:sz w:val="28"/>
          <w:szCs w:val="28"/>
          <w:rtl w:val="0"/>
        </w:rPr>
        <w:fldChar w:fldCharType="separate"/>
      </w:r>
      <w:r>
        <w:rPr>
          <w:rFonts w:hint="default" w:ascii="Times New Roman" w:hAnsi="Times New Roman" w:cs="Times New Roman"/>
          <w:b w:val="0"/>
          <w:bCs w:val="0"/>
          <w:i w:val="0"/>
          <w:iCs w:val="0"/>
          <w:caps w:val="0"/>
          <w:smallCaps w:val="0"/>
          <w:strike w:val="0"/>
          <w:dstrike w:val="0"/>
          <w:vanish w:val="0"/>
          <w:sz w:val="28"/>
          <w:szCs w:val="28"/>
          <w:rtl w:val="0"/>
        </w:rPr>
        <w:t>https://coffeebi.com/2019/03/13/south-korean-coffee-market/</w:t>
      </w:r>
      <w:r>
        <w:rPr>
          <w:rFonts w:hint="default" w:ascii="Times New Roman" w:hAnsi="Times New Roman" w:cs="Times New Roman"/>
          <w:b w:val="0"/>
          <w:bCs w:val="0"/>
          <w:i w:val="0"/>
          <w:iCs w:val="0"/>
          <w:caps w:val="0"/>
          <w:smallCaps w:val="0"/>
          <w:strike w:val="0"/>
          <w:dstrike w:val="0"/>
          <w:vanish w:val="0"/>
          <w:sz w:val="28"/>
          <w:szCs w:val="28"/>
          <w:rtl w:val="0"/>
          <w:lang w:val="en-US" w:eastAsia="zh-CN"/>
        </w:rPr>
        <w:t>.</w:t>
      </w:r>
      <w:r>
        <w:rPr>
          <w:rFonts w:hint="default" w:ascii="Times New Roman" w:hAnsi="Times New Roman" w:cs="Times New Roman"/>
          <w:b w:val="0"/>
          <w:bCs w:val="0"/>
          <w:i w:val="0"/>
          <w:iCs w:val="0"/>
          <w:caps w:val="0"/>
          <w:smallCaps w:val="0"/>
          <w:strike w:val="0"/>
          <w:dstrike w:val="0"/>
          <w:vanish w:val="0"/>
          <w:sz w:val="28"/>
          <w:szCs w:val="28"/>
          <w:rtl w:val="0"/>
        </w:rPr>
        <w:fldChar w:fldCharType="end"/>
      </w:r>
      <w:r>
        <w:rPr>
          <w:rFonts w:hint="default" w:ascii="Times New Roman" w:hAnsi="Times New Roman" w:cs="Times New Roman"/>
          <w:b w:val="0"/>
          <w:bCs w:val="0"/>
          <w:i w:val="0"/>
          <w:iCs w:val="0"/>
          <w:caps w:val="0"/>
          <w:smallCaps w:val="0"/>
          <w:strike w:val="0"/>
          <w:dstrike w:val="0"/>
          <w:vanish w:val="0"/>
          <w:sz w:val="28"/>
          <w:szCs w:val="28"/>
          <w:rtl w:val="0"/>
          <w:lang w:val="en-US" w:eastAsia="zh-CN"/>
        </w:rPr>
        <w:t xml:space="preserve"> (Accessed: 25 Nov 2021)</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vanish w:val="0"/>
          <w:sz w:val="28"/>
          <w:szCs w:val="28"/>
          <w:rtl w:val="0"/>
          <w:lang w:val="en-US" w:eastAsia="zh-CN"/>
        </w:rPr>
        <w:t>English Language Guide. (2019). English language Statistics. Available at:http://www.englishlanguageguide.com/facts/stats/. (Accessed: 25 Nov 2021)</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eastAsia" w:cs="Times New Roman"/>
          <w:b w:val="0"/>
          <w:bCs w:val="0"/>
          <w:i w:val="0"/>
          <w:iCs w:val="0"/>
          <w:caps w:val="0"/>
          <w:smallCaps w:val="0"/>
          <w:strike w:val="0"/>
          <w:dstrike w:val="0"/>
          <w:outline w:val="0"/>
          <w:emboss w:val="0"/>
          <w:imprint w:val="0"/>
          <w:vanish w:val="0"/>
          <w:sz w:val="28"/>
          <w:szCs w:val="28"/>
          <w:rtl w:val="0"/>
          <w:lang w:val="en-US" w:eastAsia="zh-CN"/>
        </w:rPr>
      </w:pPr>
      <w:r>
        <w:rPr>
          <w:rFonts w:hint="default" w:ascii="Times New Roman" w:hAnsi="Times New Roman" w:cs="Times New Roman"/>
          <w:sz w:val="28"/>
          <w:szCs w:val="28"/>
          <w:rtl w:val="0"/>
        </w:rPr>
        <w:t xml:space="preserve">Fadhlur Rahman and </w:t>
      </w:r>
      <w:r>
        <w:rPr>
          <w:rFonts w:hint="default" w:ascii="Times New Roman" w:hAnsi="Times New Roman" w:cs="Times New Roman"/>
          <w:sz w:val="28"/>
          <w:szCs w:val="28"/>
          <w:rtl w:val="0"/>
          <w:lang w:val="pt-PT"/>
        </w:rPr>
        <w:t>Nizar Saputra</w:t>
      </w:r>
      <w:r>
        <w:rPr>
          <w:rFonts w:hint="default" w:ascii="Times New Roman" w:hAnsi="Times New Roman" w:eastAsia="宋体" w:cs="Times New Roman"/>
          <w:sz w:val="28"/>
          <w:szCs w:val="28"/>
          <w:rtl w:val="0"/>
          <w:lang w:val="en-US" w:eastAsia="zh-CN"/>
        </w:rPr>
        <w:t xml:space="preserve">. (2021). </w:t>
      </w:r>
      <w:r>
        <w:rPr>
          <w:rFonts w:hint="default" w:ascii="Times New Roman" w:hAnsi="Times New Roman" w:cs="Times New Roman"/>
          <w:sz w:val="28"/>
          <w:szCs w:val="28"/>
          <w:rtl w:val="0"/>
        </w:rPr>
        <w:t>English as International Language Re</w:t>
      </w: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rPr>
        <w:t>visited: Implications on South Korea</w:t>
      </w: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rPr>
        <w:t>’</w:t>
      </w: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de-DE"/>
        </w:rPr>
        <w:t>s ELT Context</w:t>
      </w: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rPr>
        <w:t>”</w:t>
      </w: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t>. SCOPE : JOURNAL OF ENGLISH LANGUAGE TEACHING</w:t>
      </w:r>
      <w:r>
        <w:rPr>
          <w:rFonts w:hint="eastAsia" w:cs="Times New Roman"/>
          <w:b w:val="0"/>
          <w:bCs w:val="0"/>
          <w:i w:val="0"/>
          <w:iCs w:val="0"/>
          <w:caps w:val="0"/>
          <w:smallCaps w:val="0"/>
          <w:strike w:val="0"/>
          <w:dstrike w:val="0"/>
          <w:outline w:val="0"/>
          <w:emboss w:val="0"/>
          <w:imprint w:val="0"/>
          <w:vanish w:val="0"/>
          <w:sz w:val="28"/>
          <w:szCs w:val="28"/>
          <w:rtl w:val="0"/>
          <w:lang w:val="en-US" w:eastAsia="zh-CN"/>
        </w:rPr>
        <w:t>.</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rPr>
      </w:pPr>
      <w:bookmarkStart w:id="0" w:name="_GoBack"/>
      <w:bookmarkEnd w:id="0"/>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t>Moodie, I. (2020). Commitment to the profession of ELT and an organization: A profile of expat faculty in South Korea. Language Teaching Research, 1-16</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t xml:space="preserve">Maslow, A. H.．(1943). A theory of human motivation.：Psychological Review, 50(4). </w:t>
      </w:r>
    </w:p>
    <w:p>
      <w:pPr>
        <w:keepNext w:val="0"/>
        <w:keepLines w:val="0"/>
        <w:pageBreakBefore w:val="0"/>
        <w:framePr w:hRule="auto" w:wrap="auto" w:vAnchor="margin" w:hAnchor="text" w:yAlign="inline"/>
        <w:widowControl/>
        <w:suppressLineNumbers w:val="0"/>
        <w:shd w:val="clear" w:color="auto" w:fill="auto"/>
        <w:kinsoku/>
        <w:wordWrap/>
        <w:overflowPunct/>
        <w:topLinePunct w:val="0"/>
        <w:autoSpaceDE/>
        <w:autoSpaceDN/>
        <w:bidi w:val="0"/>
        <w:adjustRightInd/>
        <w:snapToGrid/>
        <w:ind w:firstLine="560" w:firstLineChars="200"/>
        <w:jc w:val="left"/>
        <w:textAlignment w:val="auto"/>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pPr>
      <w:r>
        <w:rPr>
          <w:rFonts w:hint="default" w:ascii="Times New Roman" w:hAnsi="Times New Roman" w:cs="Times New Roman"/>
          <w:b w:val="0"/>
          <w:bCs w:val="0"/>
          <w:i w:val="0"/>
          <w:iCs w:val="0"/>
          <w:caps w:val="0"/>
          <w:smallCaps w:val="0"/>
          <w:strike w:val="0"/>
          <w:dstrike w:val="0"/>
          <w:outline w:val="0"/>
          <w:emboss w:val="0"/>
          <w:imprint w:val="0"/>
          <w:vanish w:val="0"/>
          <w:sz w:val="28"/>
          <w:szCs w:val="28"/>
          <w:rtl w:val="0"/>
          <w:lang w:val="en-US" w:eastAsia="zh-CN"/>
        </w:rPr>
        <w:t>Wilbur, S. and william E, P. (1982). Men, Women, Message and Media: Understanding Human Communication. 2nd edition. Pearson Education, Inc.</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董耐婷Dong Naiting. （2005）加拿大外语教学条件与中国外语教学条件的差异，外语界，（1）54-60</w:t>
      </w: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6"/>
        <w:keepNext w:val="0"/>
        <w:keepLines w:val="0"/>
        <w:pageBreakBefore w:val="0"/>
        <w:framePr w:hRule="auto" w:wrap="auto" w:vAnchor="margin" w:hAnchor="text" w:yAlign="inline"/>
        <w:widowControl/>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p>
    <w:p>
      <w:pPr>
        <w:pStyle w:val="7"/>
        <w:keepNext w:val="0"/>
        <w:keepLines w:val="0"/>
        <w:pageBreakBefore w:val="0"/>
        <w:framePr w:hRule="auto" w:wrap="auto" w:vAnchor="margin" w:hAnchor="text" w:yAlign="inline"/>
        <w:widowControl/>
        <w:kinsoku/>
        <w:wordWrap/>
        <w:overflowPunct/>
        <w:topLinePunct w:val="0"/>
        <w:autoSpaceDE/>
        <w:autoSpaceDN/>
        <w:bidi w:val="0"/>
        <w:adjustRightInd/>
        <w:snapToGrid/>
        <w:spacing w:before="0" w:line="240" w:lineRule="auto"/>
        <w:ind w:left="0" w:right="0" w:firstLine="560" w:firstLineChars="200"/>
        <w:jc w:val="left"/>
        <w:textAlignment w:val="auto"/>
        <w:rPr>
          <w:rFonts w:hint="default" w:ascii="Times New Roman" w:hAnsi="Times New Roman" w:cs="Times New Roman"/>
          <w:sz w:val="28"/>
          <w:szCs w:val="28"/>
          <w:rtl w:val="0"/>
        </w:rPr>
      </w:pPr>
    </w:p>
    <w:sectPr>
      <w:headerReference r:id="rId5" w:type="default"/>
      <w:footerReference r:id="rId6" w:type="default"/>
      <w:pgSz w:w="11906" w:h="16838"/>
      <w:pgMar w:top="1134" w:right="1134" w:bottom="1134" w:left="1134" w:header="709" w:footer="85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Arial"/>
    <w:panose1 w:val="00000000000000000000"/>
    <w:charset w:val="86"/>
    <w:family w:val="roman"/>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Times New Roman"/>
    <w:panose1 w:val="00000000000000000000"/>
    <w:charset w:val="00"/>
    <w:family w:val="roman"/>
    <w:pitch w:val="default"/>
    <w:sig w:usb0="00000000" w:usb1="00000000" w:usb2="00000000" w:usb3="00000000" w:csb0="00000000" w:csb1="00000000"/>
  </w:font>
  <w:font w:name="SimSong Regular">
    <w:altName w:val="Segoe Print"/>
    <w:panose1 w:val="00000000000000000000"/>
    <w:charset w:val="00"/>
    <w:family w:val="roman"/>
    <w:pitch w:val="default"/>
    <w:sig w:usb0="00000000" w:usb1="00000000" w:usb2="00000000" w:usb3="00000000" w:csb0="00000000" w:csb1="00000000"/>
  </w:font>
  <w:font w:name="Arial">
    <w:panose1 w:val="020B0604020202020204"/>
    <w:charset w:val="86"/>
    <w:family w:val="roman"/>
    <w:pitch w:val="default"/>
    <w:sig w:usb0="E0002AFF" w:usb1="C0007843" w:usb2="00000009" w:usb3="00000000" w:csb0="400001FF" w:csb1="FFFF0000"/>
  </w:font>
  <w:font w:name="Gulim">
    <w:panose1 w:val="020B0600000101010101"/>
    <w:charset w:val="81"/>
    <w:family w:val="auto"/>
    <w:pitch w:val="default"/>
    <w:sig w:usb0="B00002AF" w:usb1="69D77CFB" w:usb2="00000030" w:usb3="00000000" w:csb0="4008009F" w:csb1="DFD7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Bernard MT Condensed">
    <w:panose1 w:val="02050806060905020404"/>
    <w:charset w:val="00"/>
    <w:family w:val="auto"/>
    <w:pitch w:val="default"/>
    <w:sig w:usb0="00000003" w:usb1="00000000" w:usb2="00000000" w:usb3="00000000" w:csb0="20000001" w:csb1="00000000"/>
  </w:font>
  <w:font w:name="Bradley Hand ITC">
    <w:panose1 w:val="03070402050302030203"/>
    <w:charset w:val="00"/>
    <w:family w:val="auto"/>
    <w:pitch w:val="default"/>
    <w:sig w:usb0="00000003" w:usb1="00000000" w:usb2="00000000" w:usb3="00000000" w:csb0="20000001" w:csb1="00000000"/>
  </w:font>
  <w:font w:name="Cambria">
    <w:panose1 w:val="02040503050406030204"/>
    <w:charset w:val="00"/>
    <w:family w:val="auto"/>
    <w:pitch w:val="default"/>
    <w:sig w:usb0="E00002FF" w:usb1="400004FF" w:usb2="00000000" w:usb3="00000000" w:csb0="2000019F" w:csb1="00000000"/>
  </w:font>
  <w:font w:name="Colonna MT">
    <w:panose1 w:val="04020805060202030203"/>
    <w:charset w:val="00"/>
    <w:family w:val="auto"/>
    <w:pitch w:val="default"/>
    <w:sig w:usb0="00000003" w:usb1="00000000" w:usb2="00000000" w:usb3="00000000" w:csb0="20000001" w:csb1="00000000"/>
  </w:font>
  <w:font w:name="Cooper Black">
    <w:panose1 w:val="0208090404030B020404"/>
    <w:charset w:val="00"/>
    <w:family w:val="auto"/>
    <w:pitch w:val="default"/>
    <w:sig w:usb0="00000003" w:usb1="00000000" w:usb2="00000000" w:usb3="00000000" w:csb0="20000001" w:csb1="00000000"/>
  </w:font>
  <w:font w:name="Courier New">
    <w:panose1 w:val="020703090202050204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EucrosiaUPC">
    <w:panose1 w:val="02020603050405020304"/>
    <w:charset w:val="00"/>
    <w:family w:val="auto"/>
    <w:pitch w:val="default"/>
    <w:sig w:usb0="81000027" w:usb1="00000002" w:usb2="00000000" w:usb3="00000000" w:csb0="00010001" w:csb1="00000000"/>
  </w:font>
  <w:font w:name="FreesiaUPC">
    <w:panose1 w:val="020B0604020202020204"/>
    <w:charset w:val="00"/>
    <w:family w:val="auto"/>
    <w:pitch w:val="default"/>
    <w:sig w:usb0="01000007" w:usb1="00000002" w:usb2="00000000" w:usb3="00000000" w:csb0="00010001"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High Tower Text">
    <w:panose1 w:val="02040502050506030303"/>
    <w:charset w:val="00"/>
    <w:family w:val="auto"/>
    <w:pitch w:val="default"/>
    <w:sig w:usb0="00000003" w:usb1="00000000" w:usb2="00000000" w:usb3="00000000" w:csb0="20000001" w:csb1="00000000"/>
  </w:font>
  <w:font w:name="Levenim MT">
    <w:panose1 w:val="02010502060101010101"/>
    <w:charset w:val="00"/>
    <w:family w:val="auto"/>
    <w:pitch w:val="default"/>
    <w:sig w:usb0="00000801" w:usb1="00000000" w:usb2="00000000" w:usb3="00000000" w:csb0="00000020" w:csb1="00200000"/>
  </w:font>
  <w:font w:name="Marlett">
    <w:panose1 w:val="00000000000000000000"/>
    <w:charset w:val="00"/>
    <w:family w:val="auto"/>
    <w:pitch w:val="default"/>
    <w:sig w:usb0="00000000" w:usb1="00000000" w:usb2="00000000" w:usb3="00000000" w:csb0="80000000" w:csb1="00000000"/>
  </w:font>
  <w:font w:name="MingLiU_HKSCS-ExtB">
    <w:panose1 w:val="02020500000000000000"/>
    <w:charset w:val="88"/>
    <w:family w:val="auto"/>
    <w:pitch w:val="default"/>
    <w:sig w:usb0="8000002F" w:usb1="02000008" w:usb2="00000000" w:usb3="00000000" w:csb0="00100001" w:csb1="00000000"/>
  </w:font>
  <w:font w:name="Miriam Fixed">
    <w:panose1 w:val="020B0509050101010101"/>
    <w:charset w:val="00"/>
    <w:family w:val="auto"/>
    <w:pitch w:val="default"/>
    <w:sig w:usb0="00000801" w:usb1="00000000" w:usb2="00000000" w:usb3="00000000" w:csb0="00000020" w:csb1="00200000"/>
  </w:font>
  <w:font w:name="MS Mincho">
    <w:panose1 w:val="02020609040205080304"/>
    <w:charset w:val="80"/>
    <w:family w:val="auto"/>
    <w:pitch w:val="default"/>
    <w:sig w:usb0="E00002FF" w:usb1="6AC7FDFB" w:usb2="00000012" w:usb3="00000000" w:csb0="4002009F" w:csb1="DFD70000"/>
  </w:font>
  <w:font w:name="Niagara Solid">
    <w:panose1 w:val="04020502070702020202"/>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20000001" w:csb1="00000000"/>
  </w:font>
  <w:font w:name="Rage Italic">
    <w:panose1 w:val="03070502040507070304"/>
    <w:charset w:val="00"/>
    <w:family w:val="auto"/>
    <w:pitch w:val="default"/>
    <w:sig w:usb0="00000003" w:usb1="00000000" w:usb2="00000000" w:usb3="00000000" w:csb0="20000001" w:csb1="00000000"/>
  </w:font>
  <w:font w:name="Segoe UI Light">
    <w:panose1 w:val="020B0502040204020203"/>
    <w:charset w:val="00"/>
    <w:family w:val="auto"/>
    <w:pitch w:val="default"/>
    <w:sig w:usb0="E00002FF" w:usb1="4000A47B" w:usb2="00000001" w:usb3="00000000" w:csb0="2000019F" w:csb1="00000000"/>
  </w:font>
  <w:font w:name="Shonar Bangla">
    <w:panose1 w:val="020B0502040204020203"/>
    <w:charset w:val="00"/>
    <w:family w:val="auto"/>
    <w:pitch w:val="default"/>
    <w:sig w:usb0="00010003" w:usb1="00000000" w:usb2="00000000" w:usb3="00000000" w:csb0="00000001" w:csb1="00000000"/>
  </w:font>
  <w:font w:name="Stencil">
    <w:panose1 w:val="040409050D08020204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287" w:usb1="00000000" w:usb2="00000000" w:usb3="00000000" w:csb0="2000009F" w:csb1="00000000"/>
  </w:font>
  <w:font w:name="Arial Unicode MS">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efaultTabStop w:val="720"/>
  <w:displayHorizontalDrawingGridEvery w:val="1"/>
  <w:displayVerticalDrawingGridEvery w:val="1"/>
  <w:noPunctuationKerning w:val="1"/>
  <w:noLineBreaksAfter w:lang="zh-CN" w:val="‘“(〔[{〈《「『【⦅〘〖«〝︵︷︹︻︽︿﹁﹃﹇﹙﹛﹝｢"/>
  <w:noLineBreaksBefore w:lang="zh-CN" w:val="’”)〕]}〉"/>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5"/>
  </w:compat>
  <w:rsids>
    <w:rsidRoot w:val="00000000"/>
    <w:rsid w:val="259E07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3">
    <w:name w:val="Default Paragraph Fon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uiPriority w:val="0"/>
    <w:rPr>
      <w:u w:val="single"/>
    </w:rPr>
  </w:style>
  <w:style w:type="table" w:customStyle="1" w:styleId="5">
    <w:name w:val="Table Normal"/>
    <w:uiPriority w:val="0"/>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
    <w:name w:val="正文1"/>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2"/>
      <w:szCs w:val="22"/>
      <w:u w:val="none" w:color="auto"/>
      <w:shd w:val="clear" w:color="auto" w:fill="auto"/>
      <w:vertAlign w:val="baseline"/>
      <w:lang w:val="en-US"/>
    </w:rPr>
  </w:style>
  <w:style w:type="paragraph" w:customStyle="1" w:styleId="7">
    <w:name w:val="默认"/>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PingFang SC Semibold"/>
        <a:cs typeface="PingFang SC Semibold"/>
      </a:majorFont>
      <a:minorFont>
        <a:latin typeface="PingFang SC Regular"/>
        <a:ea typeface="PingFang SC Regular"/>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spPr>
      <a:bodyPr rot="0" spcFirstLastPara="1" vertOverflow="overflow" horzOverflow="overflow" vert="horz" wrap="square" lIns="50800" tIns="50800" rIns="50800" bIns="50800"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rgbClr val="000000"/>
          </a:solidFill>
          <a:prstDash val="solid"/>
          <a:miter lim="4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Office_11.1.0.10577_F1E327BC-269C-435d-A152-05C5408002CA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2021-11-30T04:42:49Z</dcterms:created>
  <dc:creator>Administrator</dc:creator>
  <cp:lastModifiedBy>Administrator</cp:lastModifiedBy>
  <dcterms:modified xsi:type="dcterms:W3CDTF">2021-11-30T05:25:55Z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0F5FA752401145D097F894D9E031EA8B</vt:lpwstr>
  </property>
</Properties>
</file>