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59723" w14:textId="77777777" w:rsidR="00F05810" w:rsidRDefault="00F05810" w:rsidP="00F05810">
      <w:pPr>
        <w:jc w:val="center"/>
        <w:rPr>
          <w:rFonts w:ascii="Arial" w:hAnsi="Arial" w:cs="Arial"/>
          <w:sz w:val="32"/>
          <w:szCs w:val="32"/>
        </w:rPr>
      </w:pPr>
      <w:r>
        <w:rPr>
          <w:rFonts w:ascii="Arial" w:hAnsi="Arial" w:cs="Arial"/>
          <w:sz w:val="32"/>
          <w:szCs w:val="32"/>
        </w:rPr>
        <w:t>University of Wales St Trinity David</w:t>
      </w:r>
    </w:p>
    <w:p w14:paraId="0263DC1B" w14:textId="77777777" w:rsidR="00F05810" w:rsidRDefault="00F05810" w:rsidP="00F05810">
      <w:pPr>
        <w:jc w:val="center"/>
        <w:rPr>
          <w:rFonts w:ascii="Arial" w:hAnsi="Arial" w:cs="Arial"/>
          <w:sz w:val="32"/>
          <w:szCs w:val="32"/>
        </w:rPr>
      </w:pPr>
      <w:r>
        <w:rPr>
          <w:rFonts w:ascii="Arial" w:hAnsi="Arial" w:cs="Arial"/>
          <w:sz w:val="32"/>
          <w:szCs w:val="32"/>
        </w:rPr>
        <w:t>CertHE Professional Policing</w:t>
      </w:r>
    </w:p>
    <w:p w14:paraId="4BFFA8BD" w14:textId="77777777" w:rsidR="00F05810" w:rsidRDefault="00F05810" w:rsidP="00F05810">
      <w:pPr>
        <w:jc w:val="center"/>
        <w:rPr>
          <w:rFonts w:ascii="Arial" w:hAnsi="Arial" w:cs="Arial"/>
          <w:sz w:val="32"/>
          <w:szCs w:val="32"/>
        </w:rPr>
      </w:pPr>
    </w:p>
    <w:p w14:paraId="29F92598" w14:textId="77777777" w:rsidR="00F05810" w:rsidRDefault="00F05810" w:rsidP="00F05810">
      <w:pPr>
        <w:jc w:val="center"/>
        <w:rPr>
          <w:rFonts w:ascii="Arial" w:hAnsi="Arial" w:cs="Arial"/>
          <w:sz w:val="32"/>
          <w:szCs w:val="32"/>
        </w:rPr>
      </w:pPr>
    </w:p>
    <w:p w14:paraId="5623F4E9" w14:textId="77777777" w:rsidR="00F05810" w:rsidRDefault="00F05810" w:rsidP="00F05810">
      <w:pPr>
        <w:jc w:val="center"/>
        <w:rPr>
          <w:rFonts w:ascii="Arial" w:hAnsi="Arial" w:cs="Arial"/>
          <w:sz w:val="32"/>
          <w:szCs w:val="32"/>
        </w:rPr>
      </w:pPr>
    </w:p>
    <w:p w14:paraId="3C776D6E" w14:textId="77777777" w:rsidR="00F05810" w:rsidRDefault="00F05810" w:rsidP="00F05810">
      <w:pPr>
        <w:jc w:val="center"/>
        <w:rPr>
          <w:rFonts w:ascii="Arial" w:hAnsi="Arial" w:cs="Arial"/>
          <w:sz w:val="32"/>
          <w:szCs w:val="32"/>
        </w:rPr>
      </w:pPr>
    </w:p>
    <w:p w14:paraId="4CADE62F" w14:textId="77777777" w:rsidR="00F05810" w:rsidRDefault="00F05810" w:rsidP="00F05810">
      <w:pPr>
        <w:jc w:val="center"/>
        <w:rPr>
          <w:rFonts w:ascii="Arial" w:hAnsi="Arial" w:cs="Arial"/>
          <w:sz w:val="32"/>
          <w:szCs w:val="32"/>
        </w:rPr>
      </w:pPr>
    </w:p>
    <w:p w14:paraId="46646F04" w14:textId="6B57E8EC" w:rsidR="00F05810" w:rsidRDefault="00F05810" w:rsidP="00F05810">
      <w:pPr>
        <w:jc w:val="center"/>
        <w:rPr>
          <w:rFonts w:ascii="Arial" w:hAnsi="Arial" w:cs="Arial"/>
          <w:sz w:val="32"/>
          <w:szCs w:val="32"/>
        </w:rPr>
      </w:pPr>
      <w:r>
        <w:rPr>
          <w:rFonts w:ascii="Arial" w:hAnsi="Arial" w:cs="Arial"/>
          <w:sz w:val="32"/>
          <w:szCs w:val="32"/>
        </w:rPr>
        <w:t>Module: Criminal Law BMPL4009</w:t>
      </w:r>
    </w:p>
    <w:p w14:paraId="1603D368" w14:textId="77777777" w:rsidR="00F05810" w:rsidRDefault="00F05810" w:rsidP="00F05810">
      <w:pPr>
        <w:jc w:val="center"/>
        <w:rPr>
          <w:rFonts w:ascii="Arial" w:hAnsi="Arial" w:cs="Arial"/>
          <w:sz w:val="32"/>
          <w:szCs w:val="32"/>
        </w:rPr>
      </w:pPr>
    </w:p>
    <w:p w14:paraId="2BD2064A" w14:textId="77777777" w:rsidR="00F05810" w:rsidRDefault="00F05810" w:rsidP="00F05810">
      <w:pPr>
        <w:jc w:val="center"/>
        <w:rPr>
          <w:rFonts w:ascii="Arial" w:hAnsi="Arial" w:cs="Arial"/>
          <w:sz w:val="32"/>
          <w:szCs w:val="32"/>
        </w:rPr>
      </w:pPr>
    </w:p>
    <w:p w14:paraId="3347FFA1" w14:textId="77777777" w:rsidR="00F05810" w:rsidRDefault="00F05810" w:rsidP="00F05810">
      <w:pPr>
        <w:jc w:val="center"/>
        <w:rPr>
          <w:rFonts w:ascii="Arial" w:hAnsi="Arial" w:cs="Arial"/>
          <w:sz w:val="32"/>
          <w:szCs w:val="32"/>
        </w:rPr>
      </w:pPr>
    </w:p>
    <w:p w14:paraId="6C26868C" w14:textId="77777777" w:rsidR="00F05810" w:rsidRDefault="00F05810" w:rsidP="00F05810">
      <w:pPr>
        <w:jc w:val="center"/>
        <w:rPr>
          <w:rFonts w:ascii="Arial" w:hAnsi="Arial" w:cs="Arial"/>
          <w:sz w:val="32"/>
          <w:szCs w:val="32"/>
        </w:rPr>
      </w:pPr>
    </w:p>
    <w:p w14:paraId="1D049881" w14:textId="77777777" w:rsidR="00F05810" w:rsidRDefault="00F05810" w:rsidP="00F05810">
      <w:pPr>
        <w:jc w:val="center"/>
        <w:rPr>
          <w:rFonts w:ascii="Arial" w:hAnsi="Arial" w:cs="Arial"/>
          <w:sz w:val="32"/>
          <w:szCs w:val="32"/>
        </w:rPr>
      </w:pPr>
    </w:p>
    <w:p w14:paraId="545B5937" w14:textId="2118BB4C" w:rsidR="00F05810" w:rsidRDefault="00F05810" w:rsidP="00F05810">
      <w:pPr>
        <w:jc w:val="center"/>
        <w:rPr>
          <w:rFonts w:ascii="Arial" w:hAnsi="Arial" w:cs="Arial"/>
          <w:sz w:val="32"/>
          <w:szCs w:val="32"/>
        </w:rPr>
      </w:pPr>
      <w:r>
        <w:rPr>
          <w:rFonts w:ascii="Arial" w:hAnsi="Arial" w:cs="Arial"/>
          <w:sz w:val="32"/>
          <w:szCs w:val="32"/>
        </w:rPr>
        <w:t>Lecturer: Sadie France</w:t>
      </w:r>
    </w:p>
    <w:p w14:paraId="4F7A7057" w14:textId="77777777" w:rsidR="00F05810" w:rsidRDefault="00F05810" w:rsidP="00F05810">
      <w:pPr>
        <w:jc w:val="center"/>
        <w:rPr>
          <w:rFonts w:ascii="Arial" w:hAnsi="Arial" w:cs="Arial"/>
          <w:sz w:val="32"/>
          <w:szCs w:val="32"/>
        </w:rPr>
      </w:pPr>
    </w:p>
    <w:p w14:paraId="27349FE2" w14:textId="77777777" w:rsidR="00F05810" w:rsidRDefault="00F05810" w:rsidP="00F05810">
      <w:pPr>
        <w:jc w:val="center"/>
        <w:rPr>
          <w:rFonts w:ascii="Arial" w:hAnsi="Arial" w:cs="Arial"/>
          <w:sz w:val="32"/>
          <w:szCs w:val="32"/>
        </w:rPr>
      </w:pPr>
    </w:p>
    <w:p w14:paraId="28E6789F" w14:textId="77777777" w:rsidR="00F05810" w:rsidRDefault="00F05810" w:rsidP="00F05810">
      <w:pPr>
        <w:jc w:val="center"/>
        <w:rPr>
          <w:rFonts w:ascii="Arial" w:hAnsi="Arial" w:cs="Arial"/>
          <w:sz w:val="32"/>
          <w:szCs w:val="32"/>
        </w:rPr>
      </w:pPr>
    </w:p>
    <w:p w14:paraId="2CAE253C" w14:textId="77777777" w:rsidR="00F05810" w:rsidRDefault="00F05810" w:rsidP="00F05810">
      <w:pPr>
        <w:jc w:val="center"/>
        <w:rPr>
          <w:rFonts w:ascii="Arial" w:hAnsi="Arial" w:cs="Arial"/>
          <w:sz w:val="32"/>
          <w:szCs w:val="32"/>
        </w:rPr>
      </w:pPr>
    </w:p>
    <w:p w14:paraId="6D1F3405" w14:textId="3E87112F" w:rsidR="00F05810" w:rsidRDefault="00F05810" w:rsidP="00F05810">
      <w:pPr>
        <w:jc w:val="center"/>
        <w:rPr>
          <w:rFonts w:ascii="Arial" w:hAnsi="Arial" w:cs="Arial"/>
          <w:sz w:val="32"/>
          <w:szCs w:val="32"/>
        </w:rPr>
      </w:pPr>
      <w:r>
        <w:rPr>
          <w:rFonts w:ascii="Arial" w:hAnsi="Arial" w:cs="Arial"/>
          <w:sz w:val="32"/>
          <w:szCs w:val="32"/>
        </w:rPr>
        <w:t>Assignment: When criminal liability will be upheld for failing to act</w:t>
      </w:r>
    </w:p>
    <w:p w14:paraId="611B9003" w14:textId="77777777" w:rsidR="00F05810" w:rsidRDefault="00F05810" w:rsidP="00F05810">
      <w:pPr>
        <w:jc w:val="center"/>
        <w:rPr>
          <w:rFonts w:ascii="Arial" w:hAnsi="Arial" w:cs="Arial"/>
          <w:sz w:val="32"/>
          <w:szCs w:val="32"/>
        </w:rPr>
      </w:pPr>
    </w:p>
    <w:p w14:paraId="7970A804" w14:textId="77777777" w:rsidR="00F05810" w:rsidRDefault="00F05810" w:rsidP="00F05810">
      <w:pPr>
        <w:jc w:val="center"/>
        <w:rPr>
          <w:rFonts w:ascii="Arial" w:hAnsi="Arial" w:cs="Arial"/>
          <w:sz w:val="32"/>
          <w:szCs w:val="32"/>
        </w:rPr>
      </w:pPr>
    </w:p>
    <w:p w14:paraId="71EA94FD" w14:textId="77777777" w:rsidR="00F05810" w:rsidRDefault="00F05810" w:rsidP="00F05810">
      <w:pPr>
        <w:jc w:val="center"/>
        <w:rPr>
          <w:rFonts w:ascii="Arial" w:hAnsi="Arial" w:cs="Arial"/>
          <w:sz w:val="32"/>
          <w:szCs w:val="32"/>
        </w:rPr>
      </w:pPr>
    </w:p>
    <w:p w14:paraId="4F62B1B5" w14:textId="77777777" w:rsidR="00F05810" w:rsidRDefault="00F05810" w:rsidP="00F05810">
      <w:pPr>
        <w:jc w:val="center"/>
        <w:rPr>
          <w:rFonts w:ascii="Arial" w:hAnsi="Arial" w:cs="Arial"/>
          <w:sz w:val="32"/>
          <w:szCs w:val="32"/>
        </w:rPr>
      </w:pPr>
    </w:p>
    <w:p w14:paraId="18485A14" w14:textId="77777777" w:rsidR="00F05810" w:rsidRDefault="00F05810" w:rsidP="00F05810">
      <w:pPr>
        <w:jc w:val="center"/>
        <w:rPr>
          <w:rFonts w:ascii="Arial" w:hAnsi="Arial" w:cs="Arial"/>
          <w:sz w:val="32"/>
          <w:szCs w:val="32"/>
        </w:rPr>
      </w:pPr>
    </w:p>
    <w:p w14:paraId="2AB46544" w14:textId="77777777" w:rsidR="00F05810" w:rsidRDefault="00F05810" w:rsidP="00F05810">
      <w:pPr>
        <w:jc w:val="center"/>
        <w:rPr>
          <w:rFonts w:ascii="Arial" w:hAnsi="Arial" w:cs="Arial"/>
          <w:sz w:val="32"/>
          <w:szCs w:val="32"/>
        </w:rPr>
      </w:pPr>
    </w:p>
    <w:p w14:paraId="659DBDCA" w14:textId="77777777" w:rsidR="00F05810" w:rsidRDefault="00F05810" w:rsidP="00F05810">
      <w:pPr>
        <w:jc w:val="center"/>
        <w:rPr>
          <w:rFonts w:ascii="Arial" w:hAnsi="Arial" w:cs="Arial"/>
          <w:sz w:val="32"/>
          <w:szCs w:val="32"/>
        </w:rPr>
      </w:pPr>
      <w:r>
        <w:rPr>
          <w:rFonts w:ascii="Arial" w:hAnsi="Arial" w:cs="Arial"/>
          <w:sz w:val="32"/>
          <w:szCs w:val="32"/>
        </w:rPr>
        <w:t>By: Roxana L. Scurtu 2133149</w:t>
      </w:r>
    </w:p>
    <w:p w14:paraId="6F86D149" w14:textId="77777777" w:rsidR="00F05810" w:rsidRDefault="00F05810" w:rsidP="00F05810">
      <w:pPr>
        <w:jc w:val="center"/>
        <w:rPr>
          <w:rFonts w:ascii="Arial" w:hAnsi="Arial" w:cs="Arial"/>
          <w:sz w:val="32"/>
          <w:szCs w:val="32"/>
        </w:rPr>
      </w:pPr>
    </w:p>
    <w:p w14:paraId="2217D4BC" w14:textId="77777777" w:rsidR="00F05810" w:rsidRDefault="00F05810" w:rsidP="00F05810">
      <w:pPr>
        <w:jc w:val="center"/>
        <w:rPr>
          <w:rFonts w:ascii="Arial" w:hAnsi="Arial" w:cs="Arial"/>
          <w:sz w:val="32"/>
          <w:szCs w:val="32"/>
        </w:rPr>
      </w:pPr>
    </w:p>
    <w:p w14:paraId="7445738B" w14:textId="5EAB1A14" w:rsidR="008D5EC3" w:rsidRDefault="008D5EC3"/>
    <w:p w14:paraId="65146195" w14:textId="59F075AE" w:rsidR="00F05810" w:rsidRDefault="00F05810"/>
    <w:p w14:paraId="78DF8B45" w14:textId="32EEC7F5" w:rsidR="00F05810" w:rsidRDefault="00F05810"/>
    <w:p w14:paraId="0D79DF71" w14:textId="177DB8F0" w:rsidR="00F05810" w:rsidRDefault="00F05810"/>
    <w:p w14:paraId="4D2C7C38" w14:textId="3EA6508D" w:rsidR="00F05810" w:rsidRDefault="00F05810"/>
    <w:p w14:paraId="0D6D13C2" w14:textId="2C9BA77C" w:rsidR="00F05810" w:rsidRDefault="00F05810"/>
    <w:p w14:paraId="6A7507C0" w14:textId="26B74A6F" w:rsidR="00F05810" w:rsidRDefault="00F05810"/>
    <w:p w14:paraId="60AF5D90" w14:textId="42A543F7" w:rsidR="00F05810" w:rsidRDefault="00F05810"/>
    <w:p w14:paraId="437B3E75" w14:textId="6A17DB61" w:rsidR="00F05810" w:rsidRDefault="00F05810"/>
    <w:p w14:paraId="398AF675" w14:textId="47BC8469" w:rsidR="00F05810" w:rsidRDefault="008E70B3" w:rsidP="004246E3">
      <w:pPr>
        <w:spacing w:before="120" w:line="360" w:lineRule="auto"/>
        <w:ind w:firstLine="720"/>
        <w:rPr>
          <w:rFonts w:ascii="Arial" w:hAnsi="Arial" w:cs="Arial"/>
          <w:sz w:val="24"/>
          <w:szCs w:val="24"/>
        </w:rPr>
      </w:pPr>
      <w:r>
        <w:rPr>
          <w:rFonts w:ascii="Arial" w:hAnsi="Arial" w:cs="Arial"/>
          <w:sz w:val="24"/>
          <w:szCs w:val="24"/>
        </w:rPr>
        <w:lastRenderedPageBreak/>
        <w:t xml:space="preserve">    </w:t>
      </w:r>
      <w:r w:rsidR="00F05810">
        <w:rPr>
          <w:rFonts w:ascii="Arial" w:hAnsi="Arial" w:cs="Arial"/>
          <w:sz w:val="24"/>
          <w:szCs w:val="24"/>
        </w:rPr>
        <w:t xml:space="preserve">In Criminal Law, it has been argued by some </w:t>
      </w:r>
      <w:r w:rsidR="00A01F12">
        <w:rPr>
          <w:rFonts w:ascii="Arial" w:hAnsi="Arial" w:cs="Arial"/>
          <w:sz w:val="24"/>
          <w:szCs w:val="24"/>
        </w:rPr>
        <w:t>professionals</w:t>
      </w:r>
      <w:r w:rsidR="00F05810">
        <w:rPr>
          <w:rFonts w:ascii="Arial" w:hAnsi="Arial" w:cs="Arial"/>
          <w:sz w:val="24"/>
          <w:szCs w:val="24"/>
        </w:rPr>
        <w:t xml:space="preserve"> over the past decade that is can not be said with certainty that an omission will cause a result as well as, there is no such thing as a ‘general duty to act’; however, these does not imply that the elements surrounding the two, involving the duty to act, omission </w:t>
      </w:r>
      <w:r w:rsidR="004246E3">
        <w:rPr>
          <w:rFonts w:ascii="Arial" w:hAnsi="Arial" w:cs="Arial"/>
          <w:sz w:val="24"/>
          <w:szCs w:val="24"/>
        </w:rPr>
        <w:t>along with</w:t>
      </w:r>
      <w:r w:rsidR="00F05810">
        <w:rPr>
          <w:rFonts w:ascii="Arial" w:hAnsi="Arial" w:cs="Arial"/>
          <w:sz w:val="24"/>
          <w:szCs w:val="24"/>
        </w:rPr>
        <w:t xml:space="preserve"> liability are not defined enough in order to give a comprehensive image about them.</w:t>
      </w:r>
    </w:p>
    <w:p w14:paraId="03205A17" w14:textId="77777777" w:rsidR="004246E3" w:rsidRDefault="004246E3" w:rsidP="004246E3">
      <w:pPr>
        <w:spacing w:before="120" w:line="360" w:lineRule="auto"/>
        <w:ind w:firstLine="720"/>
        <w:rPr>
          <w:rFonts w:ascii="Arial" w:hAnsi="Arial" w:cs="Arial"/>
          <w:sz w:val="24"/>
          <w:szCs w:val="24"/>
        </w:rPr>
      </w:pPr>
    </w:p>
    <w:p w14:paraId="77CF60E6" w14:textId="20EA19B0" w:rsidR="004246E3" w:rsidRDefault="008E70B3" w:rsidP="004246E3">
      <w:pPr>
        <w:spacing w:before="120" w:line="360" w:lineRule="auto"/>
        <w:ind w:firstLine="720"/>
        <w:rPr>
          <w:rFonts w:ascii="Arial" w:hAnsi="Arial" w:cs="Arial"/>
          <w:sz w:val="24"/>
          <w:szCs w:val="24"/>
        </w:rPr>
      </w:pPr>
      <w:r>
        <w:rPr>
          <w:rFonts w:ascii="Arial" w:hAnsi="Arial" w:cs="Arial"/>
          <w:sz w:val="24"/>
          <w:szCs w:val="24"/>
        </w:rPr>
        <w:t xml:space="preserve">     </w:t>
      </w:r>
      <w:proofErr w:type="gramStart"/>
      <w:r w:rsidR="00CE0A7F">
        <w:rPr>
          <w:rFonts w:ascii="Arial" w:hAnsi="Arial" w:cs="Arial"/>
          <w:sz w:val="24"/>
          <w:szCs w:val="24"/>
        </w:rPr>
        <w:t>I</w:t>
      </w:r>
      <w:r w:rsidR="00F05810">
        <w:rPr>
          <w:rFonts w:ascii="Arial" w:hAnsi="Arial" w:cs="Arial"/>
          <w:sz w:val="24"/>
          <w:szCs w:val="24"/>
        </w:rPr>
        <w:t>n order to</w:t>
      </w:r>
      <w:proofErr w:type="gramEnd"/>
      <w:r w:rsidR="00F05810">
        <w:rPr>
          <w:rFonts w:ascii="Arial" w:hAnsi="Arial" w:cs="Arial"/>
          <w:sz w:val="24"/>
          <w:szCs w:val="24"/>
        </w:rPr>
        <w:t xml:space="preserve"> have criminal liability, there are three components needed such as: </w:t>
      </w:r>
      <w:r w:rsidR="00F05810" w:rsidRPr="00CE0A7F">
        <w:rPr>
          <w:rFonts w:ascii="Arial" w:hAnsi="Arial" w:cs="Arial"/>
          <w:i/>
          <w:iCs/>
          <w:sz w:val="24"/>
          <w:szCs w:val="24"/>
        </w:rPr>
        <w:t>Actus Reus</w:t>
      </w:r>
      <w:r w:rsidR="00F05810">
        <w:rPr>
          <w:rFonts w:ascii="Arial" w:hAnsi="Arial" w:cs="Arial"/>
          <w:sz w:val="24"/>
          <w:szCs w:val="24"/>
        </w:rPr>
        <w:t xml:space="preserve"> which is the guilty act, the </w:t>
      </w:r>
      <w:r w:rsidR="00F05810" w:rsidRPr="00CE0A7F">
        <w:rPr>
          <w:rFonts w:ascii="Arial" w:hAnsi="Arial" w:cs="Arial"/>
          <w:i/>
          <w:iCs/>
          <w:sz w:val="24"/>
          <w:szCs w:val="24"/>
        </w:rPr>
        <w:t>Mens Rea</w:t>
      </w:r>
      <w:r w:rsidR="00F05810">
        <w:rPr>
          <w:rFonts w:ascii="Arial" w:hAnsi="Arial" w:cs="Arial"/>
          <w:sz w:val="24"/>
          <w:szCs w:val="24"/>
        </w:rPr>
        <w:t xml:space="preserve"> which is the guilty mind </w:t>
      </w:r>
      <w:r w:rsidR="00F15EEC">
        <w:rPr>
          <w:rFonts w:ascii="Arial" w:hAnsi="Arial" w:cs="Arial"/>
          <w:sz w:val="24"/>
          <w:szCs w:val="24"/>
        </w:rPr>
        <w:t xml:space="preserve">or intent </w:t>
      </w:r>
      <w:r w:rsidR="00F05810">
        <w:rPr>
          <w:rFonts w:ascii="Arial" w:hAnsi="Arial" w:cs="Arial"/>
          <w:sz w:val="24"/>
          <w:szCs w:val="24"/>
        </w:rPr>
        <w:t xml:space="preserve">and the </w:t>
      </w:r>
      <w:r w:rsidR="00F15EEC">
        <w:rPr>
          <w:rFonts w:ascii="Arial" w:hAnsi="Arial" w:cs="Arial"/>
          <w:sz w:val="24"/>
          <w:szCs w:val="24"/>
        </w:rPr>
        <w:t>No Defence</w:t>
      </w:r>
      <w:r w:rsidR="00F05810">
        <w:rPr>
          <w:rFonts w:ascii="Arial" w:hAnsi="Arial" w:cs="Arial"/>
          <w:sz w:val="24"/>
          <w:szCs w:val="24"/>
        </w:rPr>
        <w:t xml:space="preserve"> element. </w:t>
      </w:r>
      <w:r w:rsidR="004246E3">
        <w:rPr>
          <w:rFonts w:ascii="Arial" w:hAnsi="Arial" w:cs="Arial"/>
          <w:sz w:val="24"/>
          <w:szCs w:val="24"/>
        </w:rPr>
        <w:t xml:space="preserve">Strict Liability is when the accused can be convicted without the </w:t>
      </w:r>
      <w:proofErr w:type="spellStart"/>
      <w:r w:rsidR="004246E3">
        <w:rPr>
          <w:rFonts w:ascii="Arial" w:hAnsi="Arial" w:cs="Arial"/>
          <w:sz w:val="24"/>
          <w:szCs w:val="24"/>
        </w:rPr>
        <w:t>Mens</w:t>
      </w:r>
      <w:proofErr w:type="spellEnd"/>
      <w:r w:rsidR="004246E3">
        <w:rPr>
          <w:rFonts w:ascii="Arial" w:hAnsi="Arial" w:cs="Arial"/>
          <w:sz w:val="24"/>
          <w:szCs w:val="24"/>
        </w:rPr>
        <w:t xml:space="preserve"> Rea to be </w:t>
      </w:r>
      <w:r w:rsidR="004246E3">
        <w:rPr>
          <w:rFonts w:ascii="Arial" w:hAnsi="Arial" w:cs="Arial"/>
          <w:sz w:val="24"/>
          <w:szCs w:val="24"/>
        </w:rPr>
        <w:t>present,</w:t>
      </w:r>
      <w:r w:rsidR="004246E3">
        <w:rPr>
          <w:rFonts w:ascii="Arial" w:hAnsi="Arial" w:cs="Arial"/>
          <w:sz w:val="24"/>
          <w:szCs w:val="24"/>
        </w:rPr>
        <w:t xml:space="preserve"> but it requires Actus Reus </w:t>
      </w:r>
      <w:proofErr w:type="gramStart"/>
      <w:r w:rsidR="004246E3">
        <w:rPr>
          <w:rFonts w:ascii="Arial" w:hAnsi="Arial" w:cs="Arial"/>
          <w:sz w:val="24"/>
          <w:szCs w:val="24"/>
        </w:rPr>
        <w:t>in order to</w:t>
      </w:r>
      <w:proofErr w:type="gramEnd"/>
      <w:r w:rsidR="004246E3">
        <w:rPr>
          <w:rFonts w:ascii="Arial" w:hAnsi="Arial" w:cs="Arial"/>
          <w:sz w:val="24"/>
          <w:szCs w:val="24"/>
        </w:rPr>
        <w:t xml:space="preserve"> determine liability.</w:t>
      </w:r>
      <w:r w:rsidR="004246E3">
        <w:rPr>
          <w:rFonts w:ascii="Arial" w:hAnsi="Arial" w:cs="Arial"/>
          <w:sz w:val="24"/>
          <w:szCs w:val="24"/>
        </w:rPr>
        <w:t xml:space="preserve"> </w:t>
      </w:r>
      <w:r w:rsidR="00F05810">
        <w:rPr>
          <w:rFonts w:ascii="Arial" w:hAnsi="Arial" w:cs="Arial"/>
          <w:sz w:val="24"/>
          <w:szCs w:val="24"/>
        </w:rPr>
        <w:t xml:space="preserve">An omission is a failure to act as the defendant is only found guilty of a crime under three circumstances such as: </w:t>
      </w:r>
      <w:r w:rsidR="00F05810" w:rsidRPr="00DA7046">
        <w:rPr>
          <w:rFonts w:ascii="Arial" w:hAnsi="Arial" w:cs="Arial"/>
          <w:b/>
          <w:bCs/>
          <w:i/>
          <w:iCs/>
          <w:sz w:val="24"/>
          <w:szCs w:val="24"/>
        </w:rPr>
        <w:t xml:space="preserve">the defendant is under a duty to </w:t>
      </w:r>
      <w:r w:rsidR="00A01F12" w:rsidRPr="00DA7046">
        <w:rPr>
          <w:rFonts w:ascii="Arial" w:hAnsi="Arial" w:cs="Arial"/>
          <w:b/>
          <w:bCs/>
          <w:i/>
          <w:iCs/>
          <w:sz w:val="24"/>
          <w:szCs w:val="24"/>
        </w:rPr>
        <w:t>act;</w:t>
      </w:r>
      <w:r w:rsidR="00F05810" w:rsidRPr="00DA7046">
        <w:rPr>
          <w:rFonts w:ascii="Arial" w:hAnsi="Arial" w:cs="Arial"/>
          <w:b/>
          <w:bCs/>
          <w:i/>
          <w:iCs/>
          <w:sz w:val="24"/>
          <w:szCs w:val="24"/>
        </w:rPr>
        <w:t xml:space="preserve"> the defendant has breached the </w:t>
      </w:r>
      <w:r w:rsidRPr="00DA7046">
        <w:rPr>
          <w:rFonts w:ascii="Arial" w:hAnsi="Arial" w:cs="Arial"/>
          <w:b/>
          <w:bCs/>
          <w:i/>
          <w:iCs/>
          <w:sz w:val="24"/>
          <w:szCs w:val="24"/>
        </w:rPr>
        <w:t>duty,</w:t>
      </w:r>
      <w:r w:rsidR="00F05810" w:rsidRPr="00DA7046">
        <w:rPr>
          <w:rFonts w:ascii="Arial" w:hAnsi="Arial" w:cs="Arial"/>
          <w:b/>
          <w:bCs/>
          <w:i/>
          <w:iCs/>
          <w:sz w:val="24"/>
          <w:szCs w:val="24"/>
        </w:rPr>
        <w:t xml:space="preserve"> or </w:t>
      </w:r>
      <w:r w:rsidRPr="00DA7046">
        <w:rPr>
          <w:rFonts w:ascii="Arial" w:hAnsi="Arial" w:cs="Arial"/>
          <w:b/>
          <w:bCs/>
          <w:i/>
          <w:iCs/>
          <w:sz w:val="24"/>
          <w:szCs w:val="24"/>
        </w:rPr>
        <w:t>its</w:t>
      </w:r>
      <w:r w:rsidR="00E10279" w:rsidRPr="00DA7046">
        <w:rPr>
          <w:rFonts w:ascii="Arial" w:hAnsi="Arial" w:cs="Arial"/>
          <w:b/>
          <w:bCs/>
          <w:i/>
          <w:iCs/>
          <w:sz w:val="24"/>
          <w:szCs w:val="24"/>
        </w:rPr>
        <w:t xml:space="preserve"> breach has caused the harm of the victim</w:t>
      </w:r>
      <w:r w:rsidR="00E10279">
        <w:rPr>
          <w:rFonts w:ascii="Arial" w:hAnsi="Arial" w:cs="Arial"/>
          <w:sz w:val="24"/>
          <w:szCs w:val="24"/>
        </w:rPr>
        <w:t xml:space="preserve">. (Herring, 2020) </w:t>
      </w:r>
      <w:r w:rsidR="00F15EEC">
        <w:rPr>
          <w:rFonts w:ascii="Arial" w:hAnsi="Arial" w:cs="Arial"/>
          <w:sz w:val="24"/>
          <w:szCs w:val="24"/>
        </w:rPr>
        <w:t>Omission, as an act of negligence is another form of Actus Reus</w:t>
      </w:r>
      <w:r w:rsidR="004246E3">
        <w:rPr>
          <w:rFonts w:ascii="Arial" w:hAnsi="Arial" w:cs="Arial"/>
          <w:sz w:val="24"/>
          <w:szCs w:val="24"/>
        </w:rPr>
        <w:t>, however, a</w:t>
      </w:r>
      <w:r w:rsidR="004246E3" w:rsidRPr="004246E3">
        <w:rPr>
          <w:rFonts w:ascii="Arial" w:hAnsi="Arial" w:cs="Arial"/>
          <w:sz w:val="24"/>
          <w:szCs w:val="24"/>
        </w:rPr>
        <w:t xml:space="preserve"> person who intends to commit a crime</w:t>
      </w:r>
      <w:r w:rsidR="004246E3">
        <w:rPr>
          <w:rFonts w:ascii="Arial" w:hAnsi="Arial" w:cs="Arial"/>
          <w:sz w:val="24"/>
          <w:szCs w:val="24"/>
        </w:rPr>
        <w:t xml:space="preserve"> (</w:t>
      </w:r>
      <w:proofErr w:type="spellStart"/>
      <w:r w:rsidR="004246E3">
        <w:rPr>
          <w:rFonts w:ascii="Arial" w:hAnsi="Arial" w:cs="Arial"/>
          <w:sz w:val="24"/>
          <w:szCs w:val="24"/>
        </w:rPr>
        <w:t>mens</w:t>
      </w:r>
      <w:proofErr w:type="spellEnd"/>
      <w:r w:rsidR="004246E3">
        <w:rPr>
          <w:rFonts w:ascii="Arial" w:hAnsi="Arial" w:cs="Arial"/>
          <w:sz w:val="24"/>
          <w:szCs w:val="24"/>
        </w:rPr>
        <w:t xml:space="preserve"> rea)</w:t>
      </w:r>
      <w:r w:rsidR="004246E3" w:rsidRPr="004246E3">
        <w:rPr>
          <w:rFonts w:ascii="Arial" w:hAnsi="Arial" w:cs="Arial"/>
          <w:sz w:val="24"/>
          <w:szCs w:val="24"/>
        </w:rPr>
        <w:t>, can generally be said to be more culpable than one who acts recklessly.</w:t>
      </w:r>
      <w:r w:rsidR="004246E3">
        <w:rPr>
          <w:rFonts w:ascii="Arial" w:hAnsi="Arial" w:cs="Arial"/>
          <w:sz w:val="24"/>
          <w:szCs w:val="24"/>
        </w:rPr>
        <w:t xml:space="preserve"> </w:t>
      </w:r>
    </w:p>
    <w:p w14:paraId="0A46C7FF" w14:textId="77777777" w:rsidR="00F15EEC" w:rsidRDefault="00F15EEC" w:rsidP="002F7C8B">
      <w:pPr>
        <w:spacing w:before="120" w:line="360" w:lineRule="auto"/>
        <w:ind w:firstLine="720"/>
        <w:rPr>
          <w:rFonts w:ascii="Arial" w:hAnsi="Arial" w:cs="Arial"/>
          <w:sz w:val="24"/>
          <w:szCs w:val="24"/>
        </w:rPr>
      </w:pPr>
    </w:p>
    <w:p w14:paraId="421BFBF4" w14:textId="242CB6BE" w:rsidR="008E70B3" w:rsidRDefault="00F15EEC" w:rsidP="002F7C8B">
      <w:pPr>
        <w:spacing w:before="120" w:line="360" w:lineRule="auto"/>
        <w:ind w:firstLine="720"/>
        <w:rPr>
          <w:rFonts w:ascii="Arial" w:hAnsi="Arial" w:cs="Arial"/>
          <w:sz w:val="24"/>
          <w:szCs w:val="24"/>
        </w:rPr>
      </w:pPr>
      <w:r>
        <w:rPr>
          <w:rFonts w:ascii="Arial" w:hAnsi="Arial" w:cs="Arial"/>
          <w:sz w:val="24"/>
          <w:szCs w:val="24"/>
        </w:rPr>
        <w:t xml:space="preserve"> </w:t>
      </w:r>
      <w:r w:rsidR="00E10279">
        <w:rPr>
          <w:rFonts w:ascii="Arial" w:hAnsi="Arial" w:cs="Arial"/>
          <w:sz w:val="24"/>
          <w:szCs w:val="24"/>
        </w:rPr>
        <w:t xml:space="preserve">The duty to act can arise in </w:t>
      </w:r>
      <w:r w:rsidR="008E70B3">
        <w:rPr>
          <w:rFonts w:ascii="Arial" w:hAnsi="Arial" w:cs="Arial"/>
          <w:sz w:val="24"/>
          <w:szCs w:val="24"/>
        </w:rPr>
        <w:t xml:space="preserve">eight ways: </w:t>
      </w:r>
      <w:r w:rsidR="008E70B3" w:rsidRPr="00CE0A7F">
        <w:rPr>
          <w:rFonts w:ascii="Arial" w:hAnsi="Arial" w:cs="Arial"/>
          <w:b/>
          <w:bCs/>
          <w:sz w:val="24"/>
          <w:szCs w:val="24"/>
        </w:rPr>
        <w:t>statutory duty</w:t>
      </w:r>
      <w:r w:rsidR="008E70B3">
        <w:rPr>
          <w:rFonts w:ascii="Arial" w:hAnsi="Arial" w:cs="Arial"/>
          <w:sz w:val="24"/>
          <w:szCs w:val="24"/>
        </w:rPr>
        <w:t xml:space="preserve">- requiring people to act in a particular way, </w:t>
      </w:r>
      <w:r w:rsidR="008E70B3" w:rsidRPr="00CE0A7F">
        <w:rPr>
          <w:rFonts w:ascii="Arial" w:hAnsi="Arial" w:cs="Arial"/>
          <w:b/>
          <w:bCs/>
          <w:sz w:val="24"/>
          <w:szCs w:val="24"/>
        </w:rPr>
        <w:t>duties of law enforcement</w:t>
      </w:r>
      <w:r w:rsidR="008E70B3">
        <w:rPr>
          <w:rFonts w:ascii="Arial" w:hAnsi="Arial" w:cs="Arial"/>
          <w:sz w:val="24"/>
          <w:szCs w:val="24"/>
        </w:rPr>
        <w:t>- an officers duty to protect citizens from danger</w:t>
      </w:r>
      <w:r w:rsidR="008E70B3" w:rsidRPr="00CE0A7F">
        <w:rPr>
          <w:rFonts w:ascii="Arial" w:hAnsi="Arial" w:cs="Arial"/>
          <w:b/>
          <w:bCs/>
          <w:sz w:val="24"/>
          <w:szCs w:val="24"/>
        </w:rPr>
        <w:t>, contractual duty</w:t>
      </w:r>
      <w:r w:rsidR="008E70B3">
        <w:rPr>
          <w:rFonts w:ascii="Arial" w:hAnsi="Arial" w:cs="Arial"/>
          <w:sz w:val="24"/>
          <w:szCs w:val="24"/>
        </w:rPr>
        <w:t xml:space="preserve">- defendant is employed by a company, </w:t>
      </w:r>
      <w:r w:rsidR="008E70B3" w:rsidRPr="00CE0A7F">
        <w:rPr>
          <w:rFonts w:ascii="Arial" w:hAnsi="Arial" w:cs="Arial"/>
          <w:b/>
          <w:bCs/>
          <w:sz w:val="24"/>
          <w:szCs w:val="24"/>
        </w:rPr>
        <w:t>assumed duties</w:t>
      </w:r>
      <w:r w:rsidR="008E70B3">
        <w:rPr>
          <w:rFonts w:ascii="Arial" w:hAnsi="Arial" w:cs="Arial"/>
          <w:sz w:val="24"/>
          <w:szCs w:val="24"/>
        </w:rPr>
        <w:t xml:space="preserve">- people who assume </w:t>
      </w:r>
      <w:r w:rsidR="00F72F65">
        <w:rPr>
          <w:rFonts w:ascii="Arial" w:hAnsi="Arial" w:cs="Arial"/>
          <w:sz w:val="24"/>
          <w:szCs w:val="24"/>
        </w:rPr>
        <w:t xml:space="preserve">responsibility for another’s welfare </w:t>
      </w:r>
      <w:r w:rsidR="004246E3">
        <w:rPr>
          <w:rFonts w:ascii="Arial" w:hAnsi="Arial" w:cs="Arial"/>
          <w:sz w:val="24"/>
          <w:szCs w:val="24"/>
        </w:rPr>
        <w:t>in addition to</w:t>
      </w:r>
      <w:r w:rsidR="00F72F65">
        <w:rPr>
          <w:rFonts w:ascii="Arial" w:hAnsi="Arial" w:cs="Arial"/>
          <w:sz w:val="24"/>
          <w:szCs w:val="24"/>
        </w:rPr>
        <w:t xml:space="preserve"> this can be expressed or implied</w:t>
      </w:r>
      <w:r w:rsidR="008E70B3">
        <w:rPr>
          <w:rFonts w:ascii="Arial" w:hAnsi="Arial" w:cs="Arial"/>
          <w:sz w:val="24"/>
          <w:szCs w:val="24"/>
        </w:rPr>
        <w:t xml:space="preserve">, </w:t>
      </w:r>
      <w:r w:rsidR="008E70B3" w:rsidRPr="00CE0A7F">
        <w:rPr>
          <w:rFonts w:ascii="Arial" w:hAnsi="Arial" w:cs="Arial"/>
          <w:b/>
          <w:bCs/>
          <w:sz w:val="24"/>
          <w:szCs w:val="24"/>
        </w:rPr>
        <w:t>ownership or control of property</w:t>
      </w:r>
      <w:r w:rsidR="00F72F65">
        <w:rPr>
          <w:rFonts w:ascii="Arial" w:hAnsi="Arial" w:cs="Arial"/>
          <w:sz w:val="24"/>
          <w:szCs w:val="24"/>
        </w:rPr>
        <w:t>- the owner of the property is under a legal duty to prevent crime to be committed on his land</w:t>
      </w:r>
      <w:r w:rsidR="008E70B3">
        <w:rPr>
          <w:rFonts w:ascii="Arial" w:hAnsi="Arial" w:cs="Arial"/>
          <w:sz w:val="24"/>
          <w:szCs w:val="24"/>
        </w:rPr>
        <w:t xml:space="preserve">, </w:t>
      </w:r>
      <w:r w:rsidR="008E70B3" w:rsidRPr="00CE0A7F">
        <w:rPr>
          <w:rFonts w:ascii="Arial" w:hAnsi="Arial" w:cs="Arial"/>
          <w:b/>
          <w:bCs/>
          <w:sz w:val="24"/>
          <w:szCs w:val="24"/>
        </w:rPr>
        <w:t>continuing act</w:t>
      </w:r>
      <w:r w:rsidR="00F72F65">
        <w:rPr>
          <w:rFonts w:ascii="Arial" w:hAnsi="Arial" w:cs="Arial"/>
          <w:sz w:val="24"/>
          <w:szCs w:val="24"/>
        </w:rPr>
        <w:t>- as in Fagan and Metropolitan Police Commissioner (1969) where the defendant drove his car onto a policeman’s foot and when asked to remove it, he refused to do so;</w:t>
      </w:r>
      <w:r w:rsidR="008E70B3">
        <w:rPr>
          <w:rFonts w:ascii="Arial" w:hAnsi="Arial" w:cs="Arial"/>
          <w:sz w:val="24"/>
          <w:szCs w:val="24"/>
        </w:rPr>
        <w:t xml:space="preserve"> </w:t>
      </w:r>
      <w:r w:rsidR="008E70B3" w:rsidRPr="00CE0A7F">
        <w:rPr>
          <w:rFonts w:ascii="Arial" w:hAnsi="Arial" w:cs="Arial"/>
          <w:b/>
          <w:bCs/>
          <w:sz w:val="24"/>
          <w:szCs w:val="24"/>
        </w:rPr>
        <w:t>creation of the danger</w:t>
      </w:r>
      <w:r w:rsidR="00F72F65">
        <w:rPr>
          <w:rFonts w:ascii="Arial" w:hAnsi="Arial" w:cs="Arial"/>
          <w:sz w:val="24"/>
          <w:szCs w:val="24"/>
        </w:rPr>
        <w:t xml:space="preserve">- when someone has created a dangerous situation although they have a duty to act to prevent the harm such in the case of R v Miller (1983) where the defendant fell asleep with a lighted cigarette in his hand, he woke up to find that the cigarette has lit the mattress on fire; instead of putting the fire away, the defendant moved to another room; in this case defendant was convicted of arson as he failed to </w:t>
      </w:r>
      <w:r w:rsidR="00F72F65">
        <w:rPr>
          <w:rFonts w:ascii="Arial" w:hAnsi="Arial" w:cs="Arial"/>
          <w:sz w:val="24"/>
          <w:szCs w:val="24"/>
        </w:rPr>
        <w:lastRenderedPageBreak/>
        <w:t>put away the fire;</w:t>
      </w:r>
      <w:r w:rsidR="008E70B3">
        <w:rPr>
          <w:rFonts w:ascii="Arial" w:hAnsi="Arial" w:cs="Arial"/>
          <w:sz w:val="24"/>
          <w:szCs w:val="24"/>
        </w:rPr>
        <w:t xml:space="preserve"> or </w:t>
      </w:r>
      <w:r w:rsidR="008E70B3" w:rsidRPr="00CE0A7F">
        <w:rPr>
          <w:rFonts w:ascii="Arial" w:hAnsi="Arial" w:cs="Arial"/>
          <w:b/>
          <w:bCs/>
          <w:sz w:val="24"/>
          <w:szCs w:val="24"/>
        </w:rPr>
        <w:t>novel situations</w:t>
      </w:r>
      <w:r w:rsidR="00F72F65">
        <w:rPr>
          <w:rFonts w:ascii="Arial" w:hAnsi="Arial" w:cs="Arial"/>
          <w:sz w:val="24"/>
          <w:szCs w:val="24"/>
        </w:rPr>
        <w:t>- where ‘the courts might be willing to create new circumstances under which there is a duty to act’. (Herring, 2020)</w:t>
      </w:r>
    </w:p>
    <w:p w14:paraId="6589425F" w14:textId="180B4403" w:rsidR="008E70B3" w:rsidRDefault="00F72F65" w:rsidP="008E70B3">
      <w:pPr>
        <w:spacing w:before="120" w:line="360" w:lineRule="auto"/>
        <w:ind w:firstLine="720"/>
        <w:rPr>
          <w:rFonts w:ascii="Arial" w:hAnsi="Arial" w:cs="Arial"/>
          <w:sz w:val="24"/>
          <w:szCs w:val="24"/>
        </w:rPr>
      </w:pPr>
      <w:r w:rsidRPr="00F15EEC">
        <w:rPr>
          <w:rFonts w:ascii="Arial" w:hAnsi="Arial" w:cs="Arial"/>
          <w:i/>
          <w:iCs/>
          <w:sz w:val="24"/>
          <w:szCs w:val="24"/>
        </w:rPr>
        <w:t>S</w:t>
      </w:r>
      <w:r w:rsidR="00E10279" w:rsidRPr="00F15EEC">
        <w:rPr>
          <w:rFonts w:ascii="Arial" w:hAnsi="Arial" w:cs="Arial"/>
          <w:i/>
          <w:iCs/>
          <w:sz w:val="24"/>
          <w:szCs w:val="24"/>
        </w:rPr>
        <w:t>tatutory duty</w:t>
      </w:r>
      <w:r w:rsidR="004442EC" w:rsidRPr="004442EC">
        <w:rPr>
          <w:rFonts w:ascii="Arial" w:hAnsi="Arial" w:cs="Arial"/>
          <w:sz w:val="24"/>
          <w:szCs w:val="24"/>
        </w:rPr>
        <w:t xml:space="preserve"> is defined by the Cambridge Dictionary as </w:t>
      </w:r>
      <w:r w:rsidR="004442EC">
        <w:rPr>
          <w:rFonts w:ascii="Arial" w:hAnsi="Arial" w:cs="Arial"/>
          <w:i/>
          <w:iCs/>
          <w:sz w:val="24"/>
          <w:szCs w:val="24"/>
        </w:rPr>
        <w:t>‘</w:t>
      </w:r>
      <w:r w:rsidR="004442EC" w:rsidRPr="004442EC">
        <w:rPr>
          <w:rFonts w:ascii="Arial" w:hAnsi="Arial" w:cs="Arial"/>
          <w:i/>
          <w:iCs/>
          <w:sz w:val="24"/>
          <w:szCs w:val="24"/>
        </w:rPr>
        <w:t>the laws that a company, a government organization, or the members of a particular profession must obey</w:t>
      </w:r>
      <w:r w:rsidR="004442EC">
        <w:rPr>
          <w:rFonts w:ascii="Arial" w:hAnsi="Arial" w:cs="Arial"/>
          <w:i/>
          <w:iCs/>
          <w:sz w:val="24"/>
          <w:szCs w:val="24"/>
        </w:rPr>
        <w:t xml:space="preserve">’ </w:t>
      </w:r>
      <w:r w:rsidR="004442EC">
        <w:rPr>
          <w:rFonts w:ascii="Arial" w:hAnsi="Arial" w:cs="Arial"/>
          <w:sz w:val="24"/>
          <w:szCs w:val="24"/>
        </w:rPr>
        <w:t>therefore its implied that statutory duty applies to organisations and not to individuals but they must co-operate with their organisation policy; for example, a company is required by law to ensure the safety of its workers by providing special protective equipment</w:t>
      </w:r>
      <w:r w:rsidR="00902998">
        <w:rPr>
          <w:rFonts w:ascii="Arial" w:hAnsi="Arial" w:cs="Arial"/>
          <w:sz w:val="24"/>
          <w:szCs w:val="24"/>
        </w:rPr>
        <w:t xml:space="preserve">, failing to do so might make them liable of offence if something does happen to one of its workers. There are also </w:t>
      </w:r>
      <w:r w:rsidR="00E10279">
        <w:rPr>
          <w:rFonts w:ascii="Arial" w:hAnsi="Arial" w:cs="Arial"/>
          <w:sz w:val="24"/>
          <w:szCs w:val="24"/>
        </w:rPr>
        <w:t xml:space="preserve">the </w:t>
      </w:r>
      <w:r w:rsidR="00E10279" w:rsidRPr="00CA4C5B">
        <w:rPr>
          <w:rFonts w:ascii="Arial" w:hAnsi="Arial" w:cs="Arial"/>
          <w:i/>
          <w:iCs/>
          <w:sz w:val="24"/>
          <w:szCs w:val="24"/>
        </w:rPr>
        <w:t>common law offences</w:t>
      </w:r>
      <w:r w:rsidR="00E10279">
        <w:rPr>
          <w:rFonts w:ascii="Arial" w:hAnsi="Arial" w:cs="Arial"/>
          <w:sz w:val="24"/>
          <w:szCs w:val="24"/>
        </w:rPr>
        <w:t xml:space="preserve"> regarding the law that derives from the decision of the judges as opposed to law made by the Parliament, one example of it is in the case of Mavji (1987) where the defendant has failed to make </w:t>
      </w:r>
      <w:r w:rsidR="004E5DFF">
        <w:rPr>
          <w:rFonts w:ascii="Arial" w:hAnsi="Arial" w:cs="Arial"/>
          <w:sz w:val="24"/>
          <w:szCs w:val="24"/>
        </w:rPr>
        <w:t>VAT returns to the tax office and the court considered it cheating the public revenue. (Allridge, 2017)</w:t>
      </w:r>
      <w:r w:rsidR="00CA4C5B">
        <w:rPr>
          <w:rFonts w:ascii="Arial" w:hAnsi="Arial" w:cs="Arial"/>
          <w:sz w:val="24"/>
          <w:szCs w:val="24"/>
        </w:rPr>
        <w:t xml:space="preserve"> An example of common law duty to act is the duty of care such as in R v </w:t>
      </w:r>
      <w:r w:rsidR="00013D60">
        <w:rPr>
          <w:rFonts w:ascii="Arial" w:hAnsi="Arial" w:cs="Arial"/>
          <w:sz w:val="24"/>
          <w:szCs w:val="24"/>
        </w:rPr>
        <w:t>Instan (1893) where the defendant went on to live with her 70 years old aunt; the aunt became ill and bedridden and required care and support; the defendant failed to summon medical assistance or to feed her aunt, resulting in her aunt dying. In this case, Lord Colerigde stated ‘</w:t>
      </w:r>
      <w:r w:rsidR="00013D60" w:rsidRPr="00013D60">
        <w:rPr>
          <w:rFonts w:ascii="Arial" w:hAnsi="Arial" w:cs="Arial"/>
          <w:sz w:val="24"/>
          <w:szCs w:val="24"/>
        </w:rPr>
        <w:t>It would not be correct to say that every moral obligation involves a legal duty; but their legal duty is found on a moral obligation...</w:t>
      </w:r>
      <w:r w:rsidR="00013D60">
        <w:rPr>
          <w:rFonts w:ascii="Arial" w:hAnsi="Arial" w:cs="Arial"/>
          <w:sz w:val="24"/>
          <w:szCs w:val="24"/>
        </w:rPr>
        <w:t xml:space="preserve">’. The defendant was living with her aunt, using her aunt’s finances, therefore was implied she would take her of her aunt, which she has failed to do so, </w:t>
      </w:r>
      <w:r w:rsidR="007854CE">
        <w:rPr>
          <w:rFonts w:ascii="Arial" w:hAnsi="Arial" w:cs="Arial"/>
          <w:sz w:val="24"/>
          <w:szCs w:val="24"/>
        </w:rPr>
        <w:t>later</w:t>
      </w:r>
      <w:r w:rsidR="00013D60">
        <w:rPr>
          <w:rFonts w:ascii="Arial" w:hAnsi="Arial" w:cs="Arial"/>
          <w:sz w:val="24"/>
          <w:szCs w:val="24"/>
        </w:rPr>
        <w:t xml:space="preserve"> being convicted of manslaughter. (LawTeacher, 2021)</w:t>
      </w:r>
    </w:p>
    <w:p w14:paraId="488834B5" w14:textId="26F32BE8" w:rsidR="00F05810" w:rsidRDefault="004E5DFF" w:rsidP="008E70B3">
      <w:pPr>
        <w:spacing w:before="120" w:line="360" w:lineRule="auto"/>
        <w:ind w:firstLine="720"/>
        <w:rPr>
          <w:rFonts w:ascii="Arial" w:hAnsi="Arial" w:cs="Arial"/>
          <w:sz w:val="24"/>
          <w:szCs w:val="24"/>
        </w:rPr>
      </w:pPr>
      <w:r>
        <w:rPr>
          <w:rFonts w:ascii="Arial" w:hAnsi="Arial" w:cs="Arial"/>
          <w:sz w:val="24"/>
          <w:szCs w:val="24"/>
        </w:rPr>
        <w:t xml:space="preserve"> </w:t>
      </w:r>
      <w:r w:rsidR="00F15EEC">
        <w:rPr>
          <w:rFonts w:ascii="Arial" w:hAnsi="Arial" w:cs="Arial"/>
          <w:i/>
          <w:iCs/>
          <w:sz w:val="24"/>
          <w:szCs w:val="24"/>
        </w:rPr>
        <w:t>C</w:t>
      </w:r>
      <w:r w:rsidR="00A01F12" w:rsidRPr="00A01F12">
        <w:rPr>
          <w:rFonts w:ascii="Arial" w:hAnsi="Arial" w:cs="Arial"/>
          <w:i/>
          <w:iCs/>
          <w:sz w:val="24"/>
          <w:szCs w:val="24"/>
        </w:rPr>
        <w:t>ontractual duty</w:t>
      </w:r>
      <w:r w:rsidR="002F7C8B">
        <w:rPr>
          <w:rFonts w:ascii="Arial" w:hAnsi="Arial" w:cs="Arial"/>
          <w:i/>
          <w:iCs/>
          <w:sz w:val="24"/>
          <w:szCs w:val="24"/>
        </w:rPr>
        <w:t>-</w:t>
      </w:r>
      <w:r w:rsidR="00A01F12">
        <w:rPr>
          <w:rFonts w:ascii="Arial" w:hAnsi="Arial" w:cs="Arial"/>
          <w:sz w:val="24"/>
          <w:szCs w:val="24"/>
        </w:rPr>
        <w:t xml:space="preserve"> as in the R v Pittwood</w:t>
      </w:r>
      <w:r w:rsidR="007854CE">
        <w:rPr>
          <w:rFonts w:ascii="Arial" w:hAnsi="Arial" w:cs="Arial"/>
          <w:sz w:val="24"/>
          <w:szCs w:val="24"/>
        </w:rPr>
        <w:t xml:space="preserve"> (1902)</w:t>
      </w:r>
      <w:r w:rsidR="00A01F12">
        <w:rPr>
          <w:rFonts w:ascii="Arial" w:hAnsi="Arial" w:cs="Arial"/>
          <w:sz w:val="24"/>
          <w:szCs w:val="24"/>
        </w:rPr>
        <w:t xml:space="preserve"> case where the defendant was under a contractual duty (employed by a railway company) to manage the gate at the level crossing, the defendant lifted the gate to allow a cart to pass and failed to put the gate back down; </w:t>
      </w:r>
      <w:r w:rsidR="008E70B3">
        <w:rPr>
          <w:rFonts w:ascii="Arial" w:hAnsi="Arial" w:cs="Arial"/>
          <w:sz w:val="24"/>
          <w:szCs w:val="24"/>
        </w:rPr>
        <w:t>later</w:t>
      </w:r>
      <w:r w:rsidR="00CA4C5B">
        <w:rPr>
          <w:rFonts w:ascii="Arial" w:hAnsi="Arial" w:cs="Arial"/>
          <w:sz w:val="24"/>
          <w:szCs w:val="24"/>
        </w:rPr>
        <w:t>,</w:t>
      </w:r>
      <w:r w:rsidR="00A01F12">
        <w:rPr>
          <w:rFonts w:ascii="Arial" w:hAnsi="Arial" w:cs="Arial"/>
          <w:sz w:val="24"/>
          <w:szCs w:val="24"/>
        </w:rPr>
        <w:t xml:space="preserve"> a train collided with a horse and cart killing the train driver</w:t>
      </w:r>
      <w:r w:rsidR="00CA4C5B">
        <w:rPr>
          <w:rFonts w:ascii="Arial" w:hAnsi="Arial" w:cs="Arial"/>
          <w:sz w:val="24"/>
          <w:szCs w:val="24"/>
        </w:rPr>
        <w:t xml:space="preserve">. </w:t>
      </w:r>
      <w:r w:rsidR="002F7C8B">
        <w:rPr>
          <w:rFonts w:ascii="Arial" w:hAnsi="Arial" w:cs="Arial"/>
          <w:sz w:val="24"/>
          <w:szCs w:val="24"/>
        </w:rPr>
        <w:t xml:space="preserve">Contractual obligations refer to both employers and employees to be legally responsible in a contract and both follow their sides </w:t>
      </w:r>
      <w:r w:rsidR="00CE0A7F">
        <w:rPr>
          <w:rFonts w:ascii="Arial" w:hAnsi="Arial" w:cs="Arial"/>
          <w:sz w:val="24"/>
          <w:szCs w:val="24"/>
        </w:rPr>
        <w:t>of</w:t>
      </w:r>
      <w:r w:rsidR="002F7C8B">
        <w:rPr>
          <w:rFonts w:ascii="Arial" w:hAnsi="Arial" w:cs="Arial"/>
          <w:sz w:val="24"/>
          <w:szCs w:val="24"/>
        </w:rPr>
        <w:t xml:space="preserve"> a contract. In the R v Pittwood </w:t>
      </w:r>
      <w:r w:rsidR="007854CE">
        <w:rPr>
          <w:rFonts w:ascii="Arial" w:hAnsi="Arial" w:cs="Arial"/>
          <w:sz w:val="24"/>
          <w:szCs w:val="24"/>
        </w:rPr>
        <w:t xml:space="preserve">(1902) </w:t>
      </w:r>
      <w:r w:rsidR="002F7C8B">
        <w:rPr>
          <w:rFonts w:ascii="Arial" w:hAnsi="Arial" w:cs="Arial"/>
          <w:sz w:val="24"/>
          <w:szCs w:val="24"/>
        </w:rPr>
        <w:t>case; the defendant was under a contractual duty to close the gate to minimise the risk of what had happened</w:t>
      </w:r>
      <w:r w:rsidR="007854CE">
        <w:rPr>
          <w:rFonts w:ascii="Arial" w:hAnsi="Arial" w:cs="Arial"/>
          <w:sz w:val="24"/>
          <w:szCs w:val="24"/>
        </w:rPr>
        <w:t>, which he had breached.</w:t>
      </w:r>
      <w:r w:rsidR="007E2F45">
        <w:rPr>
          <w:rFonts w:ascii="Arial" w:hAnsi="Arial" w:cs="Arial"/>
          <w:sz w:val="24"/>
          <w:szCs w:val="24"/>
        </w:rPr>
        <w:t xml:space="preserve"> (Allridge, 2017)</w:t>
      </w:r>
      <w:r w:rsidR="00CE0A7F">
        <w:rPr>
          <w:rFonts w:ascii="Arial" w:hAnsi="Arial" w:cs="Arial"/>
          <w:sz w:val="24"/>
          <w:szCs w:val="24"/>
        </w:rPr>
        <w:t xml:space="preserve"> Contractual duty also can be found in </w:t>
      </w:r>
    </w:p>
    <w:p w14:paraId="1F80AD80" w14:textId="268CC744" w:rsidR="007854CE" w:rsidRDefault="007854CE" w:rsidP="008E70B3">
      <w:pPr>
        <w:spacing w:before="120" w:line="360" w:lineRule="auto"/>
        <w:ind w:firstLine="720"/>
        <w:rPr>
          <w:rFonts w:ascii="Arial" w:hAnsi="Arial" w:cs="Arial"/>
          <w:sz w:val="24"/>
          <w:szCs w:val="24"/>
        </w:rPr>
      </w:pPr>
    </w:p>
    <w:p w14:paraId="3F7CE89E" w14:textId="0366D194" w:rsidR="007C2087" w:rsidRDefault="00DA7046" w:rsidP="00DA7046">
      <w:pPr>
        <w:spacing w:before="120" w:line="360" w:lineRule="auto"/>
        <w:ind w:firstLine="720"/>
        <w:rPr>
          <w:rFonts w:ascii="Arial" w:hAnsi="Arial" w:cs="Arial"/>
          <w:sz w:val="24"/>
          <w:szCs w:val="24"/>
        </w:rPr>
      </w:pPr>
      <w:r>
        <w:rPr>
          <w:rFonts w:ascii="Arial" w:hAnsi="Arial" w:cs="Arial"/>
          <w:sz w:val="24"/>
          <w:szCs w:val="24"/>
        </w:rPr>
        <w:t>In spite of the fact that</w:t>
      </w:r>
      <w:r w:rsidR="007854CE">
        <w:rPr>
          <w:rFonts w:ascii="Arial" w:hAnsi="Arial" w:cs="Arial"/>
          <w:sz w:val="24"/>
          <w:szCs w:val="24"/>
        </w:rPr>
        <w:t xml:space="preserve"> there is not a general duty to act, the duty does arise in many cases, whether contractual, special relationship, common law or statutory duty</w:t>
      </w:r>
      <w:r w:rsidR="006B4E10">
        <w:rPr>
          <w:rFonts w:ascii="Arial" w:hAnsi="Arial" w:cs="Arial"/>
          <w:sz w:val="24"/>
          <w:szCs w:val="24"/>
        </w:rPr>
        <w:t xml:space="preserve"> and it does not imply that people should not have a moral duty towards one another; </w:t>
      </w:r>
      <w:r w:rsidR="007C2087">
        <w:rPr>
          <w:rFonts w:ascii="Arial" w:hAnsi="Arial" w:cs="Arial"/>
          <w:sz w:val="24"/>
          <w:szCs w:val="24"/>
        </w:rPr>
        <w:t>however,</w:t>
      </w:r>
      <w:r w:rsidR="006B4E10">
        <w:rPr>
          <w:rFonts w:ascii="Arial" w:hAnsi="Arial" w:cs="Arial"/>
          <w:sz w:val="24"/>
          <w:szCs w:val="24"/>
        </w:rPr>
        <w:t xml:space="preserve"> one </w:t>
      </w:r>
      <w:r w:rsidR="007C2087">
        <w:rPr>
          <w:rFonts w:ascii="Arial" w:hAnsi="Arial" w:cs="Arial"/>
          <w:sz w:val="24"/>
          <w:szCs w:val="24"/>
        </w:rPr>
        <w:t>cannot</w:t>
      </w:r>
      <w:r w:rsidR="006B4E10">
        <w:rPr>
          <w:rFonts w:ascii="Arial" w:hAnsi="Arial" w:cs="Arial"/>
          <w:sz w:val="24"/>
          <w:szCs w:val="24"/>
        </w:rPr>
        <w:t xml:space="preserve"> simply rely on others’ behaviour and expect what is morally acceptable for one, it can be the same, if not similar for someone else. Those who fail to rescue when they </w:t>
      </w:r>
      <w:r w:rsidR="007C2087">
        <w:rPr>
          <w:rFonts w:ascii="Arial" w:hAnsi="Arial" w:cs="Arial"/>
          <w:sz w:val="24"/>
          <w:szCs w:val="24"/>
        </w:rPr>
        <w:t>have</w:t>
      </w:r>
      <w:r w:rsidR="006B4E10">
        <w:rPr>
          <w:rFonts w:ascii="Arial" w:hAnsi="Arial" w:cs="Arial"/>
          <w:sz w:val="24"/>
          <w:szCs w:val="24"/>
        </w:rPr>
        <w:t xml:space="preserve"> a duty to do so, are liable. In order to be liable/culpable, the defendant must believe to a certain extent that it has a duty to rescue and if one does not believe enough that they must act, whether indicated by status or voluntary undertaking, they might not be liable under certain circumstances. For </w:t>
      </w:r>
      <w:r w:rsidR="00043A4E">
        <w:rPr>
          <w:rFonts w:ascii="Arial" w:hAnsi="Arial" w:cs="Arial"/>
          <w:sz w:val="24"/>
          <w:szCs w:val="24"/>
        </w:rPr>
        <w:t>example,</w:t>
      </w:r>
      <w:r w:rsidR="006B4E10">
        <w:rPr>
          <w:rFonts w:ascii="Arial" w:hAnsi="Arial" w:cs="Arial"/>
          <w:sz w:val="24"/>
          <w:szCs w:val="24"/>
        </w:rPr>
        <w:t xml:space="preserve"> seeing someone drowning and not having a special relationship (status), not knowing how to swim (voluntary undertaking) in order to intervene, one can legally walk past and incur no criminal liability unless there are other circumstances present that impose liability; </w:t>
      </w:r>
      <w:r w:rsidR="00043A4E">
        <w:rPr>
          <w:rFonts w:ascii="Arial" w:hAnsi="Arial" w:cs="Arial"/>
          <w:sz w:val="24"/>
          <w:szCs w:val="24"/>
        </w:rPr>
        <w:t>however,</w:t>
      </w:r>
      <w:r w:rsidR="006B4E10">
        <w:rPr>
          <w:rFonts w:ascii="Arial" w:hAnsi="Arial" w:cs="Arial"/>
          <w:sz w:val="24"/>
          <w:szCs w:val="24"/>
        </w:rPr>
        <w:t xml:space="preserve"> this can be argued in the court of law as gross negligence manslaughter. In the R v Bowditch (2017) case, the defendant failed to act when </w:t>
      </w:r>
      <w:r w:rsidR="00043A4E">
        <w:rPr>
          <w:rFonts w:ascii="Arial" w:hAnsi="Arial" w:cs="Arial"/>
          <w:sz w:val="24"/>
          <w:szCs w:val="24"/>
        </w:rPr>
        <w:t>Miss Morgan fell into the sea resulting in her death. The defendant did not push Miss Morgan into the sea, she fell but he failed to summon assistance or to take any reasonable steps to save her life. To be guilty of gross negligence manslaughter, one must owe the victim a duty of care and be under a legal duty to act. Lord Atkin stated ‘a moral duty does not equal a egal duty’ which indeed is the case here. As the defendant had both legal duty and a duty of care towards the victim. (M.J. Zimmerman, 2017) Other countries have a Good Samaritan law which have the potential to save lives in such situations, yet even this law has its own ups and downs for not being clear enough and leaving room for debate; in the UK there is no law requiring someone to help another in peril as it requires greater legislation</w:t>
      </w:r>
      <w:r w:rsidR="001926F1">
        <w:rPr>
          <w:rFonts w:ascii="Arial" w:hAnsi="Arial" w:cs="Arial"/>
          <w:sz w:val="24"/>
          <w:szCs w:val="24"/>
        </w:rPr>
        <w:t xml:space="preserve">. </w:t>
      </w:r>
      <w:r w:rsidR="007E2F45">
        <w:rPr>
          <w:rFonts w:ascii="Arial" w:hAnsi="Arial" w:cs="Arial"/>
          <w:sz w:val="24"/>
          <w:szCs w:val="24"/>
        </w:rPr>
        <w:t>(Cath Crosby, 2018)</w:t>
      </w:r>
    </w:p>
    <w:p w14:paraId="0C8E1F86" w14:textId="0390B49D" w:rsidR="007C2087" w:rsidRDefault="007C2087" w:rsidP="00043A4E">
      <w:pPr>
        <w:spacing w:before="120" w:line="360" w:lineRule="auto"/>
        <w:ind w:firstLine="720"/>
        <w:rPr>
          <w:rFonts w:ascii="Arial" w:hAnsi="Arial" w:cs="Arial"/>
          <w:sz w:val="24"/>
          <w:szCs w:val="24"/>
        </w:rPr>
      </w:pPr>
      <w:r>
        <w:rPr>
          <w:rFonts w:ascii="Arial" w:hAnsi="Arial" w:cs="Arial"/>
          <w:sz w:val="24"/>
          <w:szCs w:val="24"/>
        </w:rPr>
        <w:t>To sum it all up, one is liable of failing to act under certain circumstances</w:t>
      </w:r>
      <w:r w:rsidR="004246E3">
        <w:rPr>
          <w:rFonts w:ascii="Arial" w:hAnsi="Arial" w:cs="Arial"/>
          <w:sz w:val="24"/>
          <w:szCs w:val="24"/>
        </w:rPr>
        <w:t xml:space="preserve"> as mentioned above</w:t>
      </w:r>
      <w:r>
        <w:rPr>
          <w:rFonts w:ascii="Arial" w:hAnsi="Arial" w:cs="Arial"/>
          <w:sz w:val="24"/>
          <w:szCs w:val="24"/>
        </w:rPr>
        <w:t xml:space="preserve">, and a general duty to act can not </w:t>
      </w:r>
      <w:r w:rsidR="001926F1">
        <w:rPr>
          <w:rFonts w:ascii="Arial" w:hAnsi="Arial" w:cs="Arial"/>
          <w:sz w:val="24"/>
          <w:szCs w:val="24"/>
        </w:rPr>
        <w:t>possibly include all</w:t>
      </w:r>
      <w:r w:rsidR="004246E3">
        <w:rPr>
          <w:rFonts w:ascii="Arial" w:hAnsi="Arial" w:cs="Arial"/>
          <w:sz w:val="24"/>
          <w:szCs w:val="24"/>
        </w:rPr>
        <w:t xml:space="preserve"> of them</w:t>
      </w:r>
      <w:r w:rsidR="001926F1">
        <w:rPr>
          <w:rFonts w:ascii="Arial" w:hAnsi="Arial" w:cs="Arial"/>
          <w:sz w:val="24"/>
          <w:szCs w:val="24"/>
        </w:rPr>
        <w:t xml:space="preserve"> due to their various specifications and the </w:t>
      </w:r>
      <w:r w:rsidR="004246E3">
        <w:rPr>
          <w:rFonts w:ascii="Arial" w:hAnsi="Arial" w:cs="Arial"/>
          <w:sz w:val="24"/>
          <w:szCs w:val="24"/>
        </w:rPr>
        <w:t xml:space="preserve">need for the </w:t>
      </w:r>
      <w:r w:rsidR="001926F1">
        <w:rPr>
          <w:rFonts w:ascii="Arial" w:hAnsi="Arial" w:cs="Arial"/>
          <w:sz w:val="24"/>
          <w:szCs w:val="24"/>
        </w:rPr>
        <w:t xml:space="preserve">professional bodies judgment of correctly identifying Actus Reus, Mens </w:t>
      </w:r>
      <w:proofErr w:type="gramStart"/>
      <w:r w:rsidR="001926F1">
        <w:rPr>
          <w:rFonts w:ascii="Arial" w:hAnsi="Arial" w:cs="Arial"/>
          <w:sz w:val="24"/>
          <w:szCs w:val="24"/>
        </w:rPr>
        <w:t>Rea</w:t>
      </w:r>
      <w:proofErr w:type="gramEnd"/>
      <w:r w:rsidR="001926F1">
        <w:rPr>
          <w:rFonts w:ascii="Arial" w:hAnsi="Arial" w:cs="Arial"/>
          <w:sz w:val="24"/>
          <w:szCs w:val="24"/>
        </w:rPr>
        <w:t xml:space="preserve"> and the No Defence element to result in criminal liability.</w:t>
      </w:r>
      <w:r w:rsidR="004246E3">
        <w:rPr>
          <w:rFonts w:ascii="Arial" w:hAnsi="Arial" w:cs="Arial"/>
          <w:sz w:val="24"/>
          <w:szCs w:val="24"/>
        </w:rPr>
        <w:t xml:space="preserve"> </w:t>
      </w:r>
    </w:p>
    <w:p w14:paraId="75F81134" w14:textId="77777777" w:rsidR="007C2087" w:rsidRDefault="007C2087">
      <w:pPr>
        <w:rPr>
          <w:rFonts w:ascii="Arial" w:hAnsi="Arial" w:cs="Arial"/>
          <w:sz w:val="24"/>
          <w:szCs w:val="24"/>
        </w:rPr>
      </w:pPr>
    </w:p>
    <w:p w14:paraId="2D07CB0C" w14:textId="77777777" w:rsidR="00E10279" w:rsidRDefault="00E10279">
      <w:pPr>
        <w:rPr>
          <w:rFonts w:ascii="Arial" w:hAnsi="Arial" w:cs="Arial"/>
          <w:sz w:val="24"/>
          <w:szCs w:val="24"/>
        </w:rPr>
      </w:pPr>
    </w:p>
    <w:p w14:paraId="6355271C" w14:textId="6F15F583" w:rsidR="00E10279" w:rsidRDefault="00E10279">
      <w:pPr>
        <w:rPr>
          <w:rFonts w:ascii="Arial" w:hAnsi="Arial" w:cs="Arial"/>
          <w:sz w:val="24"/>
          <w:szCs w:val="24"/>
        </w:rPr>
      </w:pPr>
      <w:r>
        <w:rPr>
          <w:rFonts w:ascii="Arial" w:hAnsi="Arial" w:cs="Arial"/>
          <w:sz w:val="24"/>
          <w:szCs w:val="24"/>
        </w:rPr>
        <w:t>References:</w:t>
      </w:r>
    </w:p>
    <w:p w14:paraId="1D64A08A" w14:textId="77777777" w:rsidR="00E10279" w:rsidRPr="00E10279" w:rsidRDefault="00E10279" w:rsidP="00E10279">
      <w:pPr>
        <w:rPr>
          <w:rFonts w:ascii="Arial" w:hAnsi="Arial" w:cs="Arial"/>
          <w:sz w:val="24"/>
          <w:szCs w:val="24"/>
        </w:rPr>
      </w:pPr>
    </w:p>
    <w:p w14:paraId="6EDB2BC7" w14:textId="1C6DF298" w:rsidR="004E5DFF" w:rsidRDefault="00E10279" w:rsidP="004E5DFF">
      <w:pPr>
        <w:pStyle w:val="ListParagraph"/>
        <w:numPr>
          <w:ilvl w:val="0"/>
          <w:numId w:val="1"/>
        </w:numPr>
        <w:rPr>
          <w:rFonts w:ascii="Arial" w:hAnsi="Arial" w:cs="Arial"/>
          <w:sz w:val="24"/>
          <w:szCs w:val="24"/>
        </w:rPr>
      </w:pPr>
      <w:r w:rsidRPr="00E10279">
        <w:rPr>
          <w:rFonts w:ascii="Arial" w:hAnsi="Arial" w:cs="Arial"/>
          <w:sz w:val="24"/>
          <w:szCs w:val="24"/>
        </w:rPr>
        <w:t>Herring, J. (2020). CRIMINAL LAW: text, cases, and materials. 9th ed. S.L.: Oxford Univ Press,</w:t>
      </w:r>
      <w:r>
        <w:rPr>
          <w:rFonts w:ascii="Arial" w:hAnsi="Arial" w:cs="Arial"/>
          <w:sz w:val="24"/>
          <w:szCs w:val="24"/>
        </w:rPr>
        <w:t xml:space="preserve"> Oxford,</w:t>
      </w:r>
      <w:r w:rsidRPr="00E10279">
        <w:rPr>
          <w:rFonts w:ascii="Arial" w:hAnsi="Arial" w:cs="Arial"/>
          <w:sz w:val="24"/>
          <w:szCs w:val="24"/>
        </w:rPr>
        <w:t xml:space="preserve"> pp.69–70.</w:t>
      </w:r>
      <w:r>
        <w:rPr>
          <w:rFonts w:ascii="Arial" w:hAnsi="Arial" w:cs="Arial"/>
          <w:sz w:val="24"/>
          <w:szCs w:val="24"/>
        </w:rPr>
        <w:t xml:space="preserve"> ISBN: </w:t>
      </w:r>
      <w:r w:rsidRPr="00E10279">
        <w:rPr>
          <w:rFonts w:ascii="Arial" w:hAnsi="Arial" w:cs="Arial"/>
          <w:sz w:val="24"/>
          <w:szCs w:val="24"/>
        </w:rPr>
        <w:t>9780198848479</w:t>
      </w:r>
    </w:p>
    <w:p w14:paraId="4100636C" w14:textId="1202100C" w:rsidR="00F72F65" w:rsidRPr="00F72F65" w:rsidRDefault="00F72F65" w:rsidP="00F72F65">
      <w:pPr>
        <w:pStyle w:val="ListParagraph"/>
        <w:numPr>
          <w:ilvl w:val="0"/>
          <w:numId w:val="1"/>
        </w:numPr>
        <w:rPr>
          <w:rFonts w:ascii="Arial" w:hAnsi="Arial" w:cs="Arial"/>
          <w:sz w:val="24"/>
          <w:szCs w:val="24"/>
        </w:rPr>
      </w:pPr>
      <w:r w:rsidRPr="00E10279">
        <w:rPr>
          <w:rFonts w:ascii="Arial" w:hAnsi="Arial" w:cs="Arial"/>
          <w:sz w:val="24"/>
          <w:szCs w:val="24"/>
        </w:rPr>
        <w:t>Herring, J. (2020). CRIMINAL LAW: text, cases, and materials. 9th ed. S.L.: Oxford Univ Press,</w:t>
      </w:r>
      <w:r>
        <w:rPr>
          <w:rFonts w:ascii="Arial" w:hAnsi="Arial" w:cs="Arial"/>
          <w:sz w:val="24"/>
          <w:szCs w:val="24"/>
        </w:rPr>
        <w:t xml:space="preserve"> Oxford,</w:t>
      </w:r>
      <w:r w:rsidRPr="00E10279">
        <w:rPr>
          <w:rFonts w:ascii="Arial" w:hAnsi="Arial" w:cs="Arial"/>
          <w:sz w:val="24"/>
          <w:szCs w:val="24"/>
        </w:rPr>
        <w:t xml:space="preserve"> pp.</w:t>
      </w:r>
      <w:r>
        <w:rPr>
          <w:rFonts w:ascii="Arial" w:hAnsi="Arial" w:cs="Arial"/>
          <w:sz w:val="24"/>
          <w:szCs w:val="24"/>
        </w:rPr>
        <w:t>70-75</w:t>
      </w:r>
      <w:r w:rsidRPr="00E10279">
        <w:rPr>
          <w:rFonts w:ascii="Arial" w:hAnsi="Arial" w:cs="Arial"/>
          <w:sz w:val="24"/>
          <w:szCs w:val="24"/>
        </w:rPr>
        <w:t>.</w:t>
      </w:r>
      <w:r>
        <w:rPr>
          <w:rFonts w:ascii="Arial" w:hAnsi="Arial" w:cs="Arial"/>
          <w:sz w:val="24"/>
          <w:szCs w:val="24"/>
        </w:rPr>
        <w:t xml:space="preserve"> ISBN: </w:t>
      </w:r>
      <w:r w:rsidRPr="00E10279">
        <w:rPr>
          <w:rFonts w:ascii="Arial" w:hAnsi="Arial" w:cs="Arial"/>
          <w:sz w:val="24"/>
          <w:szCs w:val="24"/>
        </w:rPr>
        <w:t>9780198848479</w:t>
      </w:r>
    </w:p>
    <w:p w14:paraId="1697589E" w14:textId="2B0267C2" w:rsidR="008E70B3" w:rsidRPr="008E70B3" w:rsidRDefault="004E5DFF" w:rsidP="008E70B3">
      <w:pPr>
        <w:pStyle w:val="ListParagraph"/>
        <w:numPr>
          <w:ilvl w:val="0"/>
          <w:numId w:val="1"/>
        </w:numPr>
        <w:rPr>
          <w:rFonts w:ascii="Arial" w:hAnsi="Arial" w:cs="Arial"/>
          <w:sz w:val="24"/>
          <w:szCs w:val="24"/>
        </w:rPr>
      </w:pPr>
      <w:r w:rsidRPr="004E5DFF">
        <w:rPr>
          <w:rFonts w:ascii="Arial" w:hAnsi="Arial" w:cs="Arial"/>
          <w:sz w:val="24"/>
          <w:szCs w:val="24"/>
        </w:rPr>
        <w:t>Alldridge, P. (2017). Criminal Justice and Taxation. Oxford: Oxford University Press, pp.42–43.</w:t>
      </w:r>
      <w:r>
        <w:rPr>
          <w:rFonts w:ascii="Arial" w:hAnsi="Arial" w:cs="Arial"/>
          <w:sz w:val="24"/>
          <w:szCs w:val="24"/>
        </w:rPr>
        <w:t xml:space="preserve">, ISBN: </w:t>
      </w:r>
      <w:r w:rsidRPr="004E5DFF">
        <w:rPr>
          <w:rFonts w:ascii="Arial" w:hAnsi="Arial" w:cs="Arial"/>
          <w:sz w:val="24"/>
          <w:szCs w:val="24"/>
        </w:rPr>
        <w:t>9780191816963</w:t>
      </w:r>
    </w:p>
    <w:p w14:paraId="1ED49242" w14:textId="46D7B043" w:rsidR="008E70B3" w:rsidRDefault="008E70B3" w:rsidP="008E70B3">
      <w:pPr>
        <w:pStyle w:val="ListParagraph"/>
        <w:numPr>
          <w:ilvl w:val="0"/>
          <w:numId w:val="1"/>
        </w:numPr>
        <w:rPr>
          <w:rFonts w:ascii="Arial" w:hAnsi="Arial" w:cs="Arial"/>
          <w:sz w:val="24"/>
          <w:szCs w:val="24"/>
        </w:rPr>
      </w:pPr>
      <w:r w:rsidRPr="008E70B3">
        <w:rPr>
          <w:rFonts w:ascii="Arial" w:hAnsi="Arial" w:cs="Arial"/>
          <w:sz w:val="24"/>
          <w:szCs w:val="24"/>
        </w:rPr>
        <w:t xml:space="preserve">LawTeacher (2021). R v Instan - 1893. [online] www.lawteacher.net. Available at: </w:t>
      </w:r>
      <w:hyperlink r:id="rId8" w:history="1">
        <w:r w:rsidR="007C2087" w:rsidRPr="000818C6">
          <w:rPr>
            <w:rStyle w:val="Hyperlink"/>
            <w:rFonts w:ascii="Arial" w:hAnsi="Arial" w:cs="Arial"/>
            <w:sz w:val="24"/>
            <w:szCs w:val="24"/>
          </w:rPr>
          <w:t>https://www.lawteacher.net/cases/r-v-instan.php</w:t>
        </w:r>
      </w:hyperlink>
      <w:r w:rsidR="007C2087">
        <w:rPr>
          <w:rFonts w:ascii="Arial" w:hAnsi="Arial" w:cs="Arial"/>
          <w:sz w:val="24"/>
          <w:szCs w:val="24"/>
        </w:rPr>
        <w:t xml:space="preserve"> </w:t>
      </w:r>
      <w:r w:rsidRPr="008E70B3">
        <w:rPr>
          <w:rFonts w:ascii="Arial" w:hAnsi="Arial" w:cs="Arial"/>
          <w:sz w:val="24"/>
          <w:szCs w:val="24"/>
        </w:rPr>
        <w:t xml:space="preserve"> [Accessed 7 Nov. 2022].</w:t>
      </w:r>
    </w:p>
    <w:p w14:paraId="1151F43E" w14:textId="680C18CF" w:rsidR="007C2087" w:rsidRPr="001926F1" w:rsidRDefault="007C2087" w:rsidP="008E70B3">
      <w:pPr>
        <w:pStyle w:val="ListParagraph"/>
        <w:numPr>
          <w:ilvl w:val="0"/>
          <w:numId w:val="1"/>
        </w:numPr>
        <w:rPr>
          <w:rFonts w:ascii="Arial" w:hAnsi="Arial" w:cs="Arial"/>
          <w:i/>
          <w:iCs/>
          <w:sz w:val="24"/>
          <w:szCs w:val="24"/>
        </w:rPr>
      </w:pPr>
      <w:r>
        <w:rPr>
          <w:rFonts w:ascii="Arial" w:hAnsi="Arial" w:cs="Arial"/>
          <w:sz w:val="24"/>
          <w:szCs w:val="24"/>
        </w:rPr>
        <w:t xml:space="preserve">Zimmerman, M.J. (2017) ‘Omissions, Agency and Control’, </w:t>
      </w:r>
      <w:r w:rsidRPr="007C2087">
        <w:rPr>
          <w:rFonts w:ascii="Arial" w:hAnsi="Arial" w:cs="Arial"/>
          <w:i/>
          <w:iCs/>
          <w:sz w:val="24"/>
          <w:szCs w:val="24"/>
        </w:rPr>
        <w:t>The Ethics and Law of Omissions</w:t>
      </w:r>
      <w:r>
        <w:rPr>
          <w:rFonts w:ascii="Arial" w:hAnsi="Arial" w:cs="Arial"/>
          <w:i/>
          <w:iCs/>
          <w:sz w:val="24"/>
          <w:szCs w:val="24"/>
        </w:rPr>
        <w:t>,</w:t>
      </w:r>
      <w:r>
        <w:rPr>
          <w:rFonts w:ascii="Arial" w:hAnsi="Arial" w:cs="Arial"/>
          <w:sz w:val="24"/>
          <w:szCs w:val="24"/>
        </w:rPr>
        <w:t xml:space="preserve"> New York, Oxford University Press., p.84-105 Available at: </w:t>
      </w:r>
      <w:hyperlink r:id="rId9" w:history="1">
        <w:r w:rsidRPr="000818C6">
          <w:rPr>
            <w:rStyle w:val="Hyperlink"/>
            <w:rFonts w:ascii="Arial" w:hAnsi="Arial" w:cs="Arial"/>
            <w:sz w:val="24"/>
            <w:szCs w:val="24"/>
          </w:rPr>
          <w:t>https://doi.org/10.1093/oso/9780190683450.003</w:t>
        </w:r>
        <w:r w:rsidRPr="000818C6">
          <w:rPr>
            <w:rStyle w:val="Hyperlink"/>
            <w:rFonts w:ascii="Arial" w:hAnsi="Arial" w:cs="Arial"/>
            <w:sz w:val="24"/>
            <w:szCs w:val="24"/>
          </w:rPr>
          <w:t>.</w:t>
        </w:r>
        <w:r w:rsidRPr="000818C6">
          <w:rPr>
            <w:rStyle w:val="Hyperlink"/>
            <w:rFonts w:ascii="Arial" w:hAnsi="Arial" w:cs="Arial"/>
            <w:sz w:val="24"/>
            <w:szCs w:val="24"/>
          </w:rPr>
          <w:t>0005</w:t>
        </w:r>
      </w:hyperlink>
      <w:r>
        <w:rPr>
          <w:rFonts w:ascii="Arial" w:hAnsi="Arial" w:cs="Arial"/>
          <w:sz w:val="24"/>
          <w:szCs w:val="24"/>
        </w:rPr>
        <w:t xml:space="preserve"> </w:t>
      </w:r>
    </w:p>
    <w:p w14:paraId="3320A07B" w14:textId="35D18A09" w:rsidR="001926F1" w:rsidRPr="007C2087" w:rsidRDefault="007E2F45" w:rsidP="008E70B3">
      <w:pPr>
        <w:pStyle w:val="ListParagraph"/>
        <w:numPr>
          <w:ilvl w:val="0"/>
          <w:numId w:val="1"/>
        </w:numPr>
        <w:rPr>
          <w:rFonts w:ascii="Arial" w:hAnsi="Arial" w:cs="Arial"/>
          <w:i/>
          <w:iCs/>
          <w:sz w:val="24"/>
          <w:szCs w:val="24"/>
        </w:rPr>
      </w:pPr>
      <w:r>
        <w:rPr>
          <w:rFonts w:ascii="Arial" w:hAnsi="Arial" w:cs="Arial"/>
          <w:sz w:val="24"/>
          <w:szCs w:val="24"/>
        </w:rPr>
        <w:t xml:space="preserve">Crosby, C. (2018), Gross Negligence Manslaughter by Omission: The Emerge of a Good Samaritan Law, p 130-135, Available at: </w:t>
      </w:r>
      <w:hyperlink r:id="rId10" w:history="1">
        <w:r w:rsidRPr="000818C6">
          <w:rPr>
            <w:rStyle w:val="Hyperlink"/>
            <w:rFonts w:ascii="Arial" w:hAnsi="Arial" w:cs="Arial"/>
            <w:sz w:val="24"/>
            <w:szCs w:val="24"/>
          </w:rPr>
          <w:t>https://doi-org.ezproxy.</w:t>
        </w:r>
        <w:r w:rsidRPr="000818C6">
          <w:rPr>
            <w:rStyle w:val="Hyperlink"/>
            <w:rFonts w:ascii="Arial" w:hAnsi="Arial" w:cs="Arial"/>
            <w:sz w:val="24"/>
            <w:szCs w:val="24"/>
          </w:rPr>
          <w:t>u</w:t>
        </w:r>
        <w:r w:rsidRPr="000818C6">
          <w:rPr>
            <w:rStyle w:val="Hyperlink"/>
            <w:rFonts w:ascii="Arial" w:hAnsi="Arial" w:cs="Arial"/>
            <w:sz w:val="24"/>
            <w:szCs w:val="24"/>
          </w:rPr>
          <w:t>wtsd.ac.uk/10.1177/0022018318761692</w:t>
        </w:r>
      </w:hyperlink>
      <w:r>
        <w:rPr>
          <w:rFonts w:ascii="Arial" w:hAnsi="Arial" w:cs="Arial"/>
          <w:sz w:val="24"/>
          <w:szCs w:val="24"/>
        </w:rPr>
        <w:t xml:space="preserve"> </w:t>
      </w:r>
    </w:p>
    <w:sectPr w:rsidR="001926F1" w:rsidRPr="007C208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9A80C" w14:textId="77777777" w:rsidR="002A78DD" w:rsidRDefault="002A78DD" w:rsidP="008E70B3">
      <w:r>
        <w:separator/>
      </w:r>
    </w:p>
  </w:endnote>
  <w:endnote w:type="continuationSeparator" w:id="0">
    <w:p w14:paraId="423C3D45" w14:textId="77777777" w:rsidR="002A78DD" w:rsidRDefault="002A78DD" w:rsidP="008E7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47732"/>
      <w:docPartObj>
        <w:docPartGallery w:val="Page Numbers (Bottom of Page)"/>
        <w:docPartUnique/>
      </w:docPartObj>
    </w:sdtPr>
    <w:sdtEndPr>
      <w:rPr>
        <w:noProof/>
      </w:rPr>
    </w:sdtEndPr>
    <w:sdtContent>
      <w:p w14:paraId="289080FB" w14:textId="59116E70" w:rsidR="008E70B3" w:rsidRDefault="008E70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CC69A2" w14:textId="77777777" w:rsidR="008E70B3" w:rsidRDefault="008E7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11AF1" w14:textId="77777777" w:rsidR="002A78DD" w:rsidRDefault="002A78DD" w:rsidP="008E70B3">
      <w:r>
        <w:separator/>
      </w:r>
    </w:p>
  </w:footnote>
  <w:footnote w:type="continuationSeparator" w:id="0">
    <w:p w14:paraId="19A01D6C" w14:textId="77777777" w:rsidR="002A78DD" w:rsidRDefault="002A78DD" w:rsidP="008E70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29110A"/>
    <w:multiLevelType w:val="hybridMultilevel"/>
    <w:tmpl w:val="C0A4E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5114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5810"/>
    <w:rsid w:val="00013D60"/>
    <w:rsid w:val="00043A4E"/>
    <w:rsid w:val="001926F1"/>
    <w:rsid w:val="002A78DD"/>
    <w:rsid w:val="002F7C8B"/>
    <w:rsid w:val="004246E3"/>
    <w:rsid w:val="004442EC"/>
    <w:rsid w:val="004E5DFF"/>
    <w:rsid w:val="00655A67"/>
    <w:rsid w:val="006758CF"/>
    <w:rsid w:val="006B4E10"/>
    <w:rsid w:val="007854CE"/>
    <w:rsid w:val="007C2087"/>
    <w:rsid w:val="007E2F45"/>
    <w:rsid w:val="008D5EC3"/>
    <w:rsid w:val="008E70B3"/>
    <w:rsid w:val="00902998"/>
    <w:rsid w:val="009C314E"/>
    <w:rsid w:val="00A01F12"/>
    <w:rsid w:val="00CA4C5B"/>
    <w:rsid w:val="00CE0A7F"/>
    <w:rsid w:val="00DA7046"/>
    <w:rsid w:val="00E10279"/>
    <w:rsid w:val="00E9554A"/>
    <w:rsid w:val="00F05810"/>
    <w:rsid w:val="00F15EEC"/>
    <w:rsid w:val="00F72F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088FC"/>
  <w15:docId w15:val="{3D484AFD-2276-48FA-9D68-8C430E1A9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ind w:firstLine="288"/>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810"/>
    <w:pPr>
      <w:ind w:firstLine="0"/>
    </w:pPr>
    <w:rPr>
      <w:rFonts w:eastAsiaTheme="minorEastAsia"/>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0279"/>
    <w:pPr>
      <w:ind w:left="720"/>
      <w:contextualSpacing/>
    </w:pPr>
  </w:style>
  <w:style w:type="paragraph" w:styleId="Header">
    <w:name w:val="header"/>
    <w:basedOn w:val="Normal"/>
    <w:link w:val="HeaderChar"/>
    <w:uiPriority w:val="99"/>
    <w:unhideWhenUsed/>
    <w:rsid w:val="008E70B3"/>
    <w:pPr>
      <w:tabs>
        <w:tab w:val="center" w:pos="4680"/>
        <w:tab w:val="right" w:pos="9360"/>
      </w:tabs>
    </w:pPr>
  </w:style>
  <w:style w:type="character" w:customStyle="1" w:styleId="HeaderChar">
    <w:name w:val="Header Char"/>
    <w:basedOn w:val="DefaultParagraphFont"/>
    <w:link w:val="Header"/>
    <w:uiPriority w:val="99"/>
    <w:rsid w:val="008E70B3"/>
    <w:rPr>
      <w:rFonts w:eastAsiaTheme="minorEastAsia"/>
      <w:lang w:val="en-GB" w:eastAsia="en-GB"/>
    </w:rPr>
  </w:style>
  <w:style w:type="paragraph" w:styleId="Footer">
    <w:name w:val="footer"/>
    <w:basedOn w:val="Normal"/>
    <w:link w:val="FooterChar"/>
    <w:uiPriority w:val="99"/>
    <w:unhideWhenUsed/>
    <w:rsid w:val="008E70B3"/>
    <w:pPr>
      <w:tabs>
        <w:tab w:val="center" w:pos="4680"/>
        <w:tab w:val="right" w:pos="9360"/>
      </w:tabs>
    </w:pPr>
  </w:style>
  <w:style w:type="character" w:customStyle="1" w:styleId="FooterChar">
    <w:name w:val="Footer Char"/>
    <w:basedOn w:val="DefaultParagraphFont"/>
    <w:link w:val="Footer"/>
    <w:uiPriority w:val="99"/>
    <w:rsid w:val="008E70B3"/>
    <w:rPr>
      <w:rFonts w:eastAsiaTheme="minorEastAsia"/>
      <w:lang w:val="en-GB" w:eastAsia="en-GB"/>
    </w:rPr>
  </w:style>
  <w:style w:type="character" w:styleId="Hyperlink">
    <w:name w:val="Hyperlink"/>
    <w:basedOn w:val="DefaultParagraphFont"/>
    <w:uiPriority w:val="99"/>
    <w:unhideWhenUsed/>
    <w:rsid w:val="007C2087"/>
    <w:rPr>
      <w:color w:val="0563C1" w:themeColor="hyperlink"/>
      <w:u w:val="single"/>
    </w:rPr>
  </w:style>
  <w:style w:type="character" w:styleId="UnresolvedMention">
    <w:name w:val="Unresolved Mention"/>
    <w:basedOn w:val="DefaultParagraphFont"/>
    <w:uiPriority w:val="99"/>
    <w:semiHidden/>
    <w:unhideWhenUsed/>
    <w:rsid w:val="007C2087"/>
    <w:rPr>
      <w:color w:val="605E5C"/>
      <w:shd w:val="clear" w:color="auto" w:fill="E1DFDD"/>
    </w:rPr>
  </w:style>
  <w:style w:type="character" w:styleId="FollowedHyperlink">
    <w:name w:val="FollowedHyperlink"/>
    <w:basedOn w:val="DefaultParagraphFont"/>
    <w:uiPriority w:val="99"/>
    <w:semiHidden/>
    <w:unhideWhenUsed/>
    <w:rsid w:val="007C20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2003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cases/r-v-instan.php"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ezproxy.uwtsd.ac.uk/10.1177/0022018318761692" TargetMode="External"/><Relationship Id="rId4" Type="http://schemas.openxmlformats.org/officeDocument/2006/relationships/settings" Target="settings.xml"/><Relationship Id="rId9" Type="http://schemas.openxmlformats.org/officeDocument/2006/relationships/hyperlink" Target="https://doi.org/10.1093/oso/9780190683450.003.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7D4672-1ABD-4414-9D15-499A9D170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11759</TotalTime>
  <Pages>1</Pages>
  <Words>1269</Words>
  <Characters>7238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Laura Malaescu</dc:creator>
  <cp:keywords/>
  <dc:description/>
  <cp:lastModifiedBy>Roxana Laura Malaescu</cp:lastModifiedBy>
  <cp:revision>3</cp:revision>
  <dcterms:created xsi:type="dcterms:W3CDTF">2022-11-10T10:16:00Z</dcterms:created>
  <dcterms:modified xsi:type="dcterms:W3CDTF">2022-11-18T18:10:00Z</dcterms:modified>
</cp:coreProperties>
</file>