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92749A" w:rsidRPr="00A40033" w:rsidRDefault="00074402" w:rsidP="00CD33A8">
      <w:pPr>
        <w:spacing w:line="360" w:lineRule="auto"/>
        <w:rPr>
          <w:rFonts w:asciiTheme="minorBidi" w:hAnsiTheme="minorBidi"/>
          <w:sz w:val="22"/>
        </w:rPr>
      </w:pPr>
      <w:r w:rsidRPr="00A40033">
        <w:rPr>
          <w:rFonts w:asciiTheme="minorBidi" w:hAnsiTheme="minorBidi"/>
          <w:noProof/>
          <w:sz w:val="22"/>
        </w:rPr>
        <w:drawing>
          <wp:anchor distT="0" distB="0" distL="114300" distR="114300" simplePos="0" relativeHeight="251659264" behindDoc="0" locked="0" layoutInCell="1" allowOverlap="1" wp14:anchorId="47BC0542" wp14:editId="106BEB0E">
            <wp:simplePos x="0" y="0"/>
            <wp:positionH relativeFrom="column">
              <wp:posOffset>1173480</wp:posOffset>
            </wp:positionH>
            <wp:positionV relativeFrom="paragraph">
              <wp:posOffset>0</wp:posOffset>
            </wp:positionV>
            <wp:extent cx="3535680" cy="132588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535680" cy="1325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A40033" w:rsidRDefault="00074402" w:rsidP="00CD33A8">
      <w:pPr>
        <w:spacing w:line="360" w:lineRule="auto"/>
        <w:rPr>
          <w:rFonts w:asciiTheme="minorBidi" w:hAnsiTheme="minorBidi"/>
          <w:sz w:val="22"/>
        </w:rPr>
      </w:pPr>
    </w:p>
    <w:p w14:paraId="4E267F2C" w14:textId="35E99859" w:rsidR="00074402" w:rsidRPr="00A40033" w:rsidRDefault="00074402" w:rsidP="00CD33A8">
      <w:pPr>
        <w:spacing w:line="360" w:lineRule="auto"/>
        <w:rPr>
          <w:rFonts w:asciiTheme="minorBidi" w:hAnsiTheme="minorBidi"/>
          <w:sz w:val="22"/>
        </w:rPr>
      </w:pPr>
    </w:p>
    <w:p w14:paraId="5D864E3F" w14:textId="04749E68" w:rsidR="00074402" w:rsidRPr="00A40033" w:rsidRDefault="00074402" w:rsidP="00CD33A8">
      <w:pPr>
        <w:spacing w:line="360" w:lineRule="auto"/>
        <w:rPr>
          <w:rFonts w:asciiTheme="minorBidi" w:hAnsiTheme="minorBidi"/>
          <w:sz w:val="22"/>
        </w:rPr>
      </w:pPr>
    </w:p>
    <w:p w14:paraId="22F2817A" w14:textId="77777777" w:rsidR="00074402" w:rsidRPr="00A40033" w:rsidRDefault="00074402" w:rsidP="00CD33A8">
      <w:pPr>
        <w:tabs>
          <w:tab w:val="left" w:pos="6540"/>
        </w:tabs>
        <w:spacing w:line="360" w:lineRule="auto"/>
        <w:rPr>
          <w:rFonts w:asciiTheme="minorBidi" w:hAnsiTheme="minorBidi"/>
          <w:szCs w:val="24"/>
        </w:rPr>
      </w:pPr>
    </w:p>
    <w:p w14:paraId="07360E4D" w14:textId="77777777" w:rsidR="000A22D3" w:rsidRPr="00A40033" w:rsidRDefault="000A22D3" w:rsidP="000A22D3">
      <w:pPr>
        <w:tabs>
          <w:tab w:val="left" w:pos="6540"/>
        </w:tabs>
        <w:spacing w:line="360" w:lineRule="auto"/>
        <w:jc w:val="center"/>
        <w:rPr>
          <w:rFonts w:ascii="Arial" w:hAnsi="Arial" w:cs="Arial"/>
          <w:b/>
          <w:bCs/>
          <w:sz w:val="32"/>
          <w:szCs w:val="32"/>
        </w:rPr>
      </w:pPr>
    </w:p>
    <w:p w14:paraId="44C2AA0B" w14:textId="1725262B" w:rsidR="000A22D3" w:rsidRPr="00A40033" w:rsidRDefault="000A22D3" w:rsidP="000A22D3">
      <w:pPr>
        <w:tabs>
          <w:tab w:val="left" w:pos="6540"/>
        </w:tabs>
        <w:spacing w:line="360" w:lineRule="auto"/>
        <w:jc w:val="center"/>
        <w:rPr>
          <w:rFonts w:ascii="Arial" w:hAnsi="Arial" w:cs="Arial"/>
          <w:b/>
          <w:bCs/>
          <w:sz w:val="44"/>
          <w:szCs w:val="44"/>
        </w:rPr>
      </w:pPr>
      <w:r w:rsidRPr="00A40033">
        <w:rPr>
          <w:rFonts w:ascii="Arial" w:hAnsi="Arial" w:cs="Arial"/>
          <w:b/>
          <w:bCs/>
          <w:sz w:val="44"/>
          <w:szCs w:val="44"/>
        </w:rPr>
        <w:t>Assignment Title:</w:t>
      </w:r>
    </w:p>
    <w:p w14:paraId="3E345199" w14:textId="6646CA10" w:rsidR="000A22D3" w:rsidRPr="00A40033" w:rsidRDefault="000A22D3" w:rsidP="000A22D3">
      <w:pPr>
        <w:tabs>
          <w:tab w:val="left" w:pos="6540"/>
        </w:tabs>
        <w:spacing w:line="360" w:lineRule="auto"/>
        <w:jc w:val="center"/>
        <w:rPr>
          <w:rFonts w:ascii="Arial" w:hAnsi="Arial" w:cs="Arial"/>
          <w:sz w:val="36"/>
          <w:szCs w:val="36"/>
        </w:rPr>
      </w:pPr>
      <w:r w:rsidRPr="00A40033">
        <w:rPr>
          <w:rFonts w:ascii="Arial" w:hAnsi="Arial" w:cs="Arial"/>
          <w:sz w:val="36"/>
          <w:szCs w:val="36"/>
        </w:rPr>
        <w:t>Effective Communication, Administrative Practice and Collaborative Working in Post-Stroke Community Care: A Case Study of Mr Ahmed</w:t>
      </w:r>
    </w:p>
    <w:p w14:paraId="216517C0" w14:textId="77777777" w:rsidR="000A22D3" w:rsidRPr="00A40033" w:rsidRDefault="000A22D3" w:rsidP="000A22D3">
      <w:pPr>
        <w:tabs>
          <w:tab w:val="left" w:pos="6540"/>
        </w:tabs>
        <w:spacing w:line="360" w:lineRule="auto"/>
        <w:jc w:val="center"/>
        <w:rPr>
          <w:rFonts w:ascii="Arial" w:hAnsi="Arial" w:cs="Arial"/>
          <w:b/>
          <w:bCs/>
          <w:sz w:val="16"/>
          <w:szCs w:val="16"/>
        </w:rPr>
      </w:pPr>
    </w:p>
    <w:p w14:paraId="56F73CB1" w14:textId="77777777" w:rsidR="000A22D3" w:rsidRPr="00A40033" w:rsidRDefault="00CD33A8" w:rsidP="000A22D3">
      <w:pPr>
        <w:tabs>
          <w:tab w:val="left" w:pos="6540"/>
        </w:tabs>
        <w:spacing w:line="360" w:lineRule="auto"/>
        <w:jc w:val="center"/>
        <w:rPr>
          <w:rFonts w:ascii="Arial" w:hAnsi="Arial" w:cs="Arial"/>
          <w:sz w:val="32"/>
          <w:szCs w:val="32"/>
        </w:rPr>
      </w:pPr>
      <w:r w:rsidRPr="00A40033">
        <w:rPr>
          <w:rFonts w:ascii="Arial" w:hAnsi="Arial" w:cs="Arial"/>
          <w:b/>
          <w:bCs/>
          <w:sz w:val="32"/>
          <w:szCs w:val="32"/>
        </w:rPr>
        <w:t xml:space="preserve">Module </w:t>
      </w:r>
      <w:r w:rsidR="000A22D3" w:rsidRPr="00A40033">
        <w:rPr>
          <w:rFonts w:ascii="Arial" w:hAnsi="Arial" w:cs="Arial"/>
          <w:b/>
          <w:bCs/>
          <w:sz w:val="32"/>
          <w:szCs w:val="32"/>
        </w:rPr>
        <w:t>N</w:t>
      </w:r>
      <w:r w:rsidRPr="00A40033">
        <w:rPr>
          <w:rFonts w:ascii="Arial" w:hAnsi="Arial" w:cs="Arial"/>
          <w:b/>
          <w:bCs/>
          <w:sz w:val="32"/>
          <w:szCs w:val="32"/>
        </w:rPr>
        <w:t>ame</w:t>
      </w:r>
      <w:r w:rsidRPr="00A40033">
        <w:rPr>
          <w:rFonts w:ascii="Arial" w:hAnsi="Arial" w:cs="Arial"/>
          <w:sz w:val="32"/>
          <w:szCs w:val="32"/>
        </w:rPr>
        <w:t xml:space="preserve">: </w:t>
      </w:r>
      <w:r w:rsidR="000A22D3" w:rsidRPr="00A40033">
        <w:rPr>
          <w:rFonts w:ascii="Arial" w:hAnsi="Arial" w:cs="Arial"/>
          <w:sz w:val="32"/>
          <w:szCs w:val="32"/>
        </w:rPr>
        <w:t>Introduction to Health and Social Care</w:t>
      </w:r>
    </w:p>
    <w:p w14:paraId="65D33E2F" w14:textId="77777777" w:rsidR="000A22D3" w:rsidRPr="00A40033" w:rsidRDefault="000A22D3" w:rsidP="000A22D3">
      <w:pPr>
        <w:tabs>
          <w:tab w:val="left" w:pos="6540"/>
        </w:tabs>
        <w:spacing w:line="360" w:lineRule="auto"/>
        <w:jc w:val="center"/>
        <w:rPr>
          <w:rFonts w:ascii="Arial" w:hAnsi="Arial" w:cs="Arial"/>
          <w:sz w:val="2"/>
          <w:szCs w:val="2"/>
        </w:rPr>
      </w:pPr>
    </w:p>
    <w:p w14:paraId="529D7354" w14:textId="74058DC1" w:rsidR="00CD33A8" w:rsidRPr="00A40033" w:rsidRDefault="00CD33A8" w:rsidP="000A22D3">
      <w:pPr>
        <w:tabs>
          <w:tab w:val="left" w:pos="6540"/>
        </w:tabs>
        <w:spacing w:line="360" w:lineRule="auto"/>
        <w:jc w:val="center"/>
        <w:rPr>
          <w:rFonts w:ascii="Arial" w:hAnsi="Arial" w:cs="Arial"/>
          <w:sz w:val="32"/>
          <w:szCs w:val="32"/>
        </w:rPr>
      </w:pPr>
      <w:r w:rsidRPr="00A40033">
        <w:rPr>
          <w:rFonts w:ascii="Arial" w:hAnsi="Arial" w:cs="Arial"/>
          <w:b/>
          <w:bCs/>
          <w:sz w:val="32"/>
          <w:szCs w:val="32"/>
        </w:rPr>
        <w:t xml:space="preserve">Module </w:t>
      </w:r>
      <w:r w:rsidR="000A22D3" w:rsidRPr="00A40033">
        <w:rPr>
          <w:rFonts w:ascii="Arial" w:hAnsi="Arial" w:cs="Arial"/>
          <w:b/>
          <w:bCs/>
          <w:sz w:val="32"/>
          <w:szCs w:val="32"/>
        </w:rPr>
        <w:t>C</w:t>
      </w:r>
      <w:r w:rsidRPr="00A40033">
        <w:rPr>
          <w:rFonts w:ascii="Arial" w:hAnsi="Arial" w:cs="Arial"/>
          <w:b/>
          <w:bCs/>
          <w:sz w:val="32"/>
          <w:szCs w:val="32"/>
        </w:rPr>
        <w:t>ode</w:t>
      </w:r>
      <w:r w:rsidRPr="00A40033">
        <w:rPr>
          <w:rFonts w:ascii="Arial" w:hAnsi="Arial" w:cs="Arial"/>
          <w:sz w:val="32"/>
          <w:szCs w:val="32"/>
        </w:rPr>
        <w:t>:</w:t>
      </w:r>
      <w:r w:rsidR="000A22D3" w:rsidRPr="00A40033">
        <w:rPr>
          <w:rFonts w:ascii="Arial" w:hAnsi="Arial" w:cs="Arial"/>
          <w:sz w:val="32"/>
          <w:szCs w:val="32"/>
        </w:rPr>
        <w:t xml:space="preserve"> LCHS4003</w:t>
      </w:r>
    </w:p>
    <w:p w14:paraId="128097D6" w14:textId="77777777" w:rsidR="000A22D3" w:rsidRPr="00A40033" w:rsidRDefault="000A22D3" w:rsidP="000A22D3">
      <w:pPr>
        <w:tabs>
          <w:tab w:val="left" w:pos="6540"/>
        </w:tabs>
        <w:spacing w:line="360" w:lineRule="auto"/>
        <w:jc w:val="center"/>
        <w:rPr>
          <w:rFonts w:ascii="Arial" w:hAnsi="Arial" w:cs="Arial"/>
          <w:sz w:val="2"/>
          <w:szCs w:val="2"/>
        </w:rPr>
      </w:pPr>
    </w:p>
    <w:p w14:paraId="5AFB9F55" w14:textId="0E60DC25" w:rsidR="000A22D3" w:rsidRPr="00A40033" w:rsidRDefault="00074402" w:rsidP="000A22D3">
      <w:pPr>
        <w:tabs>
          <w:tab w:val="left" w:pos="6540"/>
        </w:tabs>
        <w:spacing w:line="360" w:lineRule="auto"/>
        <w:jc w:val="center"/>
        <w:rPr>
          <w:rFonts w:ascii="Arial" w:hAnsi="Arial" w:cs="Arial"/>
          <w:sz w:val="32"/>
          <w:szCs w:val="32"/>
        </w:rPr>
      </w:pPr>
      <w:r w:rsidRPr="00A40033">
        <w:rPr>
          <w:rFonts w:ascii="Arial" w:hAnsi="Arial" w:cs="Arial"/>
          <w:b/>
          <w:bCs/>
          <w:sz w:val="32"/>
          <w:szCs w:val="32"/>
        </w:rPr>
        <w:t xml:space="preserve">Student </w:t>
      </w:r>
      <w:r w:rsidR="000A22D3" w:rsidRPr="00A40033">
        <w:rPr>
          <w:rFonts w:ascii="Arial" w:hAnsi="Arial" w:cs="Arial"/>
          <w:b/>
          <w:bCs/>
          <w:sz w:val="32"/>
          <w:szCs w:val="32"/>
        </w:rPr>
        <w:t>N</w:t>
      </w:r>
      <w:r w:rsidRPr="00A40033">
        <w:rPr>
          <w:rFonts w:ascii="Arial" w:hAnsi="Arial" w:cs="Arial"/>
          <w:b/>
          <w:bCs/>
          <w:sz w:val="32"/>
          <w:szCs w:val="32"/>
        </w:rPr>
        <w:t>ame</w:t>
      </w:r>
      <w:r w:rsidRPr="00A40033">
        <w:rPr>
          <w:rFonts w:ascii="Arial" w:hAnsi="Arial" w:cs="Arial"/>
          <w:sz w:val="32"/>
          <w:szCs w:val="32"/>
        </w:rPr>
        <w:t>:</w:t>
      </w:r>
      <w:r w:rsidR="00961221">
        <w:rPr>
          <w:rFonts w:ascii="Arial" w:hAnsi="Arial" w:cs="Arial"/>
          <w:sz w:val="32"/>
          <w:szCs w:val="32"/>
        </w:rPr>
        <w:t xml:space="preserve">Hala Timraz </w:t>
      </w:r>
    </w:p>
    <w:p w14:paraId="193F84C1" w14:textId="77777777" w:rsidR="000A22D3" w:rsidRPr="00A40033" w:rsidRDefault="000A22D3" w:rsidP="000A22D3">
      <w:pPr>
        <w:tabs>
          <w:tab w:val="left" w:pos="6540"/>
        </w:tabs>
        <w:spacing w:line="360" w:lineRule="auto"/>
        <w:jc w:val="center"/>
        <w:rPr>
          <w:rFonts w:ascii="Arial" w:hAnsi="Arial" w:cs="Arial"/>
          <w:sz w:val="2"/>
          <w:szCs w:val="2"/>
        </w:rPr>
      </w:pPr>
    </w:p>
    <w:p w14:paraId="39AA4413" w14:textId="30A43647" w:rsidR="00074402" w:rsidRPr="00A40033" w:rsidRDefault="00074402" w:rsidP="000A22D3">
      <w:pPr>
        <w:tabs>
          <w:tab w:val="left" w:pos="6540"/>
        </w:tabs>
        <w:spacing w:line="360" w:lineRule="auto"/>
        <w:jc w:val="center"/>
        <w:rPr>
          <w:rFonts w:ascii="Arial" w:hAnsi="Arial" w:cs="Arial"/>
          <w:sz w:val="32"/>
          <w:szCs w:val="32"/>
        </w:rPr>
      </w:pPr>
      <w:r w:rsidRPr="00A40033">
        <w:rPr>
          <w:rFonts w:ascii="Arial" w:hAnsi="Arial" w:cs="Arial"/>
          <w:b/>
          <w:bCs/>
          <w:sz w:val="32"/>
          <w:szCs w:val="32"/>
        </w:rPr>
        <w:t>Student ID</w:t>
      </w:r>
      <w:r w:rsidRPr="00A40033">
        <w:rPr>
          <w:rFonts w:ascii="Arial" w:hAnsi="Arial" w:cs="Arial"/>
          <w:sz w:val="32"/>
          <w:szCs w:val="32"/>
        </w:rPr>
        <w:t>:</w:t>
      </w:r>
      <w:r w:rsidR="00961221">
        <w:rPr>
          <w:rFonts w:ascii="Arial" w:hAnsi="Arial" w:cs="Arial"/>
          <w:sz w:val="32"/>
          <w:szCs w:val="32"/>
        </w:rPr>
        <w:t>2510717</w:t>
      </w:r>
    </w:p>
    <w:p w14:paraId="5E81F6AD" w14:textId="77777777" w:rsidR="00074402" w:rsidRPr="00A40033" w:rsidRDefault="00074402" w:rsidP="000A22D3">
      <w:pPr>
        <w:tabs>
          <w:tab w:val="left" w:pos="6540"/>
        </w:tabs>
        <w:spacing w:line="360" w:lineRule="auto"/>
        <w:jc w:val="center"/>
        <w:rPr>
          <w:rFonts w:ascii="Arial" w:hAnsi="Arial" w:cs="Arial"/>
          <w:sz w:val="28"/>
          <w:szCs w:val="28"/>
        </w:rPr>
      </w:pPr>
    </w:p>
    <w:p w14:paraId="2CFB9DFB" w14:textId="3503C166" w:rsidR="000A22D3" w:rsidRPr="00A40033" w:rsidRDefault="000A22D3" w:rsidP="00961221">
      <w:pPr>
        <w:tabs>
          <w:tab w:val="left" w:pos="6540"/>
        </w:tabs>
        <w:spacing w:line="360" w:lineRule="auto"/>
        <w:rPr>
          <w:rFonts w:ascii="Arial" w:hAnsi="Arial" w:cs="Arial"/>
          <w:b/>
          <w:bCs/>
          <w:sz w:val="32"/>
          <w:szCs w:val="32"/>
        </w:rPr>
      </w:pPr>
      <w:r w:rsidRPr="00A40033">
        <w:rPr>
          <w:rFonts w:ascii="Arial" w:hAnsi="Arial" w:cs="Arial"/>
          <w:b/>
          <w:bCs/>
          <w:sz w:val="32"/>
          <w:szCs w:val="32"/>
        </w:rPr>
        <w:t xml:space="preserve">Submission Date: </w:t>
      </w:r>
      <w:r w:rsidRPr="00A40033">
        <w:rPr>
          <w:rFonts w:ascii="Arial" w:hAnsi="Arial" w:cs="Arial"/>
          <w:sz w:val="32"/>
          <w:szCs w:val="32"/>
        </w:rPr>
        <w:t>14</w:t>
      </w:r>
      <w:r w:rsidRPr="00A40033">
        <w:rPr>
          <w:rFonts w:ascii="Arial" w:hAnsi="Arial" w:cs="Arial"/>
          <w:sz w:val="32"/>
          <w:szCs w:val="32"/>
          <w:vertAlign w:val="superscript"/>
        </w:rPr>
        <w:t>th</w:t>
      </w:r>
      <w:r w:rsidRPr="00A40033">
        <w:rPr>
          <w:rFonts w:ascii="Arial" w:hAnsi="Arial" w:cs="Arial"/>
          <w:sz w:val="32"/>
          <w:szCs w:val="32"/>
        </w:rPr>
        <w:t xml:space="preserve"> August, 2026</w:t>
      </w:r>
      <w:r w:rsidR="00961221">
        <w:rPr>
          <w:rFonts w:ascii="Arial" w:hAnsi="Arial" w:cs="Arial"/>
          <w:sz w:val="32"/>
          <w:szCs w:val="32"/>
        </w:rPr>
        <w:t xml:space="preserve"> resit </w:t>
      </w:r>
    </w:p>
    <w:p w14:paraId="77F9C29B" w14:textId="77777777" w:rsidR="000A22D3" w:rsidRPr="00A40033" w:rsidRDefault="000A22D3" w:rsidP="000A22D3">
      <w:pPr>
        <w:tabs>
          <w:tab w:val="left" w:pos="6540"/>
        </w:tabs>
        <w:spacing w:line="360" w:lineRule="auto"/>
        <w:jc w:val="center"/>
        <w:rPr>
          <w:rFonts w:ascii="Arial" w:hAnsi="Arial" w:cs="Arial"/>
          <w:b/>
          <w:bCs/>
          <w:sz w:val="22"/>
        </w:rPr>
      </w:pPr>
    </w:p>
    <w:p w14:paraId="5AE88297" w14:textId="01076B43" w:rsidR="00B87E75" w:rsidRPr="00A40033" w:rsidRDefault="000A22D3" w:rsidP="000A22D3">
      <w:pPr>
        <w:tabs>
          <w:tab w:val="left" w:pos="6540"/>
        </w:tabs>
        <w:spacing w:line="360" w:lineRule="auto"/>
        <w:jc w:val="center"/>
        <w:rPr>
          <w:rFonts w:ascii="Arial" w:hAnsi="Arial" w:cs="Arial"/>
          <w:b/>
          <w:bCs/>
          <w:sz w:val="32"/>
          <w:szCs w:val="32"/>
        </w:rPr>
      </w:pPr>
      <w:r w:rsidRPr="00A40033">
        <w:rPr>
          <w:rFonts w:ascii="Arial" w:hAnsi="Arial" w:cs="Arial"/>
          <w:b/>
          <w:bCs/>
          <w:sz w:val="32"/>
          <w:szCs w:val="32"/>
        </w:rPr>
        <w:t xml:space="preserve">Word Count: </w:t>
      </w:r>
      <w:r w:rsidRPr="00A40033">
        <w:rPr>
          <w:rFonts w:ascii="Arial" w:hAnsi="Arial" w:cs="Arial"/>
          <w:sz w:val="32"/>
          <w:szCs w:val="32"/>
        </w:rPr>
        <w:t>1,</w:t>
      </w:r>
      <w:r w:rsidR="009A16D2">
        <w:rPr>
          <w:rFonts w:ascii="Arial" w:hAnsi="Arial" w:cs="Arial"/>
          <w:sz w:val="32"/>
          <w:szCs w:val="32"/>
        </w:rPr>
        <w:t>525</w:t>
      </w:r>
      <w:r w:rsidRPr="00A40033">
        <w:rPr>
          <w:rFonts w:ascii="Arial" w:hAnsi="Arial" w:cs="Arial"/>
          <w:sz w:val="32"/>
          <w:szCs w:val="32"/>
        </w:rPr>
        <w:t xml:space="preserve"> words</w:t>
      </w:r>
    </w:p>
    <w:sdt>
      <w:sdtPr>
        <w:rPr>
          <w:rFonts w:ascii="Times New Roman" w:eastAsiaTheme="minorHAnsi" w:hAnsi="Times New Roman" w:cstheme="minorBidi"/>
          <w:color w:val="auto"/>
          <w:sz w:val="24"/>
          <w:szCs w:val="22"/>
          <w:lang w:val="en-GB"/>
        </w:rPr>
        <w:id w:val="-639655564"/>
        <w:docPartObj>
          <w:docPartGallery w:val="Table of Contents"/>
          <w:docPartUnique/>
        </w:docPartObj>
      </w:sdtPr>
      <w:sdtEndPr>
        <w:rPr>
          <w:b/>
          <w:bCs/>
        </w:rPr>
      </w:sdtEndPr>
      <w:sdtContent>
        <w:p w14:paraId="27C96CAB" w14:textId="018D4E40" w:rsidR="000A22D3" w:rsidRPr="00A40033" w:rsidRDefault="000A22D3" w:rsidP="000A22D3">
          <w:pPr>
            <w:pStyle w:val="TOCHeading"/>
            <w:spacing w:line="360" w:lineRule="auto"/>
            <w:jc w:val="both"/>
            <w:rPr>
              <w:rFonts w:asciiTheme="minorBidi" w:hAnsiTheme="minorBidi" w:cstheme="minorBidi"/>
              <w:b/>
              <w:bCs/>
              <w:color w:val="auto"/>
              <w:lang w:val="en-GB"/>
            </w:rPr>
          </w:pPr>
          <w:r w:rsidRPr="00A40033">
            <w:rPr>
              <w:rFonts w:asciiTheme="minorBidi" w:hAnsiTheme="minorBidi" w:cstheme="minorBidi"/>
              <w:b/>
              <w:bCs/>
              <w:color w:val="auto"/>
              <w:lang w:val="en-GB"/>
            </w:rPr>
            <w:t>Table of Contents</w:t>
          </w:r>
        </w:p>
        <w:p w14:paraId="1680BFF1" w14:textId="77777777" w:rsidR="000A22D3" w:rsidRPr="00A40033" w:rsidRDefault="000A22D3" w:rsidP="000A22D3">
          <w:pPr>
            <w:rPr>
              <w:sz w:val="2"/>
              <w:szCs w:val="2"/>
            </w:rPr>
          </w:pPr>
        </w:p>
        <w:p w14:paraId="525DB2D8" w14:textId="6BB2B631" w:rsidR="000A22D3" w:rsidRPr="00A40033" w:rsidRDefault="000A22D3" w:rsidP="000A22D3">
          <w:pPr>
            <w:pStyle w:val="TOC1"/>
            <w:tabs>
              <w:tab w:val="left" w:pos="480"/>
              <w:tab w:val="right" w:leader="dot" w:pos="9016"/>
            </w:tabs>
            <w:spacing w:line="360" w:lineRule="auto"/>
            <w:jc w:val="both"/>
            <w:rPr>
              <w:rFonts w:asciiTheme="minorBidi" w:hAnsiTheme="minorBidi"/>
              <w:noProof/>
              <w:sz w:val="28"/>
              <w:szCs w:val="28"/>
            </w:rPr>
          </w:pPr>
          <w:r w:rsidRPr="00A40033">
            <w:rPr>
              <w:rFonts w:asciiTheme="minorBidi" w:hAnsiTheme="minorBidi"/>
              <w:sz w:val="2"/>
              <w:szCs w:val="2"/>
            </w:rPr>
            <w:lastRenderedPageBreak/>
            <w:t>“</w:t>
          </w:r>
          <w:r w:rsidRPr="00A40033">
            <w:rPr>
              <w:rFonts w:asciiTheme="minorBidi" w:hAnsiTheme="minorBidi"/>
              <w:sz w:val="26"/>
              <w:szCs w:val="26"/>
            </w:rPr>
            <w:fldChar w:fldCharType="begin"/>
          </w:r>
          <w:r w:rsidRPr="00A40033">
            <w:rPr>
              <w:rFonts w:asciiTheme="minorBidi" w:hAnsiTheme="minorBidi"/>
              <w:sz w:val="26"/>
              <w:szCs w:val="26"/>
            </w:rPr>
            <w:instrText xml:space="preserve"> TOC \o "1-3" \h \z \u </w:instrText>
          </w:r>
          <w:r w:rsidRPr="00A40033">
            <w:rPr>
              <w:rFonts w:asciiTheme="minorBidi" w:hAnsiTheme="minorBidi"/>
              <w:sz w:val="26"/>
              <w:szCs w:val="26"/>
            </w:rPr>
            <w:fldChar w:fldCharType="separate"/>
          </w:r>
          <w:hyperlink w:anchor="_Toc236862844" w:history="1">
            <w:r w:rsidRPr="00A40033">
              <w:rPr>
                <w:rStyle w:val="Hyperlink"/>
                <w:rFonts w:asciiTheme="minorBidi" w:hAnsiTheme="minorBidi"/>
                <w:noProof/>
                <w:sz w:val="28"/>
                <w:szCs w:val="28"/>
              </w:rPr>
              <w:t>1.</w:t>
            </w:r>
            <w:r w:rsidRPr="00A40033">
              <w:rPr>
                <w:rFonts w:asciiTheme="minorBidi" w:hAnsiTheme="minorBidi"/>
                <w:noProof/>
                <w:sz w:val="28"/>
                <w:szCs w:val="28"/>
              </w:rPr>
              <w:tab/>
            </w:r>
            <w:r w:rsidRPr="00A40033">
              <w:rPr>
                <w:rStyle w:val="Hyperlink"/>
                <w:rFonts w:asciiTheme="minorBidi" w:hAnsiTheme="minorBidi"/>
                <w:noProof/>
                <w:sz w:val="28"/>
                <w:szCs w:val="28"/>
              </w:rPr>
              <w:t>Introduction:</w:t>
            </w:r>
            <w:r w:rsidRPr="00A40033">
              <w:rPr>
                <w:rFonts w:asciiTheme="minorBidi" w:hAnsiTheme="minorBidi"/>
                <w:noProof/>
                <w:webHidden/>
                <w:sz w:val="28"/>
                <w:szCs w:val="28"/>
              </w:rPr>
              <w:tab/>
            </w:r>
            <w:r w:rsidRPr="00A40033">
              <w:rPr>
                <w:rFonts w:asciiTheme="minorBidi" w:hAnsiTheme="minorBidi"/>
                <w:noProof/>
                <w:webHidden/>
                <w:sz w:val="28"/>
                <w:szCs w:val="28"/>
              </w:rPr>
              <w:fldChar w:fldCharType="begin"/>
            </w:r>
            <w:r w:rsidRPr="00A40033">
              <w:rPr>
                <w:rFonts w:asciiTheme="minorBidi" w:hAnsiTheme="minorBidi"/>
                <w:noProof/>
                <w:webHidden/>
                <w:sz w:val="28"/>
                <w:szCs w:val="28"/>
              </w:rPr>
              <w:instrText xml:space="preserve"> PAGEREF _Toc236862844 \h </w:instrText>
            </w:r>
            <w:r w:rsidRPr="00A40033">
              <w:rPr>
                <w:rFonts w:asciiTheme="minorBidi" w:hAnsiTheme="minorBidi"/>
                <w:noProof/>
                <w:webHidden/>
                <w:sz w:val="28"/>
                <w:szCs w:val="28"/>
              </w:rPr>
            </w:r>
            <w:r w:rsidRPr="00A40033">
              <w:rPr>
                <w:rFonts w:asciiTheme="minorBidi" w:hAnsiTheme="minorBidi"/>
                <w:noProof/>
                <w:webHidden/>
                <w:sz w:val="28"/>
                <w:szCs w:val="28"/>
              </w:rPr>
              <w:fldChar w:fldCharType="separate"/>
            </w:r>
            <w:r w:rsidR="009A16D2">
              <w:rPr>
                <w:rFonts w:asciiTheme="minorBidi" w:hAnsiTheme="minorBidi"/>
                <w:noProof/>
                <w:webHidden/>
                <w:sz w:val="28"/>
                <w:szCs w:val="28"/>
              </w:rPr>
              <w:t>3</w:t>
            </w:r>
            <w:r w:rsidRPr="00A40033">
              <w:rPr>
                <w:rFonts w:asciiTheme="minorBidi" w:hAnsiTheme="minorBidi"/>
                <w:noProof/>
                <w:webHidden/>
                <w:sz w:val="28"/>
                <w:szCs w:val="28"/>
              </w:rPr>
              <w:fldChar w:fldCharType="end"/>
            </w:r>
          </w:hyperlink>
        </w:p>
        <w:p w14:paraId="6FA2E467" w14:textId="40F1BE6A" w:rsidR="000A22D3" w:rsidRPr="00A40033" w:rsidRDefault="000A22D3" w:rsidP="000A22D3">
          <w:pPr>
            <w:pStyle w:val="TOC1"/>
            <w:tabs>
              <w:tab w:val="left" w:pos="480"/>
              <w:tab w:val="right" w:leader="dot" w:pos="9016"/>
            </w:tabs>
            <w:spacing w:line="360" w:lineRule="auto"/>
            <w:jc w:val="both"/>
            <w:rPr>
              <w:rFonts w:asciiTheme="minorBidi" w:hAnsiTheme="minorBidi"/>
              <w:noProof/>
              <w:sz w:val="28"/>
              <w:szCs w:val="28"/>
            </w:rPr>
          </w:pPr>
          <w:hyperlink w:anchor="_Toc236862845" w:history="1">
            <w:r w:rsidRPr="00A40033">
              <w:rPr>
                <w:rStyle w:val="Hyperlink"/>
                <w:rFonts w:asciiTheme="minorBidi" w:hAnsiTheme="minorBidi"/>
                <w:noProof/>
                <w:sz w:val="28"/>
                <w:szCs w:val="28"/>
              </w:rPr>
              <w:t>2.</w:t>
            </w:r>
            <w:r w:rsidRPr="00A40033">
              <w:rPr>
                <w:rFonts w:asciiTheme="minorBidi" w:hAnsiTheme="minorBidi"/>
                <w:noProof/>
                <w:sz w:val="28"/>
                <w:szCs w:val="28"/>
              </w:rPr>
              <w:tab/>
            </w:r>
            <w:r w:rsidRPr="00A40033">
              <w:rPr>
                <w:rStyle w:val="Hyperlink"/>
                <w:rFonts w:asciiTheme="minorBidi" w:hAnsiTheme="minorBidi"/>
                <w:noProof/>
                <w:sz w:val="28"/>
                <w:szCs w:val="28"/>
              </w:rPr>
              <w:t>Importance of Effective Communication in Mr Ahmed’s Care:</w:t>
            </w:r>
            <w:r w:rsidRPr="00A40033">
              <w:rPr>
                <w:rFonts w:asciiTheme="minorBidi" w:hAnsiTheme="minorBidi"/>
                <w:noProof/>
                <w:webHidden/>
                <w:sz w:val="28"/>
                <w:szCs w:val="28"/>
              </w:rPr>
              <w:tab/>
            </w:r>
            <w:r w:rsidRPr="00A40033">
              <w:rPr>
                <w:rFonts w:asciiTheme="minorBidi" w:hAnsiTheme="minorBidi"/>
                <w:noProof/>
                <w:webHidden/>
                <w:sz w:val="28"/>
                <w:szCs w:val="28"/>
              </w:rPr>
              <w:fldChar w:fldCharType="begin"/>
            </w:r>
            <w:r w:rsidRPr="00A40033">
              <w:rPr>
                <w:rFonts w:asciiTheme="minorBidi" w:hAnsiTheme="minorBidi"/>
                <w:noProof/>
                <w:webHidden/>
                <w:sz w:val="28"/>
                <w:szCs w:val="28"/>
              </w:rPr>
              <w:instrText xml:space="preserve"> PAGEREF _Toc236862845 \h </w:instrText>
            </w:r>
            <w:r w:rsidRPr="00A40033">
              <w:rPr>
                <w:rFonts w:asciiTheme="minorBidi" w:hAnsiTheme="minorBidi"/>
                <w:noProof/>
                <w:webHidden/>
                <w:sz w:val="28"/>
                <w:szCs w:val="28"/>
              </w:rPr>
            </w:r>
            <w:r w:rsidRPr="00A40033">
              <w:rPr>
                <w:rFonts w:asciiTheme="minorBidi" w:hAnsiTheme="minorBidi"/>
                <w:noProof/>
                <w:webHidden/>
                <w:sz w:val="28"/>
                <w:szCs w:val="28"/>
              </w:rPr>
              <w:fldChar w:fldCharType="separate"/>
            </w:r>
            <w:r w:rsidR="009A16D2">
              <w:rPr>
                <w:rFonts w:asciiTheme="minorBidi" w:hAnsiTheme="minorBidi"/>
                <w:noProof/>
                <w:webHidden/>
                <w:sz w:val="28"/>
                <w:szCs w:val="28"/>
              </w:rPr>
              <w:t>3</w:t>
            </w:r>
            <w:r w:rsidRPr="00A40033">
              <w:rPr>
                <w:rFonts w:asciiTheme="minorBidi" w:hAnsiTheme="minorBidi"/>
                <w:noProof/>
                <w:webHidden/>
                <w:sz w:val="28"/>
                <w:szCs w:val="28"/>
              </w:rPr>
              <w:fldChar w:fldCharType="end"/>
            </w:r>
          </w:hyperlink>
        </w:p>
        <w:p w14:paraId="57213EC0" w14:textId="7B1CE2EF" w:rsidR="000A22D3" w:rsidRPr="00A40033" w:rsidRDefault="000A22D3" w:rsidP="000A22D3">
          <w:pPr>
            <w:pStyle w:val="TOC1"/>
            <w:tabs>
              <w:tab w:val="left" w:pos="480"/>
              <w:tab w:val="right" w:leader="dot" w:pos="9016"/>
            </w:tabs>
            <w:spacing w:line="360" w:lineRule="auto"/>
            <w:jc w:val="both"/>
            <w:rPr>
              <w:rFonts w:asciiTheme="minorBidi" w:hAnsiTheme="minorBidi"/>
              <w:noProof/>
              <w:sz w:val="28"/>
              <w:szCs w:val="28"/>
            </w:rPr>
          </w:pPr>
          <w:hyperlink w:anchor="_Toc236862846" w:history="1">
            <w:r w:rsidRPr="00A40033">
              <w:rPr>
                <w:rStyle w:val="Hyperlink"/>
                <w:rFonts w:asciiTheme="minorBidi" w:hAnsiTheme="minorBidi"/>
                <w:noProof/>
                <w:sz w:val="28"/>
                <w:szCs w:val="28"/>
              </w:rPr>
              <w:t>3.</w:t>
            </w:r>
            <w:r w:rsidRPr="00A40033">
              <w:rPr>
                <w:rFonts w:asciiTheme="minorBidi" w:hAnsiTheme="minorBidi"/>
                <w:noProof/>
                <w:sz w:val="28"/>
                <w:szCs w:val="28"/>
              </w:rPr>
              <w:tab/>
            </w:r>
            <w:r w:rsidRPr="00A40033">
              <w:rPr>
                <w:rStyle w:val="Hyperlink"/>
                <w:rFonts w:asciiTheme="minorBidi" w:hAnsiTheme="minorBidi"/>
                <w:noProof/>
                <w:sz w:val="28"/>
                <w:szCs w:val="28"/>
              </w:rPr>
              <w:t>Importance of Good Administrative Skills in Mr Ahmed’s Care:</w:t>
            </w:r>
            <w:r w:rsidRPr="00A40033">
              <w:rPr>
                <w:rFonts w:asciiTheme="minorBidi" w:hAnsiTheme="minorBidi"/>
                <w:noProof/>
                <w:webHidden/>
                <w:sz w:val="28"/>
                <w:szCs w:val="28"/>
              </w:rPr>
              <w:tab/>
            </w:r>
            <w:r w:rsidRPr="00A40033">
              <w:rPr>
                <w:rFonts w:asciiTheme="minorBidi" w:hAnsiTheme="minorBidi"/>
                <w:noProof/>
                <w:webHidden/>
                <w:sz w:val="28"/>
                <w:szCs w:val="28"/>
              </w:rPr>
              <w:fldChar w:fldCharType="begin"/>
            </w:r>
            <w:r w:rsidRPr="00A40033">
              <w:rPr>
                <w:rFonts w:asciiTheme="minorBidi" w:hAnsiTheme="minorBidi"/>
                <w:noProof/>
                <w:webHidden/>
                <w:sz w:val="28"/>
                <w:szCs w:val="28"/>
              </w:rPr>
              <w:instrText xml:space="preserve"> PAGEREF _Toc236862846 \h </w:instrText>
            </w:r>
            <w:r w:rsidRPr="00A40033">
              <w:rPr>
                <w:rFonts w:asciiTheme="minorBidi" w:hAnsiTheme="minorBidi"/>
                <w:noProof/>
                <w:webHidden/>
                <w:sz w:val="28"/>
                <w:szCs w:val="28"/>
              </w:rPr>
            </w:r>
            <w:r w:rsidRPr="00A40033">
              <w:rPr>
                <w:rFonts w:asciiTheme="minorBidi" w:hAnsiTheme="minorBidi"/>
                <w:noProof/>
                <w:webHidden/>
                <w:sz w:val="28"/>
                <w:szCs w:val="28"/>
              </w:rPr>
              <w:fldChar w:fldCharType="separate"/>
            </w:r>
            <w:r w:rsidR="009A16D2">
              <w:rPr>
                <w:rFonts w:asciiTheme="minorBidi" w:hAnsiTheme="minorBidi"/>
                <w:noProof/>
                <w:webHidden/>
                <w:sz w:val="28"/>
                <w:szCs w:val="28"/>
              </w:rPr>
              <w:t>6</w:t>
            </w:r>
            <w:r w:rsidRPr="00A40033">
              <w:rPr>
                <w:rFonts w:asciiTheme="minorBidi" w:hAnsiTheme="minorBidi"/>
                <w:noProof/>
                <w:webHidden/>
                <w:sz w:val="28"/>
                <w:szCs w:val="28"/>
              </w:rPr>
              <w:fldChar w:fldCharType="end"/>
            </w:r>
          </w:hyperlink>
        </w:p>
        <w:p w14:paraId="317124FE" w14:textId="231C93EC" w:rsidR="000A22D3" w:rsidRPr="00A40033" w:rsidRDefault="000A22D3" w:rsidP="000A22D3">
          <w:pPr>
            <w:pStyle w:val="TOC1"/>
            <w:tabs>
              <w:tab w:val="left" w:pos="480"/>
              <w:tab w:val="right" w:leader="dot" w:pos="9016"/>
            </w:tabs>
            <w:spacing w:line="360" w:lineRule="auto"/>
            <w:jc w:val="both"/>
            <w:rPr>
              <w:rFonts w:asciiTheme="minorBidi" w:hAnsiTheme="minorBidi"/>
              <w:noProof/>
              <w:sz w:val="28"/>
              <w:szCs w:val="28"/>
            </w:rPr>
          </w:pPr>
          <w:hyperlink w:anchor="_Toc236862847" w:history="1">
            <w:r w:rsidRPr="00A40033">
              <w:rPr>
                <w:rStyle w:val="Hyperlink"/>
                <w:rFonts w:asciiTheme="minorBidi" w:hAnsiTheme="minorBidi"/>
                <w:noProof/>
                <w:sz w:val="28"/>
                <w:szCs w:val="28"/>
              </w:rPr>
              <w:t>4.</w:t>
            </w:r>
            <w:r w:rsidRPr="00A40033">
              <w:rPr>
                <w:rFonts w:asciiTheme="minorBidi" w:hAnsiTheme="minorBidi"/>
                <w:noProof/>
                <w:sz w:val="28"/>
                <w:szCs w:val="28"/>
              </w:rPr>
              <w:tab/>
            </w:r>
            <w:r w:rsidRPr="00A40033">
              <w:rPr>
                <w:rStyle w:val="Hyperlink"/>
                <w:rFonts w:asciiTheme="minorBidi" w:hAnsiTheme="minorBidi"/>
                <w:noProof/>
                <w:sz w:val="28"/>
                <w:szCs w:val="28"/>
              </w:rPr>
              <w:t>Importance of Collaborative Working in Mr Ahmed’s Care:</w:t>
            </w:r>
            <w:r w:rsidRPr="00A40033">
              <w:rPr>
                <w:rFonts w:asciiTheme="minorBidi" w:hAnsiTheme="minorBidi"/>
                <w:noProof/>
                <w:webHidden/>
                <w:sz w:val="28"/>
                <w:szCs w:val="28"/>
              </w:rPr>
              <w:tab/>
            </w:r>
            <w:r w:rsidRPr="00A40033">
              <w:rPr>
                <w:rFonts w:asciiTheme="minorBidi" w:hAnsiTheme="minorBidi"/>
                <w:noProof/>
                <w:webHidden/>
                <w:sz w:val="28"/>
                <w:szCs w:val="28"/>
              </w:rPr>
              <w:fldChar w:fldCharType="begin"/>
            </w:r>
            <w:r w:rsidRPr="00A40033">
              <w:rPr>
                <w:rFonts w:asciiTheme="minorBidi" w:hAnsiTheme="minorBidi"/>
                <w:noProof/>
                <w:webHidden/>
                <w:sz w:val="28"/>
                <w:szCs w:val="28"/>
              </w:rPr>
              <w:instrText xml:space="preserve"> PAGEREF _Toc236862847 \h </w:instrText>
            </w:r>
            <w:r w:rsidRPr="00A40033">
              <w:rPr>
                <w:rFonts w:asciiTheme="minorBidi" w:hAnsiTheme="minorBidi"/>
                <w:noProof/>
                <w:webHidden/>
                <w:sz w:val="28"/>
                <w:szCs w:val="28"/>
              </w:rPr>
            </w:r>
            <w:r w:rsidRPr="00A40033">
              <w:rPr>
                <w:rFonts w:asciiTheme="minorBidi" w:hAnsiTheme="minorBidi"/>
                <w:noProof/>
                <w:webHidden/>
                <w:sz w:val="28"/>
                <w:szCs w:val="28"/>
              </w:rPr>
              <w:fldChar w:fldCharType="separate"/>
            </w:r>
            <w:r w:rsidR="009A16D2">
              <w:rPr>
                <w:rFonts w:asciiTheme="minorBidi" w:hAnsiTheme="minorBidi"/>
                <w:noProof/>
                <w:webHidden/>
                <w:sz w:val="28"/>
                <w:szCs w:val="28"/>
              </w:rPr>
              <w:t>7</w:t>
            </w:r>
            <w:r w:rsidRPr="00A40033">
              <w:rPr>
                <w:rFonts w:asciiTheme="minorBidi" w:hAnsiTheme="minorBidi"/>
                <w:noProof/>
                <w:webHidden/>
                <w:sz w:val="28"/>
                <w:szCs w:val="28"/>
              </w:rPr>
              <w:fldChar w:fldCharType="end"/>
            </w:r>
          </w:hyperlink>
        </w:p>
        <w:p w14:paraId="5CA4E48F" w14:textId="5F43E7A9" w:rsidR="000A22D3" w:rsidRPr="00A40033" w:rsidRDefault="000A22D3" w:rsidP="000A22D3">
          <w:pPr>
            <w:pStyle w:val="TOC1"/>
            <w:tabs>
              <w:tab w:val="left" w:pos="480"/>
              <w:tab w:val="right" w:leader="dot" w:pos="9016"/>
            </w:tabs>
            <w:spacing w:line="360" w:lineRule="auto"/>
            <w:jc w:val="both"/>
            <w:rPr>
              <w:rFonts w:asciiTheme="minorBidi" w:hAnsiTheme="minorBidi"/>
              <w:noProof/>
              <w:sz w:val="28"/>
              <w:szCs w:val="28"/>
            </w:rPr>
          </w:pPr>
          <w:hyperlink w:anchor="_Toc236862848" w:history="1">
            <w:r w:rsidRPr="00A40033">
              <w:rPr>
                <w:rStyle w:val="Hyperlink"/>
                <w:rFonts w:asciiTheme="minorBidi" w:hAnsiTheme="minorBidi"/>
                <w:noProof/>
                <w:sz w:val="28"/>
                <w:szCs w:val="28"/>
              </w:rPr>
              <w:t>5.</w:t>
            </w:r>
            <w:r w:rsidRPr="00A40033">
              <w:rPr>
                <w:rFonts w:asciiTheme="minorBidi" w:hAnsiTheme="minorBidi"/>
                <w:noProof/>
                <w:sz w:val="28"/>
                <w:szCs w:val="28"/>
              </w:rPr>
              <w:tab/>
            </w:r>
            <w:r w:rsidRPr="00A40033">
              <w:rPr>
                <w:rStyle w:val="Hyperlink"/>
                <w:rFonts w:asciiTheme="minorBidi" w:hAnsiTheme="minorBidi"/>
                <w:noProof/>
                <w:sz w:val="28"/>
                <w:szCs w:val="28"/>
              </w:rPr>
              <w:t>Conclusion:</w:t>
            </w:r>
            <w:r w:rsidRPr="00A40033">
              <w:rPr>
                <w:rFonts w:asciiTheme="minorBidi" w:hAnsiTheme="minorBidi"/>
                <w:noProof/>
                <w:webHidden/>
                <w:sz w:val="28"/>
                <w:szCs w:val="28"/>
              </w:rPr>
              <w:tab/>
            </w:r>
            <w:r w:rsidRPr="00A40033">
              <w:rPr>
                <w:rFonts w:asciiTheme="minorBidi" w:hAnsiTheme="minorBidi"/>
                <w:noProof/>
                <w:webHidden/>
                <w:sz w:val="28"/>
                <w:szCs w:val="28"/>
              </w:rPr>
              <w:fldChar w:fldCharType="begin"/>
            </w:r>
            <w:r w:rsidRPr="00A40033">
              <w:rPr>
                <w:rFonts w:asciiTheme="minorBidi" w:hAnsiTheme="minorBidi"/>
                <w:noProof/>
                <w:webHidden/>
                <w:sz w:val="28"/>
                <w:szCs w:val="28"/>
              </w:rPr>
              <w:instrText xml:space="preserve"> PAGEREF _Toc236862848 \h </w:instrText>
            </w:r>
            <w:r w:rsidRPr="00A40033">
              <w:rPr>
                <w:rFonts w:asciiTheme="minorBidi" w:hAnsiTheme="minorBidi"/>
                <w:noProof/>
                <w:webHidden/>
                <w:sz w:val="28"/>
                <w:szCs w:val="28"/>
              </w:rPr>
            </w:r>
            <w:r w:rsidRPr="00A40033">
              <w:rPr>
                <w:rFonts w:asciiTheme="minorBidi" w:hAnsiTheme="minorBidi"/>
                <w:noProof/>
                <w:webHidden/>
                <w:sz w:val="28"/>
                <w:szCs w:val="28"/>
              </w:rPr>
              <w:fldChar w:fldCharType="separate"/>
            </w:r>
            <w:r w:rsidR="009A16D2">
              <w:rPr>
                <w:rFonts w:asciiTheme="minorBidi" w:hAnsiTheme="minorBidi"/>
                <w:noProof/>
                <w:webHidden/>
                <w:sz w:val="28"/>
                <w:szCs w:val="28"/>
              </w:rPr>
              <w:t>8</w:t>
            </w:r>
            <w:r w:rsidRPr="00A40033">
              <w:rPr>
                <w:rFonts w:asciiTheme="minorBidi" w:hAnsiTheme="minorBidi"/>
                <w:noProof/>
                <w:webHidden/>
                <w:sz w:val="28"/>
                <w:szCs w:val="28"/>
              </w:rPr>
              <w:fldChar w:fldCharType="end"/>
            </w:r>
          </w:hyperlink>
        </w:p>
        <w:p w14:paraId="3CE13C4F" w14:textId="4925346C" w:rsidR="000A22D3" w:rsidRPr="00A40033" w:rsidRDefault="000A22D3" w:rsidP="000A22D3">
          <w:pPr>
            <w:pStyle w:val="TOC1"/>
            <w:tabs>
              <w:tab w:val="left" w:pos="480"/>
              <w:tab w:val="right" w:leader="dot" w:pos="9016"/>
            </w:tabs>
            <w:spacing w:line="360" w:lineRule="auto"/>
            <w:jc w:val="both"/>
            <w:rPr>
              <w:rFonts w:asciiTheme="minorBidi" w:hAnsiTheme="minorBidi"/>
              <w:noProof/>
              <w:sz w:val="28"/>
              <w:szCs w:val="28"/>
            </w:rPr>
          </w:pPr>
          <w:hyperlink w:anchor="_Toc236862849" w:history="1">
            <w:r w:rsidRPr="00A40033">
              <w:rPr>
                <w:rStyle w:val="Hyperlink"/>
                <w:rFonts w:asciiTheme="minorBidi" w:hAnsiTheme="minorBidi"/>
                <w:noProof/>
                <w:sz w:val="28"/>
                <w:szCs w:val="28"/>
              </w:rPr>
              <w:t>6.</w:t>
            </w:r>
            <w:r w:rsidRPr="00A40033">
              <w:rPr>
                <w:rFonts w:asciiTheme="minorBidi" w:hAnsiTheme="minorBidi"/>
                <w:noProof/>
                <w:sz w:val="28"/>
                <w:szCs w:val="28"/>
              </w:rPr>
              <w:tab/>
            </w:r>
            <w:r w:rsidRPr="00A40033">
              <w:rPr>
                <w:rStyle w:val="Hyperlink"/>
                <w:rFonts w:asciiTheme="minorBidi" w:hAnsiTheme="minorBidi"/>
                <w:noProof/>
                <w:sz w:val="28"/>
                <w:szCs w:val="28"/>
              </w:rPr>
              <w:t>References:</w:t>
            </w:r>
            <w:r w:rsidRPr="00A40033">
              <w:rPr>
                <w:rFonts w:asciiTheme="minorBidi" w:hAnsiTheme="minorBidi"/>
                <w:noProof/>
                <w:webHidden/>
                <w:sz w:val="28"/>
                <w:szCs w:val="28"/>
              </w:rPr>
              <w:tab/>
            </w:r>
            <w:r w:rsidRPr="00A40033">
              <w:rPr>
                <w:rFonts w:asciiTheme="minorBidi" w:hAnsiTheme="minorBidi"/>
                <w:noProof/>
                <w:webHidden/>
                <w:sz w:val="28"/>
                <w:szCs w:val="28"/>
              </w:rPr>
              <w:fldChar w:fldCharType="begin"/>
            </w:r>
            <w:r w:rsidRPr="00A40033">
              <w:rPr>
                <w:rFonts w:asciiTheme="minorBidi" w:hAnsiTheme="minorBidi"/>
                <w:noProof/>
                <w:webHidden/>
                <w:sz w:val="28"/>
                <w:szCs w:val="28"/>
              </w:rPr>
              <w:instrText xml:space="preserve"> PAGEREF _Toc236862849 \h </w:instrText>
            </w:r>
            <w:r w:rsidRPr="00A40033">
              <w:rPr>
                <w:rFonts w:asciiTheme="minorBidi" w:hAnsiTheme="minorBidi"/>
                <w:noProof/>
                <w:webHidden/>
                <w:sz w:val="28"/>
                <w:szCs w:val="28"/>
              </w:rPr>
            </w:r>
            <w:r w:rsidRPr="00A40033">
              <w:rPr>
                <w:rFonts w:asciiTheme="minorBidi" w:hAnsiTheme="minorBidi"/>
                <w:noProof/>
                <w:webHidden/>
                <w:sz w:val="28"/>
                <w:szCs w:val="28"/>
              </w:rPr>
              <w:fldChar w:fldCharType="separate"/>
            </w:r>
            <w:r w:rsidR="009A16D2">
              <w:rPr>
                <w:rFonts w:asciiTheme="minorBidi" w:hAnsiTheme="minorBidi"/>
                <w:noProof/>
                <w:webHidden/>
                <w:sz w:val="28"/>
                <w:szCs w:val="28"/>
              </w:rPr>
              <w:t>9</w:t>
            </w:r>
            <w:r w:rsidRPr="00A40033">
              <w:rPr>
                <w:rFonts w:asciiTheme="minorBidi" w:hAnsiTheme="minorBidi"/>
                <w:noProof/>
                <w:webHidden/>
                <w:sz w:val="28"/>
                <w:szCs w:val="28"/>
              </w:rPr>
              <w:fldChar w:fldCharType="end"/>
            </w:r>
          </w:hyperlink>
          <w:r w:rsidRPr="00A40033">
            <w:rPr>
              <w:rStyle w:val="Hyperlink"/>
              <w:rFonts w:asciiTheme="minorBidi" w:hAnsiTheme="minorBidi"/>
              <w:noProof/>
              <w:sz w:val="2"/>
              <w:szCs w:val="2"/>
              <w:u w:val="none"/>
            </w:rPr>
            <w:t>"</w:t>
          </w:r>
        </w:p>
        <w:p w14:paraId="755AA540" w14:textId="372E2D51" w:rsidR="000A22D3" w:rsidRPr="00A40033" w:rsidRDefault="000A22D3" w:rsidP="000A22D3">
          <w:pPr>
            <w:spacing w:line="360" w:lineRule="auto"/>
            <w:jc w:val="both"/>
          </w:pPr>
          <w:r w:rsidRPr="00A40033">
            <w:rPr>
              <w:rFonts w:asciiTheme="minorBidi" w:hAnsiTheme="minorBidi"/>
              <w:b/>
              <w:bCs/>
              <w:sz w:val="26"/>
              <w:szCs w:val="26"/>
            </w:rPr>
            <w:fldChar w:fldCharType="end"/>
          </w:r>
        </w:p>
      </w:sdtContent>
    </w:sdt>
    <w:p w14:paraId="13E00080" w14:textId="137FF22A" w:rsidR="00B87E75" w:rsidRPr="00A40033" w:rsidRDefault="00B87E75" w:rsidP="00CD33A8">
      <w:pPr>
        <w:spacing w:line="360" w:lineRule="auto"/>
        <w:rPr>
          <w:rFonts w:asciiTheme="minorBidi" w:hAnsiTheme="minorBidi"/>
          <w:sz w:val="22"/>
        </w:rPr>
      </w:pPr>
    </w:p>
    <w:p w14:paraId="2E79F7ED" w14:textId="182913C0" w:rsidR="00B87E75" w:rsidRPr="00A40033" w:rsidRDefault="00B87E75" w:rsidP="00CD33A8">
      <w:pPr>
        <w:spacing w:line="360" w:lineRule="auto"/>
        <w:rPr>
          <w:rFonts w:asciiTheme="minorBidi" w:hAnsiTheme="minorBidi"/>
          <w:sz w:val="22"/>
        </w:rPr>
      </w:pPr>
    </w:p>
    <w:p w14:paraId="7AE771D5" w14:textId="1C06E45A" w:rsidR="00B87E75" w:rsidRPr="00A40033" w:rsidRDefault="00B87E75" w:rsidP="00CD33A8">
      <w:pPr>
        <w:spacing w:line="360" w:lineRule="auto"/>
        <w:rPr>
          <w:rFonts w:asciiTheme="minorBidi" w:hAnsiTheme="minorBidi"/>
          <w:sz w:val="22"/>
        </w:rPr>
      </w:pPr>
    </w:p>
    <w:p w14:paraId="4F7320CB" w14:textId="000D21B8" w:rsidR="00B87E75" w:rsidRPr="00A40033" w:rsidRDefault="00B87E75" w:rsidP="00CD33A8">
      <w:pPr>
        <w:spacing w:line="360" w:lineRule="auto"/>
        <w:rPr>
          <w:rFonts w:asciiTheme="minorBidi" w:hAnsiTheme="minorBidi"/>
          <w:sz w:val="22"/>
        </w:rPr>
      </w:pPr>
      <w:r w:rsidRPr="00A40033">
        <w:rPr>
          <w:rFonts w:asciiTheme="minorBidi" w:hAnsiTheme="minorBidi"/>
          <w:sz w:val="22"/>
        </w:rPr>
        <w:br w:type="page"/>
      </w:r>
    </w:p>
    <w:p w14:paraId="12D76753" w14:textId="07982A72" w:rsidR="00B87E75" w:rsidRPr="00A40033" w:rsidRDefault="00B87E75" w:rsidP="000A22D3">
      <w:pPr>
        <w:pStyle w:val="Heading1"/>
      </w:pPr>
      <w:bookmarkStart w:id="0" w:name="_Toc236862844"/>
      <w:r w:rsidRPr="00A40033">
        <w:lastRenderedPageBreak/>
        <w:t>Introduction</w:t>
      </w:r>
      <w:r w:rsidR="000A22D3" w:rsidRPr="00A40033">
        <w:t>:</w:t>
      </w:r>
      <w:bookmarkEnd w:id="0"/>
    </w:p>
    <w:p w14:paraId="52010A5E" w14:textId="77F04FA3" w:rsidR="0026393A"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Stroke </w:t>
      </w:r>
      <w:r w:rsidR="00A40033" w:rsidRPr="00A40033">
        <w:rPr>
          <w:rFonts w:ascii="Arial" w:hAnsi="Arial" w:cs="Arial"/>
          <w:sz w:val="22"/>
        </w:rPr>
        <w:t xml:space="preserve">commonly </w:t>
      </w:r>
      <w:r w:rsidRPr="00A40033">
        <w:rPr>
          <w:rFonts w:ascii="Arial" w:hAnsi="Arial" w:cs="Arial"/>
          <w:sz w:val="22"/>
        </w:rPr>
        <w:t xml:space="preserve">creates physical, communication and social-care needs, making safe support after discharge dependent upon coordinated systems rather than isolated professional actions. In the United Kingdom, approximately 100,000 people experience stroke annually and 1.4 million live with its effects, demonstrating substantial continuing demand for rehabilitation and community support (Stroke Association, 2026). </w:t>
      </w:r>
      <w:r w:rsidR="00A40033" w:rsidRPr="00A40033">
        <w:rPr>
          <w:rFonts w:ascii="Arial" w:hAnsi="Arial" w:cs="Arial"/>
          <w:sz w:val="22"/>
        </w:rPr>
        <w:t xml:space="preserve">In this report, the case of </w:t>
      </w:r>
      <w:r w:rsidRPr="00A40033">
        <w:rPr>
          <w:rFonts w:ascii="Arial" w:hAnsi="Arial" w:cs="Arial"/>
          <w:sz w:val="22"/>
        </w:rPr>
        <w:t>Mr Ahmed, aged 68, represents a complex transition from hospital to home. These overlapping needs require information to move between professionals and remain understandable to the family. He requires three daily care visits, medication support, meal preparation, blood-pressure and wound monitoring, and therapy for communication and swallowing. However, limited English, post-stroke communication difficulty and a missed visit that delayed medication expose risks involving equality, consent, safety and accountability across several organisations. Therefore, this report evaluates effective communication, lawful record-keeping and collaborative practice, while applying legislation, policy, evidence and person-centred principles to Mr Ahmed’s circumstances and family context.</w:t>
      </w:r>
    </w:p>
    <w:p w14:paraId="094CA401" w14:textId="20582321" w:rsidR="00A40033" w:rsidRPr="00A40033" w:rsidRDefault="00A40033" w:rsidP="000A22D3">
      <w:pPr>
        <w:tabs>
          <w:tab w:val="left" w:pos="6540"/>
        </w:tabs>
        <w:spacing w:line="360" w:lineRule="auto"/>
        <w:jc w:val="both"/>
        <w:rPr>
          <w:rFonts w:ascii="Arial" w:hAnsi="Arial" w:cs="Arial"/>
          <w:sz w:val="22"/>
        </w:rPr>
      </w:pPr>
      <w:r w:rsidRPr="00A40033">
        <w:rPr>
          <w:noProof/>
        </w:rPr>
        <w:drawing>
          <wp:inline distT="0" distB="0" distL="0" distR="0" wp14:anchorId="7048689A" wp14:editId="4A1EEA30">
            <wp:extent cx="5731510" cy="2842260"/>
            <wp:effectExtent l="19050" t="19050" r="21590" b="15240"/>
            <wp:docPr id="72847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77111" name=""/>
                    <pic:cNvPicPr/>
                  </pic:nvPicPr>
                  <pic:blipFill>
                    <a:blip r:embed="rId10"/>
                    <a:stretch>
                      <a:fillRect/>
                    </a:stretch>
                  </pic:blipFill>
                  <pic:spPr>
                    <a:xfrm>
                      <a:off x="0" y="0"/>
                      <a:ext cx="5731510" cy="2842260"/>
                    </a:xfrm>
                    <a:prstGeom prst="rect">
                      <a:avLst/>
                    </a:prstGeom>
                    <a:ln>
                      <a:solidFill>
                        <a:schemeClr val="tx1"/>
                      </a:solidFill>
                    </a:ln>
                  </pic:spPr>
                </pic:pic>
              </a:graphicData>
            </a:graphic>
          </wp:inline>
        </w:drawing>
      </w:r>
    </w:p>
    <w:p w14:paraId="079B9C5D" w14:textId="24C591A3" w:rsidR="00A40033" w:rsidRPr="00A40033" w:rsidRDefault="00A40033" w:rsidP="00A40033">
      <w:pPr>
        <w:tabs>
          <w:tab w:val="left" w:pos="6540"/>
        </w:tabs>
        <w:spacing w:line="360" w:lineRule="auto"/>
        <w:jc w:val="center"/>
        <w:rPr>
          <w:rFonts w:ascii="Arial" w:hAnsi="Arial" w:cs="Arial"/>
          <w:b/>
          <w:bCs/>
          <w:i/>
          <w:iCs/>
          <w:sz w:val="22"/>
        </w:rPr>
      </w:pPr>
      <w:r w:rsidRPr="00A40033">
        <w:rPr>
          <w:rFonts w:ascii="Arial" w:hAnsi="Arial" w:cs="Arial"/>
          <w:b/>
          <w:bCs/>
          <w:i/>
          <w:iCs/>
          <w:sz w:val="22"/>
        </w:rPr>
        <w:t>Figure 1:</w:t>
      </w:r>
      <w:r w:rsidRPr="00A40033">
        <w:t xml:space="preserve"> </w:t>
      </w:r>
      <w:r w:rsidRPr="00A40033">
        <w:rPr>
          <w:rFonts w:asciiTheme="minorBidi" w:hAnsiTheme="minorBidi"/>
          <w:i/>
          <w:iCs/>
          <w:sz w:val="22"/>
          <w:szCs w:val="20"/>
        </w:rPr>
        <w:t>Stroke Statistics in</w:t>
      </w:r>
      <w:r w:rsidRPr="00A40033">
        <w:rPr>
          <w:sz w:val="22"/>
          <w:szCs w:val="20"/>
        </w:rPr>
        <w:t xml:space="preserve"> </w:t>
      </w:r>
      <w:r w:rsidRPr="00A40033">
        <w:rPr>
          <w:rFonts w:ascii="Arial" w:hAnsi="Arial" w:cs="Arial"/>
          <w:i/>
          <w:iCs/>
          <w:sz w:val="22"/>
        </w:rPr>
        <w:t>United Kingdom (Stroke Association, 2026)</w:t>
      </w:r>
    </w:p>
    <w:p w14:paraId="67577310" w14:textId="77777777" w:rsidR="000A22D3" w:rsidRPr="00A40033" w:rsidRDefault="000A22D3" w:rsidP="00A40033">
      <w:pPr>
        <w:tabs>
          <w:tab w:val="left" w:pos="6540"/>
        </w:tabs>
        <w:spacing w:line="360" w:lineRule="auto"/>
        <w:jc w:val="both"/>
        <w:rPr>
          <w:rFonts w:ascii="Arial" w:hAnsi="Arial" w:cs="Arial"/>
          <w:sz w:val="16"/>
          <w:szCs w:val="16"/>
        </w:rPr>
      </w:pPr>
    </w:p>
    <w:p w14:paraId="4AB67D80" w14:textId="6344EF8C" w:rsidR="000A22D3" w:rsidRPr="00A40033" w:rsidRDefault="000A22D3" w:rsidP="000A22D3">
      <w:pPr>
        <w:pStyle w:val="Heading1"/>
      </w:pPr>
      <w:bookmarkStart w:id="1" w:name="_Toc236862845"/>
      <w:r w:rsidRPr="00A40033">
        <w:t>Importance of Effective Communication in Mr Ahmed’s Care:</w:t>
      </w:r>
      <w:bookmarkEnd w:id="1"/>
    </w:p>
    <w:p w14:paraId="254AEF5F" w14:textId="77777777" w:rsidR="000A22D3" w:rsidRPr="00A40033" w:rsidRDefault="000A22D3" w:rsidP="000A22D3">
      <w:pPr>
        <w:rPr>
          <w:sz w:val="2"/>
          <w:szCs w:val="2"/>
        </w:rPr>
      </w:pPr>
    </w:p>
    <w:p w14:paraId="55F968A5" w14:textId="0449672C" w:rsidR="000A22D3" w:rsidRPr="00A40033" w:rsidRDefault="00A40033" w:rsidP="00A40033">
      <w:pPr>
        <w:tabs>
          <w:tab w:val="left" w:pos="6540"/>
        </w:tabs>
        <w:spacing w:line="360" w:lineRule="auto"/>
        <w:jc w:val="both"/>
        <w:rPr>
          <w:rFonts w:ascii="Arial" w:hAnsi="Arial" w:cs="Arial"/>
          <w:sz w:val="22"/>
        </w:rPr>
      </w:pPr>
      <w:r w:rsidRPr="00A40033">
        <w:rPr>
          <w:rFonts w:ascii="Arial" w:hAnsi="Arial" w:cs="Arial"/>
          <w:sz w:val="22"/>
        </w:rPr>
        <w:t xml:space="preserve">Effective communication is essential to Mr Ahmed’s dignity, participation and safety because stroke can affect speech, comprehension, memory and swallowing. NICE (2023) recommends </w:t>
      </w:r>
      <w:r w:rsidRPr="00A40033">
        <w:rPr>
          <w:rFonts w:ascii="Arial" w:hAnsi="Arial" w:cs="Arial"/>
          <w:sz w:val="22"/>
        </w:rPr>
        <w:lastRenderedPageBreak/>
        <w:t xml:space="preserve">helping people with communication difficulties express needs and participate in decisions. Accordingly, </w:t>
      </w:r>
      <w:r w:rsidR="000A22D3" w:rsidRPr="00A40033">
        <w:rPr>
          <w:rFonts w:ascii="Arial" w:hAnsi="Arial" w:cs="Arial"/>
          <w:sz w:val="22"/>
        </w:rPr>
        <w:t xml:space="preserve">should address him directly, establish how he prefers to communicate and avoid assuming that limited English means limited capacity. </w:t>
      </w:r>
      <w:r w:rsidRPr="00A40033">
        <w:rPr>
          <w:rFonts w:ascii="Arial" w:hAnsi="Arial" w:cs="Arial"/>
          <w:sz w:val="22"/>
        </w:rPr>
        <w:t>In addition, s</w:t>
      </w:r>
      <w:r w:rsidR="000A22D3" w:rsidRPr="00A40033">
        <w:rPr>
          <w:rFonts w:ascii="Arial" w:hAnsi="Arial" w:cs="Arial"/>
          <w:sz w:val="22"/>
        </w:rPr>
        <w:t xml:space="preserve">hort sentences, one question at a time, words, pictures and sufficient response time can reduce cognitive load. Moreover, workers should check understanding through teach-back rather than asking whether he understands, since agreement may conceal confusion. </w:t>
      </w:r>
      <w:r w:rsidRPr="00A40033">
        <w:rPr>
          <w:rFonts w:ascii="Arial" w:hAnsi="Arial" w:cs="Arial"/>
          <w:sz w:val="22"/>
        </w:rPr>
        <w:t>Also, t</w:t>
      </w:r>
      <w:r w:rsidR="000A22D3" w:rsidRPr="00A40033">
        <w:rPr>
          <w:rFonts w:ascii="Arial" w:hAnsi="Arial" w:cs="Arial"/>
          <w:sz w:val="22"/>
        </w:rPr>
        <w:t xml:space="preserve">he speech and language therapist should guide the team on supported conversation and safe swallowing instructions, while care workers should observe non-verbal signs of distress. </w:t>
      </w:r>
      <w:r>
        <w:rPr>
          <w:rFonts w:ascii="Arial" w:hAnsi="Arial" w:cs="Arial"/>
          <w:sz w:val="22"/>
        </w:rPr>
        <w:t>Similarly</w:t>
      </w:r>
      <w:r w:rsidRPr="00A40033">
        <w:rPr>
          <w:rFonts w:ascii="Arial" w:hAnsi="Arial" w:cs="Arial"/>
          <w:sz w:val="22"/>
        </w:rPr>
        <w:t>, p</w:t>
      </w:r>
      <w:r w:rsidR="000A22D3" w:rsidRPr="00A40033">
        <w:rPr>
          <w:rFonts w:ascii="Arial" w:hAnsi="Arial" w:cs="Arial"/>
          <w:sz w:val="22"/>
        </w:rPr>
        <w:t>oor communication could cause incorrect medication, aspiration, missed symptoms or exclusion from decisions. Consequently, person-centred communication is not an optional courtesy but a safeguard during every home visit (NICE, 2023).</w:t>
      </w:r>
    </w:p>
    <w:p w14:paraId="5F81ACC9" w14:textId="77777777" w:rsidR="000A22D3" w:rsidRPr="00A40033" w:rsidRDefault="000A22D3" w:rsidP="000A22D3">
      <w:pPr>
        <w:tabs>
          <w:tab w:val="left" w:pos="6540"/>
        </w:tabs>
        <w:spacing w:line="360" w:lineRule="auto"/>
        <w:jc w:val="both"/>
        <w:rPr>
          <w:rFonts w:ascii="Arial" w:hAnsi="Arial" w:cs="Arial"/>
          <w:sz w:val="2"/>
          <w:szCs w:val="2"/>
        </w:rPr>
      </w:pPr>
    </w:p>
    <w:p w14:paraId="216CB1FC" w14:textId="5A61F9B8" w:rsidR="00AE5BF5" w:rsidRDefault="000A22D3" w:rsidP="0011294C">
      <w:pPr>
        <w:tabs>
          <w:tab w:val="left" w:pos="6540"/>
        </w:tabs>
        <w:spacing w:line="360" w:lineRule="auto"/>
        <w:jc w:val="both"/>
        <w:rPr>
          <w:rFonts w:ascii="Arial" w:hAnsi="Arial" w:cs="Arial"/>
          <w:sz w:val="22"/>
        </w:rPr>
      </w:pPr>
      <w:r w:rsidRPr="00A40033">
        <w:rPr>
          <w:rFonts w:ascii="Arial" w:hAnsi="Arial" w:cs="Arial"/>
          <w:sz w:val="22"/>
        </w:rPr>
        <w:t>Furthermore, communication must be equitable and culturally responsive. Stroke-related communication impairment may constitute disability, so the Equality Act 2010 requires reasonable adjustments and prohibits discrimination in service delivery</w:t>
      </w:r>
      <w:r w:rsidR="0011294C">
        <w:rPr>
          <w:rFonts w:ascii="Arial" w:hAnsi="Arial" w:cs="Arial"/>
          <w:sz w:val="22"/>
        </w:rPr>
        <w:t xml:space="preserve"> </w:t>
      </w:r>
      <w:r w:rsidR="0011294C" w:rsidRPr="0011294C">
        <w:rPr>
          <w:rFonts w:ascii="Arial" w:hAnsi="Arial" w:cs="Arial"/>
          <w:sz w:val="22"/>
        </w:rPr>
        <w:t>(GOV.UK, 2010)</w:t>
      </w:r>
      <w:r w:rsidRPr="00A40033">
        <w:rPr>
          <w:rFonts w:ascii="Arial" w:hAnsi="Arial" w:cs="Arial"/>
          <w:sz w:val="22"/>
        </w:rPr>
        <w:t xml:space="preserve">. </w:t>
      </w:r>
      <w:r w:rsidR="00A40033">
        <w:rPr>
          <w:rFonts w:ascii="Arial" w:hAnsi="Arial" w:cs="Arial"/>
          <w:sz w:val="22"/>
        </w:rPr>
        <w:t>Likewise, t</w:t>
      </w:r>
      <w:r w:rsidRPr="00A40033">
        <w:rPr>
          <w:rFonts w:ascii="Arial" w:hAnsi="Arial" w:cs="Arial"/>
          <w:sz w:val="22"/>
        </w:rPr>
        <w:t xml:space="preserve">he Accessible Information Standard requires health and social-care providers to identify, record, flag, share, meet and review communication needs (NHS England, 2025). Accordingly, Mr Ahmed should receive a Bengali interpreter, translated or pictorial information and appointment support. His wife can provide history and reassurance, but staff should obtain his consent before sharing information and should not automatically use her as interpreter. </w:t>
      </w:r>
      <w:r w:rsidR="00AE5BF5">
        <w:rPr>
          <w:rFonts w:ascii="Arial" w:hAnsi="Arial" w:cs="Arial"/>
          <w:sz w:val="22"/>
        </w:rPr>
        <w:t>However, f</w:t>
      </w:r>
      <w:r w:rsidRPr="00A40033">
        <w:rPr>
          <w:rFonts w:ascii="Arial" w:hAnsi="Arial" w:cs="Arial"/>
          <w:sz w:val="22"/>
        </w:rPr>
        <w:t xml:space="preserve">amily interpretation may filter information, create errors or silence the service user, whereas professional interpretation improves understanding and outcomes (Heath, </w:t>
      </w:r>
      <w:proofErr w:type="spellStart"/>
      <w:r w:rsidRPr="00A40033">
        <w:rPr>
          <w:rFonts w:ascii="Arial" w:hAnsi="Arial" w:cs="Arial"/>
          <w:sz w:val="22"/>
        </w:rPr>
        <w:t>Hvass</w:t>
      </w:r>
      <w:proofErr w:type="spellEnd"/>
      <w:r w:rsidRPr="00A40033">
        <w:rPr>
          <w:rFonts w:ascii="Arial" w:hAnsi="Arial" w:cs="Arial"/>
          <w:sz w:val="22"/>
        </w:rPr>
        <w:t xml:space="preserve"> and </w:t>
      </w:r>
      <w:proofErr w:type="spellStart"/>
      <w:r w:rsidRPr="00A40033">
        <w:rPr>
          <w:rFonts w:ascii="Arial" w:hAnsi="Arial" w:cs="Arial"/>
          <w:sz w:val="22"/>
        </w:rPr>
        <w:t>Wejse</w:t>
      </w:r>
      <w:proofErr w:type="spellEnd"/>
      <w:r w:rsidRPr="00A40033">
        <w:rPr>
          <w:rFonts w:ascii="Arial" w:hAnsi="Arial" w:cs="Arial"/>
          <w:sz w:val="22"/>
        </w:rPr>
        <w:t>, 2023). Equality therefore requires adapting communication so Mr Ahmed can exercise choice, rather than giving everyone identical information.</w:t>
      </w:r>
    </w:p>
    <w:p w14:paraId="5846DB9C" w14:textId="203CF34F" w:rsidR="00AE5BF5" w:rsidRDefault="00AE5BF5" w:rsidP="00AE5BF5">
      <w:pPr>
        <w:tabs>
          <w:tab w:val="left" w:pos="6540"/>
        </w:tabs>
        <w:spacing w:line="360" w:lineRule="auto"/>
        <w:jc w:val="center"/>
        <w:rPr>
          <w:rFonts w:ascii="Arial" w:hAnsi="Arial" w:cs="Arial"/>
          <w:sz w:val="22"/>
        </w:rPr>
      </w:pPr>
      <w:r>
        <w:rPr>
          <w:rFonts w:ascii="Arial" w:hAnsi="Arial" w:cs="Arial"/>
          <w:noProof/>
          <w:sz w:val="22"/>
        </w:rPr>
        <w:lastRenderedPageBreak/>
        <w:drawing>
          <wp:inline distT="0" distB="0" distL="0" distR="0" wp14:anchorId="5D4EDAB0" wp14:editId="07D3C353">
            <wp:extent cx="5711144" cy="5304064"/>
            <wp:effectExtent l="19050" t="19050" r="23495" b="11430"/>
            <wp:docPr id="18279266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2085" t="18966" r="1995" b="4186"/>
                    <a:stretch>
                      <a:fillRect/>
                    </a:stretch>
                  </pic:blipFill>
                  <pic:spPr bwMode="auto">
                    <a:xfrm>
                      <a:off x="0" y="0"/>
                      <a:ext cx="5726278" cy="5318119"/>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315433B" w14:textId="5680C17C" w:rsidR="00AE5BF5" w:rsidRPr="00AE5BF5" w:rsidRDefault="00AE5BF5" w:rsidP="00AE5BF5">
      <w:pPr>
        <w:tabs>
          <w:tab w:val="left" w:pos="6540"/>
        </w:tabs>
        <w:spacing w:line="360" w:lineRule="auto"/>
        <w:jc w:val="center"/>
        <w:rPr>
          <w:rFonts w:ascii="Arial" w:hAnsi="Arial" w:cs="Arial"/>
          <w:b/>
          <w:bCs/>
          <w:i/>
          <w:iCs/>
          <w:sz w:val="22"/>
        </w:rPr>
      </w:pPr>
      <w:r w:rsidRPr="00AE5BF5">
        <w:rPr>
          <w:rFonts w:ascii="Arial" w:hAnsi="Arial" w:cs="Arial"/>
          <w:b/>
          <w:bCs/>
          <w:i/>
          <w:iCs/>
          <w:sz w:val="22"/>
        </w:rPr>
        <w:t>Figure 2:</w:t>
      </w:r>
      <w:r>
        <w:rPr>
          <w:rFonts w:ascii="Arial" w:hAnsi="Arial" w:cs="Arial"/>
          <w:b/>
          <w:bCs/>
          <w:i/>
          <w:iCs/>
          <w:sz w:val="22"/>
        </w:rPr>
        <w:t xml:space="preserve"> </w:t>
      </w:r>
      <w:r w:rsidRPr="00AE5BF5">
        <w:rPr>
          <w:rFonts w:ascii="Arial" w:hAnsi="Arial" w:cs="Arial"/>
          <w:i/>
          <w:iCs/>
          <w:sz w:val="22"/>
        </w:rPr>
        <w:t>Argyle’s Communication Cycle (Argyle, 1972).</w:t>
      </w:r>
    </w:p>
    <w:p w14:paraId="03C4A48A" w14:textId="77777777" w:rsidR="00AE5BF5" w:rsidRPr="00AE5BF5" w:rsidRDefault="00AE5BF5" w:rsidP="00AE5BF5">
      <w:pPr>
        <w:tabs>
          <w:tab w:val="left" w:pos="6540"/>
        </w:tabs>
        <w:spacing w:line="360" w:lineRule="auto"/>
        <w:jc w:val="both"/>
        <w:rPr>
          <w:rFonts w:ascii="Arial" w:hAnsi="Arial" w:cs="Arial"/>
          <w:sz w:val="2"/>
          <w:szCs w:val="2"/>
        </w:rPr>
      </w:pPr>
    </w:p>
    <w:p w14:paraId="052B0AF2" w14:textId="46E20390" w:rsidR="000A22D3" w:rsidRPr="00AE5BF5" w:rsidRDefault="00AE5BF5" w:rsidP="00FB5D14">
      <w:pPr>
        <w:tabs>
          <w:tab w:val="left" w:pos="6540"/>
        </w:tabs>
        <w:spacing w:line="360" w:lineRule="auto"/>
        <w:jc w:val="both"/>
        <w:rPr>
          <w:rFonts w:ascii="Arial" w:hAnsi="Arial" w:cs="Arial"/>
          <w:sz w:val="22"/>
        </w:rPr>
      </w:pPr>
      <w:r w:rsidRPr="00A40033">
        <w:rPr>
          <w:rFonts w:ascii="Arial" w:hAnsi="Arial" w:cs="Arial"/>
          <w:sz w:val="22"/>
        </w:rPr>
        <w:t>Finally, Argyle’s communication cycle provides a model for each interaction</w:t>
      </w:r>
      <w:r>
        <w:rPr>
          <w:rFonts w:ascii="Arial" w:hAnsi="Arial" w:cs="Arial"/>
          <w:sz w:val="22"/>
        </w:rPr>
        <w:t xml:space="preserve"> as </w:t>
      </w:r>
      <w:r w:rsidRPr="00A40033">
        <w:rPr>
          <w:rFonts w:ascii="Arial" w:hAnsi="Arial" w:cs="Arial"/>
          <w:sz w:val="22"/>
        </w:rPr>
        <w:t xml:space="preserve">a worker forms an idea, encodes and sends the message, Mr Ahmed receives and decodes it, and feedback confirms or corrects meaning (Argyle, 1972). </w:t>
      </w:r>
      <w:r w:rsidR="00FB5D14" w:rsidRPr="00FB5D14">
        <w:rPr>
          <w:rFonts w:ascii="Arial" w:hAnsi="Arial" w:cs="Arial"/>
          <w:sz w:val="22"/>
        </w:rPr>
        <w:t>When giving medication support, the worker can slowly say the name and purpose of the medicine, provide a support-packed, use an agreed Bengali word</w:t>
      </w:r>
      <w:r w:rsidR="006B6A09">
        <w:rPr>
          <w:rFonts w:ascii="Arial" w:hAnsi="Arial" w:cs="Arial"/>
          <w:sz w:val="22"/>
        </w:rPr>
        <w:t xml:space="preserve"> or </w:t>
      </w:r>
      <w:r w:rsidR="00FB5D14" w:rsidRPr="00FB5D14">
        <w:rPr>
          <w:rFonts w:ascii="Arial" w:hAnsi="Arial" w:cs="Arial"/>
          <w:sz w:val="22"/>
        </w:rPr>
        <w:t xml:space="preserve">symbol, and ask Mr Ahmed to explain what he does next. His response then determines whether the message should be repeated, simplified or referred to the interpreter or therapist. Also, an eye contact, tone, open posture and reduced background noise should reinforce the message without pressuring him. Next, it is necessary to record communication preferences and reconfirm communication when there are recovery changes. Therefore, when using the same </w:t>
      </w:r>
      <w:r w:rsidR="006B6A09" w:rsidRPr="00FB5D14">
        <w:rPr>
          <w:rFonts w:ascii="Arial" w:hAnsi="Arial" w:cs="Arial"/>
          <w:sz w:val="22"/>
        </w:rPr>
        <w:t>method,</w:t>
      </w:r>
      <w:r w:rsidR="00FB5D14" w:rsidRPr="00FB5D14">
        <w:rPr>
          <w:rFonts w:ascii="Arial" w:hAnsi="Arial" w:cs="Arial"/>
          <w:sz w:val="22"/>
        </w:rPr>
        <w:t xml:space="preserve"> it is advisable to involve Mr Ahmed's wife with his permission, ensuring that family involvement does not undermine Mr Ahmed's </w:t>
      </w:r>
      <w:r w:rsidR="00FB5D14">
        <w:rPr>
          <w:rFonts w:ascii="Arial" w:hAnsi="Arial" w:cs="Arial"/>
          <w:sz w:val="22"/>
        </w:rPr>
        <w:t>autonomy</w:t>
      </w:r>
      <w:r w:rsidRPr="00A40033">
        <w:rPr>
          <w:rFonts w:ascii="Arial" w:hAnsi="Arial" w:cs="Arial"/>
          <w:sz w:val="22"/>
        </w:rPr>
        <w:t>.</w:t>
      </w:r>
    </w:p>
    <w:p w14:paraId="64B912C7" w14:textId="518B48A0" w:rsidR="000A22D3" w:rsidRPr="00A40033" w:rsidRDefault="000A22D3" w:rsidP="000A22D3">
      <w:pPr>
        <w:pStyle w:val="Heading1"/>
      </w:pPr>
      <w:bookmarkStart w:id="2" w:name="_Toc236862846"/>
      <w:r w:rsidRPr="00A40033">
        <w:lastRenderedPageBreak/>
        <w:t>Importance of Good Administrative Skills in Mr Ahmed’s Care:</w:t>
      </w:r>
      <w:bookmarkEnd w:id="2"/>
    </w:p>
    <w:p w14:paraId="14945DDC" w14:textId="77777777" w:rsidR="00AE5BF5" w:rsidRPr="00AE5BF5" w:rsidRDefault="00AE5BF5" w:rsidP="000A22D3">
      <w:pPr>
        <w:tabs>
          <w:tab w:val="left" w:pos="6540"/>
        </w:tabs>
        <w:spacing w:line="360" w:lineRule="auto"/>
        <w:jc w:val="both"/>
        <w:rPr>
          <w:rFonts w:ascii="Arial" w:hAnsi="Arial" w:cs="Arial"/>
          <w:sz w:val="2"/>
          <w:szCs w:val="2"/>
        </w:rPr>
      </w:pPr>
    </w:p>
    <w:p w14:paraId="2B1240EC" w14:textId="0294A799" w:rsidR="000A22D3" w:rsidRDefault="00B45248" w:rsidP="00B45248">
      <w:pPr>
        <w:tabs>
          <w:tab w:val="left" w:pos="6540"/>
        </w:tabs>
        <w:spacing w:line="360" w:lineRule="auto"/>
        <w:jc w:val="both"/>
        <w:rPr>
          <w:rFonts w:ascii="Arial" w:hAnsi="Arial" w:cs="Arial"/>
          <w:sz w:val="22"/>
        </w:rPr>
      </w:pPr>
      <w:r w:rsidRPr="00B45248">
        <w:rPr>
          <w:rFonts w:ascii="Arial" w:hAnsi="Arial" w:cs="Arial"/>
          <w:sz w:val="22"/>
        </w:rPr>
        <w:t xml:space="preserve">Good administrative practice transforms the care plan into a </w:t>
      </w:r>
      <w:r>
        <w:rPr>
          <w:rFonts w:ascii="Arial" w:hAnsi="Arial" w:cs="Arial"/>
          <w:sz w:val="22"/>
        </w:rPr>
        <w:t>reliable</w:t>
      </w:r>
      <w:r w:rsidRPr="00B45248">
        <w:rPr>
          <w:rFonts w:ascii="Arial" w:hAnsi="Arial" w:cs="Arial"/>
          <w:sz w:val="22"/>
        </w:rPr>
        <w:t xml:space="preserve"> action and provides a record of what has happened which is traceable. For Mr Ahmed, notes ought to involve his tests results, medications, the timing of them, his allergies, his need for advice on swallowing, observations of wounds, his blood pressure, how he wants to communicate, any decisions in the hearing of consent, missed calls, and the action needed to be taken in response. Entries should be legible, dated, timed, signed and completed promptly, without abbreviations and without subjective language. However, Regulation 17 demands evidence to reflect the essential requirement for service-user records that are accurate, complete and kept up to date; whereas Regulation 12 calls on providers to avoid unnecessary harm, and take action to reduce chances of such harm occurring in relation to medicines (Care Quality Commission, 2025a; Care Quality Commission, 2025b). The domiciliary worker should therefore note administered or omitted doses of the medicines on the medicines administration record, and explain why, rather than filling out an empty space later. Such discipline helps to ensure continuity, accountability and investigation.</w:t>
      </w:r>
    </w:p>
    <w:p w14:paraId="480F388F" w14:textId="77777777" w:rsidR="00AE5BF5" w:rsidRPr="00AE5BF5" w:rsidRDefault="00AE5BF5" w:rsidP="000A22D3">
      <w:pPr>
        <w:tabs>
          <w:tab w:val="left" w:pos="6540"/>
        </w:tabs>
        <w:spacing w:line="360" w:lineRule="auto"/>
        <w:jc w:val="both"/>
        <w:rPr>
          <w:rFonts w:ascii="Arial" w:hAnsi="Arial" w:cs="Arial"/>
          <w:sz w:val="2"/>
          <w:szCs w:val="2"/>
        </w:rPr>
      </w:pPr>
    </w:p>
    <w:p w14:paraId="76517566" w14:textId="01162491" w:rsidR="000A22D3" w:rsidRPr="00A40033" w:rsidRDefault="00CB7955" w:rsidP="00CB7955">
      <w:pPr>
        <w:tabs>
          <w:tab w:val="left" w:pos="6540"/>
        </w:tabs>
        <w:spacing w:line="360" w:lineRule="auto"/>
        <w:jc w:val="both"/>
        <w:rPr>
          <w:rFonts w:ascii="Arial" w:hAnsi="Arial" w:cs="Arial"/>
          <w:sz w:val="22"/>
        </w:rPr>
      </w:pPr>
      <w:r w:rsidRPr="00CB7955">
        <w:rPr>
          <w:rFonts w:ascii="Arial" w:hAnsi="Arial" w:cs="Arial"/>
          <w:sz w:val="22"/>
        </w:rPr>
        <w:t xml:space="preserve">In addition, Mr Ahmed’s records contain health data, which are special-category data protected by the Data Protection Act 2018 and UK GDPR (GOV.UK, 2018). Besides, processing should be lawful, fair and transparent, for purposes, minimised, accurate, retained only when necessary and protected by security and accountability measures (Information Commissioner’s Office, 2023). In practice, staff are expected to access only relevant information, connect to authorised systems, passwords, secure devices, verify recipients before providing information, and not talk about Mr Ahmed in areas and personal messaging applications. </w:t>
      </w:r>
      <w:r>
        <w:rPr>
          <w:rFonts w:ascii="Arial" w:hAnsi="Arial" w:cs="Arial"/>
          <w:sz w:val="22"/>
        </w:rPr>
        <w:t>Moreover</w:t>
      </w:r>
      <w:r w:rsidRPr="00CB7955">
        <w:rPr>
          <w:rFonts w:ascii="Arial" w:hAnsi="Arial" w:cs="Arial"/>
          <w:sz w:val="22"/>
        </w:rPr>
        <w:t>, information can be shared when it is directly required for health or social care without the use of consent by the process of a lawful basis, but only limited information should be shared. Therefore, Mr Ahmed should be given privacy information in a very clear form disclosing to him rights of use, correction, access and complaint with an interpreter where necessary.</w:t>
      </w:r>
    </w:p>
    <w:p w14:paraId="038A2BD6" w14:textId="77777777" w:rsidR="000A22D3" w:rsidRPr="00A40033" w:rsidRDefault="000A22D3" w:rsidP="000A22D3">
      <w:pPr>
        <w:tabs>
          <w:tab w:val="left" w:pos="6540"/>
        </w:tabs>
        <w:spacing w:line="360" w:lineRule="auto"/>
        <w:jc w:val="both"/>
        <w:rPr>
          <w:rFonts w:ascii="Arial" w:hAnsi="Arial" w:cs="Arial"/>
          <w:sz w:val="2"/>
          <w:szCs w:val="2"/>
        </w:rPr>
      </w:pPr>
    </w:p>
    <w:p w14:paraId="2E11B7D3" w14:textId="10631D1C" w:rsidR="000A22D3" w:rsidRPr="00A40033" w:rsidRDefault="00CB7955" w:rsidP="00CB7955">
      <w:pPr>
        <w:tabs>
          <w:tab w:val="left" w:pos="6540"/>
        </w:tabs>
        <w:spacing w:line="360" w:lineRule="auto"/>
        <w:jc w:val="both"/>
        <w:rPr>
          <w:rFonts w:ascii="Arial" w:hAnsi="Arial" w:cs="Arial"/>
          <w:sz w:val="22"/>
        </w:rPr>
      </w:pPr>
      <w:r w:rsidRPr="00CB7955">
        <w:rPr>
          <w:rFonts w:ascii="Arial" w:hAnsi="Arial" w:cs="Arial"/>
          <w:sz w:val="22"/>
        </w:rPr>
        <w:t xml:space="preserve">Finally, the missed visit must trigger incident administration, not alteration or concealment of records. The agency should keep the records of rota, call monitoring and medicines, harm checks should be documented, managers and commissioners informed, an apology should be made to Mr Ahmed and his wife, a remedy action plan should be developed. However, the Records Management Code requires creation, retention, access and disposal of health and </w:t>
      </w:r>
      <w:r w:rsidRPr="00CB7955">
        <w:rPr>
          <w:rFonts w:ascii="Arial" w:hAnsi="Arial" w:cs="Arial"/>
          <w:sz w:val="22"/>
        </w:rPr>
        <w:lastRenderedPageBreak/>
        <w:t>care records (Department of Health and Social Care, 2026). Additionally, duty of candour should involve transparency when the notifiable safety incident results in qualifying harm (Legislation.gov.uk, 2014). Also, an investigation showed the stakes, as an older patient received only eight of eighteen Parkinson’s doses on time, deteriorated and later died (Health Services Safety Investigations Body, 2024). Hence, accurate records must be used to aid learning from a root cause analysis, staffing rationalisation, visit alerts and contingency arrangements.</w:t>
      </w:r>
    </w:p>
    <w:p w14:paraId="7B64A5F2" w14:textId="77777777" w:rsidR="000A22D3" w:rsidRPr="00A40033" w:rsidRDefault="000A22D3" w:rsidP="000A22D3">
      <w:pPr>
        <w:tabs>
          <w:tab w:val="left" w:pos="6540"/>
        </w:tabs>
        <w:spacing w:line="360" w:lineRule="auto"/>
        <w:jc w:val="both"/>
        <w:rPr>
          <w:rFonts w:ascii="Arial" w:hAnsi="Arial" w:cs="Arial"/>
          <w:sz w:val="16"/>
          <w:szCs w:val="16"/>
        </w:rPr>
      </w:pPr>
    </w:p>
    <w:p w14:paraId="78C5F789" w14:textId="06981FB2" w:rsidR="000A22D3" w:rsidRPr="00A40033" w:rsidRDefault="000A22D3" w:rsidP="000A22D3">
      <w:pPr>
        <w:pStyle w:val="Heading1"/>
      </w:pPr>
      <w:bookmarkStart w:id="3" w:name="_Toc236862847"/>
      <w:r w:rsidRPr="00A40033">
        <w:t>Importance of Collaborative Working in Mr Ahmed’s Care:</w:t>
      </w:r>
      <w:bookmarkEnd w:id="3"/>
    </w:p>
    <w:p w14:paraId="5DB63376" w14:textId="3DA583F1" w:rsidR="000A22D3" w:rsidRPr="00A40033" w:rsidRDefault="00F65BE2" w:rsidP="00F65BE2">
      <w:pPr>
        <w:tabs>
          <w:tab w:val="left" w:pos="6540"/>
        </w:tabs>
        <w:spacing w:line="360" w:lineRule="auto"/>
        <w:jc w:val="both"/>
        <w:rPr>
          <w:rFonts w:ascii="Arial" w:hAnsi="Arial" w:cs="Arial"/>
          <w:sz w:val="22"/>
        </w:rPr>
      </w:pPr>
      <w:r w:rsidRPr="00F65BE2">
        <w:rPr>
          <w:rFonts w:ascii="Arial" w:hAnsi="Arial" w:cs="Arial"/>
          <w:sz w:val="22"/>
        </w:rPr>
        <w:t>Collaborative working is required as no single professional can manage Mr Ahmed's recovery, medicines, wounds, blood pressure, nutrition, and communication, and social support. In addition, the GP should carry out medical review; the district nurse should be vigilant of risks; the domiciliary workers should provide support and report on change; and the speech and swallowing therapist should advise on communication and swallowing strategies.</w:t>
      </w:r>
      <w:r w:rsidR="000A22D3" w:rsidRPr="00A40033">
        <w:rPr>
          <w:rFonts w:ascii="Arial" w:hAnsi="Arial" w:cs="Arial"/>
          <w:sz w:val="22"/>
        </w:rPr>
        <w:t xml:space="preserve"> Mr Ahmed and his wife must remain partners in goal-setting rather than passive recipients. NICE recommends coordinated multidisciplinary stroke rehabilitation across hospital and community settings (NICE, 2023). Therefore, the team should use one care plan, named coordinator, case reviews, referral routes and handovers such as SBAR. </w:t>
      </w:r>
      <w:r w:rsidR="00A15CEF">
        <w:rPr>
          <w:rFonts w:ascii="Arial" w:hAnsi="Arial" w:cs="Arial"/>
          <w:sz w:val="22"/>
        </w:rPr>
        <w:t>However, e</w:t>
      </w:r>
      <w:r w:rsidR="000A22D3" w:rsidRPr="00A40033">
        <w:rPr>
          <w:rFonts w:ascii="Arial" w:hAnsi="Arial" w:cs="Arial"/>
          <w:sz w:val="22"/>
        </w:rPr>
        <w:t xml:space="preserve">vidence suggests </w:t>
      </w:r>
      <w:proofErr w:type="spellStart"/>
      <w:r w:rsidR="000A22D3" w:rsidRPr="00A40033">
        <w:rPr>
          <w:rFonts w:ascii="Arial" w:hAnsi="Arial" w:cs="Arial"/>
          <w:sz w:val="22"/>
        </w:rPr>
        <w:t>interprofessional</w:t>
      </w:r>
      <w:proofErr w:type="spellEnd"/>
      <w:r w:rsidR="000A22D3" w:rsidRPr="00A40033">
        <w:rPr>
          <w:rFonts w:ascii="Arial" w:hAnsi="Arial" w:cs="Arial"/>
          <w:sz w:val="22"/>
        </w:rPr>
        <w:t xml:space="preserve"> collaboration can improve recommended practice, functional outcomes and resource use, although effectiveness depends on implementation quality (Reeves et al., 2017).</w:t>
      </w:r>
    </w:p>
    <w:p w14:paraId="70912F9D" w14:textId="77777777" w:rsidR="000A22D3" w:rsidRPr="00A40033" w:rsidRDefault="000A22D3" w:rsidP="000A22D3">
      <w:pPr>
        <w:tabs>
          <w:tab w:val="left" w:pos="6540"/>
        </w:tabs>
        <w:spacing w:line="360" w:lineRule="auto"/>
        <w:jc w:val="both"/>
        <w:rPr>
          <w:rFonts w:ascii="Arial" w:hAnsi="Arial" w:cs="Arial"/>
          <w:sz w:val="2"/>
          <w:szCs w:val="2"/>
        </w:rPr>
      </w:pPr>
    </w:p>
    <w:p w14:paraId="31E116E7" w14:textId="7A4AE011"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Moreover, collaboration may be weakened by unclear responsibility, incompatible records, hierarchy, workload, delayed replies and disagreement about risk. Workforce pressure matters because domiciliary care had England’s highest adult social-care vacancy rate at 9.7</w:t>
      </w:r>
      <w:r w:rsidR="00A15CEF">
        <w:rPr>
          <w:rFonts w:ascii="Arial" w:hAnsi="Arial" w:cs="Arial"/>
          <w:sz w:val="22"/>
        </w:rPr>
        <w:t>%</w:t>
      </w:r>
      <w:r w:rsidRPr="00A40033">
        <w:rPr>
          <w:rFonts w:ascii="Arial" w:hAnsi="Arial" w:cs="Arial"/>
          <w:sz w:val="22"/>
        </w:rPr>
        <w:t xml:space="preserve"> in 2024–2025, increasing the possibility of missed visits (Skills for Care, 2025). These barriers require roles, contacts, escalation deadlines, interoperable records, review time and respectful challenge. After the missed visit, a manager should confirm who checks call alerts, supplies cover and contacts the GP about delayed medication</w:t>
      </w:r>
      <w:r w:rsidR="00A15CEF">
        <w:rPr>
          <w:rFonts w:ascii="Arial" w:hAnsi="Arial" w:cs="Arial"/>
          <w:sz w:val="22"/>
        </w:rPr>
        <w:t xml:space="preserve"> as t</w:t>
      </w:r>
      <w:r w:rsidRPr="00A40033">
        <w:rPr>
          <w:rFonts w:ascii="Arial" w:hAnsi="Arial" w:cs="Arial"/>
          <w:sz w:val="22"/>
        </w:rPr>
        <w:t>raining on stroke, medicines, safeguarding, equality and communication would build competence. Although collaboration can improve outcomes, research shows variable results for complex older patients, so the team must audit visit reliability, medication timeliness and Mr Ahmed’s experience (Bouton et al., 2023).</w:t>
      </w:r>
    </w:p>
    <w:p w14:paraId="05D98AB4" w14:textId="77777777" w:rsidR="000A22D3" w:rsidRPr="00A40033" w:rsidRDefault="000A22D3" w:rsidP="000A22D3">
      <w:pPr>
        <w:tabs>
          <w:tab w:val="left" w:pos="6540"/>
        </w:tabs>
        <w:spacing w:line="360" w:lineRule="auto"/>
        <w:jc w:val="both"/>
        <w:rPr>
          <w:rFonts w:ascii="Arial" w:hAnsi="Arial" w:cs="Arial"/>
          <w:b/>
          <w:bCs/>
          <w:sz w:val="16"/>
          <w:szCs w:val="16"/>
        </w:rPr>
      </w:pPr>
    </w:p>
    <w:p w14:paraId="23385803" w14:textId="5142C8A5" w:rsidR="000A22D3" w:rsidRPr="00A40033" w:rsidRDefault="000A22D3" w:rsidP="000A22D3">
      <w:pPr>
        <w:pStyle w:val="Heading1"/>
      </w:pPr>
      <w:bookmarkStart w:id="4" w:name="_Toc236862848"/>
      <w:r w:rsidRPr="00A40033">
        <w:lastRenderedPageBreak/>
        <w:t>Conclusion:</w:t>
      </w:r>
      <w:bookmarkEnd w:id="4"/>
    </w:p>
    <w:p w14:paraId="4395387E" w14:textId="796A6987" w:rsidR="000A22D3" w:rsidRPr="00A40033" w:rsidRDefault="00C439D0" w:rsidP="00C439D0">
      <w:pPr>
        <w:tabs>
          <w:tab w:val="left" w:pos="6540"/>
        </w:tabs>
        <w:spacing w:line="360" w:lineRule="auto"/>
        <w:jc w:val="both"/>
        <w:rPr>
          <w:rFonts w:ascii="Arial" w:hAnsi="Arial" w:cs="Arial"/>
          <w:sz w:val="22"/>
        </w:rPr>
      </w:pPr>
      <w:r w:rsidRPr="00C439D0">
        <w:rPr>
          <w:rFonts w:ascii="Arial" w:hAnsi="Arial" w:cs="Arial"/>
          <w:sz w:val="22"/>
        </w:rPr>
        <w:t xml:space="preserve">In conclusion, this case study report critically demonstrates that Mr Ahmed’s safety depends upon communication, administration and collaboration operating as one connected system. Effective practice needs to engage him directly, using Bengali interpretation and supported communication and involving his wife utilising reasonable adjustments under equality law (GOV.UK, 2010; NHS England, 2025). Similarly, maintaining precise and secure records that document each visit, medicine given, observation, decision and escalation, is essential as it can mask harm if details are missing or delay accountability that is essential to safeguarding (Care Quality Commission 2025a). The missed visit should therefore result in an open investigation, prompt review and sound contingency plans not a blame and record alteration. Finally, shared care planning, defined roles, handover and regular multidisciplinary review should ensure that the GP, district nurse and care agency, alongside Mr Ahmed have the same aims (NICE, 2023). These measures serve together to preserve dignity, continuity, legal rights and recovery, and </w:t>
      </w:r>
      <w:proofErr w:type="spellStart"/>
      <w:r w:rsidRPr="00C439D0">
        <w:rPr>
          <w:rFonts w:ascii="Arial" w:hAnsi="Arial" w:cs="Arial"/>
          <w:sz w:val="22"/>
        </w:rPr>
        <w:t>minimize</w:t>
      </w:r>
      <w:proofErr w:type="spellEnd"/>
      <w:r w:rsidRPr="00C439D0">
        <w:rPr>
          <w:rFonts w:ascii="Arial" w:hAnsi="Arial" w:cs="Arial"/>
          <w:sz w:val="22"/>
        </w:rPr>
        <w:t xml:space="preserve"> potential for repeated delayed medication.</w:t>
      </w:r>
    </w:p>
    <w:p w14:paraId="0933697F" w14:textId="77777777" w:rsidR="000A22D3" w:rsidRPr="00A40033" w:rsidRDefault="000A22D3" w:rsidP="000A22D3">
      <w:pPr>
        <w:tabs>
          <w:tab w:val="left" w:pos="6540"/>
        </w:tabs>
        <w:spacing w:line="360" w:lineRule="auto"/>
        <w:jc w:val="both"/>
        <w:rPr>
          <w:rFonts w:ascii="Arial" w:hAnsi="Arial" w:cs="Arial"/>
          <w:b/>
          <w:bCs/>
          <w:sz w:val="22"/>
        </w:rPr>
      </w:pPr>
    </w:p>
    <w:p w14:paraId="322CE33D" w14:textId="77777777" w:rsidR="000A22D3" w:rsidRPr="00A40033" w:rsidRDefault="000A22D3" w:rsidP="000A22D3">
      <w:pPr>
        <w:tabs>
          <w:tab w:val="left" w:pos="6540"/>
        </w:tabs>
        <w:spacing w:line="360" w:lineRule="auto"/>
        <w:jc w:val="both"/>
        <w:rPr>
          <w:rFonts w:ascii="Arial" w:hAnsi="Arial" w:cs="Arial"/>
          <w:b/>
          <w:bCs/>
          <w:sz w:val="22"/>
        </w:rPr>
      </w:pPr>
    </w:p>
    <w:p w14:paraId="1C794854" w14:textId="77777777" w:rsidR="000A22D3" w:rsidRPr="00A40033" w:rsidRDefault="000A22D3" w:rsidP="000A22D3">
      <w:pPr>
        <w:tabs>
          <w:tab w:val="left" w:pos="6540"/>
        </w:tabs>
        <w:spacing w:line="360" w:lineRule="auto"/>
        <w:jc w:val="both"/>
        <w:rPr>
          <w:rFonts w:ascii="Arial" w:hAnsi="Arial" w:cs="Arial"/>
          <w:b/>
          <w:bCs/>
          <w:sz w:val="22"/>
        </w:rPr>
      </w:pPr>
    </w:p>
    <w:p w14:paraId="53E45490" w14:textId="77777777" w:rsidR="000A22D3" w:rsidRDefault="000A22D3" w:rsidP="000A22D3">
      <w:pPr>
        <w:tabs>
          <w:tab w:val="left" w:pos="6540"/>
        </w:tabs>
        <w:spacing w:line="360" w:lineRule="auto"/>
        <w:jc w:val="both"/>
        <w:rPr>
          <w:rFonts w:ascii="Arial" w:hAnsi="Arial" w:cs="Arial"/>
          <w:b/>
          <w:bCs/>
          <w:sz w:val="22"/>
        </w:rPr>
      </w:pPr>
    </w:p>
    <w:p w14:paraId="67831384" w14:textId="77777777" w:rsidR="0011294C" w:rsidRDefault="0011294C" w:rsidP="000A22D3">
      <w:pPr>
        <w:tabs>
          <w:tab w:val="left" w:pos="6540"/>
        </w:tabs>
        <w:spacing w:line="360" w:lineRule="auto"/>
        <w:jc w:val="both"/>
        <w:rPr>
          <w:rFonts w:ascii="Arial" w:hAnsi="Arial" w:cs="Arial"/>
          <w:b/>
          <w:bCs/>
          <w:sz w:val="22"/>
        </w:rPr>
      </w:pPr>
    </w:p>
    <w:p w14:paraId="0A5791D2" w14:textId="77777777" w:rsidR="0011294C" w:rsidRDefault="0011294C" w:rsidP="000A22D3">
      <w:pPr>
        <w:tabs>
          <w:tab w:val="left" w:pos="6540"/>
        </w:tabs>
        <w:spacing w:line="360" w:lineRule="auto"/>
        <w:jc w:val="both"/>
        <w:rPr>
          <w:rFonts w:ascii="Arial" w:hAnsi="Arial" w:cs="Arial"/>
          <w:b/>
          <w:bCs/>
          <w:sz w:val="22"/>
        </w:rPr>
      </w:pPr>
    </w:p>
    <w:p w14:paraId="0DEA47CC" w14:textId="77777777" w:rsidR="0011294C" w:rsidRDefault="0011294C" w:rsidP="000A22D3">
      <w:pPr>
        <w:tabs>
          <w:tab w:val="left" w:pos="6540"/>
        </w:tabs>
        <w:spacing w:line="360" w:lineRule="auto"/>
        <w:jc w:val="both"/>
        <w:rPr>
          <w:rFonts w:ascii="Arial" w:hAnsi="Arial" w:cs="Arial"/>
          <w:b/>
          <w:bCs/>
          <w:sz w:val="22"/>
        </w:rPr>
      </w:pPr>
    </w:p>
    <w:p w14:paraId="3F30654C" w14:textId="77777777" w:rsidR="0011294C" w:rsidRDefault="0011294C" w:rsidP="000A22D3">
      <w:pPr>
        <w:tabs>
          <w:tab w:val="left" w:pos="6540"/>
        </w:tabs>
        <w:spacing w:line="360" w:lineRule="auto"/>
        <w:jc w:val="both"/>
        <w:rPr>
          <w:rFonts w:ascii="Arial" w:hAnsi="Arial" w:cs="Arial"/>
          <w:b/>
          <w:bCs/>
          <w:sz w:val="22"/>
        </w:rPr>
      </w:pPr>
    </w:p>
    <w:p w14:paraId="75D102B6" w14:textId="77777777" w:rsidR="0011294C" w:rsidRDefault="0011294C" w:rsidP="000A22D3">
      <w:pPr>
        <w:tabs>
          <w:tab w:val="left" w:pos="6540"/>
        </w:tabs>
        <w:spacing w:line="360" w:lineRule="auto"/>
        <w:jc w:val="both"/>
        <w:rPr>
          <w:rFonts w:ascii="Arial" w:hAnsi="Arial" w:cs="Arial"/>
          <w:b/>
          <w:bCs/>
          <w:sz w:val="22"/>
        </w:rPr>
      </w:pPr>
    </w:p>
    <w:p w14:paraId="49B2AF61" w14:textId="77777777" w:rsidR="0011294C" w:rsidRDefault="0011294C" w:rsidP="000A22D3">
      <w:pPr>
        <w:tabs>
          <w:tab w:val="left" w:pos="6540"/>
        </w:tabs>
        <w:spacing w:line="360" w:lineRule="auto"/>
        <w:jc w:val="both"/>
        <w:rPr>
          <w:rFonts w:ascii="Arial" w:hAnsi="Arial" w:cs="Arial"/>
          <w:b/>
          <w:bCs/>
          <w:sz w:val="22"/>
        </w:rPr>
      </w:pPr>
    </w:p>
    <w:p w14:paraId="17426B73" w14:textId="77777777" w:rsidR="0011294C" w:rsidRDefault="0011294C" w:rsidP="000A22D3">
      <w:pPr>
        <w:tabs>
          <w:tab w:val="left" w:pos="6540"/>
        </w:tabs>
        <w:spacing w:line="360" w:lineRule="auto"/>
        <w:jc w:val="both"/>
        <w:rPr>
          <w:rFonts w:ascii="Arial" w:hAnsi="Arial" w:cs="Arial"/>
          <w:b/>
          <w:bCs/>
          <w:sz w:val="22"/>
        </w:rPr>
      </w:pPr>
    </w:p>
    <w:p w14:paraId="68186446" w14:textId="77777777" w:rsidR="0011294C" w:rsidRDefault="0011294C" w:rsidP="000A22D3">
      <w:pPr>
        <w:tabs>
          <w:tab w:val="left" w:pos="6540"/>
        </w:tabs>
        <w:spacing w:line="360" w:lineRule="auto"/>
        <w:jc w:val="both"/>
        <w:rPr>
          <w:rFonts w:ascii="Arial" w:hAnsi="Arial" w:cs="Arial"/>
          <w:b/>
          <w:bCs/>
          <w:sz w:val="22"/>
        </w:rPr>
      </w:pPr>
    </w:p>
    <w:p w14:paraId="551986C2" w14:textId="77777777" w:rsidR="0011294C" w:rsidRDefault="0011294C" w:rsidP="000A22D3">
      <w:pPr>
        <w:tabs>
          <w:tab w:val="left" w:pos="6540"/>
        </w:tabs>
        <w:spacing w:line="360" w:lineRule="auto"/>
        <w:jc w:val="both"/>
        <w:rPr>
          <w:rFonts w:ascii="Arial" w:hAnsi="Arial" w:cs="Arial"/>
          <w:b/>
          <w:bCs/>
          <w:sz w:val="22"/>
        </w:rPr>
      </w:pPr>
    </w:p>
    <w:p w14:paraId="0BC2EA4D" w14:textId="77777777" w:rsidR="0011294C" w:rsidRDefault="0011294C" w:rsidP="000A22D3">
      <w:pPr>
        <w:tabs>
          <w:tab w:val="left" w:pos="6540"/>
        </w:tabs>
        <w:spacing w:line="360" w:lineRule="auto"/>
        <w:jc w:val="both"/>
        <w:rPr>
          <w:rFonts w:ascii="Arial" w:hAnsi="Arial" w:cs="Arial"/>
          <w:b/>
          <w:bCs/>
          <w:sz w:val="22"/>
        </w:rPr>
      </w:pPr>
    </w:p>
    <w:p w14:paraId="487373A2" w14:textId="77777777" w:rsidR="0011294C" w:rsidRPr="00A40033" w:rsidRDefault="0011294C" w:rsidP="000A22D3">
      <w:pPr>
        <w:tabs>
          <w:tab w:val="left" w:pos="6540"/>
        </w:tabs>
        <w:spacing w:line="360" w:lineRule="auto"/>
        <w:jc w:val="both"/>
        <w:rPr>
          <w:rFonts w:ascii="Arial" w:hAnsi="Arial" w:cs="Arial"/>
          <w:b/>
          <w:bCs/>
          <w:sz w:val="22"/>
        </w:rPr>
      </w:pPr>
    </w:p>
    <w:p w14:paraId="4EA5059A" w14:textId="73D88146" w:rsidR="000A22D3" w:rsidRPr="00A40033" w:rsidRDefault="000A22D3" w:rsidP="000A22D3">
      <w:pPr>
        <w:pStyle w:val="Heading1"/>
      </w:pPr>
      <w:bookmarkStart w:id="5" w:name="_Toc236862849"/>
      <w:r w:rsidRPr="00A40033">
        <w:lastRenderedPageBreak/>
        <w:t>References:</w:t>
      </w:r>
      <w:bookmarkEnd w:id="5"/>
    </w:p>
    <w:p w14:paraId="1A1E771D" w14:textId="77777777" w:rsidR="00385392" w:rsidRPr="00385392" w:rsidRDefault="00385392" w:rsidP="000A22D3">
      <w:pPr>
        <w:tabs>
          <w:tab w:val="left" w:pos="6540"/>
        </w:tabs>
        <w:spacing w:line="360" w:lineRule="auto"/>
        <w:jc w:val="both"/>
        <w:rPr>
          <w:rFonts w:ascii="Arial" w:hAnsi="Arial" w:cs="Arial"/>
          <w:sz w:val="2"/>
          <w:szCs w:val="2"/>
        </w:rPr>
      </w:pPr>
    </w:p>
    <w:p w14:paraId="2BD4B7E4" w14:textId="51508C2D"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Argyle, M. (1972). </w:t>
      </w:r>
      <w:r w:rsidRPr="00A40033">
        <w:rPr>
          <w:rFonts w:ascii="Arial" w:hAnsi="Arial" w:cs="Arial"/>
          <w:i/>
          <w:iCs/>
          <w:sz w:val="22"/>
        </w:rPr>
        <w:t>The Psychology of Interpersonal Behaviour</w:t>
      </w:r>
      <w:r w:rsidRPr="00A40033">
        <w:rPr>
          <w:rFonts w:ascii="Arial" w:hAnsi="Arial" w:cs="Arial"/>
          <w:sz w:val="22"/>
        </w:rPr>
        <w:t xml:space="preserve">. 2nd ed. </w:t>
      </w:r>
      <w:proofErr w:type="spellStart"/>
      <w:r w:rsidRPr="00A40033">
        <w:rPr>
          <w:rFonts w:ascii="Arial" w:hAnsi="Arial" w:cs="Arial"/>
          <w:sz w:val="22"/>
        </w:rPr>
        <w:t>Harmondsworth</w:t>
      </w:r>
      <w:proofErr w:type="spellEnd"/>
      <w:r w:rsidRPr="00A40033">
        <w:rPr>
          <w:rFonts w:ascii="Arial" w:hAnsi="Arial" w:cs="Arial"/>
          <w:sz w:val="22"/>
        </w:rPr>
        <w:t>: Penguin.</w:t>
      </w:r>
    </w:p>
    <w:p w14:paraId="524A00F2" w14:textId="77777777" w:rsidR="000A22D3" w:rsidRPr="00A40033" w:rsidRDefault="000A22D3" w:rsidP="000A22D3">
      <w:pPr>
        <w:tabs>
          <w:tab w:val="left" w:pos="6540"/>
        </w:tabs>
        <w:spacing w:line="360" w:lineRule="auto"/>
        <w:jc w:val="both"/>
        <w:rPr>
          <w:rFonts w:ascii="Arial" w:hAnsi="Arial" w:cs="Arial"/>
          <w:sz w:val="2"/>
          <w:szCs w:val="2"/>
        </w:rPr>
      </w:pPr>
    </w:p>
    <w:p w14:paraId="1A9F8298" w14:textId="77777777"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Bouton, C., </w:t>
      </w:r>
      <w:proofErr w:type="spellStart"/>
      <w:r w:rsidRPr="00A40033">
        <w:rPr>
          <w:rFonts w:ascii="Arial" w:hAnsi="Arial" w:cs="Arial"/>
          <w:sz w:val="22"/>
        </w:rPr>
        <w:t>Journeaux</w:t>
      </w:r>
      <w:proofErr w:type="spellEnd"/>
      <w:r w:rsidRPr="00A40033">
        <w:rPr>
          <w:rFonts w:ascii="Arial" w:hAnsi="Arial" w:cs="Arial"/>
          <w:sz w:val="22"/>
        </w:rPr>
        <w:t xml:space="preserve">, M., </w:t>
      </w:r>
      <w:proofErr w:type="spellStart"/>
      <w:r w:rsidRPr="00A40033">
        <w:rPr>
          <w:rFonts w:ascii="Arial" w:hAnsi="Arial" w:cs="Arial"/>
          <w:sz w:val="22"/>
        </w:rPr>
        <w:t>Jourdain</w:t>
      </w:r>
      <w:proofErr w:type="spellEnd"/>
      <w:r w:rsidRPr="00A40033">
        <w:rPr>
          <w:rFonts w:ascii="Arial" w:hAnsi="Arial" w:cs="Arial"/>
          <w:sz w:val="22"/>
        </w:rPr>
        <w:t xml:space="preserve">, M., </w:t>
      </w:r>
      <w:proofErr w:type="spellStart"/>
      <w:r w:rsidRPr="00A40033">
        <w:rPr>
          <w:rFonts w:ascii="Arial" w:hAnsi="Arial" w:cs="Arial"/>
          <w:sz w:val="22"/>
        </w:rPr>
        <w:t>Angibaud</w:t>
      </w:r>
      <w:proofErr w:type="spellEnd"/>
      <w:r w:rsidRPr="00A40033">
        <w:rPr>
          <w:rFonts w:ascii="Arial" w:hAnsi="Arial" w:cs="Arial"/>
          <w:sz w:val="22"/>
        </w:rPr>
        <w:t xml:space="preserve">, M., Huon, J.F. and Rat, C. (2023). </w:t>
      </w:r>
      <w:proofErr w:type="spellStart"/>
      <w:r w:rsidRPr="00A40033">
        <w:rPr>
          <w:rFonts w:ascii="Arial" w:hAnsi="Arial" w:cs="Arial"/>
          <w:sz w:val="22"/>
        </w:rPr>
        <w:t>Interprofessional</w:t>
      </w:r>
      <w:proofErr w:type="spellEnd"/>
      <w:r w:rsidRPr="00A40033">
        <w:rPr>
          <w:rFonts w:ascii="Arial" w:hAnsi="Arial" w:cs="Arial"/>
          <w:sz w:val="22"/>
        </w:rPr>
        <w:t xml:space="preserve"> collaboration in primary care: what effect on patient health? A systematic literature review. </w:t>
      </w:r>
      <w:r w:rsidRPr="00A40033">
        <w:rPr>
          <w:rFonts w:ascii="Arial" w:hAnsi="Arial" w:cs="Arial"/>
          <w:i/>
          <w:iCs/>
          <w:sz w:val="22"/>
        </w:rPr>
        <w:t>BMC Primary Care</w:t>
      </w:r>
      <w:r w:rsidRPr="00A40033">
        <w:rPr>
          <w:rFonts w:ascii="Arial" w:hAnsi="Arial" w:cs="Arial"/>
          <w:sz w:val="22"/>
        </w:rPr>
        <w:t xml:space="preserve">, 24, Article 253. </w:t>
      </w:r>
      <w:proofErr w:type="spellStart"/>
      <w:r w:rsidRPr="00A40033">
        <w:rPr>
          <w:rFonts w:ascii="Arial" w:hAnsi="Arial" w:cs="Arial"/>
          <w:sz w:val="22"/>
        </w:rPr>
        <w:t>doi</w:t>
      </w:r>
      <w:proofErr w:type="spellEnd"/>
      <w:r w:rsidRPr="00A40033">
        <w:rPr>
          <w:rFonts w:ascii="Arial" w:hAnsi="Arial" w:cs="Arial"/>
          <w:sz w:val="22"/>
        </w:rPr>
        <w:t xml:space="preserve">: </w:t>
      </w:r>
      <w:hyperlink r:id="rId12" w:history="1">
        <w:r w:rsidRPr="00A40033">
          <w:rPr>
            <w:rStyle w:val="Hyperlink"/>
            <w:rFonts w:ascii="Arial" w:hAnsi="Arial" w:cs="Arial"/>
            <w:sz w:val="22"/>
          </w:rPr>
          <w:t>https://doi.org/10.1186/s12875-023-02189-0</w:t>
        </w:r>
      </w:hyperlink>
    </w:p>
    <w:p w14:paraId="06C4EBA1" w14:textId="77777777" w:rsidR="000A22D3" w:rsidRPr="00A40033" w:rsidRDefault="000A22D3" w:rsidP="000A22D3">
      <w:pPr>
        <w:tabs>
          <w:tab w:val="left" w:pos="6540"/>
        </w:tabs>
        <w:spacing w:line="360" w:lineRule="auto"/>
        <w:jc w:val="both"/>
        <w:rPr>
          <w:rFonts w:ascii="Arial" w:hAnsi="Arial" w:cs="Arial"/>
          <w:sz w:val="2"/>
          <w:szCs w:val="2"/>
        </w:rPr>
      </w:pPr>
    </w:p>
    <w:p w14:paraId="7461AFBF" w14:textId="7C132D7C"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Care Quality Commission [CQC] (2025a). </w:t>
      </w:r>
      <w:r w:rsidRPr="00A40033">
        <w:rPr>
          <w:rFonts w:ascii="Arial" w:hAnsi="Arial" w:cs="Arial"/>
          <w:i/>
          <w:iCs/>
          <w:sz w:val="22"/>
        </w:rPr>
        <w:t>Regulation 12: Safe care and treatment</w:t>
      </w:r>
      <w:r w:rsidRPr="00A40033">
        <w:rPr>
          <w:rFonts w:ascii="Arial" w:hAnsi="Arial" w:cs="Arial"/>
          <w:sz w:val="22"/>
        </w:rPr>
        <w:t xml:space="preserve">. [online] CQC. Available at: </w:t>
      </w:r>
      <w:hyperlink r:id="rId13" w:history="1">
        <w:r w:rsidRPr="00A40033">
          <w:rPr>
            <w:rStyle w:val="Hyperlink"/>
            <w:rFonts w:ascii="Arial" w:hAnsi="Arial" w:cs="Arial"/>
            <w:sz w:val="22"/>
          </w:rPr>
          <w:t>https://www.cqc.org.uk/guidance-regulation/providers/regulations-service-providers-and-managers/health-social-care-act/regulation-12</w:t>
        </w:r>
      </w:hyperlink>
    </w:p>
    <w:p w14:paraId="787862F3" w14:textId="77777777" w:rsidR="000A22D3" w:rsidRPr="00A40033" w:rsidRDefault="000A22D3" w:rsidP="000A22D3">
      <w:pPr>
        <w:tabs>
          <w:tab w:val="left" w:pos="6540"/>
        </w:tabs>
        <w:spacing w:line="360" w:lineRule="auto"/>
        <w:jc w:val="both"/>
        <w:rPr>
          <w:rFonts w:ascii="Arial" w:hAnsi="Arial" w:cs="Arial"/>
          <w:sz w:val="2"/>
          <w:szCs w:val="2"/>
        </w:rPr>
      </w:pPr>
    </w:p>
    <w:p w14:paraId="62A02ADF" w14:textId="4B904373"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Care Quality Commission [CQC] (2025b). </w:t>
      </w:r>
      <w:r w:rsidRPr="00A40033">
        <w:rPr>
          <w:rFonts w:ascii="Arial" w:hAnsi="Arial" w:cs="Arial"/>
          <w:i/>
          <w:iCs/>
          <w:sz w:val="22"/>
        </w:rPr>
        <w:t>Regulation 17: Good governance.</w:t>
      </w:r>
      <w:r w:rsidRPr="00A40033">
        <w:rPr>
          <w:rFonts w:ascii="Arial" w:hAnsi="Arial" w:cs="Arial"/>
          <w:sz w:val="22"/>
        </w:rPr>
        <w:t xml:space="preserve"> [online] CQC. Available at: </w:t>
      </w:r>
      <w:hyperlink r:id="rId14" w:history="1">
        <w:r w:rsidRPr="00A40033">
          <w:rPr>
            <w:rStyle w:val="Hyperlink"/>
            <w:rFonts w:ascii="Arial" w:hAnsi="Arial" w:cs="Arial"/>
            <w:sz w:val="22"/>
          </w:rPr>
          <w:t>https://www.cqc.org.uk/guidance-regulation/providers/regulations-service-providers-and-managers/health-social-care-act/regulation-17</w:t>
        </w:r>
      </w:hyperlink>
    </w:p>
    <w:p w14:paraId="42D0086A" w14:textId="77777777" w:rsidR="00CB2027" w:rsidRPr="00A40033" w:rsidRDefault="00CB2027" w:rsidP="000A22D3">
      <w:pPr>
        <w:tabs>
          <w:tab w:val="left" w:pos="6540"/>
        </w:tabs>
        <w:spacing w:line="360" w:lineRule="auto"/>
        <w:jc w:val="both"/>
        <w:rPr>
          <w:rFonts w:ascii="Arial" w:hAnsi="Arial" w:cs="Arial"/>
          <w:sz w:val="2"/>
          <w:szCs w:val="2"/>
        </w:rPr>
      </w:pPr>
    </w:p>
    <w:p w14:paraId="32BF31B8" w14:textId="77777777" w:rsidR="0011294C" w:rsidRPr="00A40033" w:rsidRDefault="0011294C" w:rsidP="0011294C">
      <w:pPr>
        <w:tabs>
          <w:tab w:val="left" w:pos="6540"/>
        </w:tabs>
        <w:spacing w:line="360" w:lineRule="auto"/>
        <w:jc w:val="both"/>
        <w:rPr>
          <w:rFonts w:ascii="Arial" w:hAnsi="Arial" w:cs="Arial"/>
          <w:sz w:val="22"/>
        </w:rPr>
      </w:pPr>
      <w:r w:rsidRPr="00A40033">
        <w:rPr>
          <w:rFonts w:ascii="Arial" w:hAnsi="Arial" w:cs="Arial"/>
          <w:sz w:val="22"/>
        </w:rPr>
        <w:t xml:space="preserve">Department of Health and Social Care [DHSC] (2026). </w:t>
      </w:r>
      <w:r w:rsidRPr="00A40033">
        <w:rPr>
          <w:rFonts w:ascii="Arial" w:hAnsi="Arial" w:cs="Arial"/>
          <w:i/>
          <w:iCs/>
          <w:sz w:val="22"/>
        </w:rPr>
        <w:t>Records Management Code of Practice</w:t>
      </w:r>
      <w:r w:rsidRPr="00A40033">
        <w:rPr>
          <w:rFonts w:ascii="Arial" w:hAnsi="Arial" w:cs="Arial"/>
          <w:sz w:val="22"/>
        </w:rPr>
        <w:t xml:space="preserve">. [online] GOV.UK. Available at: </w:t>
      </w:r>
      <w:hyperlink r:id="rId15" w:history="1">
        <w:r w:rsidRPr="00A40033">
          <w:rPr>
            <w:rStyle w:val="Hyperlink"/>
            <w:rFonts w:ascii="Arial" w:hAnsi="Arial" w:cs="Arial"/>
            <w:sz w:val="22"/>
          </w:rPr>
          <w:t>https://www.gov.uk/government/publications/records-management-code-of-practice-for-health-and-social-care</w:t>
        </w:r>
      </w:hyperlink>
    </w:p>
    <w:p w14:paraId="07DAF83B" w14:textId="77777777" w:rsidR="0011294C" w:rsidRPr="0011294C" w:rsidRDefault="0011294C" w:rsidP="0011294C">
      <w:pPr>
        <w:tabs>
          <w:tab w:val="left" w:pos="6540"/>
        </w:tabs>
        <w:spacing w:line="360" w:lineRule="auto"/>
        <w:jc w:val="both"/>
        <w:rPr>
          <w:rFonts w:ascii="Arial" w:hAnsi="Arial" w:cs="Arial"/>
          <w:sz w:val="2"/>
          <w:szCs w:val="2"/>
        </w:rPr>
      </w:pPr>
    </w:p>
    <w:p w14:paraId="3E09DCE9" w14:textId="578F8A90" w:rsidR="0011294C" w:rsidRDefault="0011294C" w:rsidP="0011294C">
      <w:pPr>
        <w:tabs>
          <w:tab w:val="left" w:pos="6540"/>
        </w:tabs>
        <w:spacing w:line="360" w:lineRule="auto"/>
        <w:jc w:val="both"/>
        <w:rPr>
          <w:rFonts w:ascii="Arial" w:hAnsi="Arial" w:cs="Arial"/>
          <w:sz w:val="22"/>
          <w:lang w:val="en-US"/>
        </w:rPr>
      </w:pPr>
      <w:r w:rsidRPr="0011294C">
        <w:rPr>
          <w:rFonts w:ascii="Arial" w:hAnsi="Arial" w:cs="Arial"/>
          <w:sz w:val="22"/>
          <w:lang w:val="en-US"/>
        </w:rPr>
        <w:t xml:space="preserve">GOV.UK (2010). </w:t>
      </w:r>
      <w:r w:rsidRPr="0011294C">
        <w:rPr>
          <w:rFonts w:ascii="Arial" w:hAnsi="Arial" w:cs="Arial"/>
          <w:i/>
          <w:iCs/>
          <w:sz w:val="22"/>
          <w:lang w:val="en-US"/>
        </w:rPr>
        <w:t>Equality Act 2010</w:t>
      </w:r>
      <w:r w:rsidRPr="0011294C">
        <w:rPr>
          <w:rFonts w:ascii="Arial" w:hAnsi="Arial" w:cs="Arial"/>
          <w:sz w:val="22"/>
          <w:lang w:val="en-US"/>
        </w:rPr>
        <w:t xml:space="preserve">. [online] </w:t>
      </w:r>
      <w:r w:rsidRPr="0011294C">
        <w:rPr>
          <w:rFonts w:ascii="Arial" w:hAnsi="Arial" w:cs="Arial"/>
          <w:i/>
          <w:iCs/>
          <w:sz w:val="22"/>
          <w:lang w:val="en-US"/>
        </w:rPr>
        <w:t>Legislation.gov.uk</w:t>
      </w:r>
      <w:r w:rsidRPr="0011294C">
        <w:rPr>
          <w:rFonts w:ascii="Arial" w:hAnsi="Arial" w:cs="Arial"/>
          <w:sz w:val="22"/>
          <w:lang w:val="en-US"/>
        </w:rPr>
        <w:t xml:space="preserve">. Gov.uk. Available at: </w:t>
      </w:r>
      <w:hyperlink r:id="rId16" w:history="1">
        <w:r w:rsidRPr="002B04FA">
          <w:rPr>
            <w:rStyle w:val="Hyperlink"/>
            <w:rFonts w:ascii="Arial" w:hAnsi="Arial" w:cs="Arial"/>
            <w:sz w:val="22"/>
            <w:lang w:val="en-US"/>
          </w:rPr>
          <w:t>https://www.legislation.gov.uk/ukpga/2010/15/contents</w:t>
        </w:r>
      </w:hyperlink>
      <w:r w:rsidRPr="0011294C">
        <w:rPr>
          <w:rFonts w:ascii="Arial" w:hAnsi="Arial" w:cs="Arial"/>
          <w:sz w:val="22"/>
          <w:lang w:val="en-US"/>
        </w:rPr>
        <w:t>.</w:t>
      </w:r>
      <w:r>
        <w:rPr>
          <w:rFonts w:ascii="Arial" w:hAnsi="Arial" w:cs="Arial"/>
          <w:sz w:val="22"/>
          <w:lang w:val="en-US"/>
        </w:rPr>
        <w:t xml:space="preserve"> </w:t>
      </w:r>
    </w:p>
    <w:p w14:paraId="05C4F559" w14:textId="77777777" w:rsidR="0011294C" w:rsidRPr="0011294C" w:rsidRDefault="0011294C" w:rsidP="0011294C">
      <w:pPr>
        <w:tabs>
          <w:tab w:val="left" w:pos="6540"/>
        </w:tabs>
        <w:spacing w:line="360" w:lineRule="auto"/>
        <w:jc w:val="both"/>
        <w:rPr>
          <w:rFonts w:ascii="Arial" w:hAnsi="Arial" w:cs="Arial"/>
          <w:sz w:val="2"/>
          <w:szCs w:val="2"/>
          <w:lang w:val="en-US"/>
        </w:rPr>
      </w:pPr>
    </w:p>
    <w:p w14:paraId="4BF4495F" w14:textId="6BE33E53" w:rsidR="0011294C" w:rsidRPr="0011294C" w:rsidRDefault="0011294C" w:rsidP="0011294C">
      <w:pPr>
        <w:tabs>
          <w:tab w:val="left" w:pos="6540"/>
        </w:tabs>
        <w:spacing w:line="360" w:lineRule="auto"/>
        <w:jc w:val="both"/>
        <w:rPr>
          <w:rFonts w:ascii="Arial" w:hAnsi="Arial" w:cs="Arial"/>
          <w:sz w:val="22"/>
          <w:lang w:val="en-US"/>
        </w:rPr>
      </w:pPr>
      <w:r w:rsidRPr="0011294C">
        <w:rPr>
          <w:rFonts w:ascii="Arial" w:hAnsi="Arial" w:cs="Arial"/>
          <w:sz w:val="22"/>
          <w:lang w:val="en-US"/>
        </w:rPr>
        <w:t xml:space="preserve">GOV.UK (2018). </w:t>
      </w:r>
      <w:r w:rsidRPr="0011294C">
        <w:rPr>
          <w:rFonts w:ascii="Arial" w:hAnsi="Arial" w:cs="Arial"/>
          <w:i/>
          <w:iCs/>
          <w:sz w:val="22"/>
          <w:lang w:val="en-US"/>
        </w:rPr>
        <w:t>Data Protection Act 2018</w:t>
      </w:r>
      <w:r w:rsidRPr="0011294C">
        <w:rPr>
          <w:rFonts w:ascii="Arial" w:hAnsi="Arial" w:cs="Arial"/>
          <w:sz w:val="22"/>
          <w:lang w:val="en-US"/>
        </w:rPr>
        <w:t xml:space="preserve">. [online] </w:t>
      </w:r>
      <w:r w:rsidRPr="0011294C">
        <w:rPr>
          <w:rFonts w:ascii="Arial" w:hAnsi="Arial" w:cs="Arial"/>
          <w:i/>
          <w:iCs/>
          <w:sz w:val="22"/>
          <w:lang w:val="en-US"/>
        </w:rPr>
        <w:t>legislation.gov.uk</w:t>
      </w:r>
      <w:r w:rsidRPr="0011294C">
        <w:rPr>
          <w:rFonts w:ascii="Arial" w:hAnsi="Arial" w:cs="Arial"/>
          <w:sz w:val="22"/>
          <w:lang w:val="en-US"/>
        </w:rPr>
        <w:t xml:space="preserve">. Available at: </w:t>
      </w:r>
      <w:hyperlink r:id="rId17" w:history="1">
        <w:r w:rsidRPr="002B04FA">
          <w:rPr>
            <w:rStyle w:val="Hyperlink"/>
            <w:rFonts w:ascii="Arial" w:hAnsi="Arial" w:cs="Arial"/>
            <w:sz w:val="22"/>
            <w:lang w:val="en-US"/>
          </w:rPr>
          <w:t>https://www.legislation.gov.uk/ukpga/2018/12/contents</w:t>
        </w:r>
      </w:hyperlink>
      <w:r w:rsidRPr="0011294C">
        <w:rPr>
          <w:rFonts w:ascii="Arial" w:hAnsi="Arial" w:cs="Arial"/>
          <w:sz w:val="22"/>
          <w:lang w:val="en-US"/>
        </w:rPr>
        <w:t>.</w:t>
      </w:r>
      <w:r>
        <w:rPr>
          <w:rFonts w:ascii="Arial" w:hAnsi="Arial" w:cs="Arial"/>
          <w:sz w:val="22"/>
          <w:lang w:val="en-US"/>
        </w:rPr>
        <w:t xml:space="preserve"> </w:t>
      </w:r>
    </w:p>
    <w:p w14:paraId="5529F748" w14:textId="77777777" w:rsidR="00CB2027" w:rsidRPr="00A40033" w:rsidRDefault="00CB2027" w:rsidP="000A22D3">
      <w:pPr>
        <w:tabs>
          <w:tab w:val="left" w:pos="6540"/>
        </w:tabs>
        <w:spacing w:line="360" w:lineRule="auto"/>
        <w:jc w:val="both"/>
        <w:rPr>
          <w:rFonts w:ascii="Arial" w:hAnsi="Arial" w:cs="Arial"/>
          <w:sz w:val="2"/>
          <w:szCs w:val="2"/>
        </w:rPr>
      </w:pPr>
    </w:p>
    <w:p w14:paraId="3521B5F8" w14:textId="77777777"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Heath, M., </w:t>
      </w:r>
      <w:proofErr w:type="spellStart"/>
      <w:r w:rsidRPr="00A40033">
        <w:rPr>
          <w:rFonts w:ascii="Arial" w:hAnsi="Arial" w:cs="Arial"/>
          <w:sz w:val="22"/>
        </w:rPr>
        <w:t>Hvass</w:t>
      </w:r>
      <w:proofErr w:type="spellEnd"/>
      <w:r w:rsidRPr="00A40033">
        <w:rPr>
          <w:rFonts w:ascii="Arial" w:hAnsi="Arial" w:cs="Arial"/>
          <w:sz w:val="22"/>
        </w:rPr>
        <w:t xml:space="preserve">, A.M.F. and </w:t>
      </w:r>
      <w:proofErr w:type="spellStart"/>
      <w:r w:rsidRPr="00A40033">
        <w:rPr>
          <w:rFonts w:ascii="Arial" w:hAnsi="Arial" w:cs="Arial"/>
          <w:sz w:val="22"/>
        </w:rPr>
        <w:t>Wejse</w:t>
      </w:r>
      <w:proofErr w:type="spellEnd"/>
      <w:r w:rsidRPr="00A40033">
        <w:rPr>
          <w:rFonts w:ascii="Arial" w:hAnsi="Arial" w:cs="Arial"/>
          <w:sz w:val="22"/>
        </w:rPr>
        <w:t xml:space="preserve">, C.M. (2023). Interpreter services and effect on healthcare: a systematic review of the impact of different types of interpreters on patient outcome. </w:t>
      </w:r>
      <w:r w:rsidRPr="00A40033">
        <w:rPr>
          <w:rFonts w:ascii="Arial" w:hAnsi="Arial" w:cs="Arial"/>
          <w:i/>
          <w:iCs/>
          <w:sz w:val="22"/>
        </w:rPr>
        <w:t>Journal of Migration and Health</w:t>
      </w:r>
      <w:r w:rsidRPr="00A40033">
        <w:rPr>
          <w:rFonts w:ascii="Arial" w:hAnsi="Arial" w:cs="Arial"/>
          <w:sz w:val="22"/>
        </w:rPr>
        <w:t xml:space="preserve">, 7, Article 100162. </w:t>
      </w:r>
      <w:proofErr w:type="spellStart"/>
      <w:r w:rsidRPr="00A40033">
        <w:rPr>
          <w:rFonts w:ascii="Arial" w:hAnsi="Arial" w:cs="Arial"/>
          <w:sz w:val="22"/>
        </w:rPr>
        <w:t>doi</w:t>
      </w:r>
      <w:proofErr w:type="spellEnd"/>
      <w:r w:rsidRPr="00A40033">
        <w:rPr>
          <w:rFonts w:ascii="Arial" w:hAnsi="Arial" w:cs="Arial"/>
          <w:sz w:val="22"/>
        </w:rPr>
        <w:t xml:space="preserve">: </w:t>
      </w:r>
      <w:hyperlink r:id="rId18" w:history="1">
        <w:r w:rsidRPr="00A40033">
          <w:rPr>
            <w:rStyle w:val="Hyperlink"/>
            <w:rFonts w:ascii="Arial" w:hAnsi="Arial" w:cs="Arial"/>
            <w:sz w:val="22"/>
          </w:rPr>
          <w:t>https://doi.org/10.1016/j.jmh.2023.100162</w:t>
        </w:r>
      </w:hyperlink>
    </w:p>
    <w:p w14:paraId="1931D853" w14:textId="77777777" w:rsidR="00CB2027" w:rsidRPr="00A40033" w:rsidRDefault="00CB2027" w:rsidP="000A22D3">
      <w:pPr>
        <w:tabs>
          <w:tab w:val="left" w:pos="6540"/>
        </w:tabs>
        <w:spacing w:line="360" w:lineRule="auto"/>
        <w:jc w:val="both"/>
        <w:rPr>
          <w:rFonts w:ascii="Arial" w:hAnsi="Arial" w:cs="Arial"/>
          <w:sz w:val="2"/>
          <w:szCs w:val="2"/>
        </w:rPr>
      </w:pPr>
    </w:p>
    <w:p w14:paraId="625FB4BC" w14:textId="77777777" w:rsidR="00A15CEF" w:rsidRPr="00A40033" w:rsidRDefault="00A15CEF" w:rsidP="00A15CEF">
      <w:pPr>
        <w:tabs>
          <w:tab w:val="left" w:pos="6540"/>
        </w:tabs>
        <w:spacing w:line="360" w:lineRule="auto"/>
        <w:jc w:val="both"/>
        <w:rPr>
          <w:rFonts w:ascii="Arial" w:hAnsi="Arial" w:cs="Arial"/>
          <w:sz w:val="22"/>
        </w:rPr>
      </w:pPr>
      <w:r w:rsidRPr="00A40033">
        <w:rPr>
          <w:rFonts w:ascii="Arial" w:hAnsi="Arial" w:cs="Arial"/>
          <w:sz w:val="22"/>
        </w:rPr>
        <w:t xml:space="preserve">Health Services Safety Investigations Body [HSSIB] (2024). </w:t>
      </w:r>
      <w:r w:rsidRPr="00A40033">
        <w:rPr>
          <w:rFonts w:ascii="Arial" w:hAnsi="Arial" w:cs="Arial"/>
          <w:i/>
          <w:iCs/>
          <w:sz w:val="22"/>
        </w:rPr>
        <w:t>Medication Not Given: Administration of Time Critical Medication in the Emergency Department</w:t>
      </w:r>
      <w:r w:rsidRPr="00A40033">
        <w:rPr>
          <w:rFonts w:ascii="Arial" w:hAnsi="Arial" w:cs="Arial"/>
          <w:sz w:val="22"/>
        </w:rPr>
        <w:t xml:space="preserve">. [online] HSSIB. Available at: </w:t>
      </w:r>
      <w:hyperlink r:id="rId19" w:history="1">
        <w:r w:rsidRPr="00A40033">
          <w:rPr>
            <w:rStyle w:val="Hyperlink"/>
            <w:rFonts w:ascii="Arial" w:hAnsi="Arial" w:cs="Arial"/>
            <w:sz w:val="22"/>
          </w:rPr>
          <w:t>https://www.hssib.org.uk/patient-safety-investigations/medication-related-harm/investigation-report/</w:t>
        </w:r>
      </w:hyperlink>
    </w:p>
    <w:p w14:paraId="3ADCA249" w14:textId="77777777" w:rsidR="00A15CEF" w:rsidRPr="00A40033" w:rsidRDefault="00A15CEF" w:rsidP="00A15CEF">
      <w:pPr>
        <w:tabs>
          <w:tab w:val="left" w:pos="6540"/>
        </w:tabs>
        <w:spacing w:line="360" w:lineRule="auto"/>
        <w:jc w:val="both"/>
        <w:rPr>
          <w:rFonts w:ascii="Arial" w:hAnsi="Arial" w:cs="Arial"/>
          <w:sz w:val="22"/>
        </w:rPr>
      </w:pPr>
      <w:r w:rsidRPr="00A40033">
        <w:rPr>
          <w:rFonts w:ascii="Arial" w:hAnsi="Arial" w:cs="Arial"/>
          <w:sz w:val="22"/>
        </w:rPr>
        <w:lastRenderedPageBreak/>
        <w:t xml:space="preserve">Information Commissioner’s Office [ICO] (2023). </w:t>
      </w:r>
      <w:r w:rsidRPr="00A40033">
        <w:rPr>
          <w:rFonts w:ascii="Arial" w:hAnsi="Arial" w:cs="Arial"/>
          <w:i/>
          <w:iCs/>
          <w:sz w:val="22"/>
        </w:rPr>
        <w:t>A Guide to the Data Protection Principles</w:t>
      </w:r>
      <w:r w:rsidRPr="00A40033">
        <w:rPr>
          <w:rFonts w:ascii="Arial" w:hAnsi="Arial" w:cs="Arial"/>
          <w:sz w:val="22"/>
        </w:rPr>
        <w:t xml:space="preserve">. [online] ICO. Available at: </w:t>
      </w:r>
      <w:hyperlink r:id="rId20" w:history="1">
        <w:r w:rsidRPr="00A40033">
          <w:rPr>
            <w:rStyle w:val="Hyperlink"/>
            <w:rFonts w:ascii="Arial" w:hAnsi="Arial" w:cs="Arial"/>
            <w:sz w:val="22"/>
          </w:rPr>
          <w:t>https://ico.org.uk/for-organisations/uk-gdpr-guidance-and-resources/data-protection-principles/a-guide-to-the-data-protection-principles/</w:t>
        </w:r>
      </w:hyperlink>
    </w:p>
    <w:p w14:paraId="43555653" w14:textId="77777777" w:rsidR="00A15CEF" w:rsidRPr="00A15CEF" w:rsidRDefault="00A15CEF" w:rsidP="0011294C">
      <w:pPr>
        <w:tabs>
          <w:tab w:val="left" w:pos="6540"/>
        </w:tabs>
        <w:spacing w:line="360" w:lineRule="auto"/>
        <w:jc w:val="both"/>
        <w:rPr>
          <w:rFonts w:ascii="Arial" w:hAnsi="Arial" w:cs="Arial"/>
          <w:sz w:val="2"/>
          <w:szCs w:val="2"/>
        </w:rPr>
      </w:pPr>
    </w:p>
    <w:p w14:paraId="6F40910C" w14:textId="71E9A21A" w:rsidR="00CB2027" w:rsidRPr="00A15CEF" w:rsidRDefault="0011294C" w:rsidP="00A15CEF">
      <w:pPr>
        <w:tabs>
          <w:tab w:val="left" w:pos="6540"/>
        </w:tabs>
        <w:spacing w:line="360" w:lineRule="auto"/>
        <w:jc w:val="both"/>
        <w:rPr>
          <w:rFonts w:ascii="Arial" w:hAnsi="Arial" w:cs="Arial"/>
          <w:sz w:val="22"/>
          <w:lang w:val="en-US"/>
        </w:rPr>
      </w:pPr>
      <w:r w:rsidRPr="0011294C">
        <w:rPr>
          <w:rFonts w:ascii="Arial" w:hAnsi="Arial" w:cs="Arial"/>
          <w:sz w:val="22"/>
          <w:lang w:val="en-US"/>
        </w:rPr>
        <w:t xml:space="preserve">Legislation.gov.uk (2014). </w:t>
      </w:r>
      <w:r w:rsidRPr="0011294C">
        <w:rPr>
          <w:rFonts w:ascii="Arial" w:hAnsi="Arial" w:cs="Arial"/>
          <w:i/>
          <w:iCs/>
          <w:sz w:val="22"/>
          <w:lang w:val="en-US"/>
        </w:rPr>
        <w:t>The Health and Social Care Act 2008 (Regulated Activities) Regulations 2014</w:t>
      </w:r>
      <w:r w:rsidRPr="0011294C">
        <w:rPr>
          <w:rFonts w:ascii="Arial" w:hAnsi="Arial" w:cs="Arial"/>
          <w:sz w:val="22"/>
          <w:lang w:val="en-US"/>
        </w:rPr>
        <w:t xml:space="preserve">. [online] </w:t>
      </w:r>
      <w:r w:rsidRPr="0011294C">
        <w:rPr>
          <w:rFonts w:ascii="Arial" w:hAnsi="Arial" w:cs="Arial"/>
          <w:i/>
          <w:iCs/>
          <w:sz w:val="22"/>
          <w:lang w:val="en-US"/>
        </w:rPr>
        <w:t>Legislation.gov.uk</w:t>
      </w:r>
      <w:r w:rsidRPr="0011294C">
        <w:rPr>
          <w:rFonts w:ascii="Arial" w:hAnsi="Arial" w:cs="Arial"/>
          <w:sz w:val="22"/>
          <w:lang w:val="en-US"/>
        </w:rPr>
        <w:t xml:space="preserve">. Available at: </w:t>
      </w:r>
      <w:hyperlink r:id="rId21" w:history="1">
        <w:r w:rsidRPr="002B04FA">
          <w:rPr>
            <w:rStyle w:val="Hyperlink"/>
            <w:rFonts w:ascii="Arial" w:hAnsi="Arial" w:cs="Arial"/>
            <w:sz w:val="22"/>
            <w:lang w:val="en-US"/>
          </w:rPr>
          <w:t>https://www.legislation.gov.uk/uksi/2014/2936/contents</w:t>
        </w:r>
      </w:hyperlink>
      <w:r w:rsidRPr="0011294C">
        <w:rPr>
          <w:rFonts w:ascii="Arial" w:hAnsi="Arial" w:cs="Arial"/>
          <w:sz w:val="22"/>
          <w:lang w:val="en-US"/>
        </w:rPr>
        <w:t>.</w:t>
      </w:r>
      <w:r>
        <w:rPr>
          <w:rFonts w:ascii="Arial" w:hAnsi="Arial" w:cs="Arial"/>
          <w:sz w:val="22"/>
          <w:lang w:val="en-US"/>
        </w:rPr>
        <w:t xml:space="preserve"> </w:t>
      </w:r>
    </w:p>
    <w:p w14:paraId="55B1993F" w14:textId="77777777" w:rsidR="00CB2027" w:rsidRPr="00A40033" w:rsidRDefault="00CB2027" w:rsidP="000A22D3">
      <w:pPr>
        <w:tabs>
          <w:tab w:val="left" w:pos="6540"/>
        </w:tabs>
        <w:spacing w:line="360" w:lineRule="auto"/>
        <w:jc w:val="both"/>
        <w:rPr>
          <w:rFonts w:ascii="Arial" w:hAnsi="Arial" w:cs="Arial"/>
          <w:sz w:val="2"/>
          <w:szCs w:val="2"/>
        </w:rPr>
      </w:pPr>
    </w:p>
    <w:p w14:paraId="31988837" w14:textId="77777777"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National Institute for Health and Care Excellence [NICE] (2023). </w:t>
      </w:r>
      <w:r w:rsidRPr="00A40033">
        <w:rPr>
          <w:rFonts w:ascii="Arial" w:hAnsi="Arial" w:cs="Arial"/>
          <w:i/>
          <w:iCs/>
          <w:sz w:val="22"/>
        </w:rPr>
        <w:t>Stroke Rehabilitation in Adults</w:t>
      </w:r>
      <w:r w:rsidRPr="00A40033">
        <w:rPr>
          <w:rFonts w:ascii="Arial" w:hAnsi="Arial" w:cs="Arial"/>
          <w:sz w:val="22"/>
        </w:rPr>
        <w:t xml:space="preserve">. NICE Guideline NG236. [online] NICE. Available at: </w:t>
      </w:r>
      <w:hyperlink r:id="rId22" w:history="1">
        <w:r w:rsidRPr="00A40033">
          <w:rPr>
            <w:rStyle w:val="Hyperlink"/>
            <w:rFonts w:ascii="Arial" w:hAnsi="Arial" w:cs="Arial"/>
            <w:sz w:val="22"/>
          </w:rPr>
          <w:t>https://www.nice.org.uk/guidance/ng236</w:t>
        </w:r>
      </w:hyperlink>
    </w:p>
    <w:p w14:paraId="5277E824" w14:textId="77777777" w:rsidR="00CB2027" w:rsidRPr="00A40033" w:rsidRDefault="00CB2027" w:rsidP="000A22D3">
      <w:pPr>
        <w:tabs>
          <w:tab w:val="left" w:pos="6540"/>
        </w:tabs>
        <w:spacing w:line="360" w:lineRule="auto"/>
        <w:jc w:val="both"/>
        <w:rPr>
          <w:rFonts w:ascii="Arial" w:hAnsi="Arial" w:cs="Arial"/>
          <w:sz w:val="2"/>
          <w:szCs w:val="2"/>
        </w:rPr>
      </w:pPr>
    </w:p>
    <w:p w14:paraId="43AE6B70" w14:textId="1950F947"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NHS England (2025). </w:t>
      </w:r>
      <w:r w:rsidRPr="00A40033">
        <w:rPr>
          <w:rFonts w:ascii="Arial" w:hAnsi="Arial" w:cs="Arial"/>
          <w:i/>
          <w:iCs/>
          <w:sz w:val="22"/>
        </w:rPr>
        <w:t>Accessible Information Standard: Requirements DAPB1605</w:t>
      </w:r>
      <w:r w:rsidRPr="00A40033">
        <w:rPr>
          <w:rFonts w:ascii="Arial" w:hAnsi="Arial" w:cs="Arial"/>
          <w:sz w:val="22"/>
        </w:rPr>
        <w:t xml:space="preserve">. [online] NHS England. Available at: </w:t>
      </w:r>
      <w:hyperlink r:id="rId23" w:history="1">
        <w:r w:rsidRPr="00A40033">
          <w:rPr>
            <w:rStyle w:val="Hyperlink"/>
            <w:rFonts w:ascii="Arial" w:hAnsi="Arial" w:cs="Arial"/>
            <w:sz w:val="22"/>
          </w:rPr>
          <w:t>https://www.england.nhs.uk/long-read/accessible-information-standard-requirements-dapb1605/</w:t>
        </w:r>
      </w:hyperlink>
    </w:p>
    <w:p w14:paraId="067FBF61" w14:textId="77777777" w:rsidR="00CB2027" w:rsidRPr="00A40033" w:rsidRDefault="00CB2027" w:rsidP="000A22D3">
      <w:pPr>
        <w:tabs>
          <w:tab w:val="left" w:pos="6540"/>
        </w:tabs>
        <w:spacing w:line="360" w:lineRule="auto"/>
        <w:jc w:val="both"/>
        <w:rPr>
          <w:rFonts w:ascii="Arial" w:hAnsi="Arial" w:cs="Arial"/>
          <w:sz w:val="2"/>
          <w:szCs w:val="2"/>
        </w:rPr>
      </w:pPr>
    </w:p>
    <w:p w14:paraId="155C9024" w14:textId="5D1194A1"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Reeves, S., </w:t>
      </w:r>
      <w:proofErr w:type="spellStart"/>
      <w:r w:rsidRPr="00A40033">
        <w:rPr>
          <w:rFonts w:ascii="Arial" w:hAnsi="Arial" w:cs="Arial"/>
          <w:sz w:val="22"/>
        </w:rPr>
        <w:t>Pelone</w:t>
      </w:r>
      <w:proofErr w:type="spellEnd"/>
      <w:r w:rsidRPr="00A40033">
        <w:rPr>
          <w:rFonts w:ascii="Arial" w:hAnsi="Arial" w:cs="Arial"/>
          <w:sz w:val="22"/>
        </w:rPr>
        <w:t xml:space="preserve">, F., Harrison, R., Goldman, J. and </w:t>
      </w:r>
      <w:proofErr w:type="spellStart"/>
      <w:r w:rsidRPr="00A40033">
        <w:rPr>
          <w:rFonts w:ascii="Arial" w:hAnsi="Arial" w:cs="Arial"/>
          <w:sz w:val="22"/>
        </w:rPr>
        <w:t>Zwarenstein</w:t>
      </w:r>
      <w:proofErr w:type="spellEnd"/>
      <w:r w:rsidRPr="00A40033">
        <w:rPr>
          <w:rFonts w:ascii="Arial" w:hAnsi="Arial" w:cs="Arial"/>
          <w:sz w:val="22"/>
        </w:rPr>
        <w:t xml:space="preserve">, M. (2017). </w:t>
      </w:r>
      <w:proofErr w:type="spellStart"/>
      <w:r w:rsidRPr="00A40033">
        <w:rPr>
          <w:rFonts w:ascii="Arial" w:hAnsi="Arial" w:cs="Arial"/>
          <w:sz w:val="22"/>
        </w:rPr>
        <w:t>Interprofessional</w:t>
      </w:r>
      <w:proofErr w:type="spellEnd"/>
      <w:r w:rsidRPr="00A40033">
        <w:rPr>
          <w:rFonts w:ascii="Arial" w:hAnsi="Arial" w:cs="Arial"/>
          <w:sz w:val="22"/>
        </w:rPr>
        <w:t xml:space="preserve"> collaboration to improve professional practice and healthcare outcomes. </w:t>
      </w:r>
      <w:r w:rsidRPr="00A40033">
        <w:rPr>
          <w:rFonts w:ascii="Arial" w:hAnsi="Arial" w:cs="Arial"/>
          <w:i/>
          <w:iCs/>
          <w:sz w:val="22"/>
        </w:rPr>
        <w:t>Cochrane Database of Systematic Reviews</w:t>
      </w:r>
      <w:r w:rsidRPr="00A40033">
        <w:rPr>
          <w:rFonts w:ascii="Arial" w:hAnsi="Arial" w:cs="Arial"/>
          <w:sz w:val="22"/>
        </w:rPr>
        <w:t xml:space="preserve">, 6, Article CD000072. </w:t>
      </w:r>
      <w:proofErr w:type="spellStart"/>
      <w:r w:rsidRPr="00A40033">
        <w:rPr>
          <w:rFonts w:ascii="Arial" w:hAnsi="Arial" w:cs="Arial"/>
          <w:sz w:val="22"/>
        </w:rPr>
        <w:t>doi</w:t>
      </w:r>
      <w:proofErr w:type="spellEnd"/>
      <w:r w:rsidRPr="00A40033">
        <w:rPr>
          <w:rFonts w:ascii="Arial" w:hAnsi="Arial" w:cs="Arial"/>
          <w:sz w:val="22"/>
        </w:rPr>
        <w:t xml:space="preserve">: </w:t>
      </w:r>
      <w:hyperlink r:id="rId24" w:history="1">
        <w:r w:rsidRPr="00A40033">
          <w:rPr>
            <w:rStyle w:val="Hyperlink"/>
            <w:rFonts w:ascii="Arial" w:hAnsi="Arial" w:cs="Arial"/>
            <w:sz w:val="22"/>
          </w:rPr>
          <w:t>https://doi.org/10.1002/14651858.CD000072.pub3</w:t>
        </w:r>
      </w:hyperlink>
    </w:p>
    <w:p w14:paraId="6C2ACB4B" w14:textId="77777777" w:rsidR="00CB2027" w:rsidRPr="00A40033" w:rsidRDefault="00CB2027" w:rsidP="000A22D3">
      <w:pPr>
        <w:tabs>
          <w:tab w:val="left" w:pos="6540"/>
        </w:tabs>
        <w:spacing w:line="360" w:lineRule="auto"/>
        <w:jc w:val="both"/>
        <w:rPr>
          <w:rFonts w:ascii="Arial" w:hAnsi="Arial" w:cs="Arial"/>
          <w:sz w:val="2"/>
          <w:szCs w:val="2"/>
        </w:rPr>
      </w:pPr>
    </w:p>
    <w:p w14:paraId="1B127080" w14:textId="6DDDAC60"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Skills for Care (2025). </w:t>
      </w:r>
      <w:r w:rsidRPr="00A40033">
        <w:rPr>
          <w:rFonts w:ascii="Arial" w:hAnsi="Arial" w:cs="Arial"/>
          <w:i/>
          <w:iCs/>
          <w:sz w:val="22"/>
        </w:rPr>
        <w:t>The State of the Adult Social Care Sector and Workforce in England 2025</w:t>
      </w:r>
      <w:r w:rsidRPr="00A40033">
        <w:rPr>
          <w:rFonts w:ascii="Arial" w:hAnsi="Arial" w:cs="Arial"/>
          <w:sz w:val="22"/>
        </w:rPr>
        <w:t xml:space="preserve">. [online] Skills for Care. Available at: </w:t>
      </w:r>
      <w:hyperlink r:id="rId25" w:history="1">
        <w:r w:rsidRPr="00A40033">
          <w:rPr>
            <w:rStyle w:val="Hyperlink"/>
            <w:rFonts w:ascii="Arial" w:hAnsi="Arial" w:cs="Arial"/>
            <w:sz w:val="22"/>
          </w:rPr>
          <w:t>https://www.skillsforcare.org.uk/Adult-Social-Care-Workforce-Data/workforceintelligence/Reports-and-visualisations/National-information/The-State-of-report.aspx</w:t>
        </w:r>
      </w:hyperlink>
    </w:p>
    <w:p w14:paraId="05812464" w14:textId="77777777" w:rsidR="00CB2027" w:rsidRPr="00A40033" w:rsidRDefault="00CB2027" w:rsidP="000A22D3">
      <w:pPr>
        <w:tabs>
          <w:tab w:val="left" w:pos="6540"/>
        </w:tabs>
        <w:spacing w:line="360" w:lineRule="auto"/>
        <w:jc w:val="both"/>
        <w:rPr>
          <w:rFonts w:ascii="Arial" w:hAnsi="Arial" w:cs="Arial"/>
          <w:sz w:val="2"/>
          <w:szCs w:val="2"/>
        </w:rPr>
      </w:pPr>
    </w:p>
    <w:p w14:paraId="2D72938D" w14:textId="59AAFEE0" w:rsidR="000A22D3" w:rsidRPr="00A40033" w:rsidRDefault="000A22D3" w:rsidP="000A22D3">
      <w:pPr>
        <w:tabs>
          <w:tab w:val="left" w:pos="6540"/>
        </w:tabs>
        <w:spacing w:line="360" w:lineRule="auto"/>
        <w:jc w:val="both"/>
        <w:rPr>
          <w:rFonts w:ascii="Arial" w:hAnsi="Arial" w:cs="Arial"/>
          <w:sz w:val="22"/>
        </w:rPr>
      </w:pPr>
      <w:r w:rsidRPr="00A40033">
        <w:rPr>
          <w:rFonts w:ascii="Arial" w:hAnsi="Arial" w:cs="Arial"/>
          <w:sz w:val="22"/>
        </w:rPr>
        <w:t xml:space="preserve">Stroke Association (2026). </w:t>
      </w:r>
      <w:r w:rsidRPr="00A40033">
        <w:rPr>
          <w:rFonts w:ascii="Arial" w:hAnsi="Arial" w:cs="Arial"/>
          <w:i/>
          <w:iCs/>
          <w:sz w:val="22"/>
        </w:rPr>
        <w:t>Stroke Statistics</w:t>
      </w:r>
      <w:r w:rsidRPr="00A40033">
        <w:rPr>
          <w:rFonts w:ascii="Arial" w:hAnsi="Arial" w:cs="Arial"/>
          <w:sz w:val="22"/>
        </w:rPr>
        <w:t xml:space="preserve">. [online] Stroke Association. Available at: </w:t>
      </w:r>
      <w:hyperlink r:id="rId26" w:history="1">
        <w:r w:rsidR="00A15CEF" w:rsidRPr="002B04FA">
          <w:rPr>
            <w:rStyle w:val="Hyperlink"/>
            <w:rFonts w:ascii="Arial" w:hAnsi="Arial" w:cs="Arial"/>
            <w:sz w:val="22"/>
          </w:rPr>
          <w:t>https://www.stroke.org.uk/stroke/statistics</w:t>
        </w:r>
      </w:hyperlink>
      <w:r w:rsidR="00A15CEF">
        <w:rPr>
          <w:rFonts w:ascii="Arial" w:hAnsi="Arial" w:cs="Arial"/>
          <w:sz w:val="22"/>
        </w:rPr>
        <w:t xml:space="preserve"> </w:t>
      </w:r>
    </w:p>
    <w:p w14:paraId="36E16094" w14:textId="77777777" w:rsidR="000A22D3" w:rsidRPr="00A40033" w:rsidRDefault="000A22D3" w:rsidP="000A22D3">
      <w:pPr>
        <w:tabs>
          <w:tab w:val="left" w:pos="6540"/>
        </w:tabs>
        <w:spacing w:line="360" w:lineRule="auto"/>
        <w:jc w:val="both"/>
        <w:rPr>
          <w:rFonts w:ascii="Arial" w:hAnsi="Arial" w:cs="Arial"/>
          <w:sz w:val="22"/>
        </w:rPr>
      </w:pPr>
    </w:p>
    <w:p w14:paraId="2CB869FE" w14:textId="77777777" w:rsidR="000A22D3" w:rsidRPr="00A40033" w:rsidRDefault="000A22D3" w:rsidP="000A22D3"/>
    <w:p w14:paraId="34A36823" w14:textId="77777777" w:rsidR="00EC2317" w:rsidRPr="00EC2317" w:rsidRDefault="00EC2317" w:rsidP="00CD33A8">
      <w:pPr>
        <w:tabs>
          <w:tab w:val="left" w:pos="6540"/>
        </w:tabs>
        <w:spacing w:line="360" w:lineRule="auto"/>
        <w:rPr>
          <w:rFonts w:asciiTheme="minorBidi" w:hAnsiTheme="minorBidi"/>
          <w:szCs w:val="24"/>
          <w:lang w:val="en-US"/>
        </w:rPr>
      </w:pPr>
    </w:p>
    <w:sectPr w:rsidR="00EC2317" w:rsidRPr="00EC2317" w:rsidSect="00E620E7">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FE34AE6" w14:textId="77777777" w:rsidR="00C171CA" w:rsidRPr="00A40033" w:rsidRDefault="00C171CA" w:rsidP="003E4ECF">
      <w:pPr>
        <w:spacing w:after="0" w:line="240" w:lineRule="auto"/>
      </w:pPr>
      <w:r w:rsidRPr="00A40033">
        <w:separator/>
      </w:r>
    </w:p>
  </w:endnote>
  <w:endnote w:type="continuationSeparator" w:id="0">
    <w:p w14:paraId="78987E5A" w14:textId="77777777" w:rsidR="00C171CA" w:rsidRPr="00A40033" w:rsidRDefault="00C171CA" w:rsidP="003E4ECF">
      <w:pPr>
        <w:spacing w:after="0" w:line="240" w:lineRule="auto"/>
      </w:pPr>
      <w:r w:rsidRPr="00A4003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sz w:val="22"/>
      </w:rPr>
    </w:sdtEndPr>
    <w:sdtContent>
      <w:p w14:paraId="22F0D82E" w14:textId="45C034A5" w:rsidR="003E4ECF" w:rsidRPr="00A40033" w:rsidRDefault="003E4ECF">
        <w:pPr>
          <w:pStyle w:val="Footer"/>
          <w:jc w:val="center"/>
          <w:rPr>
            <w:rFonts w:asciiTheme="minorBidi" w:hAnsiTheme="minorBidi"/>
            <w:sz w:val="22"/>
          </w:rPr>
        </w:pPr>
        <w:r w:rsidRPr="00A40033">
          <w:rPr>
            <w:rFonts w:asciiTheme="minorBidi" w:hAnsiTheme="minorBidi"/>
            <w:sz w:val="22"/>
          </w:rPr>
          <w:fldChar w:fldCharType="begin"/>
        </w:r>
        <w:r w:rsidRPr="00A40033">
          <w:rPr>
            <w:rFonts w:asciiTheme="minorBidi" w:hAnsiTheme="minorBidi"/>
            <w:sz w:val="22"/>
          </w:rPr>
          <w:instrText xml:space="preserve"> PAGE   \* MERGEFORMAT </w:instrText>
        </w:r>
        <w:r w:rsidRPr="00A40033">
          <w:rPr>
            <w:rFonts w:asciiTheme="minorBidi" w:hAnsiTheme="minorBidi"/>
            <w:sz w:val="22"/>
          </w:rPr>
          <w:fldChar w:fldCharType="separate"/>
        </w:r>
        <w:r w:rsidRPr="00A40033">
          <w:rPr>
            <w:rFonts w:asciiTheme="minorBidi" w:hAnsiTheme="minorBidi"/>
            <w:sz w:val="22"/>
          </w:rPr>
          <w:t>2</w:t>
        </w:r>
        <w:r w:rsidRPr="00A40033">
          <w:rPr>
            <w:rFonts w:asciiTheme="minorBidi" w:hAnsiTheme="minorBidi"/>
            <w:sz w:val="22"/>
          </w:rPr>
          <w:fldChar w:fldCharType="end"/>
        </w:r>
      </w:p>
    </w:sdtContent>
  </w:sdt>
  <w:p w14:paraId="65BDCB89" w14:textId="77777777" w:rsidR="003E4ECF" w:rsidRPr="00A40033"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9AC075" w14:textId="77777777" w:rsidR="00C171CA" w:rsidRPr="00A40033" w:rsidRDefault="00C171CA" w:rsidP="003E4ECF">
      <w:pPr>
        <w:spacing w:after="0" w:line="240" w:lineRule="auto"/>
      </w:pPr>
      <w:r w:rsidRPr="00A40033">
        <w:separator/>
      </w:r>
    </w:p>
  </w:footnote>
  <w:footnote w:type="continuationSeparator" w:id="0">
    <w:p w14:paraId="6997C22D" w14:textId="77777777" w:rsidR="00C171CA" w:rsidRPr="00A40033" w:rsidRDefault="00C171CA" w:rsidP="003E4ECF">
      <w:pPr>
        <w:spacing w:after="0" w:line="240" w:lineRule="auto"/>
      </w:pPr>
      <w:r w:rsidRPr="00A4003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A27D98"/>
    <w:multiLevelType w:val="multilevel"/>
    <w:tmpl w:val="F6C45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650E34"/>
    <w:multiLevelType w:val="multilevel"/>
    <w:tmpl w:val="074EB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911013"/>
    <w:multiLevelType w:val="hybridMultilevel"/>
    <w:tmpl w:val="BBC87330"/>
    <w:lvl w:ilvl="0" w:tplc="88849C22">
      <w:start w:val="1"/>
      <w:numFmt w:val="decimal"/>
      <w:pStyle w:val="Heading1"/>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48067284">
    <w:abstractNumId w:val="0"/>
  </w:num>
  <w:num w:numId="2" w16cid:durableId="63798841">
    <w:abstractNumId w:val="1"/>
  </w:num>
  <w:num w:numId="3" w16cid:durableId="75362628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7581"/>
    <w:rsid w:val="000572BF"/>
    <w:rsid w:val="00074402"/>
    <w:rsid w:val="000A22D3"/>
    <w:rsid w:val="0011294C"/>
    <w:rsid w:val="001636F0"/>
    <w:rsid w:val="001D7C03"/>
    <w:rsid w:val="00216C85"/>
    <w:rsid w:val="002315A8"/>
    <w:rsid w:val="00240D06"/>
    <w:rsid w:val="0026393A"/>
    <w:rsid w:val="00273EDD"/>
    <w:rsid w:val="002C3965"/>
    <w:rsid w:val="00321C4C"/>
    <w:rsid w:val="00385392"/>
    <w:rsid w:val="00392BBC"/>
    <w:rsid w:val="003E4ECF"/>
    <w:rsid w:val="004A736E"/>
    <w:rsid w:val="004F6069"/>
    <w:rsid w:val="005636C2"/>
    <w:rsid w:val="005D79FC"/>
    <w:rsid w:val="006059FD"/>
    <w:rsid w:val="00614320"/>
    <w:rsid w:val="006925AA"/>
    <w:rsid w:val="006B6A09"/>
    <w:rsid w:val="00725177"/>
    <w:rsid w:val="007A1B8D"/>
    <w:rsid w:val="00814A9E"/>
    <w:rsid w:val="00815CE4"/>
    <w:rsid w:val="00856554"/>
    <w:rsid w:val="008E3943"/>
    <w:rsid w:val="0090040D"/>
    <w:rsid w:val="0092749A"/>
    <w:rsid w:val="00961221"/>
    <w:rsid w:val="009A16D2"/>
    <w:rsid w:val="009A1872"/>
    <w:rsid w:val="009D052C"/>
    <w:rsid w:val="009D1D1E"/>
    <w:rsid w:val="009F07BA"/>
    <w:rsid w:val="00A035FD"/>
    <w:rsid w:val="00A15CEF"/>
    <w:rsid w:val="00A40033"/>
    <w:rsid w:val="00AD23A0"/>
    <w:rsid w:val="00AE5BF5"/>
    <w:rsid w:val="00B45248"/>
    <w:rsid w:val="00B87E75"/>
    <w:rsid w:val="00C171CA"/>
    <w:rsid w:val="00C20136"/>
    <w:rsid w:val="00C439D0"/>
    <w:rsid w:val="00C53EF0"/>
    <w:rsid w:val="00CA261D"/>
    <w:rsid w:val="00CB2027"/>
    <w:rsid w:val="00CB7955"/>
    <w:rsid w:val="00CC3577"/>
    <w:rsid w:val="00CD33A8"/>
    <w:rsid w:val="00E569FD"/>
    <w:rsid w:val="00E620E7"/>
    <w:rsid w:val="00EC2317"/>
    <w:rsid w:val="00F65BE2"/>
    <w:rsid w:val="00F66E1B"/>
    <w:rsid w:val="00FB5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A22D3"/>
    <w:pPr>
      <w:keepNext/>
      <w:keepLines/>
      <w:numPr>
        <w:numId w:val="3"/>
      </w:numPr>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2D3"/>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856554"/>
    <w:rPr>
      <w:color w:val="0563C1" w:themeColor="hyperlink"/>
      <w:u w:val="single"/>
    </w:rPr>
  </w:style>
  <w:style w:type="character" w:styleId="UnresolvedMention">
    <w:name w:val="Unresolved Mention"/>
    <w:basedOn w:val="DefaultParagraphFont"/>
    <w:uiPriority w:val="99"/>
    <w:semiHidden/>
    <w:unhideWhenUsed/>
    <w:rsid w:val="00856554"/>
    <w:rPr>
      <w:color w:val="605E5C"/>
      <w:shd w:val="clear" w:color="auto" w:fill="E1DFDD"/>
    </w:rPr>
  </w:style>
  <w:style w:type="paragraph" w:styleId="TOCHeading">
    <w:name w:val="TOC Heading"/>
    <w:basedOn w:val="Heading1"/>
    <w:next w:val="Normal"/>
    <w:uiPriority w:val="39"/>
    <w:unhideWhenUsed/>
    <w:qFormat/>
    <w:rsid w:val="000A22D3"/>
    <w:pPr>
      <w:numPr>
        <w:numId w:val="0"/>
      </w:num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0A22D3"/>
    <w:pPr>
      <w:spacing w:after="100"/>
    </w:pPr>
  </w:style>
  <w:style w:type="character" w:styleId="FollowedHyperlink">
    <w:name w:val="FollowedHyperlink"/>
    <w:basedOn w:val="DefaultParagraphFont"/>
    <w:uiPriority w:val="99"/>
    <w:semiHidden/>
    <w:unhideWhenUsed/>
    <w:rsid w:val="00A400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guidance-regulation/providers/regulations-service-providers-and-managers/health-social-care-act/regulation-12" TargetMode="External"/><Relationship Id="rId18" Type="http://schemas.openxmlformats.org/officeDocument/2006/relationships/hyperlink" Target="https://doi.org/10.1016/j.jmh.2023.100162" TargetMode="External"/><Relationship Id="rId26" Type="http://schemas.openxmlformats.org/officeDocument/2006/relationships/hyperlink" Target="https://www.stroke.org.uk/stroke/statistics" TargetMode="External"/><Relationship Id="rId3" Type="http://schemas.openxmlformats.org/officeDocument/2006/relationships/styles" Target="styles.xml"/><Relationship Id="rId21" Type="http://schemas.openxmlformats.org/officeDocument/2006/relationships/hyperlink" Target="https://www.legislation.gov.uk/uksi/2014/2936/contents" TargetMode="External"/><Relationship Id="rId7" Type="http://schemas.openxmlformats.org/officeDocument/2006/relationships/endnotes" Target="endnotes.xml"/><Relationship Id="rId12" Type="http://schemas.openxmlformats.org/officeDocument/2006/relationships/hyperlink" Target="https://doi.org/10.1186/s12875-023-02189-0" TargetMode="External"/><Relationship Id="rId17" Type="http://schemas.openxmlformats.org/officeDocument/2006/relationships/hyperlink" Target="https://www.legislation.gov.uk/ukpga/2018/12/contents" TargetMode="External"/><Relationship Id="rId25" Type="http://schemas.openxmlformats.org/officeDocument/2006/relationships/hyperlink" Target="https://www.skillsforcare.org.uk/Adult-Social-Care-Workforce-Data/workforceintelligence/Reports-and-visualisations/National-information/The-State-of-report.aspx" TargetMode="External"/><Relationship Id="rId2" Type="http://schemas.openxmlformats.org/officeDocument/2006/relationships/numbering" Target="numbering.xml"/><Relationship Id="rId16" Type="http://schemas.openxmlformats.org/officeDocument/2006/relationships/hyperlink" Target="https://www.legislation.gov.uk/ukpga/2010/15/contents" TargetMode="External"/><Relationship Id="rId20" Type="http://schemas.openxmlformats.org/officeDocument/2006/relationships/hyperlink" Target="https://ico.org.uk/for-organisations/uk-gdpr-guidance-and-resources/data-protection-principles/a-guide-to-the-data-protection-principl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02/14651858.CD000072.pub3" TargetMode="External"/><Relationship Id="rId5" Type="http://schemas.openxmlformats.org/officeDocument/2006/relationships/webSettings" Target="webSettings.xml"/><Relationship Id="rId15" Type="http://schemas.openxmlformats.org/officeDocument/2006/relationships/hyperlink" Target="https://www.gov.uk/government/publications/records-management-code-of-practice-for-health-and-social-care" TargetMode="External"/><Relationship Id="rId23" Type="http://schemas.openxmlformats.org/officeDocument/2006/relationships/hyperlink" Target="https://www.england.nhs.uk/long-read/accessible-information-standard-requirements-dapb1605/"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hssib.org.uk/patient-safety-investigations/medication-related-harm/investigation-repor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qc.org.uk/guidance-regulation/providers/regulations-service-providers-and-managers/health-social-care-act/regulation-17" TargetMode="External"/><Relationship Id="rId22" Type="http://schemas.openxmlformats.org/officeDocument/2006/relationships/hyperlink" Target="https://www.nice.org.uk/guidance/ng23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5BF78-CF11-4C20-A18A-81429A4500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Hala Mohammed Fuad Timraz (2510717)</cp:lastModifiedBy>
  <cp:revision>3</cp:revision>
  <dcterms:created xsi:type="dcterms:W3CDTF">2026-08-11T09:14:00Z</dcterms:created>
  <dcterms:modified xsi:type="dcterms:W3CDTF">2026-08-11T09:14:00Z</dcterms:modified>
</cp:coreProperties>
</file>