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45B60" w14:textId="77777777" w:rsidR="00AE5916" w:rsidRDefault="00AE5916" w:rsidP="00AE5916">
      <w:pPr>
        <w:rPr>
          <w:sz w:val="56"/>
          <w:szCs w:val="56"/>
        </w:rPr>
      </w:pPr>
    </w:p>
    <w:p w14:paraId="7640F430" w14:textId="77777777" w:rsidR="00AE5916" w:rsidRDefault="00AE5916" w:rsidP="00AE5916">
      <w:pPr>
        <w:rPr>
          <w:sz w:val="56"/>
          <w:szCs w:val="56"/>
        </w:rPr>
      </w:pPr>
    </w:p>
    <w:p w14:paraId="3E4CF8FC" w14:textId="51A490C4" w:rsidR="00AE5916" w:rsidRDefault="00AE5916" w:rsidP="00AE5916">
      <w:pPr>
        <w:rPr>
          <w:sz w:val="56"/>
          <w:szCs w:val="56"/>
        </w:rPr>
      </w:pPr>
      <w:r>
        <w:rPr>
          <w:sz w:val="56"/>
          <w:szCs w:val="56"/>
        </w:rPr>
        <w:t xml:space="preserve">Sydney Mungoza </w:t>
      </w:r>
    </w:p>
    <w:p w14:paraId="29F8BA7C" w14:textId="77777777" w:rsidR="00AE5916" w:rsidRDefault="00AE5916" w:rsidP="00AE5916">
      <w:pPr>
        <w:rPr>
          <w:sz w:val="56"/>
          <w:szCs w:val="56"/>
        </w:rPr>
      </w:pPr>
      <w:r>
        <w:rPr>
          <w:sz w:val="56"/>
          <w:szCs w:val="56"/>
        </w:rPr>
        <w:t>2437221</w:t>
      </w:r>
    </w:p>
    <w:p w14:paraId="4616DFD8" w14:textId="77777777" w:rsidR="00AE5916" w:rsidRDefault="00AE5916" w:rsidP="00AE5916">
      <w:pPr>
        <w:rPr>
          <w:sz w:val="56"/>
          <w:szCs w:val="56"/>
        </w:rPr>
      </w:pPr>
      <w:r>
        <w:rPr>
          <w:sz w:val="56"/>
          <w:szCs w:val="56"/>
        </w:rPr>
        <w:t xml:space="preserve">Introduction to Health </w:t>
      </w:r>
      <w:proofErr w:type="gramStart"/>
      <w:r>
        <w:rPr>
          <w:sz w:val="56"/>
          <w:szCs w:val="56"/>
        </w:rPr>
        <w:t>And</w:t>
      </w:r>
      <w:proofErr w:type="gramEnd"/>
      <w:r>
        <w:rPr>
          <w:sz w:val="56"/>
          <w:szCs w:val="56"/>
        </w:rPr>
        <w:t xml:space="preserve"> Social Care LCHS4003</w:t>
      </w:r>
    </w:p>
    <w:p w14:paraId="76962F2B" w14:textId="77777777" w:rsidR="00AE5916" w:rsidRDefault="00AE5916" w:rsidP="00AE5916">
      <w:pPr>
        <w:rPr>
          <w:sz w:val="56"/>
          <w:szCs w:val="56"/>
        </w:rPr>
      </w:pPr>
      <w:r>
        <w:rPr>
          <w:sz w:val="56"/>
          <w:szCs w:val="56"/>
        </w:rPr>
        <w:t>Ms Ping Wu</w:t>
      </w:r>
    </w:p>
    <w:p w14:paraId="7A9C6C52" w14:textId="77777777" w:rsidR="00AE5916" w:rsidRPr="00AE5916" w:rsidRDefault="00AE5916" w:rsidP="00AE5916">
      <w:pPr>
        <w:rPr>
          <w:sz w:val="56"/>
          <w:szCs w:val="56"/>
        </w:rPr>
      </w:pPr>
      <w:r>
        <w:rPr>
          <w:sz w:val="56"/>
          <w:szCs w:val="56"/>
        </w:rPr>
        <w:t>Written Assignment</w:t>
      </w:r>
    </w:p>
    <w:p w14:paraId="62B0B875" w14:textId="77777777" w:rsidR="00AE5916" w:rsidRDefault="00AE5916">
      <w:pPr>
        <w:rPr>
          <w:sz w:val="56"/>
          <w:szCs w:val="56"/>
        </w:rPr>
      </w:pPr>
    </w:p>
    <w:p w14:paraId="2FAB175E" w14:textId="50EF8D42" w:rsidR="00AE5916" w:rsidRDefault="00AE5916">
      <w:pPr>
        <w:rPr>
          <w:sz w:val="56"/>
          <w:szCs w:val="56"/>
        </w:rPr>
      </w:pPr>
    </w:p>
    <w:p w14:paraId="70F8432B" w14:textId="77777777" w:rsidR="00AE5916" w:rsidRDefault="00AE5916">
      <w:pPr>
        <w:rPr>
          <w:sz w:val="56"/>
          <w:szCs w:val="56"/>
        </w:rPr>
      </w:pPr>
    </w:p>
    <w:p w14:paraId="492A693B" w14:textId="77777777" w:rsidR="00AE5916" w:rsidRDefault="00AE5916">
      <w:pPr>
        <w:rPr>
          <w:sz w:val="56"/>
          <w:szCs w:val="56"/>
        </w:rPr>
      </w:pPr>
    </w:p>
    <w:p w14:paraId="423596EE" w14:textId="77777777" w:rsidR="00AE5916" w:rsidRDefault="00AE5916">
      <w:pPr>
        <w:rPr>
          <w:sz w:val="56"/>
          <w:szCs w:val="56"/>
        </w:rPr>
      </w:pPr>
    </w:p>
    <w:p w14:paraId="26070B4D" w14:textId="77777777" w:rsidR="00AE5916" w:rsidRDefault="00AE5916">
      <w:pPr>
        <w:rPr>
          <w:sz w:val="56"/>
          <w:szCs w:val="56"/>
        </w:rPr>
      </w:pPr>
    </w:p>
    <w:p w14:paraId="37412042" w14:textId="77777777" w:rsidR="00AE5916" w:rsidRDefault="00AE5916">
      <w:pPr>
        <w:rPr>
          <w:sz w:val="56"/>
          <w:szCs w:val="56"/>
        </w:rPr>
      </w:pPr>
    </w:p>
    <w:p w14:paraId="2747E33B" w14:textId="036A13BC" w:rsidR="00AE5916" w:rsidRDefault="00AE5916">
      <w:pPr>
        <w:rPr>
          <w:rFonts w:ascii="Arial" w:hAnsi="Arial" w:cs="Arial"/>
          <w:sz w:val="22"/>
          <w:szCs w:val="22"/>
        </w:rPr>
      </w:pPr>
      <w:r>
        <w:rPr>
          <w:rFonts w:ascii="Arial" w:hAnsi="Arial" w:cs="Arial"/>
          <w:sz w:val="22"/>
          <w:szCs w:val="22"/>
        </w:rPr>
        <w:lastRenderedPageBreak/>
        <w:t xml:space="preserve">This report </w:t>
      </w:r>
      <w:r w:rsidR="009410B6">
        <w:rPr>
          <w:rFonts w:ascii="Arial" w:hAnsi="Arial" w:cs="Arial"/>
          <w:sz w:val="22"/>
          <w:szCs w:val="22"/>
        </w:rPr>
        <w:t xml:space="preserve">explores the significance of proper professional practice within health and social care, using the case study of Mrs Mann. Mrs Mann is a 72-year-old woman who has been recently discharged from hospital </w:t>
      </w:r>
      <w:r w:rsidR="00C44CAD">
        <w:rPr>
          <w:rFonts w:ascii="Arial" w:hAnsi="Arial" w:cs="Arial"/>
          <w:sz w:val="22"/>
          <w:szCs w:val="22"/>
        </w:rPr>
        <w:t>following a</w:t>
      </w:r>
      <w:r w:rsidR="009410B6">
        <w:rPr>
          <w:rFonts w:ascii="Arial" w:hAnsi="Arial" w:cs="Arial"/>
          <w:sz w:val="22"/>
          <w:szCs w:val="22"/>
        </w:rPr>
        <w:t xml:space="preserve"> having a hip replacement surgery and currently receiving support from multiple health and social care professionals. Due to the language barrier and reliance on several different services, her care needs highlight the importance </w:t>
      </w:r>
      <w:r w:rsidR="00C44CAD">
        <w:rPr>
          <w:rFonts w:ascii="Arial" w:hAnsi="Arial" w:cs="Arial"/>
          <w:sz w:val="22"/>
          <w:szCs w:val="22"/>
        </w:rPr>
        <w:t>of</w:t>
      </w:r>
      <w:r w:rsidR="009410B6">
        <w:rPr>
          <w:rFonts w:ascii="Arial" w:hAnsi="Arial" w:cs="Arial"/>
          <w:sz w:val="22"/>
          <w:szCs w:val="22"/>
        </w:rPr>
        <w:t xml:space="preserve"> clear communication, accurate record keeping, and effective partnership working.</w:t>
      </w:r>
    </w:p>
    <w:p w14:paraId="33633559" w14:textId="33B96DC4" w:rsidR="009410B6" w:rsidRDefault="00317BDF">
      <w:pPr>
        <w:rPr>
          <w:rFonts w:ascii="Arial" w:hAnsi="Arial" w:cs="Arial"/>
          <w:sz w:val="22"/>
          <w:szCs w:val="22"/>
        </w:rPr>
      </w:pPr>
      <w:r>
        <w:rPr>
          <w:rFonts w:ascii="Arial" w:hAnsi="Arial" w:cs="Arial"/>
          <w:sz w:val="22"/>
          <w:szCs w:val="22"/>
        </w:rPr>
        <w:t xml:space="preserve">The </w:t>
      </w:r>
      <w:r w:rsidR="00C44CAD">
        <w:rPr>
          <w:rFonts w:ascii="Arial" w:hAnsi="Arial" w:cs="Arial"/>
          <w:sz w:val="22"/>
          <w:szCs w:val="22"/>
        </w:rPr>
        <w:t>aim</w:t>
      </w:r>
      <w:r>
        <w:rPr>
          <w:rFonts w:ascii="Arial" w:hAnsi="Arial" w:cs="Arial"/>
          <w:sz w:val="22"/>
          <w:szCs w:val="22"/>
        </w:rPr>
        <w:t xml:space="preserve"> of this report is to explore how the health a</w:t>
      </w:r>
      <w:r w:rsidR="00C44CAD">
        <w:rPr>
          <w:rFonts w:ascii="Arial" w:hAnsi="Arial" w:cs="Arial"/>
          <w:sz w:val="22"/>
          <w:szCs w:val="22"/>
        </w:rPr>
        <w:t xml:space="preserve">nd </w:t>
      </w:r>
      <w:r>
        <w:rPr>
          <w:rFonts w:ascii="Arial" w:hAnsi="Arial" w:cs="Arial"/>
          <w:sz w:val="22"/>
          <w:szCs w:val="22"/>
        </w:rPr>
        <w:t>social care sector can contribute to</w:t>
      </w:r>
      <w:r w:rsidR="00C44CAD">
        <w:rPr>
          <w:rFonts w:ascii="Arial" w:hAnsi="Arial" w:cs="Arial"/>
          <w:sz w:val="22"/>
          <w:szCs w:val="22"/>
        </w:rPr>
        <w:t xml:space="preserve"> </w:t>
      </w:r>
      <w:r>
        <w:rPr>
          <w:rFonts w:ascii="Arial" w:hAnsi="Arial" w:cs="Arial"/>
          <w:sz w:val="22"/>
          <w:szCs w:val="22"/>
        </w:rPr>
        <w:t xml:space="preserve">safe, person centred care with positive outcomes for service users. This report will </w:t>
      </w:r>
      <w:r w:rsidR="00C44CAD">
        <w:rPr>
          <w:rFonts w:ascii="Arial" w:hAnsi="Arial" w:cs="Arial"/>
          <w:sz w:val="22"/>
          <w:szCs w:val="22"/>
        </w:rPr>
        <w:t>explore</w:t>
      </w:r>
      <w:r>
        <w:rPr>
          <w:rFonts w:ascii="Arial" w:hAnsi="Arial" w:cs="Arial"/>
          <w:sz w:val="22"/>
          <w:szCs w:val="22"/>
        </w:rPr>
        <w:t xml:space="preserve"> the importance of effective communication in relation to Mrs Mann’s care, including connections with family members. Reference to the Equality Act 2010 and a recognised communication model. This will demonstrate the role good administrative skills</w:t>
      </w:r>
      <w:r w:rsidR="00203367">
        <w:rPr>
          <w:rFonts w:ascii="Arial" w:hAnsi="Arial" w:cs="Arial"/>
          <w:sz w:val="22"/>
          <w:szCs w:val="22"/>
        </w:rPr>
        <w:t>, record keeping and data protection. In addition, the report will examine collective working between professionals who are involved in Mrs Mann’s care and how they can collaborate to overcome multi-agency challenges.</w:t>
      </w:r>
    </w:p>
    <w:p w14:paraId="3D241C6F" w14:textId="445E39F1" w:rsidR="00203367" w:rsidRDefault="00512DBA">
      <w:pPr>
        <w:rPr>
          <w:rFonts w:ascii="Arial" w:hAnsi="Arial" w:cs="Arial"/>
          <w:sz w:val="22"/>
          <w:szCs w:val="22"/>
        </w:rPr>
      </w:pPr>
      <w:r>
        <w:rPr>
          <w:rFonts w:ascii="Arial" w:hAnsi="Arial" w:cs="Arial"/>
          <w:sz w:val="22"/>
          <w:szCs w:val="22"/>
        </w:rPr>
        <w:t xml:space="preserve">Effective communication is an extremely important aspect of professional practice within the health and social care sector and is particularly significant in the case of Mrs Mann. As a </w:t>
      </w:r>
      <w:proofErr w:type="gramStart"/>
      <w:r>
        <w:rPr>
          <w:rFonts w:ascii="Arial" w:hAnsi="Arial" w:cs="Arial"/>
          <w:sz w:val="22"/>
          <w:szCs w:val="22"/>
        </w:rPr>
        <w:t>72 year old</w:t>
      </w:r>
      <w:proofErr w:type="gramEnd"/>
      <w:r>
        <w:rPr>
          <w:rFonts w:ascii="Arial" w:hAnsi="Arial" w:cs="Arial"/>
          <w:sz w:val="22"/>
          <w:szCs w:val="22"/>
        </w:rPr>
        <w:t xml:space="preserve"> woman who was recently discharged from hospital due to having a hip replacement surgery, Mrs Mann now requires coordinated care </w:t>
      </w:r>
      <w:r w:rsidR="00C44CAD">
        <w:rPr>
          <w:rFonts w:ascii="Arial" w:hAnsi="Arial" w:cs="Arial"/>
          <w:sz w:val="22"/>
          <w:szCs w:val="22"/>
        </w:rPr>
        <w:t>from</w:t>
      </w:r>
      <w:r>
        <w:rPr>
          <w:rFonts w:ascii="Arial" w:hAnsi="Arial" w:cs="Arial"/>
          <w:sz w:val="22"/>
          <w:szCs w:val="22"/>
        </w:rPr>
        <w:t xml:space="preserve"> multiple professionals, </w:t>
      </w:r>
      <w:r w:rsidR="009775BC">
        <w:rPr>
          <w:rFonts w:ascii="Arial" w:hAnsi="Arial" w:cs="Arial"/>
          <w:sz w:val="22"/>
          <w:szCs w:val="22"/>
        </w:rPr>
        <w:t xml:space="preserve">including domiciliary carers, a GP and even a community physiotherapist. Her limited English means that there will be a significant language barrier, which increases the risk of misunderstanding, reduced involvement when making decisions about her care, and potential risks to her safety. Clear, inclusive and </w:t>
      </w:r>
      <w:proofErr w:type="gramStart"/>
      <w:r w:rsidR="009775BC">
        <w:rPr>
          <w:rFonts w:ascii="Arial" w:hAnsi="Arial" w:cs="Arial"/>
          <w:sz w:val="22"/>
          <w:szCs w:val="22"/>
        </w:rPr>
        <w:t>person centred</w:t>
      </w:r>
      <w:proofErr w:type="gramEnd"/>
      <w:r w:rsidR="009775BC">
        <w:rPr>
          <w:rFonts w:ascii="Arial" w:hAnsi="Arial" w:cs="Arial"/>
          <w:sz w:val="22"/>
          <w:szCs w:val="22"/>
        </w:rPr>
        <w:t xml:space="preserve"> communication is essential to ensure her needs are met effectively. </w:t>
      </w:r>
    </w:p>
    <w:p w14:paraId="1ECD4A99" w14:textId="3B72AFEA" w:rsidR="009775BC" w:rsidRDefault="00364D43">
      <w:pPr>
        <w:rPr>
          <w:rFonts w:ascii="Arial" w:hAnsi="Arial" w:cs="Arial"/>
          <w:sz w:val="22"/>
          <w:szCs w:val="22"/>
        </w:rPr>
      </w:pPr>
      <w:r>
        <w:rPr>
          <w:rFonts w:ascii="Arial" w:hAnsi="Arial" w:cs="Arial"/>
          <w:sz w:val="22"/>
          <w:szCs w:val="22"/>
        </w:rPr>
        <w:t>Communication must be adapted to meet her individual needs. Health and social care professionals should</w:t>
      </w:r>
      <w:r w:rsidR="00C44850">
        <w:rPr>
          <w:rFonts w:ascii="Arial" w:hAnsi="Arial" w:cs="Arial"/>
          <w:sz w:val="22"/>
          <w:szCs w:val="22"/>
        </w:rPr>
        <w:t xml:space="preserve"> use</w:t>
      </w:r>
      <w:r>
        <w:rPr>
          <w:rFonts w:ascii="Arial" w:hAnsi="Arial" w:cs="Arial"/>
          <w:sz w:val="22"/>
          <w:szCs w:val="22"/>
        </w:rPr>
        <w:t xml:space="preserve"> simple, concise language, visual aids and translated materials when appropriate.</w:t>
      </w:r>
      <w:r w:rsidR="00C44850">
        <w:rPr>
          <w:rFonts w:ascii="Arial" w:hAnsi="Arial" w:cs="Arial"/>
          <w:sz w:val="22"/>
          <w:szCs w:val="22"/>
        </w:rPr>
        <w:t xml:space="preserve"> Professional</w:t>
      </w:r>
      <w:r>
        <w:rPr>
          <w:rFonts w:ascii="Arial" w:hAnsi="Arial" w:cs="Arial"/>
          <w:sz w:val="22"/>
          <w:szCs w:val="22"/>
        </w:rPr>
        <w:t xml:space="preserve"> Interpreting services should be</w:t>
      </w:r>
      <w:r w:rsidR="00C44850">
        <w:rPr>
          <w:rFonts w:ascii="Arial" w:hAnsi="Arial" w:cs="Arial"/>
          <w:sz w:val="22"/>
          <w:szCs w:val="22"/>
        </w:rPr>
        <w:t xml:space="preserve"> used</w:t>
      </w:r>
      <w:r>
        <w:rPr>
          <w:rFonts w:ascii="Arial" w:hAnsi="Arial" w:cs="Arial"/>
          <w:sz w:val="22"/>
          <w:szCs w:val="22"/>
        </w:rPr>
        <w:t xml:space="preserve"> rather than relying solely on family member</w:t>
      </w:r>
      <w:r w:rsidR="00C44850">
        <w:rPr>
          <w:rFonts w:ascii="Arial" w:hAnsi="Arial" w:cs="Arial"/>
          <w:sz w:val="22"/>
          <w:szCs w:val="22"/>
        </w:rPr>
        <w:t>s</w:t>
      </w:r>
      <w:r>
        <w:rPr>
          <w:rFonts w:ascii="Arial" w:hAnsi="Arial" w:cs="Arial"/>
          <w:sz w:val="22"/>
          <w:szCs w:val="22"/>
        </w:rPr>
        <w:t xml:space="preserve">, such as her </w:t>
      </w:r>
      <w:r w:rsidR="00D943EF">
        <w:rPr>
          <w:rFonts w:ascii="Arial" w:hAnsi="Arial" w:cs="Arial"/>
          <w:sz w:val="22"/>
          <w:szCs w:val="22"/>
        </w:rPr>
        <w:t>daughter</w:t>
      </w:r>
      <w:r>
        <w:rPr>
          <w:rFonts w:ascii="Arial" w:hAnsi="Arial" w:cs="Arial"/>
          <w:sz w:val="22"/>
          <w:szCs w:val="22"/>
        </w:rPr>
        <w:t xml:space="preserve"> to translate information as this can </w:t>
      </w:r>
      <w:r w:rsidR="00C44850">
        <w:rPr>
          <w:rFonts w:ascii="Arial" w:hAnsi="Arial" w:cs="Arial"/>
          <w:sz w:val="22"/>
          <w:szCs w:val="22"/>
        </w:rPr>
        <w:t>place</w:t>
      </w:r>
      <w:r>
        <w:rPr>
          <w:rFonts w:ascii="Arial" w:hAnsi="Arial" w:cs="Arial"/>
          <w:sz w:val="22"/>
          <w:szCs w:val="22"/>
        </w:rPr>
        <w:t xml:space="preserve"> additional stress as them and limits immediate access as her children may not always be available. Although family involvement can support care, using relatives as interpreters may lead to inaccuracies, emotional strain and potential breaches of confidentiality. Ensuring Mrs Mann understands her care enables her to give informed consent and remain actively involved in making decisions about her health. </w:t>
      </w:r>
    </w:p>
    <w:p w14:paraId="19EE29FB" w14:textId="135D37DA" w:rsidR="002E2CD8" w:rsidRDefault="002E2CD8">
      <w:pPr>
        <w:rPr>
          <w:rFonts w:ascii="Arial" w:hAnsi="Arial" w:cs="Arial"/>
          <w:sz w:val="22"/>
          <w:szCs w:val="22"/>
        </w:rPr>
      </w:pPr>
      <w:r>
        <w:rPr>
          <w:rFonts w:ascii="Arial" w:hAnsi="Arial" w:cs="Arial"/>
          <w:sz w:val="22"/>
          <w:szCs w:val="22"/>
        </w:rPr>
        <w:t xml:space="preserve">The Equality Act 2010 plays a crucial role in supporting effective communication. This act focuses on protecting individuals from discrimination and ensures they are treated with </w:t>
      </w:r>
      <w:r w:rsidR="00573301">
        <w:rPr>
          <w:rFonts w:ascii="Arial" w:hAnsi="Arial" w:cs="Arial"/>
          <w:sz w:val="22"/>
          <w:szCs w:val="22"/>
        </w:rPr>
        <w:t>dignity and respect. It also requires services to make reasonable adjustments for people who face barriers, including language barriers. In Mrs Mann</w:t>
      </w:r>
      <w:r w:rsidR="00C44850">
        <w:rPr>
          <w:rFonts w:ascii="Arial" w:hAnsi="Arial" w:cs="Arial"/>
          <w:sz w:val="22"/>
          <w:szCs w:val="22"/>
        </w:rPr>
        <w:t>’</w:t>
      </w:r>
      <w:r w:rsidR="00573301">
        <w:rPr>
          <w:rFonts w:ascii="Arial" w:hAnsi="Arial" w:cs="Arial"/>
          <w:sz w:val="22"/>
          <w:szCs w:val="22"/>
        </w:rPr>
        <w:t xml:space="preserve">s Case, </w:t>
      </w:r>
      <w:r w:rsidR="00C44850">
        <w:rPr>
          <w:rFonts w:ascii="Arial" w:hAnsi="Arial" w:cs="Arial"/>
          <w:sz w:val="22"/>
          <w:szCs w:val="22"/>
        </w:rPr>
        <w:t>r</w:t>
      </w:r>
      <w:r w:rsidR="00573301">
        <w:rPr>
          <w:rFonts w:ascii="Arial" w:hAnsi="Arial" w:cs="Arial"/>
          <w:sz w:val="22"/>
          <w:szCs w:val="22"/>
        </w:rPr>
        <w:t>easonable adjustments may include providing translated treatment and care plans, arranging interpreters, for appointments, and ensuring information is accessible. These adjustments promote equality, dignity, and inclusion, which are important principles when it comes to person centred care.</w:t>
      </w:r>
    </w:p>
    <w:p w14:paraId="5080D367" w14:textId="77777777" w:rsidR="00F77E81" w:rsidRDefault="00F77E81">
      <w:pPr>
        <w:rPr>
          <w:rFonts w:ascii="Arial" w:hAnsi="Arial" w:cs="Arial"/>
          <w:sz w:val="22"/>
          <w:szCs w:val="22"/>
        </w:rPr>
      </w:pPr>
    </w:p>
    <w:p w14:paraId="650326F1" w14:textId="77777777" w:rsidR="00F77E81" w:rsidRDefault="00F77E81">
      <w:pPr>
        <w:rPr>
          <w:rFonts w:ascii="Arial" w:hAnsi="Arial" w:cs="Arial"/>
          <w:sz w:val="22"/>
          <w:szCs w:val="22"/>
        </w:rPr>
      </w:pPr>
    </w:p>
    <w:p w14:paraId="3D725ADD" w14:textId="77777777" w:rsidR="00F77E81" w:rsidRDefault="00F77E81">
      <w:pPr>
        <w:rPr>
          <w:rFonts w:ascii="Arial" w:hAnsi="Arial" w:cs="Arial"/>
          <w:sz w:val="22"/>
          <w:szCs w:val="22"/>
        </w:rPr>
      </w:pPr>
    </w:p>
    <w:p w14:paraId="295AB573" w14:textId="7A345792" w:rsidR="009C2533" w:rsidRDefault="00573301">
      <w:pPr>
        <w:rPr>
          <w:rFonts w:ascii="Arial" w:hAnsi="Arial" w:cs="Arial"/>
          <w:sz w:val="22"/>
          <w:szCs w:val="22"/>
        </w:rPr>
      </w:pPr>
      <w:r>
        <w:rPr>
          <w:rFonts w:ascii="Arial" w:hAnsi="Arial" w:cs="Arial"/>
          <w:sz w:val="22"/>
          <w:szCs w:val="22"/>
        </w:rPr>
        <w:lastRenderedPageBreak/>
        <w:t xml:space="preserve">A recognised communication model that can be used </w:t>
      </w:r>
      <w:r w:rsidR="009F621F">
        <w:rPr>
          <w:rFonts w:ascii="Arial" w:hAnsi="Arial" w:cs="Arial"/>
          <w:sz w:val="22"/>
          <w:szCs w:val="22"/>
        </w:rPr>
        <w:t xml:space="preserve">and </w:t>
      </w:r>
      <w:r w:rsidR="009C2533">
        <w:rPr>
          <w:rFonts w:ascii="Arial" w:hAnsi="Arial" w:cs="Arial"/>
          <w:sz w:val="22"/>
          <w:szCs w:val="22"/>
        </w:rPr>
        <w:t>applied</w:t>
      </w:r>
      <w:r w:rsidR="009F621F">
        <w:rPr>
          <w:rFonts w:ascii="Arial" w:hAnsi="Arial" w:cs="Arial"/>
          <w:sz w:val="22"/>
          <w:szCs w:val="22"/>
        </w:rPr>
        <w:t xml:space="preserve"> to Mrs Manns care is the SOLER model. SOLER stands for; Sit squarely, Open posture, </w:t>
      </w:r>
      <w:proofErr w:type="gramStart"/>
      <w:r w:rsidR="009C2533">
        <w:rPr>
          <w:rFonts w:ascii="Arial" w:hAnsi="Arial" w:cs="Arial"/>
          <w:sz w:val="22"/>
          <w:szCs w:val="22"/>
        </w:rPr>
        <w:t>Lean</w:t>
      </w:r>
      <w:proofErr w:type="gramEnd"/>
      <w:r w:rsidR="009F621F">
        <w:rPr>
          <w:rFonts w:ascii="Arial" w:hAnsi="Arial" w:cs="Arial"/>
          <w:sz w:val="22"/>
          <w:szCs w:val="22"/>
        </w:rPr>
        <w:t xml:space="preserve"> in, Eye contact, and Relax. This model </w:t>
      </w:r>
      <w:r w:rsidR="00F77E81">
        <w:rPr>
          <w:rFonts w:ascii="Arial" w:hAnsi="Arial" w:cs="Arial"/>
          <w:sz w:val="22"/>
          <w:szCs w:val="22"/>
        </w:rPr>
        <w:t xml:space="preserve">supports active listening and </w:t>
      </w:r>
      <w:r w:rsidR="009F621F">
        <w:rPr>
          <w:rFonts w:ascii="Arial" w:hAnsi="Arial" w:cs="Arial"/>
          <w:sz w:val="22"/>
          <w:szCs w:val="22"/>
        </w:rPr>
        <w:t xml:space="preserve">is designed to build trust and rapport by showing attentiveness, empathy, and </w:t>
      </w:r>
      <w:r w:rsidR="009C2533">
        <w:rPr>
          <w:rFonts w:ascii="Arial" w:hAnsi="Arial" w:cs="Arial"/>
          <w:sz w:val="22"/>
          <w:szCs w:val="22"/>
        </w:rPr>
        <w:t>non-defensiveness</w:t>
      </w:r>
      <w:r w:rsidR="009F621F">
        <w:rPr>
          <w:rFonts w:ascii="Arial" w:hAnsi="Arial" w:cs="Arial"/>
          <w:sz w:val="22"/>
          <w:szCs w:val="22"/>
        </w:rPr>
        <w:t xml:space="preserve"> helping vulnerable individuals feel heard, understood and safe in </w:t>
      </w:r>
      <w:r w:rsidR="00F77E81">
        <w:rPr>
          <w:rFonts w:ascii="Arial" w:hAnsi="Arial" w:cs="Arial"/>
          <w:sz w:val="22"/>
          <w:szCs w:val="22"/>
        </w:rPr>
        <w:t>therapeutic</w:t>
      </w:r>
      <w:r w:rsidR="009F621F">
        <w:rPr>
          <w:rFonts w:ascii="Arial" w:hAnsi="Arial" w:cs="Arial"/>
          <w:sz w:val="22"/>
          <w:szCs w:val="22"/>
        </w:rPr>
        <w:t xml:space="preserve"> or </w:t>
      </w:r>
      <w:r w:rsidR="00F77E81">
        <w:rPr>
          <w:rFonts w:ascii="Arial" w:hAnsi="Arial" w:cs="Arial"/>
          <w:sz w:val="22"/>
          <w:szCs w:val="22"/>
        </w:rPr>
        <w:t>caring interactions. For Mrs Mann, non-verbal communication</w:t>
      </w:r>
      <w:r w:rsidR="009C2533">
        <w:rPr>
          <w:rFonts w:ascii="Arial" w:hAnsi="Arial" w:cs="Arial"/>
          <w:sz w:val="22"/>
          <w:szCs w:val="22"/>
        </w:rPr>
        <w:t xml:space="preserve"> such as eye contact, facial expressions and body language, is particularly important due to the language barrier. Using this model will help build trust and reassurance, especially following hospital discharge when individuals may feel anxious or vulnerable. </w:t>
      </w:r>
    </w:p>
    <w:p w14:paraId="3D605D4A" w14:textId="22C35C22" w:rsidR="00573301" w:rsidRDefault="009C2533">
      <w:pPr>
        <w:rPr>
          <w:rFonts w:ascii="Arial" w:hAnsi="Arial" w:cs="Arial"/>
          <w:sz w:val="22"/>
          <w:szCs w:val="22"/>
        </w:rPr>
      </w:pPr>
      <w:r>
        <w:rPr>
          <w:rFonts w:ascii="Arial" w:hAnsi="Arial" w:cs="Arial"/>
          <w:sz w:val="22"/>
          <w:szCs w:val="22"/>
        </w:rPr>
        <w:t xml:space="preserve">Effective </w:t>
      </w:r>
      <w:r w:rsidR="00C44850">
        <w:rPr>
          <w:rFonts w:ascii="Arial" w:hAnsi="Arial" w:cs="Arial"/>
          <w:sz w:val="22"/>
          <w:szCs w:val="22"/>
        </w:rPr>
        <w:t>c</w:t>
      </w:r>
      <w:r>
        <w:rPr>
          <w:rFonts w:ascii="Arial" w:hAnsi="Arial" w:cs="Arial"/>
          <w:sz w:val="22"/>
          <w:szCs w:val="22"/>
        </w:rPr>
        <w:t>ommunication also extends to working with Mrs Mann</w:t>
      </w:r>
      <w:r w:rsidR="00D943EF">
        <w:rPr>
          <w:rFonts w:ascii="Arial" w:hAnsi="Arial" w:cs="Arial"/>
          <w:sz w:val="22"/>
          <w:szCs w:val="22"/>
        </w:rPr>
        <w:t xml:space="preserve">’s family.  Clear communication between professionals and her daughter supports continuity of care while maintaining professional boundaries and confidentiality.  Overall, effective communication reduces the risk of errors, promotes independence and supports positive health outcomes for Mrs Mann. </w:t>
      </w:r>
    </w:p>
    <w:p w14:paraId="4997A9E2" w14:textId="6D97716F" w:rsidR="00D943EF" w:rsidRDefault="000A6AE9">
      <w:pPr>
        <w:rPr>
          <w:rFonts w:ascii="Arial" w:hAnsi="Arial" w:cs="Arial"/>
          <w:sz w:val="22"/>
          <w:szCs w:val="22"/>
        </w:rPr>
      </w:pPr>
      <w:r>
        <w:rPr>
          <w:rFonts w:ascii="Arial" w:hAnsi="Arial" w:cs="Arial"/>
          <w:sz w:val="22"/>
          <w:szCs w:val="22"/>
        </w:rPr>
        <w:t>Proper administrative skills and accurate record keeping are essential components of professional practice within the health and social care sector. In Mrs Manns case, concerns were raised regarding inconsistent documentation and missed communication, which resulted in delayed medication adjustments. This highlights how poor record keeping can negatively impact service user safety and quality of care. Accurate record keeping ensures that all professionals involved in the care of Mrs Mann have access to up</w:t>
      </w:r>
      <w:r w:rsidR="00C44850">
        <w:rPr>
          <w:rFonts w:ascii="Arial" w:hAnsi="Arial" w:cs="Arial"/>
          <w:sz w:val="22"/>
          <w:szCs w:val="22"/>
        </w:rPr>
        <w:t>-</w:t>
      </w:r>
      <w:r>
        <w:rPr>
          <w:rFonts w:ascii="Arial" w:hAnsi="Arial" w:cs="Arial"/>
          <w:sz w:val="22"/>
          <w:szCs w:val="22"/>
        </w:rPr>
        <w:t>to</w:t>
      </w:r>
      <w:r w:rsidR="00C44850">
        <w:rPr>
          <w:rFonts w:ascii="Arial" w:hAnsi="Arial" w:cs="Arial"/>
          <w:sz w:val="22"/>
          <w:szCs w:val="22"/>
        </w:rPr>
        <w:t>-</w:t>
      </w:r>
      <w:r>
        <w:rPr>
          <w:rFonts w:ascii="Arial" w:hAnsi="Arial" w:cs="Arial"/>
          <w:sz w:val="22"/>
          <w:szCs w:val="22"/>
        </w:rPr>
        <w:t>date and reliable information about her care, treatment plan, medication records, risk assessment</w:t>
      </w:r>
      <w:r w:rsidR="00BA6D56">
        <w:rPr>
          <w:rFonts w:ascii="Arial" w:hAnsi="Arial" w:cs="Arial"/>
          <w:sz w:val="22"/>
          <w:szCs w:val="22"/>
        </w:rPr>
        <w:t xml:space="preserve">s and physiotherapy notes. Clear documentation supports continuity of care, particularly in </w:t>
      </w:r>
      <w:r w:rsidR="00A2122C">
        <w:rPr>
          <w:rFonts w:ascii="Arial" w:hAnsi="Arial" w:cs="Arial"/>
          <w:sz w:val="22"/>
          <w:szCs w:val="22"/>
        </w:rPr>
        <w:t>multi-agency</w:t>
      </w:r>
      <w:r w:rsidR="00BA6D56">
        <w:rPr>
          <w:rFonts w:ascii="Arial" w:hAnsi="Arial" w:cs="Arial"/>
          <w:sz w:val="22"/>
          <w:szCs w:val="22"/>
        </w:rPr>
        <w:t xml:space="preserve"> settings where information must be shared between relevant carers or healthcare </w:t>
      </w:r>
      <w:r w:rsidR="00A2122C">
        <w:rPr>
          <w:rFonts w:ascii="Arial" w:hAnsi="Arial" w:cs="Arial"/>
          <w:sz w:val="22"/>
          <w:szCs w:val="22"/>
        </w:rPr>
        <w:t>providers,</w:t>
      </w:r>
      <w:r w:rsidR="00BA6D56">
        <w:rPr>
          <w:rFonts w:ascii="Arial" w:hAnsi="Arial" w:cs="Arial"/>
          <w:sz w:val="22"/>
          <w:szCs w:val="22"/>
        </w:rPr>
        <w:t xml:space="preserve"> GPs</w:t>
      </w:r>
      <w:r w:rsidR="00C44850">
        <w:rPr>
          <w:rFonts w:ascii="Arial" w:hAnsi="Arial" w:cs="Arial"/>
          <w:sz w:val="22"/>
          <w:szCs w:val="22"/>
        </w:rPr>
        <w:t xml:space="preserve"> and</w:t>
      </w:r>
      <w:r w:rsidR="00BA6D56">
        <w:rPr>
          <w:rFonts w:ascii="Arial" w:hAnsi="Arial" w:cs="Arial"/>
          <w:sz w:val="22"/>
          <w:szCs w:val="22"/>
        </w:rPr>
        <w:t xml:space="preserve"> physiotherapists. Without accurate records, there </w:t>
      </w:r>
      <w:r w:rsidR="00A2122C">
        <w:rPr>
          <w:rFonts w:ascii="Arial" w:hAnsi="Arial" w:cs="Arial"/>
          <w:sz w:val="22"/>
          <w:szCs w:val="22"/>
        </w:rPr>
        <w:t>is an increased risk of duplication, omissions and clinical errors.</w:t>
      </w:r>
    </w:p>
    <w:p w14:paraId="2598EBED" w14:textId="554C6715" w:rsidR="00A2122C" w:rsidRDefault="00A2122C">
      <w:pPr>
        <w:rPr>
          <w:rFonts w:ascii="Arial" w:hAnsi="Arial" w:cs="Arial"/>
          <w:sz w:val="22"/>
          <w:szCs w:val="22"/>
        </w:rPr>
      </w:pPr>
      <w:r>
        <w:rPr>
          <w:rFonts w:ascii="Arial" w:hAnsi="Arial" w:cs="Arial"/>
          <w:sz w:val="22"/>
          <w:szCs w:val="22"/>
        </w:rPr>
        <w:t>The Data Protection Act 20</w:t>
      </w:r>
      <w:r w:rsidR="000749D6">
        <w:rPr>
          <w:rFonts w:ascii="Arial" w:hAnsi="Arial" w:cs="Arial"/>
          <w:sz w:val="22"/>
          <w:szCs w:val="22"/>
        </w:rPr>
        <w:t xml:space="preserve">18 and UK GDPR provide the legal framework for handling personal and sensitive information it requires proper protection, collection and processing of personal data and makes sure that it is fair, lawful and transparent. Health and social care professionals have a legal responsibility to ensure Mrs Mann’s personal information is stored, shared securely and appropriately and only accessed by authorised individuals. Records must be accurate, relevant and kept up to date, while always respecting confidentiality. In Mrs Mann’s case, information should only be shared with her daughter and relevant healthcare professionals where </w:t>
      </w:r>
      <w:r w:rsidR="00C44850">
        <w:rPr>
          <w:rFonts w:ascii="Arial" w:hAnsi="Arial" w:cs="Arial"/>
          <w:sz w:val="22"/>
          <w:szCs w:val="22"/>
        </w:rPr>
        <w:t xml:space="preserve">informed </w:t>
      </w:r>
      <w:r w:rsidR="000749D6">
        <w:rPr>
          <w:rFonts w:ascii="Arial" w:hAnsi="Arial" w:cs="Arial"/>
          <w:sz w:val="22"/>
          <w:szCs w:val="22"/>
        </w:rPr>
        <w:t xml:space="preserve">consent has been given. </w:t>
      </w:r>
    </w:p>
    <w:p w14:paraId="7A5F7861" w14:textId="36189E8C" w:rsidR="00B61475" w:rsidRPr="00B61475" w:rsidRDefault="00B61475" w:rsidP="00B61475">
      <w:pPr>
        <w:rPr>
          <w:rFonts w:ascii="Arial" w:hAnsi="Arial" w:cs="Arial"/>
          <w:sz w:val="22"/>
          <w:szCs w:val="22"/>
        </w:rPr>
      </w:pPr>
      <w:r w:rsidRPr="00B61475">
        <w:rPr>
          <w:rFonts w:ascii="Arial" w:hAnsi="Arial" w:cs="Arial"/>
          <w:sz w:val="22"/>
          <w:szCs w:val="22"/>
        </w:rPr>
        <w:t xml:space="preserve">Good administrative practice also includes updating of records </w:t>
      </w:r>
      <w:r>
        <w:rPr>
          <w:rFonts w:ascii="Arial" w:hAnsi="Arial" w:cs="Arial"/>
          <w:sz w:val="22"/>
          <w:szCs w:val="22"/>
        </w:rPr>
        <w:t xml:space="preserve">on time </w:t>
      </w:r>
      <w:r w:rsidRPr="00B61475">
        <w:rPr>
          <w:rFonts w:ascii="Arial" w:hAnsi="Arial" w:cs="Arial"/>
          <w:sz w:val="22"/>
          <w:szCs w:val="22"/>
        </w:rPr>
        <w:t xml:space="preserve">and effective handovers between professionals. For example, changes to Mrs Mann’s medication or mobility needs must be documented </w:t>
      </w:r>
      <w:r>
        <w:rPr>
          <w:rFonts w:ascii="Arial" w:hAnsi="Arial" w:cs="Arial"/>
          <w:sz w:val="22"/>
          <w:szCs w:val="22"/>
        </w:rPr>
        <w:t>clearly</w:t>
      </w:r>
      <w:r w:rsidRPr="00B61475">
        <w:rPr>
          <w:rFonts w:ascii="Arial" w:hAnsi="Arial" w:cs="Arial"/>
          <w:sz w:val="22"/>
          <w:szCs w:val="22"/>
        </w:rPr>
        <w:t xml:space="preserve"> to prevent further delays</w:t>
      </w:r>
      <w:r>
        <w:rPr>
          <w:rFonts w:ascii="Arial" w:hAnsi="Arial" w:cs="Arial"/>
          <w:sz w:val="22"/>
          <w:szCs w:val="22"/>
        </w:rPr>
        <w:t>, miscommunications</w:t>
      </w:r>
      <w:r w:rsidRPr="00B61475">
        <w:rPr>
          <w:rFonts w:ascii="Arial" w:hAnsi="Arial" w:cs="Arial"/>
          <w:sz w:val="22"/>
          <w:szCs w:val="22"/>
        </w:rPr>
        <w:t xml:space="preserve"> or risks. Using digital record systems can improve accuracy and accessibility, ensuring all professionals are working from the same </w:t>
      </w:r>
      <w:r w:rsidRPr="00B61475">
        <w:rPr>
          <w:rFonts w:ascii="Arial" w:hAnsi="Arial" w:cs="Arial"/>
          <w:sz w:val="22"/>
          <w:szCs w:val="22"/>
        </w:rPr>
        <w:t>information. Policies</w:t>
      </w:r>
      <w:r w:rsidRPr="00B61475">
        <w:rPr>
          <w:rFonts w:ascii="Arial" w:hAnsi="Arial" w:cs="Arial"/>
          <w:sz w:val="22"/>
          <w:szCs w:val="22"/>
        </w:rPr>
        <w:t xml:space="preserve"> such as organisational record-keeping policies and confidentiality guidelines support staff in maintaining professional standards. Training in administrative skills helps staff understand their responsibilities and reduces the </w:t>
      </w:r>
      <w:r>
        <w:rPr>
          <w:rFonts w:ascii="Arial" w:hAnsi="Arial" w:cs="Arial"/>
          <w:sz w:val="22"/>
          <w:szCs w:val="22"/>
        </w:rPr>
        <w:t>risk</w:t>
      </w:r>
      <w:r w:rsidRPr="00B61475">
        <w:rPr>
          <w:rFonts w:ascii="Arial" w:hAnsi="Arial" w:cs="Arial"/>
          <w:sz w:val="22"/>
          <w:szCs w:val="22"/>
        </w:rPr>
        <w:t xml:space="preserve"> of errors. Applying these principles ensures Mrs Mann receives safe, coordinated and person-centred care.</w:t>
      </w:r>
    </w:p>
    <w:p w14:paraId="3B9A1B99" w14:textId="77777777" w:rsidR="00B61475" w:rsidRPr="00B61475" w:rsidRDefault="00B61475" w:rsidP="00B61475">
      <w:pPr>
        <w:rPr>
          <w:rFonts w:ascii="Arial" w:hAnsi="Arial" w:cs="Arial"/>
          <w:sz w:val="22"/>
          <w:szCs w:val="22"/>
        </w:rPr>
      </w:pPr>
    </w:p>
    <w:p w14:paraId="2AA87B28" w14:textId="77777777" w:rsidR="00B61475" w:rsidRDefault="00B61475" w:rsidP="00B61475">
      <w:pPr>
        <w:rPr>
          <w:rFonts w:ascii="Arial" w:hAnsi="Arial" w:cs="Arial"/>
          <w:sz w:val="22"/>
          <w:szCs w:val="22"/>
        </w:rPr>
      </w:pPr>
    </w:p>
    <w:p w14:paraId="28D1DB0C" w14:textId="63DEB0E9" w:rsidR="000749D6" w:rsidRDefault="00B61475" w:rsidP="00B61475">
      <w:pPr>
        <w:rPr>
          <w:rFonts w:ascii="Arial" w:hAnsi="Arial" w:cs="Arial"/>
          <w:sz w:val="22"/>
          <w:szCs w:val="22"/>
        </w:rPr>
      </w:pPr>
      <w:r w:rsidRPr="00B61475">
        <w:rPr>
          <w:rFonts w:ascii="Arial" w:hAnsi="Arial" w:cs="Arial"/>
          <w:sz w:val="22"/>
          <w:szCs w:val="22"/>
        </w:rPr>
        <w:lastRenderedPageBreak/>
        <w:t xml:space="preserve">Overall, </w:t>
      </w:r>
      <w:r>
        <w:rPr>
          <w:rFonts w:ascii="Arial" w:hAnsi="Arial" w:cs="Arial"/>
          <w:sz w:val="22"/>
          <w:szCs w:val="22"/>
        </w:rPr>
        <w:t>appropriate and proper</w:t>
      </w:r>
      <w:r w:rsidRPr="00B61475">
        <w:rPr>
          <w:rFonts w:ascii="Arial" w:hAnsi="Arial" w:cs="Arial"/>
          <w:sz w:val="22"/>
          <w:szCs w:val="22"/>
        </w:rPr>
        <w:t xml:space="preserve"> administrative skills and effective record keeping protect service users, support legal compliance and improve care outcomes. In Mrs Mann’s situation, improving documentation and information sharing would reduce risks and enhance the quality of care provided.</w:t>
      </w:r>
    </w:p>
    <w:p w14:paraId="448E9173" w14:textId="77777777" w:rsidR="00A551FC" w:rsidRDefault="00A551FC" w:rsidP="00B61475">
      <w:pPr>
        <w:rPr>
          <w:rFonts w:ascii="Arial" w:hAnsi="Arial" w:cs="Arial"/>
          <w:sz w:val="22"/>
          <w:szCs w:val="22"/>
        </w:rPr>
      </w:pPr>
      <w:proofErr w:type="gramStart"/>
      <w:r w:rsidRPr="00A551FC">
        <w:rPr>
          <w:rFonts w:ascii="Arial" w:hAnsi="Arial" w:cs="Arial"/>
          <w:sz w:val="22"/>
          <w:szCs w:val="22"/>
        </w:rPr>
        <w:t>In order to</w:t>
      </w:r>
      <w:proofErr w:type="gramEnd"/>
      <w:r w:rsidRPr="00A551FC">
        <w:rPr>
          <w:rFonts w:ascii="Arial" w:hAnsi="Arial" w:cs="Arial"/>
          <w:sz w:val="22"/>
          <w:szCs w:val="22"/>
        </w:rPr>
        <w:t xml:space="preserve"> effectively provide care for service users with complex needs, like Mrs. Mann, collaboration and partnership functioning are crucial. Mrs. Mann receives care from a variety of providers after her hip replacement surgery, including a community physiotherapist, her general practitioner, and domiciliary carers. Care that is person-centred and holistic is supported when these professions work well </w:t>
      </w:r>
      <w:r w:rsidRPr="00A551FC">
        <w:rPr>
          <w:rFonts w:ascii="Arial" w:hAnsi="Arial" w:cs="Arial"/>
          <w:sz w:val="22"/>
          <w:szCs w:val="22"/>
        </w:rPr>
        <w:t xml:space="preserve">together. </w:t>
      </w:r>
    </w:p>
    <w:p w14:paraId="38D796FD" w14:textId="7795B004" w:rsidR="00B61475" w:rsidRDefault="00A551FC" w:rsidP="00B61475">
      <w:pPr>
        <w:rPr>
          <w:rFonts w:ascii="Arial" w:hAnsi="Arial" w:cs="Arial"/>
          <w:sz w:val="22"/>
          <w:szCs w:val="22"/>
        </w:rPr>
      </w:pPr>
      <w:r w:rsidRPr="00A551FC">
        <w:rPr>
          <w:rFonts w:ascii="Arial" w:hAnsi="Arial" w:cs="Arial"/>
          <w:sz w:val="22"/>
          <w:szCs w:val="22"/>
        </w:rPr>
        <w:t>Professionals</w:t>
      </w:r>
      <w:r w:rsidRPr="00A551FC">
        <w:rPr>
          <w:rFonts w:ascii="Arial" w:hAnsi="Arial" w:cs="Arial"/>
          <w:sz w:val="22"/>
          <w:szCs w:val="22"/>
        </w:rPr>
        <w:t xml:space="preserve"> can efficiently coordinate treatment and exchange expertise through multi-agency collaboration. For instance, as carers assist Mrs. Mann with everyday tasks, the physiotherapist concentrates on increasing her mobility. The GP keeps an eye on her general health and prescription requirements. Error risk is decreased and consistency in care is ensured by regular communication and information exchange amongst these specialists.</w:t>
      </w:r>
    </w:p>
    <w:p w14:paraId="2BA084DF" w14:textId="441AB440" w:rsidR="00A551FC" w:rsidRDefault="00A551FC" w:rsidP="00B61475">
      <w:pPr>
        <w:rPr>
          <w:rFonts w:ascii="Arial" w:hAnsi="Arial" w:cs="Arial"/>
          <w:sz w:val="22"/>
          <w:szCs w:val="22"/>
        </w:rPr>
      </w:pPr>
      <w:r w:rsidRPr="00A551FC">
        <w:rPr>
          <w:rFonts w:ascii="Arial" w:hAnsi="Arial" w:cs="Arial"/>
          <w:sz w:val="22"/>
          <w:szCs w:val="22"/>
        </w:rPr>
        <w:t xml:space="preserve">But there are drawbacks to collaborating across agencies, such as inconsistent record-keeping, </w:t>
      </w:r>
      <w:r w:rsidR="00160BAC">
        <w:rPr>
          <w:rFonts w:ascii="Arial" w:hAnsi="Arial" w:cs="Arial"/>
          <w:sz w:val="22"/>
          <w:szCs w:val="22"/>
        </w:rPr>
        <w:t>unclear roles</w:t>
      </w:r>
      <w:r w:rsidRPr="00A551FC">
        <w:rPr>
          <w:rFonts w:ascii="Arial" w:hAnsi="Arial" w:cs="Arial"/>
          <w:sz w:val="22"/>
          <w:szCs w:val="22"/>
        </w:rPr>
        <w:t xml:space="preserve">, and poor </w:t>
      </w:r>
      <w:r w:rsidRPr="00A551FC">
        <w:rPr>
          <w:rFonts w:ascii="Arial" w:hAnsi="Arial" w:cs="Arial"/>
          <w:sz w:val="22"/>
          <w:szCs w:val="22"/>
        </w:rPr>
        <w:t>communication. Mrs</w:t>
      </w:r>
      <w:r w:rsidRPr="00A551FC">
        <w:rPr>
          <w:rFonts w:ascii="Arial" w:hAnsi="Arial" w:cs="Arial"/>
          <w:sz w:val="22"/>
          <w:szCs w:val="22"/>
        </w:rPr>
        <w:t xml:space="preserve">. Mann's prescription problems were a result of delayed communication, highlighting the consequences of poor teamwork. Professionals should utilise shared care plans, attend frequent multidisciplinary meetings, and adhere to explicit communication norms </w:t>
      </w:r>
      <w:r w:rsidR="00160BAC">
        <w:rPr>
          <w:rFonts w:ascii="Arial" w:hAnsi="Arial" w:cs="Arial"/>
          <w:sz w:val="22"/>
          <w:szCs w:val="22"/>
        </w:rPr>
        <w:t>to</w:t>
      </w:r>
      <w:r w:rsidRPr="00A551FC">
        <w:rPr>
          <w:rFonts w:ascii="Arial" w:hAnsi="Arial" w:cs="Arial"/>
          <w:sz w:val="22"/>
          <w:szCs w:val="22"/>
        </w:rPr>
        <w:t xml:space="preserve"> overcome these obstacles. </w:t>
      </w:r>
    </w:p>
    <w:p w14:paraId="58B6F145" w14:textId="5412A6DD" w:rsidR="00A551FC" w:rsidRDefault="00160BAC" w:rsidP="00B61475">
      <w:pPr>
        <w:rPr>
          <w:rFonts w:ascii="Arial" w:hAnsi="Arial" w:cs="Arial"/>
          <w:sz w:val="22"/>
          <w:szCs w:val="22"/>
        </w:rPr>
      </w:pPr>
      <w:r>
        <w:rPr>
          <w:rFonts w:ascii="Arial" w:hAnsi="Arial" w:cs="Arial"/>
          <w:sz w:val="22"/>
          <w:szCs w:val="22"/>
        </w:rPr>
        <w:t>Withi</w:t>
      </w:r>
      <w:r w:rsidR="00A551FC" w:rsidRPr="00A551FC">
        <w:rPr>
          <w:rFonts w:ascii="Arial" w:hAnsi="Arial" w:cs="Arial"/>
          <w:sz w:val="22"/>
          <w:szCs w:val="22"/>
        </w:rPr>
        <w:t xml:space="preserve">n partnership </w:t>
      </w:r>
      <w:r>
        <w:rPr>
          <w:rFonts w:ascii="Arial" w:hAnsi="Arial" w:cs="Arial"/>
          <w:sz w:val="22"/>
          <w:szCs w:val="22"/>
        </w:rPr>
        <w:t>working</w:t>
      </w:r>
      <w:r w:rsidR="00A551FC" w:rsidRPr="00A551FC">
        <w:rPr>
          <w:rFonts w:ascii="Arial" w:hAnsi="Arial" w:cs="Arial"/>
          <w:sz w:val="22"/>
          <w:szCs w:val="22"/>
        </w:rPr>
        <w:t xml:space="preserve">, professional accountability and a clear description of roles are equally crucial. Understanding the distinct responsibilities of each professional participating in Mrs. Mann's care helps avoid any gaps or overlaps in the provision of care. For instance, while the physiotherapist provides updates on rehabilitation progress and mobility goals, domiciliary carers are required to report any changes in Mrs. Mann's mobility or wellbeing. This shared accountability helps to protect Mrs. Mann's health by assisting in the early detection of </w:t>
      </w:r>
      <w:r>
        <w:rPr>
          <w:rFonts w:ascii="Arial" w:hAnsi="Arial" w:cs="Arial"/>
          <w:sz w:val="22"/>
          <w:szCs w:val="22"/>
        </w:rPr>
        <w:t>risks</w:t>
      </w:r>
      <w:r w:rsidR="00A551FC" w:rsidRPr="00A551FC">
        <w:rPr>
          <w:rFonts w:ascii="Arial" w:hAnsi="Arial" w:cs="Arial"/>
          <w:sz w:val="22"/>
          <w:szCs w:val="22"/>
        </w:rPr>
        <w:t xml:space="preserve">, such as falls or adverse drug reactions. Partnership functioning is further strengthened by efficient leadership and coordination in multi-agency teams. Care plans are routinely </w:t>
      </w:r>
      <w:proofErr w:type="gramStart"/>
      <w:r w:rsidR="00A551FC" w:rsidRPr="00A551FC">
        <w:rPr>
          <w:rFonts w:ascii="Arial" w:hAnsi="Arial" w:cs="Arial"/>
          <w:sz w:val="22"/>
          <w:szCs w:val="22"/>
        </w:rPr>
        <w:t>reviewed</w:t>
      </w:r>
      <w:proofErr w:type="gramEnd"/>
      <w:r w:rsidR="00A551FC" w:rsidRPr="00A551FC">
        <w:rPr>
          <w:rFonts w:ascii="Arial" w:hAnsi="Arial" w:cs="Arial"/>
          <w:sz w:val="22"/>
          <w:szCs w:val="22"/>
        </w:rPr>
        <w:t xml:space="preserve"> and communication is coordinated when there is a designated lead professional, such as the general practitioner or a care coordinator. This structured approach reduces misunderstandings, supports timely decision-making and helps ensure Mrs Mann receives consistent, safe and high-quality care.</w:t>
      </w:r>
    </w:p>
    <w:p w14:paraId="2E558E48" w14:textId="5049F4D0" w:rsidR="00A551FC" w:rsidRDefault="00A551FC" w:rsidP="00B61475">
      <w:pPr>
        <w:rPr>
          <w:rFonts w:ascii="Arial" w:hAnsi="Arial" w:cs="Arial"/>
          <w:sz w:val="22"/>
          <w:szCs w:val="22"/>
        </w:rPr>
      </w:pPr>
      <w:r w:rsidRPr="00A551FC">
        <w:rPr>
          <w:rFonts w:ascii="Arial" w:hAnsi="Arial" w:cs="Arial"/>
          <w:sz w:val="22"/>
          <w:szCs w:val="22"/>
        </w:rPr>
        <w:t>Working with Mrs</w:t>
      </w:r>
      <w:r>
        <w:rPr>
          <w:rFonts w:ascii="Arial" w:hAnsi="Arial" w:cs="Arial"/>
          <w:sz w:val="22"/>
          <w:szCs w:val="22"/>
        </w:rPr>
        <w:t xml:space="preserve"> </w:t>
      </w:r>
      <w:r w:rsidRPr="00A551FC">
        <w:rPr>
          <w:rFonts w:ascii="Arial" w:hAnsi="Arial" w:cs="Arial"/>
          <w:sz w:val="22"/>
          <w:szCs w:val="22"/>
        </w:rPr>
        <w:t xml:space="preserve">Mann and her family is another aspect of partnership </w:t>
      </w:r>
      <w:r w:rsidRPr="00A551FC">
        <w:rPr>
          <w:rFonts w:ascii="Arial" w:hAnsi="Arial" w:cs="Arial"/>
          <w:sz w:val="22"/>
          <w:szCs w:val="22"/>
        </w:rPr>
        <w:t>work. Incorporating</w:t>
      </w:r>
      <w:r w:rsidRPr="00A551FC">
        <w:rPr>
          <w:rFonts w:ascii="Arial" w:hAnsi="Arial" w:cs="Arial"/>
          <w:sz w:val="22"/>
          <w:szCs w:val="22"/>
        </w:rPr>
        <w:t xml:space="preserve"> her daughter in a way that respects consent and confidentiality promotes collaborative decision-making. This cooperative strategy encourages independence and gives Mrs. Mann more control. In general, good partnership collaboration enhances care coordination, lowers risks, and promotes favourable </w:t>
      </w:r>
      <w:r w:rsidRPr="00A551FC">
        <w:rPr>
          <w:rFonts w:ascii="Arial" w:hAnsi="Arial" w:cs="Arial"/>
          <w:sz w:val="22"/>
          <w:szCs w:val="22"/>
        </w:rPr>
        <w:t>results. Professionals</w:t>
      </w:r>
      <w:r w:rsidRPr="00A551FC">
        <w:rPr>
          <w:rFonts w:ascii="Arial" w:hAnsi="Arial" w:cs="Arial"/>
          <w:sz w:val="22"/>
          <w:szCs w:val="22"/>
        </w:rPr>
        <w:t xml:space="preserve"> can improve Mrs. Mann's care by removing obstacles to communication and fostering teamwork.</w:t>
      </w:r>
    </w:p>
    <w:p w14:paraId="01B3ABBA" w14:textId="5C5C65AA" w:rsidR="00A551FC" w:rsidRDefault="00A551FC" w:rsidP="00B61475">
      <w:pPr>
        <w:rPr>
          <w:rFonts w:ascii="Arial" w:hAnsi="Arial" w:cs="Arial"/>
          <w:sz w:val="22"/>
          <w:szCs w:val="22"/>
        </w:rPr>
      </w:pPr>
      <w:r w:rsidRPr="00A551FC">
        <w:rPr>
          <w:rFonts w:ascii="Arial" w:hAnsi="Arial" w:cs="Arial"/>
          <w:sz w:val="22"/>
          <w:szCs w:val="22"/>
        </w:rPr>
        <w:t>In conclusion, this paper has used Mrs Mann's case study to examine the significance of professional practice in health and social care.</w:t>
      </w:r>
      <w:r>
        <w:rPr>
          <w:rFonts w:ascii="Arial" w:hAnsi="Arial" w:cs="Arial"/>
          <w:sz w:val="22"/>
          <w:szCs w:val="22"/>
        </w:rPr>
        <w:t xml:space="preserve"> </w:t>
      </w:r>
      <w:r w:rsidRPr="00A551FC">
        <w:rPr>
          <w:rFonts w:ascii="Arial" w:hAnsi="Arial" w:cs="Arial"/>
          <w:sz w:val="22"/>
          <w:szCs w:val="22"/>
        </w:rPr>
        <w:t xml:space="preserve">Overcoming language obstacles, fostering inclusiveness, and guaranteeing person-centred care all depend on effective communication, especially when backed by laws like the Equality Act of 2010 and </w:t>
      </w:r>
      <w:r w:rsidR="00160BAC">
        <w:rPr>
          <w:rFonts w:ascii="Arial" w:hAnsi="Arial" w:cs="Arial"/>
          <w:sz w:val="22"/>
          <w:szCs w:val="22"/>
        </w:rPr>
        <w:t>recognised</w:t>
      </w:r>
      <w:r w:rsidRPr="00A551FC">
        <w:rPr>
          <w:rFonts w:ascii="Arial" w:hAnsi="Arial" w:cs="Arial"/>
          <w:sz w:val="22"/>
          <w:szCs w:val="22"/>
        </w:rPr>
        <w:t xml:space="preserve"> communication </w:t>
      </w:r>
      <w:r w:rsidR="00160BAC">
        <w:rPr>
          <w:rFonts w:ascii="Arial" w:hAnsi="Arial" w:cs="Arial"/>
          <w:sz w:val="22"/>
          <w:szCs w:val="22"/>
        </w:rPr>
        <w:t>models</w:t>
      </w:r>
      <w:r w:rsidRPr="00A551FC">
        <w:rPr>
          <w:rFonts w:ascii="Arial" w:hAnsi="Arial" w:cs="Arial"/>
          <w:sz w:val="22"/>
          <w:szCs w:val="22"/>
        </w:rPr>
        <w:t xml:space="preserve">. Maintaining safety, continuity of care, and legal compliance under the Data Protection Act of 2018 all depend heavily on effective </w:t>
      </w:r>
      <w:r w:rsidRPr="00A551FC">
        <w:rPr>
          <w:rFonts w:ascii="Arial" w:hAnsi="Arial" w:cs="Arial"/>
          <w:sz w:val="22"/>
          <w:szCs w:val="22"/>
        </w:rPr>
        <w:lastRenderedPageBreak/>
        <w:t xml:space="preserve">administrative abilities and precise record keeping. Effective professional collaboration also lowers the possibility of mistakes in multi-agency settings and promotes coordinated care. </w:t>
      </w:r>
      <w:r w:rsidR="00C44CAD" w:rsidRPr="00C44CAD">
        <w:rPr>
          <w:rFonts w:ascii="Arial" w:hAnsi="Arial" w:cs="Arial"/>
          <w:sz w:val="22"/>
          <w:szCs w:val="22"/>
        </w:rPr>
        <w:t>Furthermore, consistently applying these professional principles allows health and social care services to respond more effectively to the needs of an ageing population. Mrs Mann’s case demonstrates how weaknesses in communication, record keeping or partnership working can negatively impact overall care delivery. Embedding professional standards, legal frameworks and collaborative approaches into everyday practice helps reduce risks, improve service user satisfaction and promote long-term wellbeing.</w:t>
      </w:r>
      <w:r w:rsidR="00C44CAD">
        <w:rPr>
          <w:rFonts w:ascii="Arial" w:hAnsi="Arial" w:cs="Arial"/>
          <w:sz w:val="22"/>
          <w:szCs w:val="22"/>
        </w:rPr>
        <w:t xml:space="preserve"> </w:t>
      </w:r>
      <w:r w:rsidRPr="00A551FC">
        <w:rPr>
          <w:rFonts w:ascii="Arial" w:hAnsi="Arial" w:cs="Arial"/>
          <w:sz w:val="22"/>
          <w:szCs w:val="22"/>
        </w:rPr>
        <w:t xml:space="preserve">Health and social care </w:t>
      </w:r>
      <w:r w:rsidR="00160BAC">
        <w:rPr>
          <w:rFonts w:ascii="Arial" w:hAnsi="Arial" w:cs="Arial"/>
          <w:sz w:val="22"/>
          <w:szCs w:val="22"/>
        </w:rPr>
        <w:t>professionals</w:t>
      </w:r>
      <w:r w:rsidRPr="00A551FC">
        <w:rPr>
          <w:rFonts w:ascii="Arial" w:hAnsi="Arial" w:cs="Arial"/>
          <w:sz w:val="22"/>
          <w:szCs w:val="22"/>
        </w:rPr>
        <w:t xml:space="preserve"> may improve outcomes, encourage independence, and raise the general standard of care for clients like Mrs Mann by putting these ideas into practice.</w:t>
      </w:r>
    </w:p>
    <w:p w14:paraId="3AB1B2DF" w14:textId="77777777" w:rsidR="00B61475" w:rsidRDefault="00B61475" w:rsidP="00B61475">
      <w:pPr>
        <w:rPr>
          <w:rFonts w:ascii="Arial" w:hAnsi="Arial" w:cs="Arial"/>
          <w:sz w:val="22"/>
          <w:szCs w:val="22"/>
        </w:rPr>
      </w:pPr>
    </w:p>
    <w:p w14:paraId="6B4846C8" w14:textId="77777777" w:rsidR="00B61475" w:rsidRDefault="00B61475" w:rsidP="00B61475">
      <w:pPr>
        <w:rPr>
          <w:rFonts w:ascii="Arial" w:hAnsi="Arial" w:cs="Arial"/>
          <w:sz w:val="22"/>
          <w:szCs w:val="22"/>
        </w:rPr>
      </w:pPr>
    </w:p>
    <w:p w14:paraId="2954F6B5" w14:textId="77777777" w:rsidR="00B61475" w:rsidRDefault="00B61475" w:rsidP="00B61475">
      <w:pPr>
        <w:rPr>
          <w:rFonts w:ascii="Arial" w:hAnsi="Arial" w:cs="Arial"/>
          <w:sz w:val="22"/>
          <w:szCs w:val="22"/>
        </w:rPr>
      </w:pPr>
    </w:p>
    <w:p w14:paraId="1EAA5720" w14:textId="77777777" w:rsidR="00B61475" w:rsidRDefault="00B61475" w:rsidP="00B61475">
      <w:pPr>
        <w:rPr>
          <w:rFonts w:ascii="Arial" w:hAnsi="Arial" w:cs="Arial"/>
          <w:sz w:val="22"/>
          <w:szCs w:val="22"/>
        </w:rPr>
      </w:pPr>
    </w:p>
    <w:p w14:paraId="4C1EDC80" w14:textId="77777777" w:rsidR="00B61475" w:rsidRDefault="00B61475" w:rsidP="00B61475">
      <w:pPr>
        <w:rPr>
          <w:rFonts w:ascii="Arial" w:hAnsi="Arial" w:cs="Arial"/>
          <w:sz w:val="22"/>
          <w:szCs w:val="22"/>
        </w:rPr>
      </w:pPr>
    </w:p>
    <w:p w14:paraId="6729240F" w14:textId="77777777" w:rsidR="00B61475" w:rsidRDefault="00B61475" w:rsidP="00B61475">
      <w:pPr>
        <w:rPr>
          <w:rFonts w:ascii="Arial" w:hAnsi="Arial" w:cs="Arial"/>
          <w:sz w:val="22"/>
          <w:szCs w:val="22"/>
        </w:rPr>
      </w:pPr>
    </w:p>
    <w:p w14:paraId="6DB461CB" w14:textId="77777777" w:rsidR="00B61475" w:rsidRDefault="00B61475" w:rsidP="00B61475">
      <w:pPr>
        <w:rPr>
          <w:rFonts w:ascii="Arial" w:hAnsi="Arial" w:cs="Arial"/>
          <w:sz w:val="22"/>
          <w:szCs w:val="22"/>
        </w:rPr>
      </w:pPr>
    </w:p>
    <w:p w14:paraId="19416229" w14:textId="77777777" w:rsidR="00B61475" w:rsidRDefault="00B61475" w:rsidP="00B61475">
      <w:pPr>
        <w:rPr>
          <w:rFonts w:ascii="Arial" w:hAnsi="Arial" w:cs="Arial"/>
          <w:sz w:val="22"/>
          <w:szCs w:val="22"/>
        </w:rPr>
      </w:pPr>
    </w:p>
    <w:p w14:paraId="78F4E72A" w14:textId="77777777" w:rsidR="00B61475" w:rsidRDefault="00B61475" w:rsidP="00B61475">
      <w:pPr>
        <w:rPr>
          <w:rFonts w:ascii="Arial" w:hAnsi="Arial" w:cs="Arial"/>
          <w:sz w:val="22"/>
          <w:szCs w:val="22"/>
        </w:rPr>
      </w:pPr>
    </w:p>
    <w:p w14:paraId="6FAF4C3F" w14:textId="77777777" w:rsidR="00B61475" w:rsidRDefault="00B61475" w:rsidP="00B61475">
      <w:pPr>
        <w:rPr>
          <w:rFonts w:ascii="Arial" w:hAnsi="Arial" w:cs="Arial"/>
          <w:sz w:val="22"/>
          <w:szCs w:val="22"/>
        </w:rPr>
      </w:pPr>
    </w:p>
    <w:p w14:paraId="16406297" w14:textId="77777777" w:rsidR="00B61475" w:rsidRDefault="00B61475" w:rsidP="00B61475">
      <w:pPr>
        <w:rPr>
          <w:rFonts w:ascii="Arial" w:hAnsi="Arial" w:cs="Arial"/>
          <w:sz w:val="22"/>
          <w:szCs w:val="22"/>
        </w:rPr>
      </w:pPr>
    </w:p>
    <w:p w14:paraId="57CBFC54" w14:textId="77777777" w:rsidR="00B61475" w:rsidRDefault="00B61475" w:rsidP="00B61475">
      <w:pPr>
        <w:rPr>
          <w:rFonts w:ascii="Arial" w:hAnsi="Arial" w:cs="Arial"/>
          <w:sz w:val="22"/>
          <w:szCs w:val="22"/>
        </w:rPr>
      </w:pPr>
    </w:p>
    <w:p w14:paraId="4982BA52" w14:textId="77777777" w:rsidR="00B61475" w:rsidRDefault="00B61475" w:rsidP="00B61475">
      <w:pPr>
        <w:rPr>
          <w:rFonts w:ascii="Arial" w:hAnsi="Arial" w:cs="Arial"/>
          <w:sz w:val="22"/>
          <w:szCs w:val="22"/>
        </w:rPr>
      </w:pPr>
    </w:p>
    <w:p w14:paraId="2FEA4D9A" w14:textId="77777777" w:rsidR="00B61475" w:rsidRDefault="00B61475" w:rsidP="00B61475">
      <w:pPr>
        <w:rPr>
          <w:rFonts w:ascii="Arial" w:hAnsi="Arial" w:cs="Arial"/>
          <w:sz w:val="22"/>
          <w:szCs w:val="22"/>
        </w:rPr>
      </w:pPr>
    </w:p>
    <w:p w14:paraId="55950876" w14:textId="77777777" w:rsidR="00B61475" w:rsidRDefault="00B61475" w:rsidP="00B61475">
      <w:pPr>
        <w:rPr>
          <w:rFonts w:ascii="Arial" w:hAnsi="Arial" w:cs="Arial"/>
          <w:sz w:val="22"/>
          <w:szCs w:val="22"/>
        </w:rPr>
      </w:pPr>
    </w:p>
    <w:p w14:paraId="324B9409" w14:textId="77777777" w:rsidR="00B61475" w:rsidRDefault="00B61475" w:rsidP="00B61475">
      <w:pPr>
        <w:rPr>
          <w:rFonts w:ascii="Arial" w:hAnsi="Arial" w:cs="Arial"/>
          <w:sz w:val="22"/>
          <w:szCs w:val="22"/>
        </w:rPr>
      </w:pPr>
    </w:p>
    <w:p w14:paraId="3C47CE4F" w14:textId="77777777" w:rsidR="00B61475" w:rsidRDefault="00B61475" w:rsidP="00B61475">
      <w:pPr>
        <w:rPr>
          <w:rFonts w:ascii="Arial" w:hAnsi="Arial" w:cs="Arial"/>
          <w:sz w:val="22"/>
          <w:szCs w:val="22"/>
        </w:rPr>
      </w:pPr>
    </w:p>
    <w:p w14:paraId="234EF4BC" w14:textId="77777777" w:rsidR="00B61475" w:rsidRDefault="00B61475" w:rsidP="00B61475">
      <w:pPr>
        <w:rPr>
          <w:rFonts w:ascii="Arial" w:hAnsi="Arial" w:cs="Arial"/>
          <w:sz w:val="22"/>
          <w:szCs w:val="22"/>
        </w:rPr>
      </w:pPr>
    </w:p>
    <w:p w14:paraId="1B195F44" w14:textId="77777777" w:rsidR="00B61475" w:rsidRDefault="00B61475" w:rsidP="00B61475">
      <w:pPr>
        <w:rPr>
          <w:rFonts w:ascii="Arial" w:hAnsi="Arial" w:cs="Arial"/>
          <w:sz w:val="22"/>
          <w:szCs w:val="22"/>
        </w:rPr>
      </w:pPr>
    </w:p>
    <w:p w14:paraId="03316C64" w14:textId="77777777" w:rsidR="000749D6" w:rsidRDefault="000749D6">
      <w:pPr>
        <w:rPr>
          <w:rFonts w:ascii="Arial" w:hAnsi="Arial" w:cs="Arial"/>
          <w:sz w:val="22"/>
          <w:szCs w:val="22"/>
        </w:rPr>
      </w:pPr>
    </w:p>
    <w:p w14:paraId="22622AA6" w14:textId="77777777" w:rsidR="000749D6" w:rsidRDefault="000749D6">
      <w:pPr>
        <w:rPr>
          <w:rFonts w:ascii="Arial" w:hAnsi="Arial" w:cs="Arial"/>
          <w:sz w:val="22"/>
          <w:szCs w:val="22"/>
        </w:rPr>
      </w:pPr>
    </w:p>
    <w:p w14:paraId="59AA83EC" w14:textId="77777777" w:rsidR="000749D6" w:rsidRDefault="000749D6">
      <w:pPr>
        <w:rPr>
          <w:rFonts w:ascii="Arial" w:hAnsi="Arial" w:cs="Arial"/>
          <w:sz w:val="22"/>
          <w:szCs w:val="22"/>
        </w:rPr>
      </w:pPr>
    </w:p>
    <w:p w14:paraId="2D039112" w14:textId="77777777" w:rsidR="000749D6" w:rsidRDefault="000749D6">
      <w:pPr>
        <w:rPr>
          <w:rFonts w:ascii="Arial" w:hAnsi="Arial" w:cs="Arial"/>
          <w:sz w:val="22"/>
          <w:szCs w:val="22"/>
        </w:rPr>
      </w:pPr>
    </w:p>
    <w:p w14:paraId="091B298A" w14:textId="77777777" w:rsidR="000749D6" w:rsidRDefault="000749D6">
      <w:pPr>
        <w:rPr>
          <w:rFonts w:ascii="Arial" w:hAnsi="Arial" w:cs="Arial"/>
          <w:sz w:val="22"/>
          <w:szCs w:val="22"/>
        </w:rPr>
      </w:pPr>
    </w:p>
    <w:p w14:paraId="0CD76354" w14:textId="6594F4A0" w:rsidR="00D16A27" w:rsidRDefault="00D16A27">
      <w:pPr>
        <w:rPr>
          <w:rFonts w:ascii="Arial" w:hAnsi="Arial" w:cs="Arial"/>
          <w:sz w:val="22"/>
          <w:szCs w:val="22"/>
        </w:rPr>
      </w:pPr>
      <w:r>
        <w:rPr>
          <w:rFonts w:ascii="Arial" w:hAnsi="Arial" w:cs="Arial"/>
          <w:sz w:val="22"/>
          <w:szCs w:val="22"/>
        </w:rPr>
        <w:lastRenderedPageBreak/>
        <w:t xml:space="preserve">References </w:t>
      </w:r>
    </w:p>
    <w:p w14:paraId="112AE1BE" w14:textId="64290A34" w:rsidR="006F3177" w:rsidRDefault="006F3177" w:rsidP="006F3177">
      <w:pPr>
        <w:rPr>
          <w:rFonts w:ascii="Arial" w:hAnsi="Arial" w:cs="Arial"/>
          <w:sz w:val="22"/>
          <w:szCs w:val="22"/>
        </w:rPr>
      </w:pPr>
      <w:proofErr w:type="spellStart"/>
      <w:r w:rsidRPr="006F3177">
        <w:rPr>
          <w:rFonts w:ascii="Arial" w:hAnsi="Arial" w:cs="Arial"/>
          <w:sz w:val="22"/>
          <w:szCs w:val="22"/>
        </w:rPr>
        <w:t>Toersen</w:t>
      </w:r>
      <w:proofErr w:type="spellEnd"/>
      <w:r w:rsidRPr="006F3177">
        <w:rPr>
          <w:rFonts w:ascii="Arial" w:hAnsi="Arial" w:cs="Arial"/>
          <w:sz w:val="22"/>
          <w:szCs w:val="22"/>
        </w:rPr>
        <w:t xml:space="preserve">, </w:t>
      </w:r>
      <w:proofErr w:type="gramStart"/>
      <w:r w:rsidRPr="006F3177">
        <w:rPr>
          <w:rFonts w:ascii="Arial" w:hAnsi="Arial" w:cs="Arial"/>
          <w:sz w:val="22"/>
          <w:szCs w:val="22"/>
        </w:rPr>
        <w:t>Neoma .</w:t>
      </w:r>
      <w:proofErr w:type="gramEnd"/>
      <w:r w:rsidRPr="006F3177">
        <w:rPr>
          <w:rFonts w:ascii="Arial" w:hAnsi="Arial" w:cs="Arial"/>
          <w:sz w:val="22"/>
          <w:szCs w:val="22"/>
        </w:rPr>
        <w:t xml:space="preserve"> “Effective Communication in Health and Social Care.” </w:t>
      </w:r>
      <w:r w:rsidRPr="006F3177">
        <w:rPr>
          <w:rFonts w:ascii="Arial" w:hAnsi="Arial" w:cs="Arial"/>
          <w:i/>
          <w:iCs/>
          <w:sz w:val="22"/>
          <w:szCs w:val="22"/>
        </w:rPr>
        <w:t>The Access Group</w:t>
      </w:r>
      <w:r w:rsidRPr="006F3177">
        <w:rPr>
          <w:rFonts w:ascii="Arial" w:hAnsi="Arial" w:cs="Arial"/>
          <w:sz w:val="22"/>
          <w:szCs w:val="22"/>
        </w:rPr>
        <w:t xml:space="preserve">, 17 Nov. 2023, </w:t>
      </w:r>
      <w:hyperlink r:id="rId4" w:history="1">
        <w:r w:rsidRPr="006F3177">
          <w:rPr>
            <w:rStyle w:val="Hyperlink"/>
            <w:rFonts w:ascii="Arial" w:hAnsi="Arial" w:cs="Arial"/>
            <w:sz w:val="22"/>
            <w:szCs w:val="22"/>
          </w:rPr>
          <w:t>www.theaccessgroup.com/en-gb/blog/hsc-effective-communication-health-and-social-care/</w:t>
        </w:r>
      </w:hyperlink>
      <w:r w:rsidRPr="006F3177">
        <w:rPr>
          <w:rFonts w:ascii="Arial" w:hAnsi="Arial" w:cs="Arial"/>
          <w:sz w:val="22"/>
          <w:szCs w:val="22"/>
        </w:rPr>
        <w:t>.</w:t>
      </w:r>
    </w:p>
    <w:p w14:paraId="5F2CBF3C" w14:textId="77777777" w:rsidR="006F3177" w:rsidRPr="006F3177" w:rsidRDefault="006F3177" w:rsidP="006F3177">
      <w:pPr>
        <w:rPr>
          <w:rFonts w:ascii="Arial" w:hAnsi="Arial" w:cs="Arial"/>
          <w:sz w:val="22"/>
          <w:szCs w:val="22"/>
        </w:rPr>
      </w:pPr>
      <w:r w:rsidRPr="006F3177">
        <w:rPr>
          <w:rFonts w:ascii="Arial" w:hAnsi="Arial" w:cs="Arial"/>
          <w:sz w:val="22"/>
          <w:szCs w:val="22"/>
        </w:rPr>
        <w:t>Social Care Institute for Excellence. “Personalisation and the Equality Act 2010.” </w:t>
      </w:r>
      <w:r w:rsidRPr="006F3177">
        <w:rPr>
          <w:rFonts w:ascii="Arial" w:hAnsi="Arial" w:cs="Arial"/>
          <w:i/>
          <w:iCs/>
          <w:sz w:val="22"/>
          <w:szCs w:val="22"/>
        </w:rPr>
        <w:t>SCIE</w:t>
      </w:r>
      <w:r w:rsidRPr="006F3177">
        <w:rPr>
          <w:rFonts w:ascii="Arial" w:hAnsi="Arial" w:cs="Arial"/>
          <w:sz w:val="22"/>
          <w:szCs w:val="22"/>
        </w:rPr>
        <w:t>, Apr. 2011, www.scie.org.uk/providing-care/personalised-and-person-centred-care/personalisation-and-the-equality-act-2010/.</w:t>
      </w:r>
    </w:p>
    <w:p w14:paraId="5AA2607F" w14:textId="77777777" w:rsidR="006F3177" w:rsidRPr="006F3177" w:rsidRDefault="006F3177" w:rsidP="006F3177">
      <w:pPr>
        <w:rPr>
          <w:rFonts w:ascii="Arial" w:hAnsi="Arial" w:cs="Arial"/>
          <w:sz w:val="22"/>
          <w:szCs w:val="22"/>
        </w:rPr>
      </w:pPr>
      <w:r w:rsidRPr="006F3177">
        <w:rPr>
          <w:rFonts w:ascii="Arial" w:hAnsi="Arial" w:cs="Arial"/>
          <w:sz w:val="22"/>
          <w:szCs w:val="22"/>
        </w:rPr>
        <w:t>NHS England. “NHS England» Accessible Information Standard.” </w:t>
      </w:r>
      <w:r w:rsidRPr="006F3177">
        <w:rPr>
          <w:rFonts w:ascii="Arial" w:hAnsi="Arial" w:cs="Arial"/>
          <w:i/>
          <w:iCs/>
          <w:sz w:val="22"/>
          <w:szCs w:val="22"/>
        </w:rPr>
        <w:t>England.nhs.uk</w:t>
      </w:r>
      <w:r w:rsidRPr="006F3177">
        <w:rPr>
          <w:rFonts w:ascii="Arial" w:hAnsi="Arial" w:cs="Arial"/>
          <w:sz w:val="22"/>
          <w:szCs w:val="22"/>
        </w:rPr>
        <w:t>, 2025, www.england.nhs.uk/accessible-information-standard/.</w:t>
      </w:r>
    </w:p>
    <w:p w14:paraId="5650DF05" w14:textId="77777777" w:rsidR="006F3177" w:rsidRPr="006F3177" w:rsidRDefault="006F3177" w:rsidP="006F3177">
      <w:pPr>
        <w:rPr>
          <w:rFonts w:ascii="Arial" w:hAnsi="Arial" w:cs="Arial"/>
          <w:sz w:val="22"/>
          <w:szCs w:val="22"/>
        </w:rPr>
      </w:pPr>
      <w:r w:rsidRPr="006F3177">
        <w:rPr>
          <w:rFonts w:ascii="Arial" w:hAnsi="Arial" w:cs="Arial"/>
          <w:sz w:val="22"/>
          <w:szCs w:val="22"/>
        </w:rPr>
        <w:t>Equality and Human Rights Commission. “Home Page | Equality and Human Rights Commission.” </w:t>
      </w:r>
      <w:r w:rsidRPr="006F3177">
        <w:rPr>
          <w:rFonts w:ascii="Arial" w:hAnsi="Arial" w:cs="Arial"/>
          <w:i/>
          <w:iCs/>
          <w:sz w:val="22"/>
          <w:szCs w:val="22"/>
        </w:rPr>
        <w:t>Equalityhumanrights.com</w:t>
      </w:r>
      <w:r w:rsidRPr="006F3177">
        <w:rPr>
          <w:rFonts w:ascii="Arial" w:hAnsi="Arial" w:cs="Arial"/>
          <w:sz w:val="22"/>
          <w:szCs w:val="22"/>
        </w:rPr>
        <w:t>, 2020, www.equalityhumanrights.com.</w:t>
      </w:r>
    </w:p>
    <w:p w14:paraId="64701870" w14:textId="77777777" w:rsidR="006F3177" w:rsidRPr="006F3177" w:rsidRDefault="006F3177" w:rsidP="006F3177">
      <w:pPr>
        <w:rPr>
          <w:rFonts w:ascii="Arial" w:hAnsi="Arial" w:cs="Arial"/>
          <w:sz w:val="22"/>
          <w:szCs w:val="22"/>
        </w:rPr>
      </w:pPr>
      <w:r w:rsidRPr="006F3177">
        <w:rPr>
          <w:rFonts w:ascii="Arial" w:hAnsi="Arial" w:cs="Arial"/>
          <w:sz w:val="22"/>
          <w:szCs w:val="22"/>
        </w:rPr>
        <w:t>Skills for Care. “Skills for Care - Home.” </w:t>
      </w:r>
      <w:r w:rsidRPr="006F3177">
        <w:rPr>
          <w:rFonts w:ascii="Arial" w:hAnsi="Arial" w:cs="Arial"/>
          <w:i/>
          <w:iCs/>
          <w:sz w:val="22"/>
          <w:szCs w:val="22"/>
        </w:rPr>
        <w:t>Skillsforcare.org.uk</w:t>
      </w:r>
      <w:r w:rsidRPr="006F3177">
        <w:rPr>
          <w:rFonts w:ascii="Arial" w:hAnsi="Arial" w:cs="Arial"/>
          <w:sz w:val="22"/>
          <w:szCs w:val="22"/>
        </w:rPr>
        <w:t>, 2023, www.skillsforcare.org.uk/Home.aspx.</w:t>
      </w:r>
    </w:p>
    <w:p w14:paraId="68ABB858" w14:textId="77777777" w:rsidR="006F3177" w:rsidRPr="006F3177" w:rsidRDefault="006F3177" w:rsidP="006F3177">
      <w:pPr>
        <w:rPr>
          <w:rFonts w:ascii="Arial" w:hAnsi="Arial" w:cs="Arial"/>
          <w:sz w:val="22"/>
          <w:szCs w:val="22"/>
        </w:rPr>
      </w:pPr>
      <w:r w:rsidRPr="006F3177">
        <w:rPr>
          <w:rFonts w:ascii="Arial" w:hAnsi="Arial" w:cs="Arial"/>
          <w:sz w:val="22"/>
          <w:szCs w:val="22"/>
        </w:rPr>
        <w:t>UK Government. “Data Protection Act.” </w:t>
      </w:r>
      <w:r w:rsidRPr="006F3177">
        <w:rPr>
          <w:rFonts w:ascii="Arial" w:hAnsi="Arial" w:cs="Arial"/>
          <w:i/>
          <w:iCs/>
          <w:sz w:val="22"/>
          <w:szCs w:val="22"/>
        </w:rPr>
        <w:t>Gov.uk</w:t>
      </w:r>
      <w:r w:rsidRPr="006F3177">
        <w:rPr>
          <w:rFonts w:ascii="Arial" w:hAnsi="Arial" w:cs="Arial"/>
          <w:sz w:val="22"/>
          <w:szCs w:val="22"/>
        </w:rPr>
        <w:t>, www.gov.uk, 2025, www.gov.uk/data-protection.</w:t>
      </w:r>
    </w:p>
    <w:p w14:paraId="480F7273" w14:textId="77777777" w:rsidR="006F3177" w:rsidRPr="006F3177" w:rsidRDefault="006F3177" w:rsidP="006F3177">
      <w:pPr>
        <w:rPr>
          <w:rFonts w:ascii="Arial" w:hAnsi="Arial" w:cs="Arial"/>
          <w:sz w:val="22"/>
          <w:szCs w:val="22"/>
        </w:rPr>
      </w:pPr>
      <w:r w:rsidRPr="006F3177">
        <w:rPr>
          <w:rFonts w:ascii="Arial" w:hAnsi="Arial" w:cs="Arial"/>
          <w:sz w:val="22"/>
          <w:szCs w:val="22"/>
        </w:rPr>
        <w:t>NHS Digital. “Home - NHS Digital.” </w:t>
      </w:r>
      <w:r w:rsidRPr="006F3177">
        <w:rPr>
          <w:rFonts w:ascii="Arial" w:hAnsi="Arial" w:cs="Arial"/>
          <w:i/>
          <w:iCs/>
          <w:sz w:val="22"/>
          <w:szCs w:val="22"/>
        </w:rPr>
        <w:t>NHS Digital</w:t>
      </w:r>
      <w:r w:rsidRPr="006F3177">
        <w:rPr>
          <w:rFonts w:ascii="Arial" w:hAnsi="Arial" w:cs="Arial"/>
          <w:sz w:val="22"/>
          <w:szCs w:val="22"/>
        </w:rPr>
        <w:t>, 19 Dec. 2019, digital.nhs.uk.</w:t>
      </w:r>
    </w:p>
    <w:p w14:paraId="520D05FA" w14:textId="0E634062" w:rsidR="006F3177" w:rsidRPr="006F3177" w:rsidRDefault="006F3177" w:rsidP="006F3177">
      <w:pPr>
        <w:rPr>
          <w:rFonts w:ascii="Arial" w:hAnsi="Arial" w:cs="Arial"/>
          <w:sz w:val="22"/>
          <w:szCs w:val="22"/>
        </w:rPr>
      </w:pPr>
    </w:p>
    <w:p w14:paraId="63C0BFC5" w14:textId="77777777" w:rsidR="006F3177" w:rsidRPr="006F3177" w:rsidRDefault="006F3177" w:rsidP="006F3177">
      <w:pPr>
        <w:rPr>
          <w:rFonts w:ascii="Arial" w:hAnsi="Arial" w:cs="Arial"/>
          <w:sz w:val="22"/>
          <w:szCs w:val="22"/>
        </w:rPr>
      </w:pPr>
    </w:p>
    <w:p w14:paraId="38CD646F" w14:textId="77777777" w:rsidR="00D16A27" w:rsidRDefault="00D16A27">
      <w:pPr>
        <w:rPr>
          <w:rFonts w:ascii="Arial" w:hAnsi="Arial" w:cs="Arial"/>
          <w:sz w:val="22"/>
          <w:szCs w:val="22"/>
        </w:rPr>
      </w:pPr>
    </w:p>
    <w:p w14:paraId="3F2FA2CC" w14:textId="77777777" w:rsidR="00D16A27" w:rsidRDefault="00D16A27">
      <w:pPr>
        <w:rPr>
          <w:rFonts w:ascii="Arial" w:hAnsi="Arial" w:cs="Arial"/>
          <w:sz w:val="22"/>
          <w:szCs w:val="22"/>
        </w:rPr>
      </w:pPr>
    </w:p>
    <w:p w14:paraId="35E958D8" w14:textId="77777777" w:rsidR="000749D6" w:rsidRDefault="000749D6">
      <w:pPr>
        <w:rPr>
          <w:rFonts w:ascii="Arial" w:hAnsi="Arial" w:cs="Arial"/>
          <w:sz w:val="22"/>
          <w:szCs w:val="22"/>
        </w:rPr>
      </w:pPr>
    </w:p>
    <w:p w14:paraId="719FA868" w14:textId="77777777" w:rsidR="000749D6" w:rsidRDefault="000749D6">
      <w:pPr>
        <w:rPr>
          <w:rFonts w:ascii="Arial" w:hAnsi="Arial" w:cs="Arial"/>
          <w:sz w:val="22"/>
          <w:szCs w:val="22"/>
        </w:rPr>
      </w:pPr>
    </w:p>
    <w:p w14:paraId="1C1C0C14" w14:textId="77777777" w:rsidR="000749D6" w:rsidRDefault="000749D6">
      <w:pPr>
        <w:rPr>
          <w:rFonts w:ascii="Arial" w:hAnsi="Arial" w:cs="Arial"/>
          <w:sz w:val="22"/>
          <w:szCs w:val="22"/>
        </w:rPr>
      </w:pPr>
    </w:p>
    <w:p w14:paraId="1C3A3D0B" w14:textId="77777777" w:rsidR="00F77E81" w:rsidRDefault="00F77E81">
      <w:pPr>
        <w:rPr>
          <w:rFonts w:ascii="Arial" w:hAnsi="Arial" w:cs="Arial"/>
          <w:sz w:val="22"/>
          <w:szCs w:val="22"/>
        </w:rPr>
      </w:pPr>
    </w:p>
    <w:p w14:paraId="404D7F97" w14:textId="77777777" w:rsidR="00F77E81" w:rsidRDefault="00F77E81">
      <w:pPr>
        <w:rPr>
          <w:rFonts w:ascii="Arial" w:hAnsi="Arial" w:cs="Arial"/>
          <w:sz w:val="22"/>
          <w:szCs w:val="22"/>
        </w:rPr>
      </w:pPr>
    </w:p>
    <w:p w14:paraId="2E4CE39D" w14:textId="77777777" w:rsidR="00F77E81" w:rsidRDefault="00F77E81">
      <w:pPr>
        <w:rPr>
          <w:rFonts w:ascii="Arial" w:hAnsi="Arial" w:cs="Arial"/>
          <w:sz w:val="22"/>
          <w:szCs w:val="22"/>
        </w:rPr>
      </w:pPr>
    </w:p>
    <w:p w14:paraId="5724CEDC" w14:textId="77777777" w:rsidR="00F77E81" w:rsidRDefault="00F77E81">
      <w:pPr>
        <w:rPr>
          <w:rFonts w:ascii="Arial" w:hAnsi="Arial" w:cs="Arial"/>
          <w:sz w:val="22"/>
          <w:szCs w:val="22"/>
        </w:rPr>
      </w:pPr>
    </w:p>
    <w:p w14:paraId="118BB89E" w14:textId="77777777" w:rsidR="00F77E81" w:rsidRDefault="00F77E81">
      <w:pPr>
        <w:rPr>
          <w:rFonts w:ascii="Arial" w:hAnsi="Arial" w:cs="Arial"/>
          <w:sz w:val="22"/>
          <w:szCs w:val="22"/>
        </w:rPr>
      </w:pPr>
    </w:p>
    <w:p w14:paraId="1672558C" w14:textId="77777777" w:rsidR="00F77E81" w:rsidRDefault="00F77E81">
      <w:pPr>
        <w:rPr>
          <w:rFonts w:ascii="Arial" w:hAnsi="Arial" w:cs="Arial"/>
          <w:sz w:val="22"/>
          <w:szCs w:val="22"/>
        </w:rPr>
      </w:pPr>
    </w:p>
    <w:p w14:paraId="68BE32C6" w14:textId="77777777" w:rsidR="00F77E81" w:rsidRDefault="00F77E81">
      <w:pPr>
        <w:rPr>
          <w:rFonts w:ascii="Arial" w:hAnsi="Arial" w:cs="Arial"/>
          <w:sz w:val="22"/>
          <w:szCs w:val="22"/>
        </w:rPr>
      </w:pPr>
    </w:p>
    <w:p w14:paraId="456AE73F" w14:textId="77777777" w:rsidR="00F77E81" w:rsidRDefault="00F77E81">
      <w:pPr>
        <w:rPr>
          <w:rFonts w:ascii="Arial" w:hAnsi="Arial" w:cs="Arial"/>
          <w:sz w:val="22"/>
          <w:szCs w:val="22"/>
        </w:rPr>
      </w:pPr>
    </w:p>
    <w:p w14:paraId="09B1DB7C" w14:textId="77777777" w:rsidR="00F77E81" w:rsidRDefault="00F77E81">
      <w:pPr>
        <w:rPr>
          <w:rFonts w:ascii="Arial" w:hAnsi="Arial" w:cs="Arial"/>
          <w:sz w:val="22"/>
          <w:szCs w:val="22"/>
        </w:rPr>
      </w:pPr>
    </w:p>
    <w:p w14:paraId="6AFABBEB" w14:textId="77777777" w:rsidR="00F77E81" w:rsidRDefault="00F77E81">
      <w:pPr>
        <w:rPr>
          <w:rFonts w:ascii="Arial" w:hAnsi="Arial" w:cs="Arial"/>
          <w:sz w:val="22"/>
          <w:szCs w:val="22"/>
        </w:rPr>
      </w:pPr>
    </w:p>
    <w:p w14:paraId="40BA49CF" w14:textId="77777777" w:rsidR="00F77E81" w:rsidRDefault="00F77E81">
      <w:pPr>
        <w:rPr>
          <w:rFonts w:ascii="Arial" w:hAnsi="Arial" w:cs="Arial"/>
          <w:sz w:val="22"/>
          <w:szCs w:val="22"/>
        </w:rPr>
      </w:pPr>
    </w:p>
    <w:p w14:paraId="4E044805" w14:textId="77777777" w:rsidR="00F77E81" w:rsidRDefault="00F77E81">
      <w:pPr>
        <w:rPr>
          <w:rFonts w:ascii="Arial" w:hAnsi="Arial" w:cs="Arial"/>
          <w:sz w:val="22"/>
          <w:szCs w:val="22"/>
        </w:rPr>
      </w:pPr>
    </w:p>
    <w:p w14:paraId="64ACE41A" w14:textId="77777777" w:rsidR="00F77E81" w:rsidRDefault="00F77E81">
      <w:pPr>
        <w:rPr>
          <w:rFonts w:ascii="Arial" w:hAnsi="Arial" w:cs="Arial"/>
          <w:sz w:val="22"/>
          <w:szCs w:val="22"/>
        </w:rPr>
      </w:pPr>
    </w:p>
    <w:p w14:paraId="3C76FCB4" w14:textId="77777777" w:rsidR="00F77E81" w:rsidRDefault="00F77E81">
      <w:pPr>
        <w:rPr>
          <w:rFonts w:ascii="Arial" w:hAnsi="Arial" w:cs="Arial"/>
          <w:sz w:val="22"/>
          <w:szCs w:val="22"/>
        </w:rPr>
      </w:pPr>
    </w:p>
    <w:p w14:paraId="378AE9C7" w14:textId="77777777" w:rsidR="00F77E81" w:rsidRDefault="00F77E81">
      <w:pPr>
        <w:rPr>
          <w:rFonts w:ascii="Arial" w:hAnsi="Arial" w:cs="Arial"/>
          <w:sz w:val="22"/>
          <w:szCs w:val="22"/>
        </w:rPr>
      </w:pPr>
    </w:p>
    <w:p w14:paraId="36FFBE0E" w14:textId="77777777" w:rsidR="00317BDF" w:rsidRDefault="00317BDF">
      <w:pPr>
        <w:rPr>
          <w:rFonts w:ascii="Arial" w:hAnsi="Arial" w:cs="Arial"/>
          <w:sz w:val="22"/>
          <w:szCs w:val="22"/>
        </w:rPr>
      </w:pPr>
    </w:p>
    <w:p w14:paraId="59E12F61" w14:textId="77777777" w:rsidR="00364D43" w:rsidRDefault="00364D43">
      <w:pPr>
        <w:rPr>
          <w:rFonts w:ascii="Arial" w:hAnsi="Arial" w:cs="Arial"/>
          <w:sz w:val="22"/>
          <w:szCs w:val="22"/>
        </w:rPr>
      </w:pPr>
    </w:p>
    <w:p w14:paraId="69E4B007" w14:textId="77777777" w:rsidR="00364D43" w:rsidRDefault="00364D43">
      <w:pPr>
        <w:rPr>
          <w:rFonts w:ascii="Arial" w:hAnsi="Arial" w:cs="Arial"/>
          <w:sz w:val="22"/>
          <w:szCs w:val="22"/>
        </w:rPr>
      </w:pPr>
    </w:p>
    <w:p w14:paraId="4B990A74" w14:textId="77777777" w:rsidR="00364D43" w:rsidRDefault="00364D43">
      <w:pPr>
        <w:rPr>
          <w:rFonts w:ascii="Arial" w:hAnsi="Arial" w:cs="Arial"/>
          <w:sz w:val="22"/>
          <w:szCs w:val="22"/>
        </w:rPr>
      </w:pPr>
    </w:p>
    <w:p w14:paraId="3DB76C29" w14:textId="77777777" w:rsidR="00364D43" w:rsidRDefault="00364D43">
      <w:pPr>
        <w:rPr>
          <w:rFonts w:ascii="Arial" w:hAnsi="Arial" w:cs="Arial"/>
          <w:sz w:val="22"/>
          <w:szCs w:val="22"/>
        </w:rPr>
      </w:pPr>
    </w:p>
    <w:p w14:paraId="35AB79AB" w14:textId="77777777" w:rsidR="00364D43" w:rsidRDefault="00364D43">
      <w:pPr>
        <w:rPr>
          <w:rFonts w:ascii="Arial" w:hAnsi="Arial" w:cs="Arial"/>
          <w:sz w:val="22"/>
          <w:szCs w:val="22"/>
        </w:rPr>
      </w:pPr>
    </w:p>
    <w:p w14:paraId="315AC211" w14:textId="77777777" w:rsidR="00364D43" w:rsidRDefault="00364D43">
      <w:pPr>
        <w:rPr>
          <w:rFonts w:ascii="Arial" w:hAnsi="Arial" w:cs="Arial"/>
          <w:sz w:val="22"/>
          <w:szCs w:val="22"/>
        </w:rPr>
      </w:pPr>
    </w:p>
    <w:p w14:paraId="357FCB12" w14:textId="77777777" w:rsidR="00364D43" w:rsidRDefault="00364D43">
      <w:pPr>
        <w:rPr>
          <w:rFonts w:ascii="Arial" w:hAnsi="Arial" w:cs="Arial"/>
          <w:sz w:val="22"/>
          <w:szCs w:val="22"/>
        </w:rPr>
      </w:pPr>
    </w:p>
    <w:p w14:paraId="0AFE709A" w14:textId="77777777" w:rsidR="00364D43" w:rsidRDefault="00364D43">
      <w:pPr>
        <w:rPr>
          <w:rFonts w:ascii="Arial" w:hAnsi="Arial" w:cs="Arial"/>
          <w:sz w:val="22"/>
          <w:szCs w:val="22"/>
        </w:rPr>
      </w:pPr>
    </w:p>
    <w:p w14:paraId="5183CE3E" w14:textId="77777777" w:rsidR="00364D43" w:rsidRDefault="00364D43">
      <w:pPr>
        <w:rPr>
          <w:rFonts w:ascii="Arial" w:hAnsi="Arial" w:cs="Arial"/>
          <w:sz w:val="22"/>
          <w:szCs w:val="22"/>
        </w:rPr>
      </w:pPr>
    </w:p>
    <w:p w14:paraId="3FDC5341" w14:textId="77777777" w:rsidR="00364D43" w:rsidRDefault="00364D43">
      <w:pPr>
        <w:rPr>
          <w:rFonts w:ascii="Arial" w:hAnsi="Arial" w:cs="Arial"/>
          <w:sz w:val="22"/>
          <w:szCs w:val="22"/>
        </w:rPr>
      </w:pPr>
    </w:p>
    <w:p w14:paraId="0862C9E9" w14:textId="77777777" w:rsidR="00364D43" w:rsidRDefault="00364D43">
      <w:pPr>
        <w:rPr>
          <w:rFonts w:ascii="Arial" w:hAnsi="Arial" w:cs="Arial"/>
          <w:sz w:val="22"/>
          <w:szCs w:val="22"/>
        </w:rPr>
      </w:pPr>
    </w:p>
    <w:p w14:paraId="067C33CE" w14:textId="77777777" w:rsidR="00364D43" w:rsidRPr="00AE5916" w:rsidRDefault="00364D43">
      <w:pPr>
        <w:rPr>
          <w:rFonts w:ascii="Arial" w:hAnsi="Arial" w:cs="Arial"/>
          <w:sz w:val="22"/>
          <w:szCs w:val="22"/>
        </w:rPr>
      </w:pPr>
    </w:p>
    <w:sectPr w:rsidR="00364D43" w:rsidRPr="00AE59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5916"/>
    <w:rsid w:val="000749D6"/>
    <w:rsid w:val="000A6AE9"/>
    <w:rsid w:val="00160BAC"/>
    <w:rsid w:val="001840CD"/>
    <w:rsid w:val="001B72D4"/>
    <w:rsid w:val="00203367"/>
    <w:rsid w:val="002E2CD8"/>
    <w:rsid w:val="00317BDF"/>
    <w:rsid w:val="00364D43"/>
    <w:rsid w:val="00512DBA"/>
    <w:rsid w:val="00573301"/>
    <w:rsid w:val="006F3177"/>
    <w:rsid w:val="008006A0"/>
    <w:rsid w:val="009410B6"/>
    <w:rsid w:val="009775BC"/>
    <w:rsid w:val="009C2533"/>
    <w:rsid w:val="009F621F"/>
    <w:rsid w:val="00A2122C"/>
    <w:rsid w:val="00A551FC"/>
    <w:rsid w:val="00AE5916"/>
    <w:rsid w:val="00B61475"/>
    <w:rsid w:val="00BA6D56"/>
    <w:rsid w:val="00C44850"/>
    <w:rsid w:val="00C44CAD"/>
    <w:rsid w:val="00D16A27"/>
    <w:rsid w:val="00D943EF"/>
    <w:rsid w:val="00F77E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A966E4E"/>
  <w15:chartTrackingRefBased/>
  <w15:docId w15:val="{23398268-B849-EE46-8407-51BBBE681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1475"/>
  </w:style>
  <w:style w:type="paragraph" w:styleId="Heading1">
    <w:name w:val="heading 1"/>
    <w:basedOn w:val="Normal"/>
    <w:next w:val="Normal"/>
    <w:link w:val="Heading1Char"/>
    <w:uiPriority w:val="9"/>
    <w:qFormat/>
    <w:rsid w:val="00AE59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59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59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59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59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59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59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59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59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59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59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59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59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59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59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59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59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5916"/>
    <w:rPr>
      <w:rFonts w:eastAsiaTheme="majorEastAsia" w:cstheme="majorBidi"/>
      <w:color w:val="272727" w:themeColor="text1" w:themeTint="D8"/>
    </w:rPr>
  </w:style>
  <w:style w:type="paragraph" w:styleId="Title">
    <w:name w:val="Title"/>
    <w:basedOn w:val="Normal"/>
    <w:next w:val="Normal"/>
    <w:link w:val="TitleChar"/>
    <w:uiPriority w:val="10"/>
    <w:qFormat/>
    <w:rsid w:val="00AE59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59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59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59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5916"/>
    <w:pPr>
      <w:spacing w:before="160"/>
      <w:jc w:val="center"/>
    </w:pPr>
    <w:rPr>
      <w:i/>
      <w:iCs/>
      <w:color w:val="404040" w:themeColor="text1" w:themeTint="BF"/>
    </w:rPr>
  </w:style>
  <w:style w:type="character" w:customStyle="1" w:styleId="QuoteChar">
    <w:name w:val="Quote Char"/>
    <w:basedOn w:val="DefaultParagraphFont"/>
    <w:link w:val="Quote"/>
    <w:uiPriority w:val="29"/>
    <w:rsid w:val="00AE5916"/>
    <w:rPr>
      <w:i/>
      <w:iCs/>
      <w:color w:val="404040" w:themeColor="text1" w:themeTint="BF"/>
    </w:rPr>
  </w:style>
  <w:style w:type="paragraph" w:styleId="ListParagraph">
    <w:name w:val="List Paragraph"/>
    <w:basedOn w:val="Normal"/>
    <w:uiPriority w:val="34"/>
    <w:qFormat/>
    <w:rsid w:val="00AE5916"/>
    <w:pPr>
      <w:ind w:left="720"/>
      <w:contextualSpacing/>
    </w:pPr>
  </w:style>
  <w:style w:type="character" w:styleId="IntenseEmphasis">
    <w:name w:val="Intense Emphasis"/>
    <w:basedOn w:val="DefaultParagraphFont"/>
    <w:uiPriority w:val="21"/>
    <w:qFormat/>
    <w:rsid w:val="00AE5916"/>
    <w:rPr>
      <w:i/>
      <w:iCs/>
      <w:color w:val="0F4761" w:themeColor="accent1" w:themeShade="BF"/>
    </w:rPr>
  </w:style>
  <w:style w:type="paragraph" w:styleId="IntenseQuote">
    <w:name w:val="Intense Quote"/>
    <w:basedOn w:val="Normal"/>
    <w:next w:val="Normal"/>
    <w:link w:val="IntenseQuoteChar"/>
    <w:uiPriority w:val="30"/>
    <w:qFormat/>
    <w:rsid w:val="00AE59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5916"/>
    <w:rPr>
      <w:i/>
      <w:iCs/>
      <w:color w:val="0F4761" w:themeColor="accent1" w:themeShade="BF"/>
    </w:rPr>
  </w:style>
  <w:style w:type="character" w:styleId="IntenseReference">
    <w:name w:val="Intense Reference"/>
    <w:basedOn w:val="DefaultParagraphFont"/>
    <w:uiPriority w:val="32"/>
    <w:qFormat/>
    <w:rsid w:val="00AE5916"/>
    <w:rPr>
      <w:b/>
      <w:bCs/>
      <w:smallCaps/>
      <w:color w:val="0F4761" w:themeColor="accent1" w:themeShade="BF"/>
      <w:spacing w:val="5"/>
    </w:rPr>
  </w:style>
  <w:style w:type="character" w:styleId="Hyperlink">
    <w:name w:val="Hyperlink"/>
    <w:basedOn w:val="DefaultParagraphFont"/>
    <w:uiPriority w:val="99"/>
    <w:unhideWhenUsed/>
    <w:rsid w:val="006F3177"/>
    <w:rPr>
      <w:color w:val="467886" w:themeColor="hyperlink"/>
      <w:u w:val="single"/>
    </w:rPr>
  </w:style>
  <w:style w:type="character" w:styleId="UnresolvedMention">
    <w:name w:val="Unresolved Mention"/>
    <w:basedOn w:val="DefaultParagraphFont"/>
    <w:uiPriority w:val="99"/>
    <w:semiHidden/>
    <w:unhideWhenUsed/>
    <w:rsid w:val="006F31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767456">
      <w:bodyDiv w:val="1"/>
      <w:marLeft w:val="0"/>
      <w:marRight w:val="0"/>
      <w:marTop w:val="0"/>
      <w:marBottom w:val="0"/>
      <w:divBdr>
        <w:top w:val="none" w:sz="0" w:space="0" w:color="auto"/>
        <w:left w:val="none" w:sz="0" w:space="0" w:color="auto"/>
        <w:bottom w:val="none" w:sz="0" w:space="0" w:color="auto"/>
        <w:right w:val="none" w:sz="0" w:space="0" w:color="auto"/>
      </w:divBdr>
      <w:divsChild>
        <w:div w:id="900293372">
          <w:marLeft w:val="-720"/>
          <w:marRight w:val="0"/>
          <w:marTop w:val="0"/>
          <w:marBottom w:val="0"/>
          <w:divBdr>
            <w:top w:val="none" w:sz="0" w:space="0" w:color="auto"/>
            <w:left w:val="none" w:sz="0" w:space="0" w:color="auto"/>
            <w:bottom w:val="none" w:sz="0" w:space="0" w:color="auto"/>
            <w:right w:val="none" w:sz="0" w:space="0" w:color="auto"/>
          </w:divBdr>
        </w:div>
      </w:divsChild>
    </w:div>
    <w:div w:id="178466452">
      <w:bodyDiv w:val="1"/>
      <w:marLeft w:val="0"/>
      <w:marRight w:val="0"/>
      <w:marTop w:val="0"/>
      <w:marBottom w:val="0"/>
      <w:divBdr>
        <w:top w:val="none" w:sz="0" w:space="0" w:color="auto"/>
        <w:left w:val="none" w:sz="0" w:space="0" w:color="auto"/>
        <w:bottom w:val="none" w:sz="0" w:space="0" w:color="auto"/>
        <w:right w:val="none" w:sz="0" w:space="0" w:color="auto"/>
      </w:divBdr>
      <w:divsChild>
        <w:div w:id="1612935706">
          <w:marLeft w:val="-720"/>
          <w:marRight w:val="0"/>
          <w:marTop w:val="0"/>
          <w:marBottom w:val="0"/>
          <w:divBdr>
            <w:top w:val="none" w:sz="0" w:space="0" w:color="auto"/>
            <w:left w:val="none" w:sz="0" w:space="0" w:color="auto"/>
            <w:bottom w:val="none" w:sz="0" w:space="0" w:color="auto"/>
            <w:right w:val="none" w:sz="0" w:space="0" w:color="auto"/>
          </w:divBdr>
        </w:div>
      </w:divsChild>
    </w:div>
    <w:div w:id="409618565">
      <w:bodyDiv w:val="1"/>
      <w:marLeft w:val="0"/>
      <w:marRight w:val="0"/>
      <w:marTop w:val="0"/>
      <w:marBottom w:val="0"/>
      <w:divBdr>
        <w:top w:val="none" w:sz="0" w:space="0" w:color="auto"/>
        <w:left w:val="none" w:sz="0" w:space="0" w:color="auto"/>
        <w:bottom w:val="none" w:sz="0" w:space="0" w:color="auto"/>
        <w:right w:val="none" w:sz="0" w:space="0" w:color="auto"/>
      </w:divBdr>
      <w:divsChild>
        <w:div w:id="1413500931">
          <w:marLeft w:val="-720"/>
          <w:marRight w:val="0"/>
          <w:marTop w:val="0"/>
          <w:marBottom w:val="0"/>
          <w:divBdr>
            <w:top w:val="none" w:sz="0" w:space="0" w:color="auto"/>
            <w:left w:val="none" w:sz="0" w:space="0" w:color="auto"/>
            <w:bottom w:val="none" w:sz="0" w:space="0" w:color="auto"/>
            <w:right w:val="none" w:sz="0" w:space="0" w:color="auto"/>
          </w:divBdr>
        </w:div>
      </w:divsChild>
    </w:div>
    <w:div w:id="529955451">
      <w:bodyDiv w:val="1"/>
      <w:marLeft w:val="0"/>
      <w:marRight w:val="0"/>
      <w:marTop w:val="0"/>
      <w:marBottom w:val="0"/>
      <w:divBdr>
        <w:top w:val="none" w:sz="0" w:space="0" w:color="auto"/>
        <w:left w:val="none" w:sz="0" w:space="0" w:color="auto"/>
        <w:bottom w:val="none" w:sz="0" w:space="0" w:color="auto"/>
        <w:right w:val="none" w:sz="0" w:space="0" w:color="auto"/>
      </w:divBdr>
      <w:divsChild>
        <w:div w:id="1267736856">
          <w:marLeft w:val="-720"/>
          <w:marRight w:val="0"/>
          <w:marTop w:val="0"/>
          <w:marBottom w:val="0"/>
          <w:divBdr>
            <w:top w:val="none" w:sz="0" w:space="0" w:color="auto"/>
            <w:left w:val="none" w:sz="0" w:space="0" w:color="auto"/>
            <w:bottom w:val="none" w:sz="0" w:space="0" w:color="auto"/>
            <w:right w:val="none" w:sz="0" w:space="0" w:color="auto"/>
          </w:divBdr>
        </w:div>
      </w:divsChild>
    </w:div>
    <w:div w:id="770903149">
      <w:bodyDiv w:val="1"/>
      <w:marLeft w:val="0"/>
      <w:marRight w:val="0"/>
      <w:marTop w:val="0"/>
      <w:marBottom w:val="0"/>
      <w:divBdr>
        <w:top w:val="none" w:sz="0" w:space="0" w:color="auto"/>
        <w:left w:val="none" w:sz="0" w:space="0" w:color="auto"/>
        <w:bottom w:val="none" w:sz="0" w:space="0" w:color="auto"/>
        <w:right w:val="none" w:sz="0" w:space="0" w:color="auto"/>
      </w:divBdr>
      <w:divsChild>
        <w:div w:id="1972051017">
          <w:marLeft w:val="-720"/>
          <w:marRight w:val="0"/>
          <w:marTop w:val="0"/>
          <w:marBottom w:val="0"/>
          <w:divBdr>
            <w:top w:val="none" w:sz="0" w:space="0" w:color="auto"/>
            <w:left w:val="none" w:sz="0" w:space="0" w:color="auto"/>
            <w:bottom w:val="none" w:sz="0" w:space="0" w:color="auto"/>
            <w:right w:val="none" w:sz="0" w:space="0" w:color="auto"/>
          </w:divBdr>
        </w:div>
      </w:divsChild>
    </w:div>
    <w:div w:id="822310790">
      <w:bodyDiv w:val="1"/>
      <w:marLeft w:val="0"/>
      <w:marRight w:val="0"/>
      <w:marTop w:val="0"/>
      <w:marBottom w:val="0"/>
      <w:divBdr>
        <w:top w:val="none" w:sz="0" w:space="0" w:color="auto"/>
        <w:left w:val="none" w:sz="0" w:space="0" w:color="auto"/>
        <w:bottom w:val="none" w:sz="0" w:space="0" w:color="auto"/>
        <w:right w:val="none" w:sz="0" w:space="0" w:color="auto"/>
      </w:divBdr>
      <w:divsChild>
        <w:div w:id="321079349">
          <w:marLeft w:val="-720"/>
          <w:marRight w:val="0"/>
          <w:marTop w:val="0"/>
          <w:marBottom w:val="0"/>
          <w:divBdr>
            <w:top w:val="none" w:sz="0" w:space="0" w:color="auto"/>
            <w:left w:val="none" w:sz="0" w:space="0" w:color="auto"/>
            <w:bottom w:val="none" w:sz="0" w:space="0" w:color="auto"/>
            <w:right w:val="none" w:sz="0" w:space="0" w:color="auto"/>
          </w:divBdr>
        </w:div>
      </w:divsChild>
    </w:div>
    <w:div w:id="1098677665">
      <w:bodyDiv w:val="1"/>
      <w:marLeft w:val="0"/>
      <w:marRight w:val="0"/>
      <w:marTop w:val="0"/>
      <w:marBottom w:val="0"/>
      <w:divBdr>
        <w:top w:val="none" w:sz="0" w:space="0" w:color="auto"/>
        <w:left w:val="none" w:sz="0" w:space="0" w:color="auto"/>
        <w:bottom w:val="none" w:sz="0" w:space="0" w:color="auto"/>
        <w:right w:val="none" w:sz="0" w:space="0" w:color="auto"/>
      </w:divBdr>
      <w:divsChild>
        <w:div w:id="1747918678">
          <w:marLeft w:val="-720"/>
          <w:marRight w:val="0"/>
          <w:marTop w:val="0"/>
          <w:marBottom w:val="0"/>
          <w:divBdr>
            <w:top w:val="none" w:sz="0" w:space="0" w:color="auto"/>
            <w:left w:val="none" w:sz="0" w:space="0" w:color="auto"/>
            <w:bottom w:val="none" w:sz="0" w:space="0" w:color="auto"/>
            <w:right w:val="none" w:sz="0" w:space="0" w:color="auto"/>
          </w:divBdr>
        </w:div>
      </w:divsChild>
    </w:div>
    <w:div w:id="1132097566">
      <w:bodyDiv w:val="1"/>
      <w:marLeft w:val="0"/>
      <w:marRight w:val="0"/>
      <w:marTop w:val="0"/>
      <w:marBottom w:val="0"/>
      <w:divBdr>
        <w:top w:val="none" w:sz="0" w:space="0" w:color="auto"/>
        <w:left w:val="none" w:sz="0" w:space="0" w:color="auto"/>
        <w:bottom w:val="none" w:sz="0" w:space="0" w:color="auto"/>
        <w:right w:val="none" w:sz="0" w:space="0" w:color="auto"/>
      </w:divBdr>
      <w:divsChild>
        <w:div w:id="1491214987">
          <w:marLeft w:val="-720"/>
          <w:marRight w:val="0"/>
          <w:marTop w:val="0"/>
          <w:marBottom w:val="0"/>
          <w:divBdr>
            <w:top w:val="none" w:sz="0" w:space="0" w:color="auto"/>
            <w:left w:val="none" w:sz="0" w:space="0" w:color="auto"/>
            <w:bottom w:val="none" w:sz="0" w:space="0" w:color="auto"/>
            <w:right w:val="none" w:sz="0" w:space="0" w:color="auto"/>
          </w:divBdr>
        </w:div>
      </w:divsChild>
    </w:div>
    <w:div w:id="1224755595">
      <w:bodyDiv w:val="1"/>
      <w:marLeft w:val="0"/>
      <w:marRight w:val="0"/>
      <w:marTop w:val="0"/>
      <w:marBottom w:val="0"/>
      <w:divBdr>
        <w:top w:val="none" w:sz="0" w:space="0" w:color="auto"/>
        <w:left w:val="none" w:sz="0" w:space="0" w:color="auto"/>
        <w:bottom w:val="none" w:sz="0" w:space="0" w:color="auto"/>
        <w:right w:val="none" w:sz="0" w:space="0" w:color="auto"/>
      </w:divBdr>
      <w:divsChild>
        <w:div w:id="492372814">
          <w:marLeft w:val="-720"/>
          <w:marRight w:val="0"/>
          <w:marTop w:val="0"/>
          <w:marBottom w:val="0"/>
          <w:divBdr>
            <w:top w:val="none" w:sz="0" w:space="0" w:color="auto"/>
            <w:left w:val="none" w:sz="0" w:space="0" w:color="auto"/>
            <w:bottom w:val="none" w:sz="0" w:space="0" w:color="auto"/>
            <w:right w:val="none" w:sz="0" w:space="0" w:color="auto"/>
          </w:divBdr>
        </w:div>
      </w:divsChild>
    </w:div>
    <w:div w:id="1463959142">
      <w:bodyDiv w:val="1"/>
      <w:marLeft w:val="0"/>
      <w:marRight w:val="0"/>
      <w:marTop w:val="0"/>
      <w:marBottom w:val="0"/>
      <w:divBdr>
        <w:top w:val="none" w:sz="0" w:space="0" w:color="auto"/>
        <w:left w:val="none" w:sz="0" w:space="0" w:color="auto"/>
        <w:bottom w:val="none" w:sz="0" w:space="0" w:color="auto"/>
        <w:right w:val="none" w:sz="0" w:space="0" w:color="auto"/>
      </w:divBdr>
      <w:divsChild>
        <w:div w:id="383405951">
          <w:marLeft w:val="-720"/>
          <w:marRight w:val="0"/>
          <w:marTop w:val="0"/>
          <w:marBottom w:val="0"/>
          <w:divBdr>
            <w:top w:val="none" w:sz="0" w:space="0" w:color="auto"/>
            <w:left w:val="none" w:sz="0" w:space="0" w:color="auto"/>
            <w:bottom w:val="none" w:sz="0" w:space="0" w:color="auto"/>
            <w:right w:val="none" w:sz="0" w:space="0" w:color="auto"/>
          </w:divBdr>
        </w:div>
      </w:divsChild>
    </w:div>
    <w:div w:id="1734741166">
      <w:bodyDiv w:val="1"/>
      <w:marLeft w:val="0"/>
      <w:marRight w:val="0"/>
      <w:marTop w:val="0"/>
      <w:marBottom w:val="0"/>
      <w:divBdr>
        <w:top w:val="none" w:sz="0" w:space="0" w:color="auto"/>
        <w:left w:val="none" w:sz="0" w:space="0" w:color="auto"/>
        <w:bottom w:val="none" w:sz="0" w:space="0" w:color="auto"/>
        <w:right w:val="none" w:sz="0" w:space="0" w:color="auto"/>
      </w:divBdr>
      <w:divsChild>
        <w:div w:id="272635881">
          <w:marLeft w:val="-720"/>
          <w:marRight w:val="0"/>
          <w:marTop w:val="0"/>
          <w:marBottom w:val="0"/>
          <w:divBdr>
            <w:top w:val="none" w:sz="0" w:space="0" w:color="auto"/>
            <w:left w:val="none" w:sz="0" w:space="0" w:color="auto"/>
            <w:bottom w:val="none" w:sz="0" w:space="0" w:color="auto"/>
            <w:right w:val="none" w:sz="0" w:space="0" w:color="auto"/>
          </w:divBdr>
        </w:div>
      </w:divsChild>
    </w:div>
    <w:div w:id="1809662864">
      <w:bodyDiv w:val="1"/>
      <w:marLeft w:val="0"/>
      <w:marRight w:val="0"/>
      <w:marTop w:val="0"/>
      <w:marBottom w:val="0"/>
      <w:divBdr>
        <w:top w:val="none" w:sz="0" w:space="0" w:color="auto"/>
        <w:left w:val="none" w:sz="0" w:space="0" w:color="auto"/>
        <w:bottom w:val="none" w:sz="0" w:space="0" w:color="auto"/>
        <w:right w:val="none" w:sz="0" w:space="0" w:color="auto"/>
      </w:divBdr>
      <w:divsChild>
        <w:div w:id="1405567073">
          <w:marLeft w:val="-720"/>
          <w:marRight w:val="0"/>
          <w:marTop w:val="0"/>
          <w:marBottom w:val="0"/>
          <w:divBdr>
            <w:top w:val="none" w:sz="0" w:space="0" w:color="auto"/>
            <w:left w:val="none" w:sz="0" w:space="0" w:color="auto"/>
            <w:bottom w:val="none" w:sz="0" w:space="0" w:color="auto"/>
            <w:right w:val="none" w:sz="0" w:space="0" w:color="auto"/>
          </w:divBdr>
        </w:div>
      </w:divsChild>
    </w:div>
    <w:div w:id="1852835120">
      <w:bodyDiv w:val="1"/>
      <w:marLeft w:val="0"/>
      <w:marRight w:val="0"/>
      <w:marTop w:val="0"/>
      <w:marBottom w:val="0"/>
      <w:divBdr>
        <w:top w:val="none" w:sz="0" w:space="0" w:color="auto"/>
        <w:left w:val="none" w:sz="0" w:space="0" w:color="auto"/>
        <w:bottom w:val="none" w:sz="0" w:space="0" w:color="auto"/>
        <w:right w:val="none" w:sz="0" w:space="0" w:color="auto"/>
      </w:divBdr>
      <w:divsChild>
        <w:div w:id="289214184">
          <w:marLeft w:val="-720"/>
          <w:marRight w:val="0"/>
          <w:marTop w:val="0"/>
          <w:marBottom w:val="0"/>
          <w:divBdr>
            <w:top w:val="none" w:sz="0" w:space="0" w:color="auto"/>
            <w:left w:val="none" w:sz="0" w:space="0" w:color="auto"/>
            <w:bottom w:val="none" w:sz="0" w:space="0" w:color="auto"/>
            <w:right w:val="none" w:sz="0" w:space="0" w:color="auto"/>
          </w:divBdr>
        </w:div>
      </w:divsChild>
    </w:div>
    <w:div w:id="1979458877">
      <w:bodyDiv w:val="1"/>
      <w:marLeft w:val="0"/>
      <w:marRight w:val="0"/>
      <w:marTop w:val="0"/>
      <w:marBottom w:val="0"/>
      <w:divBdr>
        <w:top w:val="none" w:sz="0" w:space="0" w:color="auto"/>
        <w:left w:val="none" w:sz="0" w:space="0" w:color="auto"/>
        <w:bottom w:val="none" w:sz="0" w:space="0" w:color="auto"/>
        <w:right w:val="none" w:sz="0" w:space="0" w:color="auto"/>
      </w:divBdr>
      <w:divsChild>
        <w:div w:id="152454766">
          <w:marLeft w:val="-720"/>
          <w:marRight w:val="0"/>
          <w:marTop w:val="0"/>
          <w:marBottom w:val="0"/>
          <w:divBdr>
            <w:top w:val="none" w:sz="0" w:space="0" w:color="auto"/>
            <w:left w:val="none" w:sz="0" w:space="0" w:color="auto"/>
            <w:bottom w:val="none" w:sz="0" w:space="0" w:color="auto"/>
            <w:right w:val="none" w:sz="0" w:space="0" w:color="auto"/>
          </w:divBdr>
        </w:div>
      </w:divsChild>
    </w:div>
    <w:div w:id="1989626744">
      <w:bodyDiv w:val="1"/>
      <w:marLeft w:val="0"/>
      <w:marRight w:val="0"/>
      <w:marTop w:val="0"/>
      <w:marBottom w:val="0"/>
      <w:divBdr>
        <w:top w:val="none" w:sz="0" w:space="0" w:color="auto"/>
        <w:left w:val="none" w:sz="0" w:space="0" w:color="auto"/>
        <w:bottom w:val="none" w:sz="0" w:space="0" w:color="auto"/>
        <w:right w:val="none" w:sz="0" w:space="0" w:color="auto"/>
      </w:divBdr>
      <w:divsChild>
        <w:div w:id="1879587987">
          <w:marLeft w:val="-720"/>
          <w:marRight w:val="0"/>
          <w:marTop w:val="0"/>
          <w:marBottom w:val="0"/>
          <w:divBdr>
            <w:top w:val="none" w:sz="0" w:space="0" w:color="auto"/>
            <w:left w:val="none" w:sz="0" w:space="0" w:color="auto"/>
            <w:bottom w:val="none" w:sz="0" w:space="0" w:color="auto"/>
            <w:right w:val="none" w:sz="0" w:space="0" w:color="auto"/>
          </w:divBdr>
        </w:div>
      </w:divsChild>
    </w:div>
    <w:div w:id="2083024871">
      <w:bodyDiv w:val="1"/>
      <w:marLeft w:val="0"/>
      <w:marRight w:val="0"/>
      <w:marTop w:val="0"/>
      <w:marBottom w:val="0"/>
      <w:divBdr>
        <w:top w:val="none" w:sz="0" w:space="0" w:color="auto"/>
        <w:left w:val="none" w:sz="0" w:space="0" w:color="auto"/>
        <w:bottom w:val="none" w:sz="0" w:space="0" w:color="auto"/>
        <w:right w:val="none" w:sz="0" w:space="0" w:color="auto"/>
      </w:divBdr>
      <w:divsChild>
        <w:div w:id="1825655873">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theaccessgroup.com/en-gb/blog/hsc-effective-communication-health-and-social-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3277</TotalTime>
  <Pages>7</Pages>
  <Words>1870</Words>
  <Characters>10664</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Sydney Mungoza (2437221)</dc:creator>
  <cp:keywords/>
  <dc:description/>
  <cp:lastModifiedBy>Sydney Mungoza (2437221)</cp:lastModifiedBy>
  <cp:revision>3</cp:revision>
  <dcterms:created xsi:type="dcterms:W3CDTF">2025-12-14T20:26:00Z</dcterms:created>
  <dcterms:modified xsi:type="dcterms:W3CDTF">2025-12-18T21:21:00Z</dcterms:modified>
</cp:coreProperties>
</file>