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AD137C" w14:textId="77777777" w:rsidR="00C07665" w:rsidRPr="00AF0B66" w:rsidRDefault="00C07665" w:rsidP="00C07665">
      <w:pPr>
        <w:jc w:val="center"/>
        <w:rPr>
          <w:rFonts w:asciiTheme="majorHAnsi" w:hAnsiTheme="majorHAnsi"/>
          <w:b/>
          <w:bCs/>
          <w:sz w:val="52"/>
          <w:szCs w:val="52"/>
        </w:rPr>
      </w:pPr>
      <w:r>
        <w:rPr>
          <w:noProof/>
        </w:rPr>
        <w:drawing>
          <wp:inline distT="0" distB="0" distL="0" distR="0" wp14:anchorId="3F23B77B" wp14:editId="5842AE8B">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r w:rsidRPr="00AF0B66">
        <w:rPr>
          <w:rFonts w:asciiTheme="majorHAnsi" w:hAnsiTheme="majorHAnsi"/>
          <w:b/>
          <w:bCs/>
          <w:sz w:val="52"/>
          <w:szCs w:val="52"/>
        </w:rPr>
        <w:t>Coursework Title</w:t>
      </w:r>
    </w:p>
    <w:p w14:paraId="5AD13BCF" w14:textId="77777777" w:rsidR="00C07665" w:rsidRPr="00AF0B66" w:rsidRDefault="00C07665" w:rsidP="00C07665">
      <w:pPr>
        <w:jc w:val="center"/>
        <w:rPr>
          <w:rFonts w:asciiTheme="majorHAnsi" w:hAnsiTheme="majorHAnsi"/>
          <w:sz w:val="44"/>
          <w:szCs w:val="44"/>
        </w:rPr>
      </w:pPr>
      <w:r w:rsidRPr="00AF0B66">
        <w:rPr>
          <w:rFonts w:asciiTheme="majorHAnsi" w:hAnsiTheme="majorHAnsi"/>
          <w:sz w:val="44"/>
          <w:szCs w:val="44"/>
        </w:rPr>
        <w:t>Module Name:</w:t>
      </w:r>
      <w:r>
        <w:rPr>
          <w:rFonts w:asciiTheme="majorHAnsi" w:hAnsiTheme="majorHAnsi"/>
          <w:sz w:val="44"/>
          <w:szCs w:val="44"/>
        </w:rPr>
        <w:t xml:space="preserve"> </w:t>
      </w:r>
      <w:r w:rsidRPr="00B32521">
        <w:rPr>
          <w:rFonts w:asciiTheme="majorHAnsi" w:hAnsiTheme="majorHAnsi"/>
          <w:sz w:val="44"/>
          <w:szCs w:val="44"/>
        </w:rPr>
        <w:t>Introduction to Web and Database Concepts</w:t>
      </w:r>
    </w:p>
    <w:p w14:paraId="27F06425" w14:textId="0E319179" w:rsidR="00C07665" w:rsidRPr="00AF0B66" w:rsidRDefault="00C07665" w:rsidP="00C07665">
      <w:pPr>
        <w:jc w:val="center"/>
        <w:rPr>
          <w:rFonts w:asciiTheme="majorHAnsi" w:hAnsiTheme="majorHAnsi"/>
          <w:sz w:val="44"/>
          <w:szCs w:val="44"/>
        </w:rPr>
      </w:pPr>
      <w:r w:rsidRPr="00AF0B66">
        <w:rPr>
          <w:rFonts w:asciiTheme="majorHAnsi" w:hAnsiTheme="majorHAnsi"/>
          <w:sz w:val="44"/>
          <w:szCs w:val="44"/>
        </w:rPr>
        <w:t>Module Code:</w:t>
      </w:r>
      <w:r>
        <w:rPr>
          <w:rFonts w:asciiTheme="majorHAnsi" w:hAnsiTheme="majorHAnsi"/>
          <w:sz w:val="44"/>
          <w:szCs w:val="44"/>
        </w:rPr>
        <w:t xml:space="preserve"> </w:t>
      </w:r>
      <w:r w:rsidRPr="00C07665">
        <w:rPr>
          <w:rFonts w:asciiTheme="majorHAnsi" w:hAnsiTheme="majorHAnsi"/>
          <w:sz w:val="44"/>
          <w:szCs w:val="44"/>
        </w:rPr>
        <w:t>ACCA4024</w:t>
      </w:r>
    </w:p>
    <w:p w14:paraId="4C3EA127" w14:textId="77777777" w:rsidR="00C07665" w:rsidRPr="00AF0B66" w:rsidRDefault="00C07665" w:rsidP="00C07665">
      <w:pPr>
        <w:jc w:val="center"/>
        <w:rPr>
          <w:rFonts w:asciiTheme="majorHAnsi" w:hAnsiTheme="majorHAnsi"/>
          <w:sz w:val="44"/>
          <w:szCs w:val="44"/>
        </w:rPr>
      </w:pPr>
      <w:r w:rsidRPr="00AF0B66">
        <w:rPr>
          <w:rFonts w:asciiTheme="majorHAnsi" w:hAnsiTheme="majorHAnsi"/>
          <w:sz w:val="44"/>
          <w:szCs w:val="44"/>
        </w:rPr>
        <w:t>Student Name:</w:t>
      </w:r>
      <w:r>
        <w:rPr>
          <w:rFonts w:asciiTheme="majorHAnsi" w:hAnsiTheme="majorHAnsi"/>
          <w:sz w:val="44"/>
          <w:szCs w:val="44"/>
        </w:rPr>
        <w:t xml:space="preserve"> Mohammed Tanvir Chowdhury </w:t>
      </w:r>
    </w:p>
    <w:p w14:paraId="19B93A79" w14:textId="77777777" w:rsidR="00C07665" w:rsidRPr="00AF0B66" w:rsidRDefault="00C07665" w:rsidP="00C07665">
      <w:pPr>
        <w:jc w:val="center"/>
        <w:rPr>
          <w:rFonts w:asciiTheme="majorHAnsi" w:hAnsiTheme="majorHAnsi"/>
          <w:sz w:val="44"/>
          <w:szCs w:val="44"/>
        </w:rPr>
      </w:pPr>
      <w:r w:rsidRPr="00AF0B66">
        <w:rPr>
          <w:rFonts w:asciiTheme="majorHAnsi" w:hAnsiTheme="majorHAnsi"/>
          <w:sz w:val="44"/>
          <w:szCs w:val="44"/>
        </w:rPr>
        <w:t>Student ID:</w:t>
      </w:r>
      <w:r>
        <w:rPr>
          <w:rFonts w:asciiTheme="majorHAnsi" w:hAnsiTheme="majorHAnsi"/>
          <w:sz w:val="44"/>
          <w:szCs w:val="44"/>
        </w:rPr>
        <w:t xml:space="preserve"> 2220749</w:t>
      </w:r>
    </w:p>
    <w:p w14:paraId="7204FD9C" w14:textId="5ACC43BF" w:rsidR="00C07665" w:rsidRDefault="00C07665" w:rsidP="00C07665">
      <w:pPr>
        <w:jc w:val="center"/>
        <w:rPr>
          <w:rFonts w:asciiTheme="majorHAnsi" w:hAnsiTheme="majorHAnsi"/>
          <w:sz w:val="44"/>
          <w:szCs w:val="44"/>
        </w:rPr>
      </w:pPr>
      <w:r w:rsidRPr="00AF0B66">
        <w:rPr>
          <w:rFonts w:asciiTheme="majorHAnsi" w:hAnsiTheme="majorHAnsi"/>
          <w:sz w:val="44"/>
          <w:szCs w:val="44"/>
        </w:rPr>
        <w:t xml:space="preserve">Lecturer Name: </w:t>
      </w:r>
      <w:r w:rsidRPr="00C07665">
        <w:rPr>
          <w:rFonts w:asciiTheme="majorHAnsi" w:hAnsiTheme="majorHAnsi"/>
          <w:sz w:val="44"/>
          <w:szCs w:val="44"/>
        </w:rPr>
        <w:t>Muhammad Azeem Abbas</w:t>
      </w:r>
    </w:p>
    <w:p w14:paraId="524ED954" w14:textId="35F4401C" w:rsidR="00C07665" w:rsidRDefault="00C07665" w:rsidP="00C07665">
      <w:pPr>
        <w:jc w:val="center"/>
        <w:rPr>
          <w:rFonts w:asciiTheme="majorHAnsi" w:hAnsiTheme="majorHAnsi"/>
          <w:sz w:val="44"/>
          <w:szCs w:val="44"/>
        </w:rPr>
      </w:pPr>
      <w:r w:rsidRPr="00C56564">
        <w:rPr>
          <w:rFonts w:asciiTheme="majorHAnsi" w:hAnsiTheme="majorHAnsi"/>
          <w:sz w:val="44"/>
          <w:szCs w:val="44"/>
        </w:rPr>
        <w:t>Submission date: 2</w:t>
      </w:r>
      <w:r>
        <w:rPr>
          <w:rFonts w:asciiTheme="majorHAnsi" w:hAnsiTheme="majorHAnsi"/>
          <w:sz w:val="44"/>
          <w:szCs w:val="44"/>
        </w:rPr>
        <w:t>3</w:t>
      </w:r>
      <w:r w:rsidRPr="00C07665">
        <w:rPr>
          <w:rFonts w:asciiTheme="majorHAnsi" w:hAnsiTheme="majorHAnsi"/>
          <w:sz w:val="44"/>
          <w:szCs w:val="44"/>
          <w:vertAlign w:val="superscript"/>
        </w:rPr>
        <w:t>rd</w:t>
      </w:r>
      <w:r w:rsidRPr="00C56564">
        <w:rPr>
          <w:rFonts w:asciiTheme="majorHAnsi" w:hAnsiTheme="majorHAnsi"/>
          <w:sz w:val="44"/>
          <w:szCs w:val="44"/>
        </w:rPr>
        <w:t xml:space="preserve"> July 2026</w:t>
      </w:r>
    </w:p>
    <w:p w14:paraId="1D1F0B17" w14:textId="77777777" w:rsidR="00C07665" w:rsidRDefault="00C07665" w:rsidP="00C07665">
      <w:pPr>
        <w:jc w:val="center"/>
        <w:rPr>
          <w:rFonts w:asciiTheme="majorHAnsi" w:hAnsiTheme="majorHAnsi"/>
          <w:sz w:val="44"/>
          <w:szCs w:val="44"/>
        </w:rPr>
      </w:pPr>
    </w:p>
    <w:p w14:paraId="694FEFEB" w14:textId="4144C042" w:rsidR="00C07665" w:rsidRPr="00C07665" w:rsidRDefault="00C07665">
      <w:pPr>
        <w:rPr>
          <w:rFonts w:asciiTheme="majorHAnsi" w:hAnsiTheme="majorHAnsi"/>
          <w:sz w:val="52"/>
          <w:szCs w:val="52"/>
        </w:rPr>
      </w:pPr>
      <w:r>
        <w:rPr>
          <w:rFonts w:asciiTheme="majorHAnsi" w:hAnsiTheme="majorHAnsi"/>
          <w:sz w:val="44"/>
          <w:szCs w:val="44"/>
        </w:rPr>
        <w:br w:type="page"/>
      </w:r>
    </w:p>
    <w:sdt>
      <w:sdtPr>
        <w:id w:val="-2138172484"/>
        <w:docPartObj>
          <w:docPartGallery w:val="Table of Contents"/>
          <w:docPartUnique/>
        </w:docPartObj>
      </w:sdtPr>
      <w:sdtEndPr>
        <w:rPr>
          <w:rFonts w:asciiTheme="minorHAnsi" w:eastAsiaTheme="minorEastAsia" w:hAnsiTheme="minorHAnsi" w:cstheme="minorBidi"/>
          <w:b/>
          <w:bCs/>
          <w:noProof/>
          <w:color w:val="auto"/>
          <w:kern w:val="2"/>
          <w:sz w:val="24"/>
          <w:szCs w:val="24"/>
          <w:lang w:val="en-GB"/>
          <w14:ligatures w14:val="standardContextual"/>
        </w:rPr>
      </w:sdtEndPr>
      <w:sdtContent>
        <w:p w14:paraId="01806634" w14:textId="77E5B930" w:rsidR="00C07665" w:rsidRDefault="00C07665">
          <w:pPr>
            <w:pStyle w:val="TOCHeading"/>
          </w:pPr>
          <w:r>
            <w:t>Contents</w:t>
          </w:r>
        </w:p>
        <w:p w14:paraId="533892ED" w14:textId="6FA7BE93" w:rsidR="000E3917" w:rsidRDefault="00C07665">
          <w:pPr>
            <w:pStyle w:val="TOC1"/>
            <w:tabs>
              <w:tab w:val="right" w:leader="dot" w:pos="9016"/>
            </w:tabs>
            <w:rPr>
              <w:noProof/>
              <w:lang w:eastAsia="en-GB"/>
            </w:rPr>
          </w:pPr>
          <w:r>
            <w:fldChar w:fldCharType="begin"/>
          </w:r>
          <w:r>
            <w:instrText xml:space="preserve"> TOC \o "1-3" \h \z \u </w:instrText>
          </w:r>
          <w:r>
            <w:fldChar w:fldCharType="separate"/>
          </w:r>
          <w:hyperlink w:anchor="_Toc235668530" w:history="1">
            <w:r w:rsidR="000E3917" w:rsidRPr="00CA7850">
              <w:rPr>
                <w:rStyle w:val="Hyperlink"/>
                <w:rFonts w:ascii="Arial" w:hAnsi="Arial" w:cs="Arial"/>
                <w:b/>
                <w:bCs/>
                <w:noProof/>
              </w:rPr>
              <w:t>Abstract</w:t>
            </w:r>
            <w:r w:rsidR="000E3917">
              <w:rPr>
                <w:noProof/>
                <w:webHidden/>
              </w:rPr>
              <w:tab/>
            </w:r>
            <w:r w:rsidR="000E3917">
              <w:rPr>
                <w:noProof/>
                <w:webHidden/>
              </w:rPr>
              <w:fldChar w:fldCharType="begin"/>
            </w:r>
            <w:r w:rsidR="000E3917">
              <w:rPr>
                <w:noProof/>
                <w:webHidden/>
              </w:rPr>
              <w:instrText xml:space="preserve"> PAGEREF _Toc235668530 \h </w:instrText>
            </w:r>
            <w:r w:rsidR="000E3917">
              <w:rPr>
                <w:noProof/>
                <w:webHidden/>
              </w:rPr>
            </w:r>
            <w:r w:rsidR="000E3917">
              <w:rPr>
                <w:noProof/>
                <w:webHidden/>
              </w:rPr>
              <w:fldChar w:fldCharType="separate"/>
            </w:r>
            <w:r w:rsidR="000E3917">
              <w:rPr>
                <w:noProof/>
                <w:webHidden/>
              </w:rPr>
              <w:t>3</w:t>
            </w:r>
            <w:r w:rsidR="000E3917">
              <w:rPr>
                <w:noProof/>
                <w:webHidden/>
              </w:rPr>
              <w:fldChar w:fldCharType="end"/>
            </w:r>
          </w:hyperlink>
        </w:p>
        <w:p w14:paraId="3C696A1C" w14:textId="6E2F61A3" w:rsidR="000E3917" w:rsidRDefault="000E3917">
          <w:pPr>
            <w:pStyle w:val="TOC1"/>
            <w:tabs>
              <w:tab w:val="right" w:leader="dot" w:pos="9016"/>
            </w:tabs>
            <w:rPr>
              <w:noProof/>
              <w:lang w:eastAsia="en-GB"/>
            </w:rPr>
          </w:pPr>
          <w:hyperlink w:anchor="_Toc235668531" w:history="1">
            <w:r w:rsidRPr="00CA7850">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_Toc235668531 \h </w:instrText>
            </w:r>
            <w:r>
              <w:rPr>
                <w:noProof/>
                <w:webHidden/>
              </w:rPr>
            </w:r>
            <w:r>
              <w:rPr>
                <w:noProof/>
                <w:webHidden/>
              </w:rPr>
              <w:fldChar w:fldCharType="separate"/>
            </w:r>
            <w:r>
              <w:rPr>
                <w:noProof/>
                <w:webHidden/>
              </w:rPr>
              <w:t>3</w:t>
            </w:r>
            <w:r>
              <w:rPr>
                <w:noProof/>
                <w:webHidden/>
              </w:rPr>
              <w:fldChar w:fldCharType="end"/>
            </w:r>
          </w:hyperlink>
        </w:p>
        <w:p w14:paraId="3318901C" w14:textId="5F8BE108" w:rsidR="000E3917" w:rsidRDefault="000E3917">
          <w:pPr>
            <w:pStyle w:val="TOC1"/>
            <w:tabs>
              <w:tab w:val="right" w:leader="dot" w:pos="9016"/>
            </w:tabs>
            <w:rPr>
              <w:noProof/>
              <w:lang w:eastAsia="en-GB"/>
            </w:rPr>
          </w:pPr>
          <w:hyperlink w:anchor="_Toc235668532" w:history="1">
            <w:r w:rsidRPr="00CA7850">
              <w:rPr>
                <w:rStyle w:val="Hyperlink"/>
                <w:rFonts w:ascii="Arial" w:hAnsi="Arial" w:cs="Arial"/>
                <w:b/>
                <w:bCs/>
                <w:noProof/>
              </w:rPr>
              <w:t>Identification of Internal and External Threats</w:t>
            </w:r>
            <w:r>
              <w:rPr>
                <w:noProof/>
                <w:webHidden/>
              </w:rPr>
              <w:tab/>
            </w:r>
            <w:r>
              <w:rPr>
                <w:noProof/>
                <w:webHidden/>
              </w:rPr>
              <w:fldChar w:fldCharType="begin"/>
            </w:r>
            <w:r>
              <w:rPr>
                <w:noProof/>
                <w:webHidden/>
              </w:rPr>
              <w:instrText xml:space="preserve"> PAGEREF _Toc235668532 \h </w:instrText>
            </w:r>
            <w:r>
              <w:rPr>
                <w:noProof/>
                <w:webHidden/>
              </w:rPr>
            </w:r>
            <w:r>
              <w:rPr>
                <w:noProof/>
                <w:webHidden/>
              </w:rPr>
              <w:fldChar w:fldCharType="separate"/>
            </w:r>
            <w:r>
              <w:rPr>
                <w:noProof/>
                <w:webHidden/>
              </w:rPr>
              <w:t>4</w:t>
            </w:r>
            <w:r>
              <w:rPr>
                <w:noProof/>
                <w:webHidden/>
              </w:rPr>
              <w:fldChar w:fldCharType="end"/>
            </w:r>
          </w:hyperlink>
        </w:p>
        <w:p w14:paraId="505D5724" w14:textId="3112F27F" w:rsidR="000E3917" w:rsidRDefault="000E3917">
          <w:pPr>
            <w:pStyle w:val="TOC2"/>
            <w:tabs>
              <w:tab w:val="right" w:leader="dot" w:pos="9016"/>
            </w:tabs>
            <w:rPr>
              <w:noProof/>
              <w:lang w:eastAsia="en-GB"/>
            </w:rPr>
          </w:pPr>
          <w:hyperlink w:anchor="_Toc235668533" w:history="1">
            <w:r w:rsidRPr="00CA7850">
              <w:rPr>
                <w:rStyle w:val="Hyperlink"/>
                <w:rFonts w:ascii="Arial" w:hAnsi="Arial" w:cs="Arial"/>
                <w:b/>
                <w:bCs/>
                <w:noProof/>
              </w:rPr>
              <w:t>External Threats</w:t>
            </w:r>
            <w:r>
              <w:rPr>
                <w:noProof/>
                <w:webHidden/>
              </w:rPr>
              <w:tab/>
            </w:r>
            <w:r>
              <w:rPr>
                <w:noProof/>
                <w:webHidden/>
              </w:rPr>
              <w:fldChar w:fldCharType="begin"/>
            </w:r>
            <w:r>
              <w:rPr>
                <w:noProof/>
                <w:webHidden/>
              </w:rPr>
              <w:instrText xml:space="preserve"> PAGEREF _Toc235668533 \h </w:instrText>
            </w:r>
            <w:r>
              <w:rPr>
                <w:noProof/>
                <w:webHidden/>
              </w:rPr>
            </w:r>
            <w:r>
              <w:rPr>
                <w:noProof/>
                <w:webHidden/>
              </w:rPr>
              <w:fldChar w:fldCharType="separate"/>
            </w:r>
            <w:r>
              <w:rPr>
                <w:noProof/>
                <w:webHidden/>
              </w:rPr>
              <w:t>4</w:t>
            </w:r>
            <w:r>
              <w:rPr>
                <w:noProof/>
                <w:webHidden/>
              </w:rPr>
              <w:fldChar w:fldCharType="end"/>
            </w:r>
          </w:hyperlink>
        </w:p>
        <w:p w14:paraId="27E4D92B" w14:textId="40898C17" w:rsidR="000E3917" w:rsidRDefault="000E3917">
          <w:pPr>
            <w:pStyle w:val="TOC2"/>
            <w:tabs>
              <w:tab w:val="right" w:leader="dot" w:pos="9016"/>
            </w:tabs>
            <w:rPr>
              <w:noProof/>
              <w:lang w:eastAsia="en-GB"/>
            </w:rPr>
          </w:pPr>
          <w:hyperlink w:anchor="_Toc235668534" w:history="1">
            <w:r w:rsidRPr="00CA7850">
              <w:rPr>
                <w:rStyle w:val="Hyperlink"/>
                <w:rFonts w:ascii="Arial" w:hAnsi="Arial" w:cs="Arial"/>
                <w:b/>
                <w:bCs/>
                <w:noProof/>
              </w:rPr>
              <w:t>Internal Threats</w:t>
            </w:r>
            <w:r>
              <w:rPr>
                <w:noProof/>
                <w:webHidden/>
              </w:rPr>
              <w:tab/>
            </w:r>
            <w:r>
              <w:rPr>
                <w:noProof/>
                <w:webHidden/>
              </w:rPr>
              <w:fldChar w:fldCharType="begin"/>
            </w:r>
            <w:r>
              <w:rPr>
                <w:noProof/>
                <w:webHidden/>
              </w:rPr>
              <w:instrText xml:space="preserve"> PAGEREF _Toc235668534 \h </w:instrText>
            </w:r>
            <w:r>
              <w:rPr>
                <w:noProof/>
                <w:webHidden/>
              </w:rPr>
            </w:r>
            <w:r>
              <w:rPr>
                <w:noProof/>
                <w:webHidden/>
              </w:rPr>
              <w:fldChar w:fldCharType="separate"/>
            </w:r>
            <w:r>
              <w:rPr>
                <w:noProof/>
                <w:webHidden/>
              </w:rPr>
              <w:t>4</w:t>
            </w:r>
            <w:r>
              <w:rPr>
                <w:noProof/>
                <w:webHidden/>
              </w:rPr>
              <w:fldChar w:fldCharType="end"/>
            </w:r>
          </w:hyperlink>
        </w:p>
        <w:p w14:paraId="116C1F57" w14:textId="09DEDE1B" w:rsidR="000E3917" w:rsidRDefault="000E3917">
          <w:pPr>
            <w:pStyle w:val="TOC1"/>
            <w:tabs>
              <w:tab w:val="right" w:leader="dot" w:pos="9016"/>
            </w:tabs>
            <w:rPr>
              <w:noProof/>
              <w:lang w:eastAsia="en-GB"/>
            </w:rPr>
          </w:pPr>
          <w:hyperlink w:anchor="_Toc235668535" w:history="1">
            <w:r w:rsidRPr="00CA7850">
              <w:rPr>
                <w:rStyle w:val="Hyperlink"/>
                <w:rFonts w:ascii="Arial" w:hAnsi="Arial" w:cs="Arial"/>
                <w:b/>
                <w:bCs/>
                <w:noProof/>
              </w:rPr>
              <w:t>Security and Data Governance Policies</w:t>
            </w:r>
            <w:r>
              <w:rPr>
                <w:noProof/>
                <w:webHidden/>
              </w:rPr>
              <w:tab/>
            </w:r>
            <w:r>
              <w:rPr>
                <w:noProof/>
                <w:webHidden/>
              </w:rPr>
              <w:fldChar w:fldCharType="begin"/>
            </w:r>
            <w:r>
              <w:rPr>
                <w:noProof/>
                <w:webHidden/>
              </w:rPr>
              <w:instrText xml:space="preserve"> PAGEREF _Toc235668535 \h </w:instrText>
            </w:r>
            <w:r>
              <w:rPr>
                <w:noProof/>
                <w:webHidden/>
              </w:rPr>
            </w:r>
            <w:r>
              <w:rPr>
                <w:noProof/>
                <w:webHidden/>
              </w:rPr>
              <w:fldChar w:fldCharType="separate"/>
            </w:r>
            <w:r>
              <w:rPr>
                <w:noProof/>
                <w:webHidden/>
              </w:rPr>
              <w:t>5</w:t>
            </w:r>
            <w:r>
              <w:rPr>
                <w:noProof/>
                <w:webHidden/>
              </w:rPr>
              <w:fldChar w:fldCharType="end"/>
            </w:r>
          </w:hyperlink>
        </w:p>
        <w:p w14:paraId="7BFB027A" w14:textId="56304CCC" w:rsidR="000E3917" w:rsidRDefault="000E3917">
          <w:pPr>
            <w:pStyle w:val="TOC2"/>
            <w:tabs>
              <w:tab w:val="right" w:leader="dot" w:pos="9016"/>
            </w:tabs>
            <w:rPr>
              <w:noProof/>
              <w:lang w:eastAsia="en-GB"/>
            </w:rPr>
          </w:pPr>
          <w:hyperlink w:anchor="_Toc235668536" w:history="1">
            <w:r w:rsidRPr="00CA7850">
              <w:rPr>
                <w:rStyle w:val="Hyperlink"/>
                <w:rFonts w:ascii="Arial" w:hAnsi="Arial" w:cs="Arial"/>
                <w:b/>
                <w:bCs/>
                <w:noProof/>
              </w:rPr>
              <w:t>Technical Security Policies</w:t>
            </w:r>
            <w:r>
              <w:rPr>
                <w:noProof/>
                <w:webHidden/>
              </w:rPr>
              <w:tab/>
            </w:r>
            <w:r>
              <w:rPr>
                <w:noProof/>
                <w:webHidden/>
              </w:rPr>
              <w:fldChar w:fldCharType="begin"/>
            </w:r>
            <w:r>
              <w:rPr>
                <w:noProof/>
                <w:webHidden/>
              </w:rPr>
              <w:instrText xml:space="preserve"> PAGEREF _Toc235668536 \h </w:instrText>
            </w:r>
            <w:r>
              <w:rPr>
                <w:noProof/>
                <w:webHidden/>
              </w:rPr>
            </w:r>
            <w:r>
              <w:rPr>
                <w:noProof/>
                <w:webHidden/>
              </w:rPr>
              <w:fldChar w:fldCharType="separate"/>
            </w:r>
            <w:r>
              <w:rPr>
                <w:noProof/>
                <w:webHidden/>
              </w:rPr>
              <w:t>5</w:t>
            </w:r>
            <w:r>
              <w:rPr>
                <w:noProof/>
                <w:webHidden/>
              </w:rPr>
              <w:fldChar w:fldCharType="end"/>
            </w:r>
          </w:hyperlink>
        </w:p>
        <w:p w14:paraId="679AF329" w14:textId="755C35E0" w:rsidR="000E3917" w:rsidRDefault="000E3917">
          <w:pPr>
            <w:pStyle w:val="TOC2"/>
            <w:tabs>
              <w:tab w:val="right" w:leader="dot" w:pos="9016"/>
            </w:tabs>
            <w:rPr>
              <w:noProof/>
              <w:lang w:eastAsia="en-GB"/>
            </w:rPr>
          </w:pPr>
          <w:hyperlink w:anchor="_Toc235668537" w:history="1">
            <w:r w:rsidRPr="00CA7850">
              <w:rPr>
                <w:rStyle w:val="Hyperlink"/>
                <w:rFonts w:ascii="Arial" w:hAnsi="Arial" w:cs="Arial"/>
                <w:b/>
                <w:bCs/>
                <w:noProof/>
              </w:rPr>
              <w:t>Governance and Compliance Policies</w:t>
            </w:r>
            <w:r>
              <w:rPr>
                <w:noProof/>
                <w:webHidden/>
              </w:rPr>
              <w:tab/>
            </w:r>
            <w:r>
              <w:rPr>
                <w:noProof/>
                <w:webHidden/>
              </w:rPr>
              <w:fldChar w:fldCharType="begin"/>
            </w:r>
            <w:r>
              <w:rPr>
                <w:noProof/>
                <w:webHidden/>
              </w:rPr>
              <w:instrText xml:space="preserve"> PAGEREF _Toc235668537 \h </w:instrText>
            </w:r>
            <w:r>
              <w:rPr>
                <w:noProof/>
                <w:webHidden/>
              </w:rPr>
            </w:r>
            <w:r>
              <w:rPr>
                <w:noProof/>
                <w:webHidden/>
              </w:rPr>
              <w:fldChar w:fldCharType="separate"/>
            </w:r>
            <w:r>
              <w:rPr>
                <w:noProof/>
                <w:webHidden/>
              </w:rPr>
              <w:t>6</w:t>
            </w:r>
            <w:r>
              <w:rPr>
                <w:noProof/>
                <w:webHidden/>
              </w:rPr>
              <w:fldChar w:fldCharType="end"/>
            </w:r>
          </w:hyperlink>
        </w:p>
        <w:p w14:paraId="3E6F5B03" w14:textId="27009630" w:rsidR="000E3917" w:rsidRDefault="000E3917">
          <w:pPr>
            <w:pStyle w:val="TOC1"/>
            <w:tabs>
              <w:tab w:val="right" w:leader="dot" w:pos="9016"/>
            </w:tabs>
            <w:rPr>
              <w:noProof/>
              <w:lang w:eastAsia="en-GB"/>
            </w:rPr>
          </w:pPr>
          <w:hyperlink w:anchor="_Toc235668538" w:history="1">
            <w:r w:rsidRPr="00CA7850">
              <w:rPr>
                <w:rStyle w:val="Hyperlink"/>
                <w:rFonts w:ascii="Arial" w:hAnsi="Arial" w:cs="Arial"/>
                <w:b/>
                <w:bCs/>
                <w:noProof/>
              </w:rPr>
              <w:t>Mitigation Measures</w:t>
            </w:r>
            <w:r>
              <w:rPr>
                <w:noProof/>
                <w:webHidden/>
              </w:rPr>
              <w:tab/>
            </w:r>
            <w:r>
              <w:rPr>
                <w:noProof/>
                <w:webHidden/>
              </w:rPr>
              <w:fldChar w:fldCharType="begin"/>
            </w:r>
            <w:r>
              <w:rPr>
                <w:noProof/>
                <w:webHidden/>
              </w:rPr>
              <w:instrText xml:space="preserve"> PAGEREF _Toc235668538 \h </w:instrText>
            </w:r>
            <w:r>
              <w:rPr>
                <w:noProof/>
                <w:webHidden/>
              </w:rPr>
            </w:r>
            <w:r>
              <w:rPr>
                <w:noProof/>
                <w:webHidden/>
              </w:rPr>
              <w:fldChar w:fldCharType="separate"/>
            </w:r>
            <w:r>
              <w:rPr>
                <w:noProof/>
                <w:webHidden/>
              </w:rPr>
              <w:t>6</w:t>
            </w:r>
            <w:r>
              <w:rPr>
                <w:noProof/>
                <w:webHidden/>
              </w:rPr>
              <w:fldChar w:fldCharType="end"/>
            </w:r>
          </w:hyperlink>
        </w:p>
        <w:p w14:paraId="51036A3D" w14:textId="617A8E61" w:rsidR="000E3917" w:rsidRDefault="000E3917">
          <w:pPr>
            <w:pStyle w:val="TOC2"/>
            <w:tabs>
              <w:tab w:val="right" w:leader="dot" w:pos="9016"/>
            </w:tabs>
            <w:rPr>
              <w:noProof/>
              <w:lang w:eastAsia="en-GB"/>
            </w:rPr>
          </w:pPr>
          <w:hyperlink w:anchor="_Toc235668539" w:history="1">
            <w:r w:rsidRPr="00CA7850">
              <w:rPr>
                <w:rStyle w:val="Hyperlink"/>
                <w:rFonts w:ascii="Arial" w:hAnsi="Arial" w:cs="Arial"/>
                <w:b/>
                <w:bCs/>
                <w:noProof/>
              </w:rPr>
              <w:t>Mitigation Measures</w:t>
            </w:r>
            <w:r>
              <w:rPr>
                <w:noProof/>
                <w:webHidden/>
              </w:rPr>
              <w:tab/>
            </w:r>
            <w:r>
              <w:rPr>
                <w:noProof/>
                <w:webHidden/>
              </w:rPr>
              <w:fldChar w:fldCharType="begin"/>
            </w:r>
            <w:r>
              <w:rPr>
                <w:noProof/>
                <w:webHidden/>
              </w:rPr>
              <w:instrText xml:space="preserve"> PAGEREF _Toc235668539 \h </w:instrText>
            </w:r>
            <w:r>
              <w:rPr>
                <w:noProof/>
                <w:webHidden/>
              </w:rPr>
            </w:r>
            <w:r>
              <w:rPr>
                <w:noProof/>
                <w:webHidden/>
              </w:rPr>
              <w:fldChar w:fldCharType="separate"/>
            </w:r>
            <w:r>
              <w:rPr>
                <w:noProof/>
                <w:webHidden/>
              </w:rPr>
              <w:t>7</w:t>
            </w:r>
            <w:r>
              <w:rPr>
                <w:noProof/>
                <w:webHidden/>
              </w:rPr>
              <w:fldChar w:fldCharType="end"/>
            </w:r>
          </w:hyperlink>
        </w:p>
        <w:p w14:paraId="0B0F926F" w14:textId="7DD222C2" w:rsidR="000E3917" w:rsidRDefault="000E3917">
          <w:pPr>
            <w:pStyle w:val="TOC1"/>
            <w:tabs>
              <w:tab w:val="right" w:leader="dot" w:pos="9016"/>
            </w:tabs>
            <w:rPr>
              <w:noProof/>
              <w:lang w:eastAsia="en-GB"/>
            </w:rPr>
          </w:pPr>
          <w:hyperlink w:anchor="_Toc235668540" w:history="1">
            <w:r w:rsidRPr="00CA7850">
              <w:rPr>
                <w:rStyle w:val="Hyperlink"/>
                <w:rFonts w:ascii="Arial" w:hAnsi="Arial" w:cs="Arial"/>
                <w:b/>
                <w:bCs/>
                <w:noProof/>
                <w:lang w:eastAsia="en-US"/>
              </w:rPr>
              <w:t>Incident Response and Continuous Improvement</w:t>
            </w:r>
            <w:r>
              <w:rPr>
                <w:noProof/>
                <w:webHidden/>
              </w:rPr>
              <w:tab/>
            </w:r>
            <w:r>
              <w:rPr>
                <w:noProof/>
                <w:webHidden/>
              </w:rPr>
              <w:fldChar w:fldCharType="begin"/>
            </w:r>
            <w:r>
              <w:rPr>
                <w:noProof/>
                <w:webHidden/>
              </w:rPr>
              <w:instrText xml:space="preserve"> PAGEREF _Toc235668540 \h </w:instrText>
            </w:r>
            <w:r>
              <w:rPr>
                <w:noProof/>
                <w:webHidden/>
              </w:rPr>
            </w:r>
            <w:r>
              <w:rPr>
                <w:noProof/>
                <w:webHidden/>
              </w:rPr>
              <w:fldChar w:fldCharType="separate"/>
            </w:r>
            <w:r>
              <w:rPr>
                <w:noProof/>
                <w:webHidden/>
              </w:rPr>
              <w:t>7</w:t>
            </w:r>
            <w:r>
              <w:rPr>
                <w:noProof/>
                <w:webHidden/>
              </w:rPr>
              <w:fldChar w:fldCharType="end"/>
            </w:r>
          </w:hyperlink>
        </w:p>
        <w:p w14:paraId="6F7171DB" w14:textId="01DEF039" w:rsidR="000E3917" w:rsidRDefault="000E3917">
          <w:pPr>
            <w:pStyle w:val="TOC1"/>
            <w:tabs>
              <w:tab w:val="right" w:leader="dot" w:pos="9016"/>
            </w:tabs>
            <w:rPr>
              <w:noProof/>
              <w:lang w:eastAsia="en-GB"/>
            </w:rPr>
          </w:pPr>
          <w:hyperlink w:anchor="_Toc235668541" w:history="1">
            <w:r w:rsidRPr="00CA7850">
              <w:rPr>
                <w:rStyle w:val="Hyperlink"/>
                <w:rFonts w:ascii="Arial" w:hAnsi="Arial" w:cs="Arial"/>
                <w:b/>
                <w:bCs/>
                <w:noProof/>
                <w:lang w:eastAsia="en-US"/>
              </w:rPr>
              <w:t>Continuous Training and Awareness</w:t>
            </w:r>
            <w:r>
              <w:rPr>
                <w:noProof/>
                <w:webHidden/>
              </w:rPr>
              <w:tab/>
            </w:r>
            <w:r>
              <w:rPr>
                <w:noProof/>
                <w:webHidden/>
              </w:rPr>
              <w:fldChar w:fldCharType="begin"/>
            </w:r>
            <w:r>
              <w:rPr>
                <w:noProof/>
                <w:webHidden/>
              </w:rPr>
              <w:instrText xml:space="preserve"> PAGEREF _Toc235668541 \h </w:instrText>
            </w:r>
            <w:r>
              <w:rPr>
                <w:noProof/>
                <w:webHidden/>
              </w:rPr>
            </w:r>
            <w:r>
              <w:rPr>
                <w:noProof/>
                <w:webHidden/>
              </w:rPr>
              <w:fldChar w:fldCharType="separate"/>
            </w:r>
            <w:r>
              <w:rPr>
                <w:noProof/>
                <w:webHidden/>
              </w:rPr>
              <w:t>10</w:t>
            </w:r>
            <w:r>
              <w:rPr>
                <w:noProof/>
                <w:webHidden/>
              </w:rPr>
              <w:fldChar w:fldCharType="end"/>
            </w:r>
          </w:hyperlink>
        </w:p>
        <w:p w14:paraId="6E29CDF9" w14:textId="3756C876" w:rsidR="000E3917" w:rsidRDefault="000E3917">
          <w:pPr>
            <w:pStyle w:val="TOC1"/>
            <w:tabs>
              <w:tab w:val="right" w:leader="dot" w:pos="9016"/>
            </w:tabs>
            <w:rPr>
              <w:noProof/>
              <w:lang w:eastAsia="en-GB"/>
            </w:rPr>
          </w:pPr>
          <w:hyperlink w:anchor="_Toc235668542" w:history="1">
            <w:r w:rsidRPr="00CA7850">
              <w:rPr>
                <w:rStyle w:val="Hyperlink"/>
                <w:rFonts w:ascii="Arial" w:hAnsi="Arial" w:cs="Arial"/>
                <w:b/>
                <w:bCs/>
                <w:noProof/>
                <w:lang w:eastAsia="en-US"/>
              </w:rPr>
              <w:t>Conclusion</w:t>
            </w:r>
            <w:r>
              <w:rPr>
                <w:noProof/>
                <w:webHidden/>
              </w:rPr>
              <w:tab/>
            </w:r>
            <w:r>
              <w:rPr>
                <w:noProof/>
                <w:webHidden/>
              </w:rPr>
              <w:fldChar w:fldCharType="begin"/>
            </w:r>
            <w:r>
              <w:rPr>
                <w:noProof/>
                <w:webHidden/>
              </w:rPr>
              <w:instrText xml:space="preserve"> PAGEREF _Toc235668542 \h </w:instrText>
            </w:r>
            <w:r>
              <w:rPr>
                <w:noProof/>
                <w:webHidden/>
              </w:rPr>
            </w:r>
            <w:r>
              <w:rPr>
                <w:noProof/>
                <w:webHidden/>
              </w:rPr>
              <w:fldChar w:fldCharType="separate"/>
            </w:r>
            <w:r>
              <w:rPr>
                <w:noProof/>
                <w:webHidden/>
              </w:rPr>
              <w:t>10</w:t>
            </w:r>
            <w:r>
              <w:rPr>
                <w:noProof/>
                <w:webHidden/>
              </w:rPr>
              <w:fldChar w:fldCharType="end"/>
            </w:r>
          </w:hyperlink>
        </w:p>
        <w:p w14:paraId="54CFCD8E" w14:textId="3BB5D05B" w:rsidR="000E3917" w:rsidRDefault="000E3917">
          <w:pPr>
            <w:pStyle w:val="TOC1"/>
            <w:tabs>
              <w:tab w:val="right" w:leader="dot" w:pos="9016"/>
            </w:tabs>
            <w:rPr>
              <w:noProof/>
              <w:lang w:eastAsia="en-GB"/>
            </w:rPr>
          </w:pPr>
          <w:hyperlink w:anchor="_Toc235668543" w:history="1">
            <w:r w:rsidRPr="00CA7850">
              <w:rPr>
                <w:rStyle w:val="Hyperlink"/>
                <w:noProof/>
              </w:rPr>
              <w:t>References</w:t>
            </w:r>
            <w:r>
              <w:rPr>
                <w:noProof/>
                <w:webHidden/>
              </w:rPr>
              <w:tab/>
            </w:r>
            <w:r>
              <w:rPr>
                <w:noProof/>
                <w:webHidden/>
              </w:rPr>
              <w:fldChar w:fldCharType="begin"/>
            </w:r>
            <w:r>
              <w:rPr>
                <w:noProof/>
                <w:webHidden/>
              </w:rPr>
              <w:instrText xml:space="preserve"> PAGEREF _Toc235668543 \h </w:instrText>
            </w:r>
            <w:r>
              <w:rPr>
                <w:noProof/>
                <w:webHidden/>
              </w:rPr>
            </w:r>
            <w:r>
              <w:rPr>
                <w:noProof/>
                <w:webHidden/>
              </w:rPr>
              <w:fldChar w:fldCharType="separate"/>
            </w:r>
            <w:r>
              <w:rPr>
                <w:noProof/>
                <w:webHidden/>
              </w:rPr>
              <w:t>11</w:t>
            </w:r>
            <w:r>
              <w:rPr>
                <w:noProof/>
                <w:webHidden/>
              </w:rPr>
              <w:fldChar w:fldCharType="end"/>
            </w:r>
          </w:hyperlink>
        </w:p>
        <w:p w14:paraId="430DA36B" w14:textId="2D6CF1E7" w:rsidR="000E3917" w:rsidRDefault="000E3917">
          <w:pPr>
            <w:pStyle w:val="TOC1"/>
            <w:tabs>
              <w:tab w:val="right" w:leader="dot" w:pos="9016"/>
            </w:tabs>
            <w:rPr>
              <w:noProof/>
              <w:lang w:eastAsia="en-GB"/>
            </w:rPr>
          </w:pPr>
          <w:hyperlink w:anchor="_Toc235668544" w:history="1">
            <w:r w:rsidRPr="00CA7850">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_Toc235668544 \h </w:instrText>
            </w:r>
            <w:r>
              <w:rPr>
                <w:noProof/>
                <w:webHidden/>
              </w:rPr>
            </w:r>
            <w:r>
              <w:rPr>
                <w:noProof/>
                <w:webHidden/>
              </w:rPr>
              <w:fldChar w:fldCharType="separate"/>
            </w:r>
            <w:r>
              <w:rPr>
                <w:noProof/>
                <w:webHidden/>
              </w:rPr>
              <w:t>14</w:t>
            </w:r>
            <w:r>
              <w:rPr>
                <w:noProof/>
                <w:webHidden/>
              </w:rPr>
              <w:fldChar w:fldCharType="end"/>
            </w:r>
          </w:hyperlink>
        </w:p>
        <w:p w14:paraId="35DD9A27" w14:textId="7D4309BF" w:rsidR="00C07665" w:rsidRDefault="00C07665">
          <w:r>
            <w:rPr>
              <w:b/>
              <w:bCs/>
              <w:noProof/>
            </w:rPr>
            <w:fldChar w:fldCharType="end"/>
          </w:r>
        </w:p>
      </w:sdtContent>
    </w:sdt>
    <w:p w14:paraId="20AE53A9" w14:textId="0CA4E2A4" w:rsidR="00C07665" w:rsidRDefault="00C07665" w:rsidP="00C07665">
      <w:pPr>
        <w:jc w:val="center"/>
        <w:rPr>
          <w:rFonts w:asciiTheme="majorHAnsi" w:hAnsiTheme="majorHAnsi"/>
          <w:sz w:val="44"/>
          <w:szCs w:val="44"/>
        </w:rPr>
      </w:pPr>
    </w:p>
    <w:p w14:paraId="2C975D62" w14:textId="77777777" w:rsidR="00C07665" w:rsidRDefault="00C07665">
      <w:pPr>
        <w:rPr>
          <w:rFonts w:asciiTheme="majorHAnsi" w:hAnsiTheme="majorHAnsi"/>
          <w:sz w:val="44"/>
          <w:szCs w:val="44"/>
        </w:rPr>
      </w:pPr>
      <w:r>
        <w:rPr>
          <w:rFonts w:asciiTheme="majorHAnsi" w:hAnsiTheme="majorHAnsi"/>
          <w:sz w:val="44"/>
          <w:szCs w:val="44"/>
        </w:rPr>
        <w:br w:type="page"/>
      </w:r>
    </w:p>
    <w:p w14:paraId="7916744B" w14:textId="4E47DE64" w:rsidR="00FE1CF9" w:rsidRDefault="00FE1CF9" w:rsidP="00FE1CF9">
      <w:pPr>
        <w:pStyle w:val="Heading1"/>
        <w:rPr>
          <w:rFonts w:ascii="Arial" w:hAnsi="Arial" w:cs="Arial"/>
          <w:b/>
          <w:bCs/>
          <w:sz w:val="28"/>
          <w:szCs w:val="28"/>
        </w:rPr>
      </w:pPr>
      <w:bookmarkStart w:id="0" w:name="_Toc235668530"/>
      <w:r w:rsidRPr="00FE1CF9">
        <w:rPr>
          <w:rFonts w:ascii="Arial" w:hAnsi="Arial" w:cs="Arial"/>
          <w:b/>
          <w:bCs/>
          <w:sz w:val="28"/>
          <w:szCs w:val="28"/>
        </w:rPr>
        <w:lastRenderedPageBreak/>
        <w:t>Abstract</w:t>
      </w:r>
      <w:bookmarkEnd w:id="0"/>
    </w:p>
    <w:p w14:paraId="351B4AC8" w14:textId="77777777" w:rsidR="00FE1CF9" w:rsidRDefault="00FE1CF9" w:rsidP="00FE1CF9"/>
    <w:p w14:paraId="63FD3164" w14:textId="58987382" w:rsidR="00FE1CF9" w:rsidRPr="00D864DE" w:rsidRDefault="00D864DE" w:rsidP="00D864DE">
      <w:pPr>
        <w:jc w:val="both"/>
        <w:rPr>
          <w:rFonts w:ascii="Arial" w:hAnsi="Arial" w:cs="Arial"/>
          <w:sz w:val="22"/>
          <w:szCs w:val="22"/>
        </w:rPr>
      </w:pPr>
      <w:r w:rsidRPr="00D864DE">
        <w:rPr>
          <w:rFonts w:ascii="Arial" w:hAnsi="Arial" w:cs="Arial"/>
          <w:sz w:val="22"/>
          <w:szCs w:val="22"/>
        </w:rPr>
        <w:t xml:space="preserve">This report outlines A cybersecurity plan for </w:t>
      </w:r>
      <w:proofErr w:type="spellStart"/>
      <w:r w:rsidRPr="00D864DE">
        <w:rPr>
          <w:rFonts w:ascii="Arial" w:hAnsi="Arial" w:cs="Arial"/>
          <w:sz w:val="22"/>
          <w:szCs w:val="22"/>
        </w:rPr>
        <w:t>SteelForm</w:t>
      </w:r>
      <w:proofErr w:type="spellEnd"/>
      <w:r w:rsidRPr="00D864DE">
        <w:rPr>
          <w:rFonts w:ascii="Arial" w:hAnsi="Arial" w:cs="Arial"/>
          <w:sz w:val="22"/>
          <w:szCs w:val="22"/>
        </w:rPr>
        <w:t xml:space="preserve"> Manufacturing Ltd. (SFM) systems To protect its IT and factory. Systems Cyberattacks like ransomware, phishing, and insider threats are more likely to 2 a cure when manufacturing systems are connected to digital networks. SFM uses important security standards such as </w:t>
      </w:r>
      <w:r w:rsidRPr="00D864DE">
        <w:rPr>
          <w:rFonts w:ascii="Arial" w:hAnsi="Arial" w:cs="Arial"/>
          <w:sz w:val="22"/>
          <w:szCs w:val="22"/>
        </w:rPr>
        <w:t>ISO/IEC 27001, NIST SP 800-207, and IEC 62443</w:t>
      </w:r>
      <w:r w:rsidR="00273BFA" w:rsidRPr="00273BFA">
        <w:rPr>
          <w:rFonts w:ascii="Arial" w:hAnsi="Arial" w:cs="Arial"/>
          <w:sz w:val="22"/>
          <w:szCs w:val="22"/>
        </w:rPr>
        <w:t xml:space="preserve"> To address these issues</w:t>
      </w:r>
      <w:r w:rsidR="00273BFA">
        <w:rPr>
          <w:rFonts w:ascii="Arial" w:hAnsi="Arial" w:cs="Arial"/>
          <w:sz w:val="22"/>
          <w:szCs w:val="22"/>
        </w:rPr>
        <w:t xml:space="preserve">. </w:t>
      </w:r>
      <w:r w:rsidR="00273BFA" w:rsidRPr="00273BFA">
        <w:rPr>
          <w:rFonts w:ascii="Arial" w:hAnsi="Arial" w:cs="Arial"/>
          <w:sz w:val="22"/>
          <w:szCs w:val="22"/>
        </w:rPr>
        <w:t>Strict access controls, network zone isolation, cleaning external USB devices and adhering to a transparent incident response procedure are the main components of the strategy that aims to continuously strengthen its defence. When combined these steps protect daily manufacturing operations and safeguards critical data</w:t>
      </w:r>
      <w:r w:rsidR="00273BFA">
        <w:rPr>
          <w:rFonts w:ascii="Arial" w:hAnsi="Arial" w:cs="Arial"/>
          <w:sz w:val="22"/>
          <w:szCs w:val="22"/>
        </w:rPr>
        <w:t xml:space="preserve">. </w:t>
      </w:r>
    </w:p>
    <w:p w14:paraId="3C6ABF88" w14:textId="77777777" w:rsidR="00FE1CF9" w:rsidRDefault="00FE1CF9" w:rsidP="00C07665">
      <w:pPr>
        <w:pStyle w:val="Heading1"/>
        <w:rPr>
          <w:rFonts w:ascii="Arial" w:hAnsi="Arial" w:cs="Arial"/>
          <w:b/>
          <w:bCs/>
          <w:sz w:val="28"/>
          <w:szCs w:val="28"/>
        </w:rPr>
      </w:pPr>
    </w:p>
    <w:p w14:paraId="1338FF3F" w14:textId="66428B10" w:rsidR="00C07665" w:rsidRDefault="00C07665" w:rsidP="00C07665">
      <w:pPr>
        <w:pStyle w:val="Heading1"/>
        <w:rPr>
          <w:rFonts w:ascii="Arial" w:hAnsi="Arial" w:cs="Arial"/>
          <w:b/>
          <w:bCs/>
          <w:sz w:val="28"/>
          <w:szCs w:val="28"/>
        </w:rPr>
      </w:pPr>
      <w:bookmarkStart w:id="1" w:name="_Toc235668531"/>
      <w:r w:rsidRPr="00C07665">
        <w:rPr>
          <w:rFonts w:ascii="Arial" w:hAnsi="Arial" w:cs="Arial"/>
          <w:b/>
          <w:bCs/>
          <w:sz w:val="28"/>
          <w:szCs w:val="28"/>
        </w:rPr>
        <w:t>Introduction</w:t>
      </w:r>
      <w:bookmarkEnd w:id="1"/>
      <w:r w:rsidRPr="00C07665">
        <w:rPr>
          <w:rFonts w:ascii="Arial" w:hAnsi="Arial" w:cs="Arial"/>
          <w:b/>
          <w:bCs/>
          <w:sz w:val="28"/>
          <w:szCs w:val="28"/>
        </w:rPr>
        <w:t xml:space="preserve"> </w:t>
      </w:r>
    </w:p>
    <w:p w14:paraId="366D1912" w14:textId="77777777" w:rsidR="00C07665" w:rsidRDefault="00C07665" w:rsidP="00C07665">
      <w:pPr>
        <w:rPr>
          <w:lang w:eastAsia="en-US"/>
        </w:rPr>
      </w:pPr>
    </w:p>
    <w:p w14:paraId="2A00766F" w14:textId="260BD64E" w:rsidR="00C07665" w:rsidRDefault="00FE1CF9" w:rsidP="00FE1CF9">
      <w:pPr>
        <w:jc w:val="both"/>
        <w:rPr>
          <w:rFonts w:ascii="Arial" w:hAnsi="Arial" w:cs="Arial"/>
          <w:sz w:val="22"/>
          <w:szCs w:val="22"/>
          <w:lang w:eastAsia="en-US"/>
        </w:rPr>
      </w:pPr>
      <w:r w:rsidRPr="00FE1CF9">
        <w:rPr>
          <w:rFonts w:ascii="Arial" w:hAnsi="Arial" w:cs="Arial"/>
          <w:sz w:val="22"/>
          <w:szCs w:val="22"/>
          <w:lang w:eastAsia="en-US"/>
        </w:rPr>
        <w:t>Computer security has developed from a specialised IT concern into a vital component of contemporary society. Protecting sensitive data from sophisticated cyber threats has become crucial all around the world as governments, businesses and vital infrastructure depend more and more on connected digital networks. However</w:t>
      </w:r>
      <w:r w:rsidR="00273BFA">
        <w:rPr>
          <w:rFonts w:ascii="Arial" w:hAnsi="Arial" w:cs="Arial"/>
          <w:sz w:val="22"/>
          <w:szCs w:val="22"/>
          <w:lang w:eastAsia="en-US"/>
        </w:rPr>
        <w:t>,</w:t>
      </w:r>
      <w:r w:rsidRPr="00FE1CF9">
        <w:rPr>
          <w:rFonts w:ascii="Arial" w:hAnsi="Arial" w:cs="Arial"/>
          <w:sz w:val="22"/>
          <w:szCs w:val="22"/>
          <w:lang w:eastAsia="en-US"/>
        </w:rPr>
        <w:t xml:space="preserve"> the ongoing difficulties in maintaining strong defences. Organisations are exposed to sophisticated malware, ransomware and social engineering attacks due to the constant expansion of the attack surface caused by rapid technical findings</w:t>
      </w:r>
      <w:r>
        <w:rPr>
          <w:rFonts w:ascii="Arial" w:hAnsi="Arial" w:cs="Arial"/>
          <w:sz w:val="22"/>
          <w:szCs w:val="22"/>
          <w:lang w:eastAsia="en-US"/>
        </w:rPr>
        <w:t>/</w:t>
      </w:r>
      <w:r w:rsidRPr="00FE1CF9">
        <w:rPr>
          <w:rFonts w:ascii="Arial" w:hAnsi="Arial" w:cs="Arial"/>
          <w:sz w:val="22"/>
          <w:szCs w:val="22"/>
          <w:lang w:eastAsia="en-US"/>
        </w:rPr>
        <w:t>breakthroughs. Maintaining smooth user accessibility while maintaining strict operational security is still a difficult task</w:t>
      </w:r>
      <w:r>
        <w:rPr>
          <w:rFonts w:ascii="Arial" w:hAnsi="Arial" w:cs="Arial"/>
          <w:sz w:val="22"/>
          <w:szCs w:val="22"/>
          <w:lang w:eastAsia="en-US"/>
        </w:rPr>
        <w:t>.</w:t>
      </w:r>
    </w:p>
    <w:p w14:paraId="270531F0" w14:textId="7B36EF4A" w:rsidR="00FE1CF9" w:rsidRPr="00C07665" w:rsidRDefault="00FE1CF9" w:rsidP="00FE1CF9">
      <w:pPr>
        <w:jc w:val="both"/>
        <w:rPr>
          <w:rFonts w:ascii="Arial" w:hAnsi="Arial" w:cs="Arial"/>
          <w:sz w:val="22"/>
          <w:szCs w:val="22"/>
          <w:lang w:eastAsia="en-US"/>
        </w:rPr>
      </w:pPr>
      <w:r w:rsidRPr="00FE1CF9">
        <w:rPr>
          <w:rFonts w:ascii="Arial" w:hAnsi="Arial" w:cs="Arial"/>
          <w:sz w:val="22"/>
          <w:szCs w:val="22"/>
          <w:lang w:eastAsia="en-US"/>
        </w:rPr>
        <w:t>Cyber dangers have changed everyday life and global stability on a global scale. Proactive security has now become essential to modern global infrastructure because data breaches, supply changes options and state sponsored attacks undermine affect the trust from the public in digital systems in a negative manner</w:t>
      </w:r>
      <w:r>
        <w:rPr>
          <w:rFonts w:ascii="Arial" w:hAnsi="Arial" w:cs="Arial"/>
          <w:sz w:val="22"/>
          <w:szCs w:val="22"/>
          <w:lang w:eastAsia="en-US"/>
        </w:rPr>
        <w:t>,</w:t>
      </w:r>
      <w:r w:rsidRPr="00FE1CF9">
        <w:rPr>
          <w:rFonts w:ascii="Arial" w:hAnsi="Arial" w:cs="Arial"/>
          <w:sz w:val="22"/>
          <w:szCs w:val="22"/>
          <w:lang w:eastAsia="en-US"/>
        </w:rPr>
        <w:t xml:space="preserve"> as it can result in vast amounts of money being lost each year</w:t>
      </w:r>
      <w:r>
        <w:rPr>
          <w:rFonts w:ascii="Arial" w:hAnsi="Arial" w:cs="Arial"/>
          <w:sz w:val="22"/>
          <w:szCs w:val="22"/>
          <w:lang w:eastAsia="en-US"/>
        </w:rPr>
        <w:t xml:space="preserve">. </w:t>
      </w:r>
    </w:p>
    <w:p w14:paraId="3F488123" w14:textId="77777777" w:rsidR="00C07665" w:rsidRDefault="00C07665">
      <w:pPr>
        <w:rPr>
          <w:rFonts w:asciiTheme="majorHAnsi" w:hAnsiTheme="majorHAnsi"/>
          <w:sz w:val="44"/>
          <w:szCs w:val="44"/>
        </w:rPr>
      </w:pPr>
      <w:r>
        <w:rPr>
          <w:rFonts w:asciiTheme="majorHAnsi" w:hAnsiTheme="majorHAnsi"/>
          <w:sz w:val="44"/>
          <w:szCs w:val="44"/>
        </w:rPr>
        <w:br w:type="page"/>
      </w:r>
    </w:p>
    <w:p w14:paraId="25D8D42A" w14:textId="74F980E4" w:rsidR="00C07665" w:rsidRDefault="00C07665" w:rsidP="00C07665">
      <w:pPr>
        <w:pStyle w:val="Heading1"/>
        <w:rPr>
          <w:rFonts w:ascii="Arial" w:hAnsi="Arial" w:cs="Arial"/>
          <w:b/>
          <w:bCs/>
          <w:sz w:val="28"/>
          <w:szCs w:val="28"/>
        </w:rPr>
      </w:pPr>
      <w:bookmarkStart w:id="2" w:name="_Toc235668532"/>
      <w:r w:rsidRPr="00C07665">
        <w:rPr>
          <w:rFonts w:ascii="Arial" w:hAnsi="Arial" w:cs="Arial"/>
          <w:b/>
          <w:bCs/>
          <w:sz w:val="28"/>
          <w:szCs w:val="28"/>
        </w:rPr>
        <w:lastRenderedPageBreak/>
        <w:t>Identification of Internal and External Threats</w:t>
      </w:r>
      <w:bookmarkEnd w:id="2"/>
    </w:p>
    <w:p w14:paraId="45B4850A" w14:textId="77777777" w:rsidR="00C07665" w:rsidRDefault="00C07665" w:rsidP="00C07665">
      <w:pPr>
        <w:rPr>
          <w:rFonts w:ascii="Arial" w:hAnsi="Arial" w:cs="Arial"/>
          <w:sz w:val="22"/>
          <w:szCs w:val="22"/>
        </w:rPr>
      </w:pPr>
    </w:p>
    <w:p w14:paraId="66485FE9" w14:textId="364ABCDE" w:rsidR="00CD59DD" w:rsidRDefault="00CD59DD" w:rsidP="00921D24">
      <w:pPr>
        <w:jc w:val="both"/>
        <w:rPr>
          <w:rFonts w:ascii="Arial" w:hAnsi="Arial" w:cs="Arial"/>
          <w:sz w:val="22"/>
          <w:szCs w:val="22"/>
        </w:rPr>
      </w:pPr>
      <w:proofErr w:type="spellStart"/>
      <w:r>
        <w:rPr>
          <w:rFonts w:ascii="Arial" w:hAnsi="Arial" w:cs="Arial"/>
          <w:sz w:val="22"/>
          <w:szCs w:val="22"/>
        </w:rPr>
        <w:t>SteelForm</w:t>
      </w:r>
      <w:proofErr w:type="spellEnd"/>
      <w:r>
        <w:rPr>
          <w:rFonts w:ascii="Arial" w:hAnsi="Arial" w:cs="Arial"/>
          <w:sz w:val="22"/>
          <w:szCs w:val="22"/>
        </w:rPr>
        <w:t xml:space="preserve"> Manufacturing Ltd (SFM) has increased its attack surface due to the digital transformation using cloud-based production management and Internet of Things (IoT) sensors. </w:t>
      </w:r>
      <w:r w:rsidRPr="00CD59DD">
        <w:rPr>
          <w:rFonts w:ascii="Arial" w:hAnsi="Arial" w:cs="Arial"/>
          <w:sz w:val="22"/>
          <w:szCs w:val="22"/>
        </w:rPr>
        <w:t xml:space="preserve">Physical engineering processes are vulnerable to both internal risks and external risks when </w:t>
      </w:r>
      <w:r>
        <w:rPr>
          <w:rFonts w:ascii="Arial" w:hAnsi="Arial" w:cs="Arial"/>
          <w:sz w:val="22"/>
          <w:szCs w:val="22"/>
        </w:rPr>
        <w:t>O</w:t>
      </w:r>
      <w:r w:rsidRPr="00CD59DD">
        <w:rPr>
          <w:rFonts w:ascii="Arial" w:hAnsi="Arial" w:cs="Arial"/>
          <w:sz w:val="22"/>
          <w:szCs w:val="22"/>
        </w:rPr>
        <w:t xml:space="preserve">perational </w:t>
      </w:r>
      <w:r>
        <w:rPr>
          <w:rFonts w:ascii="Arial" w:hAnsi="Arial" w:cs="Arial"/>
          <w:sz w:val="22"/>
          <w:szCs w:val="22"/>
        </w:rPr>
        <w:t>T</w:t>
      </w:r>
      <w:r w:rsidRPr="00CD59DD">
        <w:rPr>
          <w:rFonts w:ascii="Arial" w:hAnsi="Arial" w:cs="Arial"/>
          <w:sz w:val="22"/>
          <w:szCs w:val="22"/>
        </w:rPr>
        <w:t>echnology and</w:t>
      </w:r>
      <w:r>
        <w:rPr>
          <w:rFonts w:ascii="Arial" w:hAnsi="Arial" w:cs="Arial"/>
          <w:sz w:val="22"/>
          <w:szCs w:val="22"/>
        </w:rPr>
        <w:t xml:space="preserve"> IT</w:t>
      </w:r>
      <w:r w:rsidRPr="00CD59DD">
        <w:rPr>
          <w:rFonts w:ascii="Arial" w:hAnsi="Arial" w:cs="Arial"/>
          <w:sz w:val="22"/>
          <w:szCs w:val="22"/>
        </w:rPr>
        <w:t xml:space="preserve"> networks are implemented</w:t>
      </w:r>
      <w:r>
        <w:rPr>
          <w:rFonts w:ascii="Arial" w:hAnsi="Arial" w:cs="Arial"/>
          <w:sz w:val="22"/>
          <w:szCs w:val="22"/>
        </w:rPr>
        <w:t xml:space="preserve"> </w:t>
      </w:r>
      <w:sdt>
        <w:sdtPr>
          <w:rPr>
            <w:rFonts w:ascii="Arial" w:hAnsi="Arial" w:cs="Arial"/>
            <w:sz w:val="22"/>
            <w:szCs w:val="22"/>
          </w:rPr>
          <w:id w:val="173926247"/>
          <w:citation/>
        </w:sdtPr>
        <w:sdtContent>
          <w:r>
            <w:rPr>
              <w:rFonts w:ascii="Arial" w:hAnsi="Arial" w:cs="Arial"/>
              <w:sz w:val="22"/>
              <w:szCs w:val="22"/>
            </w:rPr>
            <w:fldChar w:fldCharType="begin"/>
          </w:r>
          <w:r>
            <w:rPr>
              <w:rFonts w:ascii="Arial" w:hAnsi="Arial" w:cs="Arial"/>
              <w:sz w:val="22"/>
              <w:szCs w:val="22"/>
            </w:rPr>
            <w:instrText xml:space="preserve"> CITATION Sto23 \l 2057 </w:instrText>
          </w:r>
          <w:r>
            <w:rPr>
              <w:rFonts w:ascii="Arial" w:hAnsi="Arial" w:cs="Arial"/>
              <w:sz w:val="22"/>
              <w:szCs w:val="22"/>
            </w:rPr>
            <w:fldChar w:fldCharType="separate"/>
          </w:r>
          <w:r w:rsidRPr="00CD59DD">
            <w:rPr>
              <w:rFonts w:ascii="Arial" w:hAnsi="Arial" w:cs="Arial"/>
              <w:noProof/>
              <w:sz w:val="22"/>
              <w:szCs w:val="22"/>
            </w:rPr>
            <w:t>[1]</w:t>
          </w:r>
          <w:r>
            <w:rPr>
              <w:rFonts w:ascii="Arial" w:hAnsi="Arial" w:cs="Arial"/>
              <w:sz w:val="22"/>
              <w:szCs w:val="22"/>
            </w:rPr>
            <w:fldChar w:fldCharType="end"/>
          </w:r>
        </w:sdtContent>
      </w:sdt>
      <w:r>
        <w:rPr>
          <w:rFonts w:ascii="Arial" w:hAnsi="Arial" w:cs="Arial"/>
          <w:sz w:val="22"/>
          <w:szCs w:val="22"/>
        </w:rPr>
        <w:t>.</w:t>
      </w:r>
      <w:r w:rsidR="00921D24">
        <w:rPr>
          <w:rFonts w:ascii="Arial" w:hAnsi="Arial" w:cs="Arial"/>
          <w:sz w:val="22"/>
          <w:szCs w:val="22"/>
        </w:rPr>
        <w:t xml:space="preserve"> </w:t>
      </w:r>
      <w:r w:rsidR="00921D24" w:rsidRPr="00921D24">
        <w:rPr>
          <w:rFonts w:ascii="Arial" w:hAnsi="Arial" w:cs="Arial"/>
          <w:sz w:val="22"/>
          <w:szCs w:val="22"/>
        </w:rPr>
        <w:t>Physical shop floor gear can be directly affected buy software vulnerabilities incorporate environments due to the Complicated dependencies created by this integration</w:t>
      </w:r>
      <w:r w:rsidR="00921D24">
        <w:rPr>
          <w:rFonts w:ascii="Arial" w:hAnsi="Arial" w:cs="Arial"/>
          <w:sz w:val="22"/>
          <w:szCs w:val="22"/>
        </w:rPr>
        <w:t xml:space="preserve"> </w:t>
      </w:r>
      <w:sdt>
        <w:sdtPr>
          <w:rPr>
            <w:rFonts w:ascii="Arial" w:hAnsi="Arial" w:cs="Arial"/>
            <w:sz w:val="22"/>
            <w:szCs w:val="22"/>
          </w:rPr>
          <w:id w:val="-1152972828"/>
          <w:citation/>
        </w:sdtPr>
        <w:sdtContent>
          <w:r w:rsidR="00921D24">
            <w:rPr>
              <w:rFonts w:ascii="Arial" w:hAnsi="Arial" w:cs="Arial"/>
              <w:sz w:val="22"/>
              <w:szCs w:val="22"/>
            </w:rPr>
            <w:fldChar w:fldCharType="begin"/>
          </w:r>
          <w:r w:rsidR="00921D24">
            <w:rPr>
              <w:rFonts w:ascii="Arial" w:hAnsi="Arial" w:cs="Arial"/>
              <w:sz w:val="22"/>
              <w:szCs w:val="22"/>
            </w:rPr>
            <w:instrText xml:space="preserve"> CITATION Nan23 \l 2057 </w:instrText>
          </w:r>
          <w:r w:rsidR="00921D24">
            <w:rPr>
              <w:rFonts w:ascii="Arial" w:hAnsi="Arial" w:cs="Arial"/>
              <w:sz w:val="22"/>
              <w:szCs w:val="22"/>
            </w:rPr>
            <w:fldChar w:fldCharType="separate"/>
          </w:r>
          <w:r w:rsidR="00921D24" w:rsidRPr="00921D24">
            <w:rPr>
              <w:rFonts w:ascii="Arial" w:hAnsi="Arial" w:cs="Arial"/>
              <w:noProof/>
              <w:sz w:val="22"/>
              <w:szCs w:val="22"/>
            </w:rPr>
            <w:t>[2]</w:t>
          </w:r>
          <w:r w:rsidR="00921D24">
            <w:rPr>
              <w:rFonts w:ascii="Arial" w:hAnsi="Arial" w:cs="Arial"/>
              <w:sz w:val="22"/>
              <w:szCs w:val="22"/>
            </w:rPr>
            <w:fldChar w:fldCharType="end"/>
          </w:r>
        </w:sdtContent>
      </w:sdt>
      <w:r w:rsidR="00921D24">
        <w:rPr>
          <w:rFonts w:ascii="Arial" w:hAnsi="Arial" w:cs="Arial"/>
          <w:sz w:val="22"/>
          <w:szCs w:val="22"/>
        </w:rPr>
        <w:t>.</w:t>
      </w:r>
    </w:p>
    <w:p w14:paraId="61FC8F8B" w14:textId="77777777" w:rsidR="00921D24" w:rsidRDefault="00921D24" w:rsidP="00921D24">
      <w:pPr>
        <w:jc w:val="both"/>
        <w:rPr>
          <w:rFonts w:ascii="Arial" w:hAnsi="Arial" w:cs="Arial"/>
          <w:sz w:val="22"/>
          <w:szCs w:val="22"/>
        </w:rPr>
      </w:pPr>
    </w:p>
    <w:p w14:paraId="03DA27F5" w14:textId="1ECADB3D" w:rsidR="00921D24" w:rsidRDefault="00921D24" w:rsidP="00921D24">
      <w:pPr>
        <w:pStyle w:val="Heading2"/>
        <w:rPr>
          <w:rFonts w:ascii="Arial" w:hAnsi="Arial" w:cs="Arial"/>
          <w:b/>
          <w:bCs/>
          <w:sz w:val="28"/>
          <w:szCs w:val="28"/>
        </w:rPr>
      </w:pPr>
      <w:bookmarkStart w:id="3" w:name="_Toc235668533"/>
      <w:r w:rsidRPr="00921D24">
        <w:rPr>
          <w:rFonts w:ascii="Arial" w:hAnsi="Arial" w:cs="Arial"/>
          <w:b/>
          <w:bCs/>
          <w:sz w:val="28"/>
          <w:szCs w:val="28"/>
        </w:rPr>
        <w:t>External Threats</w:t>
      </w:r>
      <w:bookmarkEnd w:id="3"/>
    </w:p>
    <w:p w14:paraId="2E6D2FA4" w14:textId="77777777" w:rsidR="00F159C6" w:rsidRDefault="00F159C6" w:rsidP="00921D24">
      <w:pPr>
        <w:rPr>
          <w:lang w:eastAsia="en-US"/>
        </w:rPr>
      </w:pPr>
    </w:p>
    <w:p w14:paraId="67EDF319" w14:textId="3443F726" w:rsidR="00921D24" w:rsidRPr="00F159C6" w:rsidRDefault="00921D24" w:rsidP="00921D24">
      <w:pPr>
        <w:rPr>
          <w:rFonts w:ascii="Arial" w:hAnsi="Arial" w:cs="Arial"/>
          <w:sz w:val="22"/>
          <w:szCs w:val="22"/>
        </w:rPr>
      </w:pPr>
      <w:r w:rsidRPr="00F159C6">
        <w:rPr>
          <w:rFonts w:ascii="Arial" w:hAnsi="Arial" w:cs="Arial"/>
          <w:sz w:val="22"/>
          <w:szCs w:val="22"/>
        </w:rPr>
        <w:t>Industrial Ransomware and IT/OT Lateral Movement</w:t>
      </w:r>
      <w:r w:rsidRPr="00F159C6">
        <w:rPr>
          <w:rFonts w:ascii="Arial" w:hAnsi="Arial" w:cs="Arial"/>
          <w:sz w:val="22"/>
          <w:szCs w:val="22"/>
        </w:rPr>
        <w:t>:</w:t>
      </w:r>
    </w:p>
    <w:p w14:paraId="2ED6F125" w14:textId="2FC22470" w:rsidR="00921D24" w:rsidRDefault="00F159C6" w:rsidP="00921D24">
      <w:pPr>
        <w:jc w:val="both"/>
        <w:rPr>
          <w:rFonts w:ascii="Arial" w:hAnsi="Arial" w:cs="Arial"/>
          <w:sz w:val="22"/>
          <w:szCs w:val="22"/>
        </w:rPr>
      </w:pPr>
      <w:r w:rsidRPr="00F159C6">
        <w:rPr>
          <w:rFonts w:ascii="Arial" w:hAnsi="Arial" w:cs="Arial"/>
          <w:sz w:val="22"/>
          <w:szCs w:val="22"/>
        </w:rPr>
        <w:t>Infrastructure for smart manufacturing is at great threat financially and operationally by ransomware</w:t>
      </w:r>
      <w:r>
        <w:rPr>
          <w:rFonts w:ascii="Arial" w:hAnsi="Arial" w:cs="Arial"/>
          <w:sz w:val="22"/>
          <w:szCs w:val="22"/>
        </w:rPr>
        <w:t xml:space="preserve"> </w:t>
      </w:r>
      <w:sdt>
        <w:sdtPr>
          <w:rPr>
            <w:rFonts w:ascii="Arial" w:hAnsi="Arial" w:cs="Arial"/>
            <w:sz w:val="22"/>
            <w:szCs w:val="22"/>
          </w:rPr>
          <w:id w:val="-715507787"/>
          <w:citation/>
        </w:sdtPr>
        <w:sdtContent>
          <w:r>
            <w:rPr>
              <w:rFonts w:ascii="Arial" w:hAnsi="Arial" w:cs="Arial"/>
              <w:sz w:val="22"/>
              <w:szCs w:val="22"/>
            </w:rPr>
            <w:fldChar w:fldCharType="begin"/>
          </w:r>
          <w:r>
            <w:rPr>
              <w:rFonts w:ascii="Arial" w:hAnsi="Arial" w:cs="Arial"/>
              <w:sz w:val="22"/>
              <w:szCs w:val="22"/>
            </w:rPr>
            <w:instrText xml:space="preserve"> CITATION Nan23 \l 2057 </w:instrText>
          </w:r>
          <w:r>
            <w:rPr>
              <w:rFonts w:ascii="Arial" w:hAnsi="Arial" w:cs="Arial"/>
              <w:sz w:val="22"/>
              <w:szCs w:val="22"/>
            </w:rPr>
            <w:fldChar w:fldCharType="separate"/>
          </w:r>
          <w:r w:rsidRPr="00F159C6">
            <w:rPr>
              <w:rFonts w:ascii="Arial" w:hAnsi="Arial" w:cs="Arial"/>
              <w:noProof/>
              <w:sz w:val="22"/>
              <w:szCs w:val="22"/>
            </w:rPr>
            <w:t>[2]</w:t>
          </w:r>
          <w:r>
            <w:rPr>
              <w:rFonts w:ascii="Arial" w:hAnsi="Arial" w:cs="Arial"/>
              <w:sz w:val="22"/>
              <w:szCs w:val="22"/>
            </w:rPr>
            <w:fldChar w:fldCharType="end"/>
          </w:r>
        </w:sdtContent>
      </w:sdt>
      <w:r>
        <w:rPr>
          <w:rFonts w:ascii="Arial" w:hAnsi="Arial" w:cs="Arial"/>
          <w:sz w:val="22"/>
          <w:szCs w:val="22"/>
        </w:rPr>
        <w:t xml:space="preserve">. </w:t>
      </w:r>
      <w:r w:rsidRPr="00F159C6">
        <w:rPr>
          <w:rFonts w:ascii="Arial" w:hAnsi="Arial" w:cs="Arial"/>
          <w:sz w:val="22"/>
          <w:szCs w:val="22"/>
        </w:rPr>
        <w:t>To get initial access to company IT networks, cybercriminals take advantage of Internet facing vulnerabilities, unpatched remote management portals and compromised credentials. After gaining access, threat actors compromise cloud production management platforms and supervisory control and data acquisition systems by using lateral movement techniques across unsegmented network boundaries. According to</w:t>
      </w:r>
      <w:r>
        <w:rPr>
          <w:rFonts w:ascii="Arial" w:hAnsi="Arial" w:cs="Arial"/>
          <w:sz w:val="22"/>
          <w:szCs w:val="22"/>
        </w:rPr>
        <w:t xml:space="preserve"> CISA’s</w:t>
      </w:r>
      <w:r w:rsidRPr="00F159C6">
        <w:rPr>
          <w:rFonts w:ascii="Arial" w:hAnsi="Arial" w:cs="Arial"/>
          <w:sz w:val="22"/>
          <w:szCs w:val="22"/>
        </w:rPr>
        <w:t xml:space="preserve"> technical mitigation standards, adversaries often use double extortion strategies, encrypting crucial operational data while stealing confidential automotive and aerospace</w:t>
      </w:r>
      <w:r>
        <w:rPr>
          <w:rFonts w:ascii="Arial" w:hAnsi="Arial" w:cs="Arial"/>
          <w:sz w:val="22"/>
          <w:szCs w:val="22"/>
        </w:rPr>
        <w:t xml:space="preserve"> CAD</w:t>
      </w:r>
      <w:r w:rsidRPr="00F159C6">
        <w:rPr>
          <w:rFonts w:ascii="Arial" w:hAnsi="Arial" w:cs="Arial"/>
          <w:sz w:val="22"/>
          <w:szCs w:val="22"/>
        </w:rPr>
        <w:t xml:space="preserve"> designs </w:t>
      </w:r>
      <w:proofErr w:type="gramStart"/>
      <w:r w:rsidRPr="00F159C6">
        <w:rPr>
          <w:rFonts w:ascii="Arial" w:hAnsi="Arial" w:cs="Arial"/>
          <w:sz w:val="22"/>
          <w:szCs w:val="22"/>
        </w:rPr>
        <w:t>in order to</w:t>
      </w:r>
      <w:proofErr w:type="gramEnd"/>
      <w:r w:rsidRPr="00F159C6">
        <w:rPr>
          <w:rFonts w:ascii="Arial" w:hAnsi="Arial" w:cs="Arial"/>
          <w:sz w:val="22"/>
          <w:szCs w:val="22"/>
        </w:rPr>
        <w:t xml:space="preserve"> </w:t>
      </w:r>
      <w:r>
        <w:rPr>
          <w:rFonts w:ascii="Arial" w:hAnsi="Arial" w:cs="Arial"/>
          <w:sz w:val="22"/>
          <w:szCs w:val="22"/>
        </w:rPr>
        <w:t>force</w:t>
      </w:r>
      <w:r w:rsidRPr="00F159C6">
        <w:rPr>
          <w:rFonts w:ascii="Arial" w:hAnsi="Arial" w:cs="Arial"/>
          <w:sz w:val="22"/>
          <w:szCs w:val="22"/>
        </w:rPr>
        <w:t xml:space="preserve"> ransom compliance</w:t>
      </w:r>
      <w:r>
        <w:rPr>
          <w:rFonts w:ascii="Arial" w:hAnsi="Arial" w:cs="Arial"/>
          <w:sz w:val="22"/>
          <w:szCs w:val="22"/>
        </w:rPr>
        <w:t xml:space="preserve"> </w:t>
      </w:r>
      <w:sdt>
        <w:sdtPr>
          <w:rPr>
            <w:rFonts w:ascii="Arial" w:hAnsi="Arial" w:cs="Arial"/>
            <w:sz w:val="22"/>
            <w:szCs w:val="22"/>
          </w:rPr>
          <w:id w:val="-1795208523"/>
          <w:citation/>
        </w:sdtPr>
        <w:sdtContent>
          <w:r>
            <w:rPr>
              <w:rFonts w:ascii="Arial" w:hAnsi="Arial" w:cs="Arial"/>
              <w:sz w:val="22"/>
              <w:szCs w:val="22"/>
            </w:rPr>
            <w:fldChar w:fldCharType="begin"/>
          </w:r>
          <w:r>
            <w:rPr>
              <w:rFonts w:ascii="Arial" w:hAnsi="Arial" w:cs="Arial"/>
              <w:sz w:val="22"/>
              <w:szCs w:val="22"/>
            </w:rPr>
            <w:instrText xml:space="preserve"> CITATION CIS25 \l 2057 </w:instrText>
          </w:r>
          <w:r>
            <w:rPr>
              <w:rFonts w:ascii="Arial" w:hAnsi="Arial" w:cs="Arial"/>
              <w:sz w:val="22"/>
              <w:szCs w:val="22"/>
            </w:rPr>
            <w:fldChar w:fldCharType="separate"/>
          </w:r>
          <w:r w:rsidRPr="00F159C6">
            <w:rPr>
              <w:rFonts w:ascii="Arial" w:hAnsi="Arial" w:cs="Arial"/>
              <w:noProof/>
              <w:sz w:val="22"/>
              <w:szCs w:val="22"/>
            </w:rPr>
            <w:t>[3]</w:t>
          </w:r>
          <w:r>
            <w:rPr>
              <w:rFonts w:ascii="Arial" w:hAnsi="Arial" w:cs="Arial"/>
              <w:sz w:val="22"/>
              <w:szCs w:val="22"/>
            </w:rPr>
            <w:fldChar w:fldCharType="end"/>
          </w:r>
        </w:sdtContent>
      </w:sdt>
      <w:r>
        <w:rPr>
          <w:rFonts w:ascii="Arial" w:hAnsi="Arial" w:cs="Arial"/>
          <w:sz w:val="22"/>
          <w:szCs w:val="22"/>
        </w:rPr>
        <w:t>.</w:t>
      </w:r>
    </w:p>
    <w:p w14:paraId="2672D8FE" w14:textId="77777777" w:rsidR="00F159C6" w:rsidRDefault="00F159C6" w:rsidP="00921D24">
      <w:pPr>
        <w:jc w:val="both"/>
        <w:rPr>
          <w:rFonts w:ascii="Arial" w:hAnsi="Arial" w:cs="Arial"/>
          <w:sz w:val="22"/>
          <w:szCs w:val="22"/>
        </w:rPr>
      </w:pPr>
    </w:p>
    <w:p w14:paraId="2B351820" w14:textId="16E4C1F9" w:rsidR="00F159C6" w:rsidRDefault="00F159C6" w:rsidP="00921D24">
      <w:pPr>
        <w:jc w:val="both"/>
        <w:rPr>
          <w:rFonts w:ascii="Arial" w:hAnsi="Arial" w:cs="Arial"/>
          <w:sz w:val="22"/>
          <w:szCs w:val="22"/>
        </w:rPr>
      </w:pPr>
      <w:r w:rsidRPr="00F159C6">
        <w:rPr>
          <w:rFonts w:ascii="Arial" w:hAnsi="Arial" w:cs="Arial"/>
          <w:sz w:val="22"/>
          <w:szCs w:val="22"/>
        </w:rPr>
        <w:t>Targeted Phishing and Supply Chain Exploitation</w:t>
      </w:r>
      <w:r>
        <w:rPr>
          <w:rFonts w:ascii="Arial" w:hAnsi="Arial" w:cs="Arial"/>
          <w:sz w:val="22"/>
          <w:szCs w:val="22"/>
        </w:rPr>
        <w:t>:</w:t>
      </w:r>
    </w:p>
    <w:p w14:paraId="46DA407C" w14:textId="0C2CDE15" w:rsidR="00F159C6" w:rsidRDefault="00D6351E" w:rsidP="00921D24">
      <w:pPr>
        <w:jc w:val="both"/>
        <w:rPr>
          <w:rFonts w:ascii="Arial" w:hAnsi="Arial" w:cs="Arial"/>
          <w:sz w:val="22"/>
          <w:szCs w:val="22"/>
        </w:rPr>
      </w:pPr>
      <w:r>
        <w:rPr>
          <w:rFonts w:ascii="Arial" w:hAnsi="Arial" w:cs="Arial"/>
          <w:sz w:val="22"/>
          <w:szCs w:val="22"/>
        </w:rPr>
        <w:t>M</w:t>
      </w:r>
      <w:r w:rsidR="000A4CD1" w:rsidRPr="000A4CD1">
        <w:rPr>
          <w:rFonts w:ascii="Arial" w:hAnsi="Arial" w:cs="Arial"/>
          <w:sz w:val="22"/>
          <w:szCs w:val="22"/>
        </w:rPr>
        <w:t xml:space="preserve">anufacturing supply networks </w:t>
      </w:r>
      <w:r w:rsidR="000A4CD1">
        <w:rPr>
          <w:rFonts w:ascii="Arial" w:hAnsi="Arial" w:cs="Arial"/>
          <w:sz w:val="22"/>
          <w:szCs w:val="22"/>
        </w:rPr>
        <w:t>are at</w:t>
      </w:r>
      <w:r w:rsidR="000A4CD1" w:rsidRPr="000A4CD1">
        <w:rPr>
          <w:rFonts w:ascii="Arial" w:hAnsi="Arial" w:cs="Arial"/>
          <w:sz w:val="22"/>
          <w:szCs w:val="22"/>
        </w:rPr>
        <w:t xml:space="preserve"> risk</w:t>
      </w:r>
      <w:r w:rsidR="000A4CD1">
        <w:rPr>
          <w:rFonts w:ascii="Arial" w:hAnsi="Arial" w:cs="Arial"/>
          <w:sz w:val="22"/>
          <w:szCs w:val="22"/>
        </w:rPr>
        <w:t xml:space="preserve"> of</w:t>
      </w:r>
      <w:r w:rsidR="000A4CD1" w:rsidRPr="000A4CD1">
        <w:rPr>
          <w:rFonts w:ascii="Arial" w:hAnsi="Arial" w:cs="Arial"/>
          <w:sz w:val="22"/>
          <w:szCs w:val="22"/>
        </w:rPr>
        <w:t xml:space="preserve"> being targeted through spearfishing tactics</w:t>
      </w:r>
      <w:r w:rsidR="000A4CD1">
        <w:rPr>
          <w:rFonts w:ascii="Arial" w:hAnsi="Arial" w:cs="Arial"/>
          <w:sz w:val="22"/>
          <w:szCs w:val="22"/>
        </w:rPr>
        <w:t xml:space="preserve"> aimed at staff and external partners </w:t>
      </w:r>
      <w:sdt>
        <w:sdtPr>
          <w:rPr>
            <w:rFonts w:ascii="Arial" w:hAnsi="Arial" w:cs="Arial"/>
            <w:sz w:val="22"/>
            <w:szCs w:val="22"/>
          </w:rPr>
          <w:id w:val="1182629516"/>
          <w:citation/>
        </w:sdtPr>
        <w:sdtContent>
          <w:r w:rsidR="000A4CD1">
            <w:rPr>
              <w:rFonts w:ascii="Arial" w:hAnsi="Arial" w:cs="Arial"/>
              <w:sz w:val="22"/>
              <w:szCs w:val="22"/>
            </w:rPr>
            <w:fldChar w:fldCharType="begin"/>
          </w:r>
          <w:r w:rsidR="000A4CD1">
            <w:rPr>
              <w:rFonts w:ascii="Arial" w:hAnsi="Arial" w:cs="Arial"/>
              <w:sz w:val="22"/>
              <w:szCs w:val="22"/>
            </w:rPr>
            <w:instrText xml:space="preserve"> CITATION Koa22 \l 2057 </w:instrText>
          </w:r>
          <w:r w:rsidR="000A4CD1">
            <w:rPr>
              <w:rFonts w:ascii="Arial" w:hAnsi="Arial" w:cs="Arial"/>
              <w:sz w:val="22"/>
              <w:szCs w:val="22"/>
            </w:rPr>
            <w:fldChar w:fldCharType="separate"/>
          </w:r>
          <w:r w:rsidR="000A4CD1" w:rsidRPr="000A4CD1">
            <w:rPr>
              <w:rFonts w:ascii="Arial" w:hAnsi="Arial" w:cs="Arial"/>
              <w:noProof/>
              <w:sz w:val="22"/>
              <w:szCs w:val="22"/>
            </w:rPr>
            <w:t>[4]</w:t>
          </w:r>
          <w:r w:rsidR="000A4CD1">
            <w:rPr>
              <w:rFonts w:ascii="Arial" w:hAnsi="Arial" w:cs="Arial"/>
              <w:sz w:val="22"/>
              <w:szCs w:val="22"/>
            </w:rPr>
            <w:fldChar w:fldCharType="end"/>
          </w:r>
        </w:sdtContent>
      </w:sdt>
      <w:r w:rsidR="000A4CD1">
        <w:rPr>
          <w:rFonts w:ascii="Arial" w:hAnsi="Arial" w:cs="Arial"/>
          <w:sz w:val="22"/>
          <w:szCs w:val="22"/>
        </w:rPr>
        <w:t xml:space="preserve">. </w:t>
      </w:r>
      <w:proofErr w:type="gramStart"/>
      <w:r w:rsidR="000A4CD1" w:rsidRPr="000A4CD1">
        <w:rPr>
          <w:rFonts w:ascii="Arial" w:hAnsi="Arial" w:cs="Arial"/>
          <w:sz w:val="22"/>
          <w:szCs w:val="22"/>
        </w:rPr>
        <w:t>In order to</w:t>
      </w:r>
      <w:proofErr w:type="gramEnd"/>
      <w:r w:rsidR="000A4CD1" w:rsidRPr="000A4CD1">
        <w:rPr>
          <w:rFonts w:ascii="Arial" w:hAnsi="Arial" w:cs="Arial"/>
          <w:sz w:val="22"/>
          <w:szCs w:val="22"/>
        </w:rPr>
        <w:t xml:space="preserve"> obtain login credentials and install remote access Trojans, threat actors use customised social engineering messages that include malicious links or attachments. They can alter component specifications, carry out fraudulent financial activities or take use of reliable </w:t>
      </w:r>
      <w:proofErr w:type="gramStart"/>
      <w:r w:rsidR="000A4CD1" w:rsidRPr="000A4CD1">
        <w:rPr>
          <w:rFonts w:ascii="Arial" w:hAnsi="Arial" w:cs="Arial"/>
          <w:sz w:val="22"/>
          <w:szCs w:val="22"/>
        </w:rPr>
        <w:t>third party</w:t>
      </w:r>
      <w:proofErr w:type="gramEnd"/>
      <w:r w:rsidR="000A4CD1" w:rsidRPr="000A4CD1">
        <w:rPr>
          <w:rFonts w:ascii="Arial" w:hAnsi="Arial" w:cs="Arial"/>
          <w:sz w:val="22"/>
          <w:szCs w:val="22"/>
        </w:rPr>
        <w:t xml:space="preserve"> vendor relationships to go beyond security measures by compromising legitimate procurement accounts. Furthermore, unpatched vulnerabilities within </w:t>
      </w:r>
      <w:r w:rsidR="000A4CD1">
        <w:rPr>
          <w:rFonts w:ascii="Arial" w:hAnsi="Arial" w:cs="Arial"/>
          <w:sz w:val="22"/>
          <w:szCs w:val="22"/>
        </w:rPr>
        <w:t>the</w:t>
      </w:r>
      <w:r w:rsidR="000A4CD1" w:rsidRPr="000A4CD1">
        <w:rPr>
          <w:rFonts w:ascii="Arial" w:hAnsi="Arial" w:cs="Arial"/>
          <w:sz w:val="22"/>
          <w:szCs w:val="22"/>
        </w:rPr>
        <w:t xml:space="preserve"> shared supply chain data repositories make direct entry into</w:t>
      </w:r>
      <w:r w:rsidR="000A4CD1">
        <w:rPr>
          <w:rFonts w:ascii="Arial" w:hAnsi="Arial" w:cs="Arial"/>
          <w:sz w:val="22"/>
          <w:szCs w:val="22"/>
        </w:rPr>
        <w:t xml:space="preserve"> SFM’s</w:t>
      </w:r>
      <w:r w:rsidR="000A4CD1" w:rsidRPr="000A4CD1">
        <w:rPr>
          <w:rFonts w:ascii="Arial" w:hAnsi="Arial" w:cs="Arial"/>
          <w:sz w:val="22"/>
          <w:szCs w:val="22"/>
        </w:rPr>
        <w:t xml:space="preserve"> internal network, compromising sensitive operational workflows</w:t>
      </w:r>
      <w:r w:rsidR="000A4CD1">
        <w:rPr>
          <w:rFonts w:ascii="Arial" w:hAnsi="Arial" w:cs="Arial"/>
          <w:sz w:val="22"/>
          <w:szCs w:val="22"/>
        </w:rPr>
        <w:t xml:space="preserve"> </w:t>
      </w:r>
      <w:sdt>
        <w:sdtPr>
          <w:rPr>
            <w:rFonts w:ascii="Arial" w:hAnsi="Arial" w:cs="Arial"/>
            <w:sz w:val="22"/>
            <w:szCs w:val="22"/>
          </w:rPr>
          <w:id w:val="-416546470"/>
          <w:citation/>
        </w:sdtPr>
        <w:sdtContent>
          <w:r w:rsidR="000A4CD1">
            <w:rPr>
              <w:rFonts w:ascii="Arial" w:hAnsi="Arial" w:cs="Arial"/>
              <w:sz w:val="22"/>
              <w:szCs w:val="22"/>
            </w:rPr>
            <w:fldChar w:fldCharType="begin"/>
          </w:r>
          <w:r w:rsidR="000A4CD1">
            <w:rPr>
              <w:rFonts w:ascii="Arial" w:hAnsi="Arial" w:cs="Arial"/>
              <w:sz w:val="22"/>
              <w:szCs w:val="22"/>
            </w:rPr>
            <w:instrText xml:space="preserve"> CITATION Koa22 \l 2057 </w:instrText>
          </w:r>
          <w:r w:rsidR="000A4CD1">
            <w:rPr>
              <w:rFonts w:ascii="Arial" w:hAnsi="Arial" w:cs="Arial"/>
              <w:sz w:val="22"/>
              <w:szCs w:val="22"/>
            </w:rPr>
            <w:fldChar w:fldCharType="separate"/>
          </w:r>
          <w:r w:rsidR="000A4CD1" w:rsidRPr="000A4CD1">
            <w:rPr>
              <w:rFonts w:ascii="Arial" w:hAnsi="Arial" w:cs="Arial"/>
              <w:noProof/>
              <w:sz w:val="22"/>
              <w:szCs w:val="22"/>
            </w:rPr>
            <w:t>[4]</w:t>
          </w:r>
          <w:r w:rsidR="000A4CD1">
            <w:rPr>
              <w:rFonts w:ascii="Arial" w:hAnsi="Arial" w:cs="Arial"/>
              <w:sz w:val="22"/>
              <w:szCs w:val="22"/>
            </w:rPr>
            <w:fldChar w:fldCharType="end"/>
          </w:r>
        </w:sdtContent>
      </w:sdt>
      <w:r w:rsidR="000A4CD1">
        <w:rPr>
          <w:rFonts w:ascii="Arial" w:hAnsi="Arial" w:cs="Arial"/>
          <w:sz w:val="22"/>
          <w:szCs w:val="22"/>
        </w:rPr>
        <w:t xml:space="preserve">. </w:t>
      </w:r>
    </w:p>
    <w:p w14:paraId="603790E8" w14:textId="77777777" w:rsidR="00D6351E" w:rsidRDefault="00D6351E" w:rsidP="00921D24">
      <w:pPr>
        <w:jc w:val="both"/>
        <w:rPr>
          <w:rFonts w:ascii="Arial" w:hAnsi="Arial" w:cs="Arial"/>
          <w:sz w:val="22"/>
          <w:szCs w:val="22"/>
        </w:rPr>
      </w:pPr>
    </w:p>
    <w:p w14:paraId="7F44C7F6" w14:textId="36C076CD" w:rsidR="00D6351E" w:rsidRDefault="00D6351E" w:rsidP="00D6351E">
      <w:pPr>
        <w:pStyle w:val="Heading2"/>
        <w:rPr>
          <w:rFonts w:ascii="Arial" w:hAnsi="Arial" w:cs="Arial"/>
          <w:b/>
          <w:bCs/>
          <w:sz w:val="28"/>
          <w:szCs w:val="28"/>
        </w:rPr>
      </w:pPr>
      <w:bookmarkStart w:id="4" w:name="_Toc235668534"/>
      <w:r>
        <w:rPr>
          <w:rFonts w:ascii="Arial" w:hAnsi="Arial" w:cs="Arial"/>
          <w:b/>
          <w:bCs/>
          <w:sz w:val="28"/>
          <w:szCs w:val="28"/>
        </w:rPr>
        <w:t>In</w:t>
      </w:r>
      <w:r w:rsidRPr="00921D24">
        <w:rPr>
          <w:rFonts w:ascii="Arial" w:hAnsi="Arial" w:cs="Arial"/>
          <w:b/>
          <w:bCs/>
          <w:sz w:val="28"/>
          <w:szCs w:val="28"/>
        </w:rPr>
        <w:t>ternal Threats</w:t>
      </w:r>
      <w:bookmarkEnd w:id="4"/>
    </w:p>
    <w:p w14:paraId="11015129" w14:textId="77777777" w:rsidR="00D6351E" w:rsidRDefault="00D6351E" w:rsidP="00D6351E">
      <w:pPr>
        <w:rPr>
          <w:lang w:eastAsia="en-US"/>
        </w:rPr>
      </w:pPr>
    </w:p>
    <w:p w14:paraId="165A5ADF" w14:textId="2ECA8EAC" w:rsidR="00D6351E" w:rsidRDefault="00D6351E" w:rsidP="00D6351E">
      <w:pPr>
        <w:jc w:val="both"/>
        <w:rPr>
          <w:rFonts w:ascii="Arial" w:hAnsi="Arial" w:cs="Arial"/>
          <w:sz w:val="22"/>
          <w:szCs w:val="22"/>
          <w:lang w:eastAsia="en-US"/>
        </w:rPr>
      </w:pPr>
      <w:r w:rsidRPr="00D6351E">
        <w:rPr>
          <w:rFonts w:ascii="Arial" w:hAnsi="Arial" w:cs="Arial"/>
          <w:sz w:val="22"/>
          <w:szCs w:val="22"/>
          <w:lang w:eastAsia="en-US"/>
        </w:rPr>
        <w:t>Malicious Insider Sabotage and Privilege Abuse</w:t>
      </w:r>
      <w:r w:rsidR="00DB3EE5">
        <w:rPr>
          <w:rFonts w:ascii="Arial" w:hAnsi="Arial" w:cs="Arial"/>
          <w:sz w:val="22"/>
          <w:szCs w:val="22"/>
          <w:lang w:eastAsia="en-US"/>
        </w:rPr>
        <w:t>:</w:t>
      </w:r>
    </w:p>
    <w:p w14:paraId="1E705AB8" w14:textId="560BA62C" w:rsidR="00D6351E" w:rsidRDefault="00D6351E" w:rsidP="00D6351E">
      <w:pPr>
        <w:jc w:val="both"/>
        <w:rPr>
          <w:rFonts w:ascii="Arial" w:hAnsi="Arial" w:cs="Arial"/>
          <w:sz w:val="22"/>
          <w:szCs w:val="22"/>
          <w:lang w:eastAsia="en-US"/>
        </w:rPr>
      </w:pPr>
      <w:r w:rsidRPr="00D6351E">
        <w:rPr>
          <w:rFonts w:ascii="Arial" w:hAnsi="Arial" w:cs="Arial"/>
          <w:sz w:val="22"/>
          <w:szCs w:val="22"/>
          <w:lang w:eastAsia="en-US"/>
        </w:rPr>
        <w:t>People with authorisation have valid elevated access throughout SFM</w:t>
      </w:r>
      <w:r>
        <w:rPr>
          <w:rFonts w:ascii="Arial" w:hAnsi="Arial" w:cs="Arial"/>
          <w:sz w:val="22"/>
          <w:szCs w:val="22"/>
          <w:lang w:eastAsia="en-US"/>
        </w:rPr>
        <w:t>’s</w:t>
      </w:r>
      <w:r w:rsidRPr="00D6351E">
        <w:rPr>
          <w:rFonts w:ascii="Arial" w:hAnsi="Arial" w:cs="Arial"/>
          <w:sz w:val="22"/>
          <w:szCs w:val="22"/>
          <w:lang w:eastAsia="en-US"/>
        </w:rPr>
        <w:t xml:space="preserve"> system architecture</w:t>
      </w:r>
      <w:r>
        <w:rPr>
          <w:rFonts w:ascii="Arial" w:hAnsi="Arial" w:cs="Arial"/>
          <w:sz w:val="22"/>
          <w:szCs w:val="22"/>
          <w:lang w:eastAsia="en-US"/>
        </w:rPr>
        <w:t>,</w:t>
      </w:r>
      <w:r w:rsidRPr="00D6351E">
        <w:rPr>
          <w:rFonts w:ascii="Arial" w:hAnsi="Arial" w:cs="Arial"/>
          <w:sz w:val="22"/>
          <w:szCs w:val="22"/>
          <w:lang w:eastAsia="en-US"/>
        </w:rPr>
        <w:t xml:space="preserve"> including former employees with unrevoked credentials, compromised contractors and dissatisfied employees</w:t>
      </w:r>
      <w:sdt>
        <w:sdtPr>
          <w:rPr>
            <w:rFonts w:ascii="Arial" w:hAnsi="Arial" w:cs="Arial"/>
            <w:sz w:val="22"/>
            <w:szCs w:val="22"/>
            <w:lang w:eastAsia="en-US"/>
          </w:rPr>
          <w:id w:val="1736894706"/>
          <w:citation/>
        </w:sdtPr>
        <w:sdtContent>
          <w:r>
            <w:rPr>
              <w:rFonts w:ascii="Arial" w:hAnsi="Arial" w:cs="Arial"/>
              <w:sz w:val="22"/>
              <w:szCs w:val="22"/>
              <w:lang w:eastAsia="en-US"/>
            </w:rPr>
            <w:fldChar w:fldCharType="begin"/>
          </w:r>
          <w:r>
            <w:rPr>
              <w:rFonts w:ascii="Arial" w:hAnsi="Arial" w:cs="Arial"/>
              <w:sz w:val="22"/>
              <w:szCs w:val="22"/>
              <w:lang w:eastAsia="en-US"/>
            </w:rPr>
            <w:instrText xml:space="preserve"> CITATION GAB25 \l 2057 </w:instrText>
          </w:r>
          <w:r>
            <w:rPr>
              <w:rFonts w:ascii="Arial" w:hAnsi="Arial" w:cs="Arial"/>
              <w:sz w:val="22"/>
              <w:szCs w:val="22"/>
              <w:lang w:eastAsia="en-US"/>
            </w:rPr>
            <w:fldChar w:fldCharType="separate"/>
          </w:r>
          <w:r>
            <w:rPr>
              <w:rFonts w:ascii="Arial" w:hAnsi="Arial" w:cs="Arial"/>
              <w:noProof/>
              <w:sz w:val="22"/>
              <w:szCs w:val="22"/>
              <w:lang w:eastAsia="en-US"/>
            </w:rPr>
            <w:t xml:space="preserve"> </w:t>
          </w:r>
          <w:r w:rsidRPr="00D6351E">
            <w:rPr>
              <w:rFonts w:ascii="Arial" w:hAnsi="Arial" w:cs="Arial"/>
              <w:noProof/>
              <w:sz w:val="22"/>
              <w:szCs w:val="22"/>
              <w:lang w:eastAsia="en-US"/>
            </w:rPr>
            <w:t>[5]</w:t>
          </w:r>
          <w:r>
            <w:rPr>
              <w:rFonts w:ascii="Arial" w:hAnsi="Arial" w:cs="Arial"/>
              <w:sz w:val="22"/>
              <w:szCs w:val="22"/>
              <w:lang w:eastAsia="en-US"/>
            </w:rPr>
            <w:fldChar w:fldCharType="end"/>
          </w:r>
        </w:sdtContent>
      </w:sdt>
      <w:r>
        <w:rPr>
          <w:rFonts w:ascii="Arial" w:hAnsi="Arial" w:cs="Arial"/>
          <w:sz w:val="22"/>
          <w:szCs w:val="22"/>
          <w:lang w:eastAsia="en-US"/>
        </w:rPr>
        <w:t xml:space="preserve">. </w:t>
      </w:r>
      <w:r w:rsidRPr="00D6351E">
        <w:rPr>
          <w:rFonts w:ascii="Arial" w:hAnsi="Arial" w:cs="Arial"/>
          <w:sz w:val="22"/>
          <w:szCs w:val="22"/>
          <w:lang w:eastAsia="en-US"/>
        </w:rPr>
        <w:t xml:space="preserve">These privileges are abused by malicious insiders to steal intellectual property, go past perimeter defences, purposefully alter control logic on </w:t>
      </w:r>
      <w:r w:rsidRPr="00D6351E">
        <w:rPr>
          <w:rFonts w:ascii="Arial" w:hAnsi="Arial" w:cs="Arial"/>
          <w:sz w:val="22"/>
          <w:szCs w:val="22"/>
          <w:lang w:eastAsia="en-US"/>
        </w:rPr>
        <w:lastRenderedPageBreak/>
        <w:t>programmable logic controllers that Dr automated machines</w:t>
      </w:r>
      <w:sdt>
        <w:sdtPr>
          <w:rPr>
            <w:rFonts w:ascii="Arial" w:hAnsi="Arial" w:cs="Arial"/>
            <w:sz w:val="22"/>
            <w:szCs w:val="22"/>
            <w:lang w:eastAsia="en-US"/>
          </w:rPr>
          <w:id w:val="1541322932"/>
          <w:citation/>
        </w:sdtPr>
        <w:sdtContent>
          <w:r w:rsidR="00DB3EE5">
            <w:rPr>
              <w:rFonts w:ascii="Arial" w:hAnsi="Arial" w:cs="Arial"/>
              <w:sz w:val="22"/>
              <w:szCs w:val="22"/>
              <w:lang w:eastAsia="en-US"/>
            </w:rPr>
            <w:fldChar w:fldCharType="begin"/>
          </w:r>
          <w:r w:rsidR="00DB3EE5">
            <w:rPr>
              <w:rFonts w:ascii="Arial" w:hAnsi="Arial" w:cs="Arial"/>
              <w:sz w:val="22"/>
              <w:szCs w:val="22"/>
              <w:lang w:eastAsia="en-US"/>
            </w:rPr>
            <w:instrText xml:space="preserve"> CITATION GAB25 \l 2057 </w:instrText>
          </w:r>
          <w:r w:rsidR="00DB3EE5">
            <w:rPr>
              <w:rFonts w:ascii="Arial" w:hAnsi="Arial" w:cs="Arial"/>
              <w:sz w:val="22"/>
              <w:szCs w:val="22"/>
              <w:lang w:eastAsia="en-US"/>
            </w:rPr>
            <w:fldChar w:fldCharType="separate"/>
          </w:r>
          <w:r w:rsidR="00DB3EE5">
            <w:rPr>
              <w:rFonts w:ascii="Arial" w:hAnsi="Arial" w:cs="Arial"/>
              <w:noProof/>
              <w:sz w:val="22"/>
              <w:szCs w:val="22"/>
              <w:lang w:eastAsia="en-US"/>
            </w:rPr>
            <w:t xml:space="preserve"> </w:t>
          </w:r>
          <w:r w:rsidR="00DB3EE5" w:rsidRPr="00DB3EE5">
            <w:rPr>
              <w:rFonts w:ascii="Arial" w:hAnsi="Arial" w:cs="Arial"/>
              <w:noProof/>
              <w:sz w:val="22"/>
              <w:szCs w:val="22"/>
              <w:lang w:eastAsia="en-US"/>
            </w:rPr>
            <w:t>[5]</w:t>
          </w:r>
          <w:r w:rsidR="00DB3EE5">
            <w:rPr>
              <w:rFonts w:ascii="Arial" w:hAnsi="Arial" w:cs="Arial"/>
              <w:sz w:val="22"/>
              <w:szCs w:val="22"/>
              <w:lang w:eastAsia="en-US"/>
            </w:rPr>
            <w:fldChar w:fldCharType="end"/>
          </w:r>
        </w:sdtContent>
      </w:sdt>
      <w:r w:rsidR="00DB3EE5">
        <w:rPr>
          <w:rFonts w:ascii="Arial" w:hAnsi="Arial" w:cs="Arial"/>
          <w:sz w:val="22"/>
          <w:szCs w:val="22"/>
          <w:lang w:eastAsia="en-US"/>
        </w:rPr>
        <w:t xml:space="preserve">. </w:t>
      </w:r>
      <w:r w:rsidR="00DB3EE5" w:rsidRPr="00DB3EE5">
        <w:rPr>
          <w:rFonts w:ascii="Arial" w:hAnsi="Arial" w:cs="Arial"/>
          <w:sz w:val="22"/>
          <w:szCs w:val="22"/>
          <w:lang w:eastAsia="en-US"/>
        </w:rPr>
        <w:t xml:space="preserve">Instead of using conventional signature based detection methods, specialised user behavioural analytics are needed to identify malicious behaviour because internal operations depend on </w:t>
      </w:r>
      <w:r w:rsidR="00DB3EE5">
        <w:rPr>
          <w:rFonts w:ascii="Arial" w:hAnsi="Arial" w:cs="Arial"/>
          <w:sz w:val="22"/>
          <w:szCs w:val="22"/>
          <w:lang w:eastAsia="en-US"/>
        </w:rPr>
        <w:t>authentic</w:t>
      </w:r>
      <w:r w:rsidR="00DB3EE5" w:rsidRPr="00DB3EE5">
        <w:rPr>
          <w:rFonts w:ascii="Arial" w:hAnsi="Arial" w:cs="Arial"/>
          <w:sz w:val="22"/>
          <w:szCs w:val="22"/>
          <w:lang w:eastAsia="en-US"/>
        </w:rPr>
        <w:t xml:space="preserve"> system credentials</w:t>
      </w:r>
      <w:r w:rsidR="00DB3EE5">
        <w:rPr>
          <w:rFonts w:ascii="Arial" w:hAnsi="Arial" w:cs="Arial"/>
          <w:sz w:val="22"/>
          <w:szCs w:val="22"/>
          <w:lang w:eastAsia="en-US"/>
        </w:rPr>
        <w:t>.</w:t>
      </w:r>
    </w:p>
    <w:p w14:paraId="7A3DFC15" w14:textId="77777777" w:rsidR="00DB3EE5" w:rsidRDefault="00DB3EE5" w:rsidP="00D6351E">
      <w:pPr>
        <w:jc w:val="both"/>
        <w:rPr>
          <w:rFonts w:ascii="Arial" w:hAnsi="Arial" w:cs="Arial"/>
          <w:sz w:val="22"/>
          <w:szCs w:val="22"/>
          <w:lang w:eastAsia="en-US"/>
        </w:rPr>
      </w:pPr>
    </w:p>
    <w:p w14:paraId="190815A4" w14:textId="2BD0198D" w:rsidR="00DB3EE5" w:rsidRDefault="00DB3EE5" w:rsidP="00D6351E">
      <w:pPr>
        <w:jc w:val="both"/>
        <w:rPr>
          <w:rFonts w:ascii="Arial" w:hAnsi="Arial" w:cs="Arial"/>
          <w:sz w:val="22"/>
          <w:szCs w:val="22"/>
          <w:lang w:eastAsia="en-US"/>
        </w:rPr>
      </w:pPr>
      <w:r w:rsidRPr="00DB3EE5">
        <w:rPr>
          <w:rFonts w:ascii="Arial" w:hAnsi="Arial" w:cs="Arial"/>
          <w:sz w:val="22"/>
          <w:szCs w:val="22"/>
          <w:lang w:eastAsia="en-US"/>
        </w:rPr>
        <w:t>Negligent Human Error and Unintentional Misconfigurations</w:t>
      </w:r>
      <w:r>
        <w:rPr>
          <w:rFonts w:ascii="Arial" w:hAnsi="Arial" w:cs="Arial"/>
          <w:sz w:val="22"/>
          <w:szCs w:val="22"/>
          <w:lang w:eastAsia="en-US"/>
        </w:rPr>
        <w:t>:</w:t>
      </w:r>
    </w:p>
    <w:p w14:paraId="31B8A507" w14:textId="2641E9DB" w:rsidR="00DB3EE5" w:rsidRDefault="00DB3EE5" w:rsidP="00D6351E">
      <w:pPr>
        <w:jc w:val="both"/>
        <w:rPr>
          <w:rFonts w:ascii="Arial" w:hAnsi="Arial" w:cs="Arial"/>
          <w:sz w:val="22"/>
          <w:szCs w:val="22"/>
          <w:lang w:eastAsia="en-US"/>
        </w:rPr>
      </w:pPr>
      <w:r w:rsidRPr="00DB3EE5">
        <w:rPr>
          <w:rFonts w:ascii="Arial" w:hAnsi="Arial" w:cs="Arial"/>
          <w:sz w:val="22"/>
          <w:szCs w:val="22"/>
          <w:lang w:eastAsia="en-US"/>
        </w:rPr>
        <w:t>A big percentage of operational security breaches in industrial settings are often caused by unintentional human errors</w:t>
      </w:r>
      <w:r>
        <w:rPr>
          <w:rFonts w:ascii="Arial" w:hAnsi="Arial" w:cs="Arial"/>
          <w:sz w:val="22"/>
          <w:szCs w:val="22"/>
          <w:lang w:eastAsia="en-US"/>
        </w:rPr>
        <w:t xml:space="preserve"> </w:t>
      </w:r>
      <w:sdt>
        <w:sdtPr>
          <w:rPr>
            <w:rFonts w:ascii="Arial" w:hAnsi="Arial" w:cs="Arial"/>
            <w:sz w:val="22"/>
            <w:szCs w:val="22"/>
            <w:lang w:eastAsia="en-US"/>
          </w:rPr>
          <w:id w:val="153187785"/>
          <w:citation/>
        </w:sdtPr>
        <w:sdtContent>
          <w:r>
            <w:rPr>
              <w:rFonts w:ascii="Arial" w:hAnsi="Arial" w:cs="Arial"/>
              <w:sz w:val="22"/>
              <w:szCs w:val="22"/>
              <w:lang w:eastAsia="en-US"/>
            </w:rPr>
            <w:fldChar w:fldCharType="begin"/>
          </w:r>
          <w:r>
            <w:rPr>
              <w:rFonts w:ascii="Arial" w:hAnsi="Arial" w:cs="Arial"/>
              <w:sz w:val="22"/>
              <w:szCs w:val="22"/>
              <w:lang w:eastAsia="en-US"/>
            </w:rPr>
            <w:instrText xml:space="preserve"> CITATION Bas21 \l 2057 </w:instrText>
          </w:r>
          <w:r>
            <w:rPr>
              <w:rFonts w:ascii="Arial" w:hAnsi="Arial" w:cs="Arial"/>
              <w:sz w:val="22"/>
              <w:szCs w:val="22"/>
              <w:lang w:eastAsia="en-US"/>
            </w:rPr>
            <w:fldChar w:fldCharType="separate"/>
          </w:r>
          <w:r w:rsidRPr="00DB3EE5">
            <w:rPr>
              <w:rFonts w:ascii="Arial" w:hAnsi="Arial" w:cs="Arial"/>
              <w:noProof/>
              <w:sz w:val="22"/>
              <w:szCs w:val="22"/>
              <w:lang w:eastAsia="en-US"/>
            </w:rPr>
            <w:t>[6]</w:t>
          </w:r>
          <w:r>
            <w:rPr>
              <w:rFonts w:ascii="Arial" w:hAnsi="Arial" w:cs="Arial"/>
              <w:sz w:val="22"/>
              <w:szCs w:val="22"/>
              <w:lang w:eastAsia="en-US"/>
            </w:rPr>
            <w:fldChar w:fldCharType="end"/>
          </w:r>
        </w:sdtContent>
      </w:sdt>
      <w:r>
        <w:rPr>
          <w:rFonts w:ascii="Arial" w:hAnsi="Arial" w:cs="Arial"/>
          <w:sz w:val="22"/>
          <w:szCs w:val="22"/>
          <w:lang w:eastAsia="en-US"/>
        </w:rPr>
        <w:t xml:space="preserve">. </w:t>
      </w:r>
      <w:r w:rsidRPr="00DB3EE5">
        <w:rPr>
          <w:rFonts w:ascii="Arial" w:hAnsi="Arial" w:cs="Arial"/>
          <w:sz w:val="22"/>
          <w:szCs w:val="22"/>
          <w:lang w:eastAsia="en-US"/>
        </w:rPr>
        <w:t>Staff members often introduced risks by connecting unauthorised personal devices or untested USB drives to production equipment, skipping firmware updates and failing to identify social engineering attempts</w:t>
      </w:r>
      <w:sdt>
        <w:sdtPr>
          <w:rPr>
            <w:rFonts w:ascii="Arial" w:hAnsi="Arial" w:cs="Arial"/>
            <w:sz w:val="22"/>
            <w:szCs w:val="22"/>
            <w:lang w:eastAsia="en-US"/>
          </w:rPr>
          <w:id w:val="-1974898592"/>
          <w:citation/>
        </w:sdtPr>
        <w:sdtContent>
          <w:r>
            <w:rPr>
              <w:rFonts w:ascii="Arial" w:hAnsi="Arial" w:cs="Arial"/>
              <w:sz w:val="22"/>
              <w:szCs w:val="22"/>
              <w:lang w:eastAsia="en-US"/>
            </w:rPr>
            <w:fldChar w:fldCharType="begin"/>
          </w:r>
          <w:r>
            <w:rPr>
              <w:rFonts w:ascii="Arial" w:hAnsi="Arial" w:cs="Arial"/>
              <w:sz w:val="22"/>
              <w:szCs w:val="22"/>
              <w:lang w:eastAsia="en-US"/>
            </w:rPr>
            <w:instrText xml:space="preserve"> CITATION Bas21 \l 2057 </w:instrText>
          </w:r>
          <w:r>
            <w:rPr>
              <w:rFonts w:ascii="Arial" w:hAnsi="Arial" w:cs="Arial"/>
              <w:sz w:val="22"/>
              <w:szCs w:val="22"/>
              <w:lang w:eastAsia="en-US"/>
            </w:rPr>
            <w:fldChar w:fldCharType="separate"/>
          </w:r>
          <w:r>
            <w:rPr>
              <w:rFonts w:ascii="Arial" w:hAnsi="Arial" w:cs="Arial"/>
              <w:noProof/>
              <w:sz w:val="22"/>
              <w:szCs w:val="22"/>
              <w:lang w:eastAsia="en-US"/>
            </w:rPr>
            <w:t xml:space="preserve"> </w:t>
          </w:r>
          <w:r w:rsidRPr="00DB3EE5">
            <w:rPr>
              <w:rFonts w:ascii="Arial" w:hAnsi="Arial" w:cs="Arial"/>
              <w:noProof/>
              <w:sz w:val="22"/>
              <w:szCs w:val="22"/>
              <w:lang w:eastAsia="en-US"/>
            </w:rPr>
            <w:t>[6]</w:t>
          </w:r>
          <w:r>
            <w:rPr>
              <w:rFonts w:ascii="Arial" w:hAnsi="Arial" w:cs="Arial"/>
              <w:sz w:val="22"/>
              <w:szCs w:val="22"/>
              <w:lang w:eastAsia="en-US"/>
            </w:rPr>
            <w:fldChar w:fldCharType="end"/>
          </w:r>
        </w:sdtContent>
      </w:sdt>
      <w:r>
        <w:rPr>
          <w:rFonts w:ascii="Arial" w:hAnsi="Arial" w:cs="Arial"/>
          <w:sz w:val="22"/>
          <w:szCs w:val="22"/>
          <w:lang w:eastAsia="en-US"/>
        </w:rPr>
        <w:t xml:space="preserve">. </w:t>
      </w:r>
      <w:r w:rsidRPr="00DB3EE5">
        <w:rPr>
          <w:rFonts w:ascii="Arial" w:hAnsi="Arial" w:cs="Arial"/>
          <w:sz w:val="22"/>
          <w:szCs w:val="22"/>
          <w:lang w:eastAsia="en-US"/>
        </w:rPr>
        <w:t>Furthermore, by deploying field</w:t>
      </w:r>
      <w:r>
        <w:rPr>
          <w:rFonts w:ascii="Arial" w:hAnsi="Arial" w:cs="Arial"/>
          <w:sz w:val="22"/>
          <w:szCs w:val="22"/>
          <w:lang w:eastAsia="en-US"/>
        </w:rPr>
        <w:t xml:space="preserve"> IoT</w:t>
      </w:r>
      <w:r w:rsidRPr="00DB3EE5">
        <w:rPr>
          <w:rFonts w:ascii="Arial" w:hAnsi="Arial" w:cs="Arial"/>
          <w:sz w:val="22"/>
          <w:szCs w:val="22"/>
          <w:lang w:eastAsia="en-US"/>
        </w:rPr>
        <w:t xml:space="preserve"> sensors with factory default credentials, leaving communication protocols unencrypted or misconfiguring firewall rules governing cloud to factory interfaces might create serious vulnerabilities during routine deployments</w:t>
      </w:r>
      <w:r>
        <w:rPr>
          <w:rFonts w:ascii="Arial" w:hAnsi="Arial" w:cs="Arial"/>
          <w:sz w:val="22"/>
          <w:szCs w:val="22"/>
          <w:lang w:eastAsia="en-US"/>
        </w:rPr>
        <w:t xml:space="preserve"> </w:t>
      </w:r>
      <w:sdt>
        <w:sdtPr>
          <w:rPr>
            <w:rFonts w:ascii="Arial" w:hAnsi="Arial" w:cs="Arial"/>
            <w:sz w:val="22"/>
            <w:szCs w:val="22"/>
            <w:lang w:eastAsia="en-US"/>
          </w:rPr>
          <w:id w:val="-1237933580"/>
          <w:citation/>
        </w:sdtPr>
        <w:sdtContent>
          <w:r>
            <w:rPr>
              <w:rFonts w:ascii="Arial" w:hAnsi="Arial" w:cs="Arial"/>
              <w:sz w:val="22"/>
              <w:szCs w:val="22"/>
              <w:lang w:eastAsia="en-US"/>
            </w:rPr>
            <w:fldChar w:fldCharType="begin"/>
          </w:r>
          <w:r>
            <w:rPr>
              <w:rFonts w:ascii="Arial" w:hAnsi="Arial" w:cs="Arial"/>
              <w:sz w:val="22"/>
              <w:szCs w:val="22"/>
              <w:lang w:eastAsia="en-US"/>
            </w:rPr>
            <w:instrText xml:space="preserve"> CITATION Sto23 \l 2057 </w:instrText>
          </w:r>
          <w:r>
            <w:rPr>
              <w:rFonts w:ascii="Arial" w:hAnsi="Arial" w:cs="Arial"/>
              <w:sz w:val="22"/>
              <w:szCs w:val="22"/>
              <w:lang w:eastAsia="en-US"/>
            </w:rPr>
            <w:fldChar w:fldCharType="separate"/>
          </w:r>
          <w:r w:rsidRPr="00DB3EE5">
            <w:rPr>
              <w:rFonts w:ascii="Arial" w:hAnsi="Arial" w:cs="Arial"/>
              <w:noProof/>
              <w:sz w:val="22"/>
              <w:szCs w:val="22"/>
              <w:lang w:eastAsia="en-US"/>
            </w:rPr>
            <w:t>[1]</w:t>
          </w:r>
          <w:r>
            <w:rPr>
              <w:rFonts w:ascii="Arial" w:hAnsi="Arial" w:cs="Arial"/>
              <w:sz w:val="22"/>
              <w:szCs w:val="22"/>
              <w:lang w:eastAsia="en-US"/>
            </w:rPr>
            <w:fldChar w:fldCharType="end"/>
          </w:r>
        </w:sdtContent>
      </w:sdt>
      <w:r>
        <w:rPr>
          <w:rFonts w:ascii="Arial" w:hAnsi="Arial" w:cs="Arial"/>
          <w:sz w:val="22"/>
          <w:szCs w:val="22"/>
          <w:lang w:eastAsia="en-US"/>
        </w:rPr>
        <w:t xml:space="preserve">. </w:t>
      </w:r>
    </w:p>
    <w:p w14:paraId="56FF8D97" w14:textId="77777777" w:rsidR="00A52416" w:rsidRDefault="00A52416" w:rsidP="00D6351E">
      <w:pPr>
        <w:jc w:val="both"/>
        <w:rPr>
          <w:rFonts w:ascii="Arial" w:hAnsi="Arial" w:cs="Arial"/>
          <w:sz w:val="22"/>
          <w:szCs w:val="22"/>
          <w:lang w:eastAsia="en-US"/>
        </w:rPr>
      </w:pPr>
    </w:p>
    <w:p w14:paraId="6A582924" w14:textId="695EA74B" w:rsidR="00A52416" w:rsidRDefault="00A52416" w:rsidP="00A52416">
      <w:pPr>
        <w:pStyle w:val="Heading1"/>
        <w:rPr>
          <w:rFonts w:ascii="Arial" w:hAnsi="Arial" w:cs="Arial"/>
          <w:b/>
          <w:bCs/>
          <w:sz w:val="28"/>
          <w:szCs w:val="28"/>
        </w:rPr>
      </w:pPr>
      <w:bookmarkStart w:id="5" w:name="_Toc235668535"/>
      <w:r w:rsidRPr="00A52416">
        <w:rPr>
          <w:rFonts w:ascii="Arial" w:hAnsi="Arial" w:cs="Arial"/>
          <w:b/>
          <w:bCs/>
          <w:sz w:val="28"/>
          <w:szCs w:val="28"/>
        </w:rPr>
        <w:t>Security and Data Governance Policies</w:t>
      </w:r>
      <w:bookmarkEnd w:id="5"/>
    </w:p>
    <w:p w14:paraId="272EB247" w14:textId="77777777" w:rsidR="00A52416" w:rsidRDefault="00A52416" w:rsidP="00A52416">
      <w:pPr>
        <w:rPr>
          <w:lang w:eastAsia="en-US"/>
        </w:rPr>
      </w:pPr>
    </w:p>
    <w:p w14:paraId="7A3E044C" w14:textId="74343920" w:rsidR="00A52416" w:rsidRDefault="00A52416" w:rsidP="00A52416">
      <w:pPr>
        <w:jc w:val="both"/>
        <w:rPr>
          <w:rFonts w:ascii="Arial" w:hAnsi="Arial" w:cs="Arial"/>
          <w:sz w:val="22"/>
          <w:szCs w:val="22"/>
          <w:lang w:eastAsia="en-US"/>
        </w:rPr>
      </w:pPr>
      <w:r w:rsidRPr="00A52416">
        <w:rPr>
          <w:rFonts w:ascii="Arial" w:hAnsi="Arial" w:cs="Arial"/>
          <w:sz w:val="22"/>
          <w:szCs w:val="22"/>
          <w:lang w:eastAsia="en-US"/>
        </w:rPr>
        <w:t>A strong governance framework is necessary to shield SFM from growing cyber threats. Structured control over the information technology and operation technology domains is ensured by aligning company security policies with established benchmarks, such as</w:t>
      </w:r>
      <w:r>
        <w:rPr>
          <w:rFonts w:ascii="Arial" w:hAnsi="Arial" w:cs="Arial"/>
          <w:sz w:val="22"/>
          <w:szCs w:val="22"/>
          <w:lang w:eastAsia="en-US"/>
        </w:rPr>
        <w:t xml:space="preserve"> </w:t>
      </w:r>
      <w:r w:rsidRPr="00A52416">
        <w:rPr>
          <w:rFonts w:ascii="Arial" w:hAnsi="Arial" w:cs="Arial"/>
          <w:sz w:val="22"/>
          <w:szCs w:val="22"/>
          <w:lang w:eastAsia="en-US"/>
        </w:rPr>
        <w:t>security policies with established benchmarks, such as ISO/IEC 27001, the NIST SP 800-207 Zero Trust Architecture, and IEC 62443 industrial control standards</w:t>
      </w:r>
      <w:r>
        <w:rPr>
          <w:rFonts w:ascii="Arial" w:hAnsi="Arial" w:cs="Arial"/>
          <w:sz w:val="22"/>
          <w:szCs w:val="22"/>
          <w:lang w:eastAsia="en-US"/>
        </w:rPr>
        <w:t xml:space="preserve"> </w:t>
      </w:r>
      <w:sdt>
        <w:sdtPr>
          <w:rPr>
            <w:rFonts w:ascii="Arial" w:hAnsi="Arial" w:cs="Arial"/>
            <w:sz w:val="22"/>
            <w:szCs w:val="22"/>
            <w:lang w:eastAsia="en-US"/>
          </w:rPr>
          <w:id w:val="2131662985"/>
          <w:citation/>
        </w:sdtPr>
        <w:sdtContent>
          <w:r>
            <w:rPr>
              <w:rFonts w:ascii="Arial" w:hAnsi="Arial" w:cs="Arial"/>
              <w:sz w:val="22"/>
              <w:szCs w:val="22"/>
              <w:lang w:eastAsia="en-US"/>
            </w:rPr>
            <w:fldChar w:fldCharType="begin"/>
          </w:r>
          <w:r>
            <w:rPr>
              <w:rFonts w:ascii="Arial" w:hAnsi="Arial" w:cs="Arial"/>
              <w:sz w:val="22"/>
              <w:szCs w:val="22"/>
              <w:lang w:eastAsia="en-US"/>
            </w:rPr>
            <w:instrText xml:space="preserve"> CITATION ISO22 \l 2057 </w:instrText>
          </w:r>
          <w:r>
            <w:rPr>
              <w:rFonts w:ascii="Arial" w:hAnsi="Arial" w:cs="Arial"/>
              <w:sz w:val="22"/>
              <w:szCs w:val="22"/>
              <w:lang w:eastAsia="en-US"/>
            </w:rPr>
            <w:fldChar w:fldCharType="separate"/>
          </w:r>
          <w:r w:rsidRPr="00A52416">
            <w:rPr>
              <w:rFonts w:ascii="Arial" w:hAnsi="Arial" w:cs="Arial"/>
              <w:noProof/>
              <w:sz w:val="22"/>
              <w:szCs w:val="22"/>
              <w:lang w:eastAsia="en-US"/>
            </w:rPr>
            <w:t>[7]</w:t>
          </w:r>
          <w:r>
            <w:rPr>
              <w:rFonts w:ascii="Arial" w:hAnsi="Arial" w:cs="Arial"/>
              <w:sz w:val="22"/>
              <w:szCs w:val="22"/>
              <w:lang w:eastAsia="en-US"/>
            </w:rPr>
            <w:fldChar w:fldCharType="end"/>
          </w:r>
        </w:sdtContent>
      </w:sdt>
      <w:r>
        <w:rPr>
          <w:rFonts w:ascii="Arial" w:hAnsi="Arial" w:cs="Arial"/>
          <w:sz w:val="22"/>
          <w:szCs w:val="22"/>
          <w:lang w:eastAsia="en-US"/>
        </w:rPr>
        <w:t xml:space="preserve">. </w:t>
      </w:r>
    </w:p>
    <w:p w14:paraId="2EBC5015" w14:textId="77777777" w:rsidR="00A52416" w:rsidRPr="00A52416" w:rsidRDefault="00A52416" w:rsidP="00A52416">
      <w:pPr>
        <w:pStyle w:val="Heading2"/>
        <w:rPr>
          <w:rFonts w:ascii="Arial" w:hAnsi="Arial" w:cs="Arial"/>
          <w:sz w:val="28"/>
          <w:szCs w:val="28"/>
        </w:rPr>
      </w:pPr>
    </w:p>
    <w:p w14:paraId="464034DD" w14:textId="7B52D824" w:rsidR="00A52416" w:rsidRDefault="00A52416" w:rsidP="00A52416">
      <w:pPr>
        <w:pStyle w:val="Heading2"/>
        <w:rPr>
          <w:rFonts w:ascii="Arial" w:hAnsi="Arial" w:cs="Arial"/>
          <w:b/>
          <w:bCs/>
          <w:sz w:val="28"/>
          <w:szCs w:val="28"/>
        </w:rPr>
      </w:pPr>
      <w:bookmarkStart w:id="6" w:name="_Toc235668536"/>
      <w:r w:rsidRPr="00A52416">
        <w:rPr>
          <w:rFonts w:ascii="Arial" w:hAnsi="Arial" w:cs="Arial"/>
          <w:b/>
          <w:bCs/>
          <w:sz w:val="28"/>
          <w:szCs w:val="28"/>
        </w:rPr>
        <w:t>Technical Security Policies</w:t>
      </w:r>
      <w:bookmarkEnd w:id="6"/>
      <w:r>
        <w:rPr>
          <w:rFonts w:ascii="Arial" w:hAnsi="Arial" w:cs="Arial"/>
          <w:b/>
          <w:bCs/>
          <w:sz w:val="28"/>
          <w:szCs w:val="28"/>
        </w:rPr>
        <w:t xml:space="preserve"> </w:t>
      </w:r>
    </w:p>
    <w:p w14:paraId="508A2D70" w14:textId="77777777" w:rsidR="00A52416" w:rsidRDefault="00A52416" w:rsidP="00A52416">
      <w:pPr>
        <w:rPr>
          <w:lang w:eastAsia="en-US"/>
        </w:rPr>
      </w:pPr>
    </w:p>
    <w:p w14:paraId="2F258A84" w14:textId="19BF029A" w:rsidR="00A52416" w:rsidRDefault="00A52416" w:rsidP="00A52416">
      <w:pPr>
        <w:rPr>
          <w:rFonts w:ascii="Arial" w:hAnsi="Arial" w:cs="Arial"/>
          <w:sz w:val="22"/>
          <w:szCs w:val="22"/>
          <w:lang w:eastAsia="en-US"/>
        </w:rPr>
      </w:pPr>
      <w:r w:rsidRPr="00A52416">
        <w:rPr>
          <w:rFonts w:ascii="Arial" w:hAnsi="Arial" w:cs="Arial"/>
          <w:sz w:val="22"/>
          <w:szCs w:val="22"/>
          <w:lang w:eastAsia="en-US"/>
        </w:rPr>
        <w:t>Access Control and Zero Trust Architecture</w:t>
      </w:r>
      <w:r>
        <w:rPr>
          <w:rFonts w:ascii="Arial" w:hAnsi="Arial" w:cs="Arial"/>
          <w:sz w:val="22"/>
          <w:szCs w:val="22"/>
          <w:lang w:eastAsia="en-US"/>
        </w:rPr>
        <w:t>:</w:t>
      </w:r>
    </w:p>
    <w:p w14:paraId="02F5DCEF" w14:textId="282F58B3" w:rsidR="00A52416" w:rsidRDefault="00A52416" w:rsidP="00512B01">
      <w:pPr>
        <w:jc w:val="both"/>
        <w:rPr>
          <w:rFonts w:ascii="Arial" w:hAnsi="Arial" w:cs="Arial"/>
          <w:sz w:val="22"/>
          <w:szCs w:val="22"/>
          <w:lang w:eastAsia="en-US"/>
        </w:rPr>
      </w:pPr>
      <w:r w:rsidRPr="00A52416">
        <w:rPr>
          <w:rFonts w:ascii="Arial" w:hAnsi="Arial" w:cs="Arial"/>
          <w:sz w:val="22"/>
          <w:szCs w:val="22"/>
          <w:lang w:eastAsia="en-US"/>
        </w:rPr>
        <w:t xml:space="preserve">SFM must apply strict logical access controls across all digital entry points. Access permissions must follow the rule of least privilege, giving employees only the minimal system rights necessary for </w:t>
      </w:r>
      <w:r w:rsidR="00512B01">
        <w:rPr>
          <w:rFonts w:ascii="Arial" w:hAnsi="Arial" w:cs="Arial"/>
          <w:sz w:val="22"/>
          <w:szCs w:val="22"/>
          <w:lang w:eastAsia="en-US"/>
        </w:rPr>
        <w:t xml:space="preserve">specific </w:t>
      </w:r>
      <w:r w:rsidR="00512B01" w:rsidRPr="00A52416">
        <w:rPr>
          <w:rFonts w:ascii="Arial" w:hAnsi="Arial" w:cs="Arial"/>
          <w:sz w:val="22"/>
          <w:szCs w:val="22"/>
          <w:lang w:eastAsia="en-US"/>
        </w:rPr>
        <w:t>operation</w:t>
      </w:r>
      <w:r w:rsidR="00512B01">
        <w:rPr>
          <w:rFonts w:ascii="Arial" w:hAnsi="Arial" w:cs="Arial"/>
          <w:sz w:val="22"/>
          <w:szCs w:val="22"/>
          <w:lang w:eastAsia="en-US"/>
        </w:rPr>
        <w:t>al</w:t>
      </w:r>
      <w:r w:rsidRPr="00A52416">
        <w:rPr>
          <w:rFonts w:ascii="Arial" w:hAnsi="Arial" w:cs="Arial"/>
          <w:sz w:val="22"/>
          <w:szCs w:val="22"/>
          <w:lang w:eastAsia="en-US"/>
        </w:rPr>
        <w:t xml:space="preserve"> tasks, in compliance with</w:t>
      </w:r>
      <w:r w:rsidR="00512B01">
        <w:rPr>
          <w:rFonts w:ascii="Arial" w:hAnsi="Arial" w:cs="Arial"/>
          <w:sz w:val="22"/>
          <w:szCs w:val="22"/>
          <w:lang w:eastAsia="en-US"/>
        </w:rPr>
        <w:t xml:space="preserve"> </w:t>
      </w:r>
      <w:r w:rsidR="00512B01" w:rsidRPr="00512B01">
        <w:rPr>
          <w:rFonts w:ascii="Arial" w:hAnsi="Arial" w:cs="Arial"/>
          <w:sz w:val="22"/>
          <w:szCs w:val="22"/>
          <w:lang w:eastAsia="en-US"/>
        </w:rPr>
        <w:t>ISO/IEC 27001 recommendations and NIST SP 800-207 Zero Trust principles.</w:t>
      </w:r>
      <w:r w:rsidR="00512B01">
        <w:rPr>
          <w:rFonts w:ascii="Arial" w:hAnsi="Arial" w:cs="Arial"/>
          <w:sz w:val="22"/>
          <w:szCs w:val="22"/>
          <w:lang w:eastAsia="en-US"/>
        </w:rPr>
        <w:t xml:space="preserve"> </w:t>
      </w:r>
      <w:r w:rsidR="00512B01" w:rsidRPr="00512B01">
        <w:rPr>
          <w:rFonts w:ascii="Arial" w:hAnsi="Arial" w:cs="Arial"/>
          <w:sz w:val="22"/>
          <w:szCs w:val="22"/>
          <w:lang w:eastAsia="en-US"/>
        </w:rPr>
        <w:t>Multi-</w:t>
      </w:r>
      <w:r w:rsidR="00512B01">
        <w:rPr>
          <w:rFonts w:ascii="Arial" w:hAnsi="Arial" w:cs="Arial"/>
          <w:sz w:val="22"/>
          <w:szCs w:val="22"/>
          <w:lang w:eastAsia="en-US"/>
        </w:rPr>
        <w:t>F</w:t>
      </w:r>
      <w:r w:rsidR="00512B01" w:rsidRPr="00512B01">
        <w:rPr>
          <w:rFonts w:ascii="Arial" w:hAnsi="Arial" w:cs="Arial"/>
          <w:sz w:val="22"/>
          <w:szCs w:val="22"/>
          <w:lang w:eastAsia="en-US"/>
        </w:rPr>
        <w:t xml:space="preserve">actor </w:t>
      </w:r>
      <w:r w:rsidR="00512B01">
        <w:rPr>
          <w:rFonts w:ascii="Arial" w:hAnsi="Arial" w:cs="Arial"/>
          <w:sz w:val="22"/>
          <w:szCs w:val="22"/>
          <w:lang w:eastAsia="en-US"/>
        </w:rPr>
        <w:t>A</w:t>
      </w:r>
      <w:r w:rsidR="00512B01" w:rsidRPr="00512B01">
        <w:rPr>
          <w:rFonts w:ascii="Arial" w:hAnsi="Arial" w:cs="Arial"/>
          <w:sz w:val="22"/>
          <w:szCs w:val="22"/>
          <w:lang w:eastAsia="en-US"/>
        </w:rPr>
        <w:t>uthentication</w:t>
      </w:r>
      <w:r w:rsidR="00512B01">
        <w:rPr>
          <w:rFonts w:ascii="Arial" w:hAnsi="Arial" w:cs="Arial"/>
          <w:sz w:val="22"/>
          <w:szCs w:val="22"/>
          <w:lang w:eastAsia="en-US"/>
        </w:rPr>
        <w:t xml:space="preserve"> (MFA) </w:t>
      </w:r>
      <w:r w:rsidR="00512B01" w:rsidRPr="00512B01">
        <w:rPr>
          <w:rFonts w:ascii="Arial" w:hAnsi="Arial" w:cs="Arial"/>
          <w:sz w:val="22"/>
          <w:szCs w:val="22"/>
          <w:lang w:eastAsia="en-US"/>
        </w:rPr>
        <w:t xml:space="preserve">With the use of </w:t>
      </w:r>
      <w:proofErr w:type="gramStart"/>
      <w:r w:rsidR="00512B01" w:rsidRPr="00512B01">
        <w:rPr>
          <w:rFonts w:ascii="Arial" w:hAnsi="Arial" w:cs="Arial"/>
          <w:sz w:val="22"/>
          <w:szCs w:val="22"/>
          <w:lang w:eastAsia="en-US"/>
        </w:rPr>
        <w:t>time based</w:t>
      </w:r>
      <w:proofErr w:type="gramEnd"/>
      <w:r w:rsidR="00512B01" w:rsidRPr="00512B01">
        <w:rPr>
          <w:rFonts w:ascii="Arial" w:hAnsi="Arial" w:cs="Arial"/>
          <w:sz w:val="22"/>
          <w:szCs w:val="22"/>
          <w:lang w:eastAsia="en-US"/>
        </w:rPr>
        <w:t xml:space="preserve"> hardware tokens </w:t>
      </w:r>
      <w:r w:rsidR="00273BFA" w:rsidRPr="00512B01">
        <w:rPr>
          <w:rFonts w:ascii="Arial" w:hAnsi="Arial" w:cs="Arial"/>
          <w:sz w:val="22"/>
          <w:szCs w:val="22"/>
          <w:lang w:eastAsia="en-US"/>
        </w:rPr>
        <w:t>are</w:t>
      </w:r>
      <w:r w:rsidR="00512B01" w:rsidRPr="00512B01">
        <w:rPr>
          <w:rFonts w:ascii="Arial" w:hAnsi="Arial" w:cs="Arial"/>
          <w:sz w:val="22"/>
          <w:szCs w:val="22"/>
          <w:lang w:eastAsia="en-US"/>
        </w:rPr>
        <w:t xml:space="preserve"> required for all administrative loggings, remote vendor maintenance portals and cloud production management interfaces. By enforcing continuous identity validation, device cheques and session level authorisation </w:t>
      </w:r>
      <w:r w:rsidR="00512B01">
        <w:rPr>
          <w:rFonts w:ascii="Arial" w:hAnsi="Arial" w:cs="Arial"/>
          <w:sz w:val="22"/>
          <w:szCs w:val="22"/>
          <w:lang w:eastAsia="en-US"/>
        </w:rPr>
        <w:t>to</w:t>
      </w:r>
      <w:r w:rsidR="00512B01" w:rsidRPr="00512B01">
        <w:rPr>
          <w:rFonts w:ascii="Arial" w:hAnsi="Arial" w:cs="Arial"/>
          <w:sz w:val="22"/>
          <w:szCs w:val="22"/>
          <w:lang w:eastAsia="en-US"/>
        </w:rPr>
        <w:t xml:space="preserve"> allowing access to crucial manufacturing assets, zero trust architecture eliminates implicit trust based on network location</w:t>
      </w:r>
      <w:sdt>
        <w:sdtPr>
          <w:rPr>
            <w:rFonts w:ascii="Arial" w:hAnsi="Arial" w:cs="Arial"/>
            <w:sz w:val="22"/>
            <w:szCs w:val="22"/>
            <w:lang w:eastAsia="en-US"/>
          </w:rPr>
          <w:id w:val="562220058"/>
          <w:citation/>
        </w:sdtPr>
        <w:sdtContent>
          <w:r w:rsidR="00512B01">
            <w:rPr>
              <w:rFonts w:ascii="Arial" w:hAnsi="Arial" w:cs="Arial"/>
              <w:sz w:val="22"/>
              <w:szCs w:val="22"/>
              <w:lang w:eastAsia="en-US"/>
            </w:rPr>
            <w:fldChar w:fldCharType="begin"/>
          </w:r>
          <w:r w:rsidR="00512B01">
            <w:rPr>
              <w:rFonts w:ascii="Arial" w:hAnsi="Arial" w:cs="Arial"/>
              <w:sz w:val="22"/>
              <w:szCs w:val="22"/>
              <w:lang w:eastAsia="en-US"/>
            </w:rPr>
            <w:instrText xml:space="preserve"> CITATION Ros20 \l 2057 </w:instrText>
          </w:r>
          <w:r w:rsidR="00512B01">
            <w:rPr>
              <w:rFonts w:ascii="Arial" w:hAnsi="Arial" w:cs="Arial"/>
              <w:sz w:val="22"/>
              <w:szCs w:val="22"/>
              <w:lang w:eastAsia="en-US"/>
            </w:rPr>
            <w:fldChar w:fldCharType="separate"/>
          </w:r>
          <w:r w:rsidR="00512B01">
            <w:rPr>
              <w:rFonts w:ascii="Arial" w:hAnsi="Arial" w:cs="Arial"/>
              <w:noProof/>
              <w:sz w:val="22"/>
              <w:szCs w:val="22"/>
              <w:lang w:eastAsia="en-US"/>
            </w:rPr>
            <w:t xml:space="preserve"> </w:t>
          </w:r>
          <w:r w:rsidR="00512B01" w:rsidRPr="00512B01">
            <w:rPr>
              <w:rFonts w:ascii="Arial" w:hAnsi="Arial" w:cs="Arial"/>
              <w:noProof/>
              <w:sz w:val="22"/>
              <w:szCs w:val="22"/>
              <w:lang w:eastAsia="en-US"/>
            </w:rPr>
            <w:t>[8]</w:t>
          </w:r>
          <w:r w:rsidR="00512B01">
            <w:rPr>
              <w:rFonts w:ascii="Arial" w:hAnsi="Arial" w:cs="Arial"/>
              <w:sz w:val="22"/>
              <w:szCs w:val="22"/>
              <w:lang w:eastAsia="en-US"/>
            </w:rPr>
            <w:fldChar w:fldCharType="end"/>
          </w:r>
        </w:sdtContent>
      </w:sdt>
      <w:r w:rsidR="00512B01">
        <w:rPr>
          <w:rFonts w:ascii="Arial" w:hAnsi="Arial" w:cs="Arial"/>
          <w:sz w:val="22"/>
          <w:szCs w:val="22"/>
          <w:lang w:eastAsia="en-US"/>
        </w:rPr>
        <w:t>.</w:t>
      </w:r>
    </w:p>
    <w:p w14:paraId="41EF9132" w14:textId="77777777" w:rsidR="00512B01" w:rsidRDefault="00512B01" w:rsidP="00512B01">
      <w:pPr>
        <w:jc w:val="both"/>
        <w:rPr>
          <w:rFonts w:ascii="Arial" w:hAnsi="Arial" w:cs="Arial"/>
          <w:sz w:val="22"/>
          <w:szCs w:val="22"/>
          <w:lang w:eastAsia="en-US"/>
        </w:rPr>
      </w:pPr>
    </w:p>
    <w:p w14:paraId="48D56655" w14:textId="50E2B60C" w:rsidR="00512B01" w:rsidRDefault="00512B01" w:rsidP="00512B01">
      <w:pPr>
        <w:jc w:val="both"/>
        <w:rPr>
          <w:rFonts w:ascii="Arial" w:hAnsi="Arial" w:cs="Arial"/>
          <w:sz w:val="22"/>
          <w:szCs w:val="22"/>
          <w:lang w:eastAsia="en-US"/>
        </w:rPr>
      </w:pPr>
      <w:r w:rsidRPr="00512B01">
        <w:rPr>
          <w:rFonts w:ascii="Arial" w:hAnsi="Arial" w:cs="Arial"/>
          <w:sz w:val="22"/>
          <w:szCs w:val="22"/>
          <w:lang w:eastAsia="en-US"/>
        </w:rPr>
        <w:t>Network Micro</w:t>
      </w:r>
      <w:r>
        <w:rPr>
          <w:rFonts w:ascii="Arial" w:hAnsi="Arial" w:cs="Arial"/>
          <w:sz w:val="22"/>
          <w:szCs w:val="22"/>
          <w:lang w:eastAsia="en-US"/>
        </w:rPr>
        <w:t>-</w:t>
      </w:r>
      <w:r w:rsidRPr="00512B01">
        <w:rPr>
          <w:rFonts w:ascii="Arial" w:hAnsi="Arial" w:cs="Arial"/>
          <w:sz w:val="22"/>
          <w:szCs w:val="22"/>
          <w:lang w:eastAsia="en-US"/>
        </w:rPr>
        <w:t>segmentation and OT Isolation</w:t>
      </w:r>
      <w:r>
        <w:rPr>
          <w:rFonts w:ascii="Arial" w:hAnsi="Arial" w:cs="Arial"/>
          <w:sz w:val="22"/>
          <w:szCs w:val="22"/>
          <w:lang w:eastAsia="en-US"/>
        </w:rPr>
        <w:t xml:space="preserve">: </w:t>
      </w:r>
    </w:p>
    <w:p w14:paraId="4006EC7F" w14:textId="33A4958D" w:rsidR="00512B01" w:rsidRDefault="00512B01" w:rsidP="00512B01">
      <w:pPr>
        <w:jc w:val="both"/>
        <w:rPr>
          <w:rFonts w:ascii="Arial" w:hAnsi="Arial" w:cs="Arial"/>
          <w:sz w:val="22"/>
          <w:szCs w:val="22"/>
          <w:lang w:eastAsia="en-US"/>
        </w:rPr>
      </w:pPr>
      <w:r w:rsidRPr="00512B01">
        <w:rPr>
          <w:rFonts w:ascii="Arial" w:hAnsi="Arial" w:cs="Arial"/>
          <w:sz w:val="22"/>
          <w:szCs w:val="22"/>
          <w:lang w:eastAsia="en-US"/>
        </w:rPr>
        <w:t>Using shop floor</w:t>
      </w:r>
      <w:r>
        <w:rPr>
          <w:rFonts w:ascii="Arial" w:hAnsi="Arial" w:cs="Arial"/>
          <w:sz w:val="22"/>
          <w:szCs w:val="22"/>
          <w:lang w:eastAsia="en-US"/>
        </w:rPr>
        <w:t xml:space="preserve"> IoT</w:t>
      </w:r>
      <w:r w:rsidRPr="00512B01">
        <w:rPr>
          <w:rFonts w:ascii="Arial" w:hAnsi="Arial" w:cs="Arial"/>
          <w:sz w:val="22"/>
          <w:szCs w:val="22"/>
          <w:lang w:eastAsia="en-US"/>
        </w:rPr>
        <w:t xml:space="preserve"> sensors with cloud platforms are at risk to cross domain attack vectors that must be isolated. In alignment with</w:t>
      </w:r>
      <w:r w:rsidRPr="00512B01">
        <w:rPr>
          <w:rFonts w:ascii="Arial" w:hAnsi="Arial" w:cs="Arial"/>
          <w:sz w:val="22"/>
          <w:szCs w:val="22"/>
          <w:lang w:eastAsia="en-US"/>
        </w:rPr>
        <w:t xml:space="preserve"> IEC 62443-3-2</w:t>
      </w:r>
      <w:r w:rsidRPr="00512B01">
        <w:rPr>
          <w:rFonts w:ascii="Arial" w:hAnsi="Arial" w:cs="Arial"/>
          <w:sz w:val="22"/>
          <w:szCs w:val="22"/>
          <w:lang w:eastAsia="en-US"/>
        </w:rPr>
        <w:t xml:space="preserve"> Standard for industrial automation, </w:t>
      </w:r>
      <w:r w:rsidRPr="00512B01">
        <w:rPr>
          <w:rFonts w:ascii="Arial" w:hAnsi="Arial" w:cs="Arial"/>
          <w:sz w:val="22"/>
          <w:szCs w:val="22"/>
          <w:lang w:eastAsia="en-US"/>
        </w:rPr>
        <w:lastRenderedPageBreak/>
        <w:t>SFM integrate micro segmentation to partition the network into distinct security zones</w:t>
      </w:r>
      <w:sdt>
        <w:sdtPr>
          <w:rPr>
            <w:rFonts w:ascii="Arial" w:hAnsi="Arial" w:cs="Arial"/>
            <w:sz w:val="22"/>
            <w:szCs w:val="22"/>
            <w:lang w:eastAsia="en-US"/>
          </w:rPr>
          <w:id w:val="1396474278"/>
          <w:citation/>
        </w:sdtPr>
        <w:sdtContent>
          <w:r>
            <w:rPr>
              <w:rFonts w:ascii="Arial" w:hAnsi="Arial" w:cs="Arial"/>
              <w:sz w:val="22"/>
              <w:szCs w:val="22"/>
              <w:lang w:eastAsia="en-US"/>
            </w:rPr>
            <w:fldChar w:fldCharType="begin"/>
          </w:r>
          <w:r>
            <w:rPr>
              <w:rFonts w:ascii="Arial" w:hAnsi="Arial" w:cs="Arial"/>
              <w:sz w:val="22"/>
              <w:szCs w:val="22"/>
              <w:lang w:eastAsia="en-US"/>
            </w:rPr>
            <w:instrText xml:space="preserve"> CITATION Eli25 \l 2057 </w:instrText>
          </w:r>
          <w:r>
            <w:rPr>
              <w:rFonts w:ascii="Arial" w:hAnsi="Arial" w:cs="Arial"/>
              <w:sz w:val="22"/>
              <w:szCs w:val="22"/>
              <w:lang w:eastAsia="en-US"/>
            </w:rPr>
            <w:fldChar w:fldCharType="separate"/>
          </w:r>
          <w:r>
            <w:rPr>
              <w:rFonts w:ascii="Arial" w:hAnsi="Arial" w:cs="Arial"/>
              <w:noProof/>
              <w:sz w:val="22"/>
              <w:szCs w:val="22"/>
              <w:lang w:eastAsia="en-US"/>
            </w:rPr>
            <w:t xml:space="preserve"> </w:t>
          </w:r>
          <w:r w:rsidRPr="00512B01">
            <w:rPr>
              <w:rFonts w:ascii="Arial" w:hAnsi="Arial" w:cs="Arial"/>
              <w:noProof/>
              <w:sz w:val="22"/>
              <w:szCs w:val="22"/>
              <w:lang w:eastAsia="en-US"/>
            </w:rPr>
            <w:t>[9]</w:t>
          </w:r>
          <w:r>
            <w:rPr>
              <w:rFonts w:ascii="Arial" w:hAnsi="Arial" w:cs="Arial"/>
              <w:sz w:val="22"/>
              <w:szCs w:val="22"/>
              <w:lang w:eastAsia="en-US"/>
            </w:rPr>
            <w:fldChar w:fldCharType="end"/>
          </w:r>
        </w:sdtContent>
      </w:sdt>
      <w:r>
        <w:rPr>
          <w:rFonts w:ascii="Arial" w:hAnsi="Arial" w:cs="Arial"/>
          <w:sz w:val="22"/>
          <w:szCs w:val="22"/>
          <w:lang w:eastAsia="en-US"/>
        </w:rPr>
        <w:t xml:space="preserve">. </w:t>
      </w:r>
      <w:r w:rsidRPr="00512B01">
        <w:rPr>
          <w:rFonts w:ascii="Arial" w:hAnsi="Arial" w:cs="Arial"/>
          <w:sz w:val="22"/>
          <w:szCs w:val="22"/>
          <w:lang w:eastAsia="en-US"/>
        </w:rPr>
        <w:t xml:space="preserve">Industrial firewalls with </w:t>
      </w:r>
      <w:r>
        <w:rPr>
          <w:rFonts w:ascii="Arial" w:hAnsi="Arial" w:cs="Arial"/>
          <w:sz w:val="22"/>
          <w:szCs w:val="22"/>
          <w:lang w:eastAsia="en-US"/>
        </w:rPr>
        <w:t>D</w:t>
      </w:r>
      <w:r w:rsidRPr="00512B01">
        <w:rPr>
          <w:rFonts w:ascii="Arial" w:hAnsi="Arial" w:cs="Arial"/>
          <w:sz w:val="22"/>
          <w:szCs w:val="22"/>
          <w:lang w:eastAsia="en-US"/>
        </w:rPr>
        <w:t>eep</w:t>
      </w:r>
      <w:r>
        <w:rPr>
          <w:rFonts w:ascii="Arial" w:hAnsi="Arial" w:cs="Arial"/>
          <w:sz w:val="22"/>
          <w:szCs w:val="22"/>
          <w:lang w:eastAsia="en-US"/>
        </w:rPr>
        <w:t xml:space="preserve"> P</w:t>
      </w:r>
      <w:r w:rsidRPr="00512B01">
        <w:rPr>
          <w:rFonts w:ascii="Arial" w:hAnsi="Arial" w:cs="Arial"/>
          <w:sz w:val="22"/>
          <w:szCs w:val="22"/>
          <w:lang w:eastAsia="en-US"/>
        </w:rPr>
        <w:t xml:space="preserve">acket </w:t>
      </w:r>
      <w:r>
        <w:rPr>
          <w:rFonts w:ascii="Arial" w:hAnsi="Arial" w:cs="Arial"/>
          <w:sz w:val="22"/>
          <w:szCs w:val="22"/>
          <w:lang w:eastAsia="en-US"/>
        </w:rPr>
        <w:t>I</w:t>
      </w:r>
      <w:r w:rsidRPr="00512B01">
        <w:rPr>
          <w:rFonts w:ascii="Arial" w:hAnsi="Arial" w:cs="Arial"/>
          <w:sz w:val="22"/>
          <w:szCs w:val="22"/>
          <w:lang w:eastAsia="en-US"/>
        </w:rPr>
        <w:t>nspection</w:t>
      </w:r>
      <w:r>
        <w:rPr>
          <w:rFonts w:ascii="Arial" w:hAnsi="Arial" w:cs="Arial"/>
          <w:sz w:val="22"/>
          <w:szCs w:val="22"/>
          <w:lang w:eastAsia="en-US"/>
        </w:rPr>
        <w:t xml:space="preserve"> (DPI) </w:t>
      </w:r>
      <w:r w:rsidRPr="00512B01">
        <w:rPr>
          <w:rFonts w:ascii="Arial" w:hAnsi="Arial" w:cs="Arial"/>
          <w:sz w:val="22"/>
          <w:szCs w:val="22"/>
          <w:lang w:eastAsia="en-US"/>
        </w:rPr>
        <w:t>Must enforce traffic policies between enterprise IT subnets, cloud production databases and physical shop floor machinery.</w:t>
      </w:r>
      <w:r w:rsidR="009470BE" w:rsidRPr="009470BE">
        <w:rPr>
          <w:rFonts w:ascii="Arial" w:hAnsi="Arial" w:cs="Arial"/>
          <w:sz w:val="22"/>
          <w:szCs w:val="22"/>
          <w:lang w:eastAsia="en-US"/>
        </w:rPr>
        <w:t xml:space="preserve"> Malware cannot</w:t>
      </w:r>
      <w:r w:rsidR="009470BE">
        <w:rPr>
          <w:rFonts w:ascii="Arial" w:hAnsi="Arial" w:cs="Arial"/>
          <w:sz w:val="22"/>
          <w:szCs w:val="22"/>
          <w:lang w:eastAsia="en-US"/>
        </w:rPr>
        <w:t xml:space="preserve"> </w:t>
      </w:r>
      <w:r w:rsidR="009470BE" w:rsidRPr="009470BE">
        <w:rPr>
          <w:rFonts w:ascii="Arial" w:hAnsi="Arial" w:cs="Arial"/>
          <w:sz w:val="22"/>
          <w:szCs w:val="22"/>
          <w:lang w:eastAsia="en-US"/>
        </w:rPr>
        <w:t xml:space="preserve">Spread laterally because direct, unverified contact between the physical </w:t>
      </w:r>
      <w:r w:rsidR="009470BE">
        <w:rPr>
          <w:rFonts w:ascii="Arial" w:hAnsi="Arial" w:cs="Arial"/>
          <w:sz w:val="22"/>
          <w:szCs w:val="22"/>
          <w:lang w:eastAsia="en-US"/>
        </w:rPr>
        <w:t>P</w:t>
      </w:r>
      <w:r w:rsidR="009470BE" w:rsidRPr="009470BE">
        <w:rPr>
          <w:rFonts w:ascii="Arial" w:hAnsi="Arial" w:cs="Arial"/>
          <w:sz w:val="22"/>
          <w:szCs w:val="22"/>
          <w:lang w:eastAsia="en-US"/>
        </w:rPr>
        <w:t xml:space="preserve">rogrammable </w:t>
      </w:r>
      <w:r w:rsidR="009470BE">
        <w:rPr>
          <w:rFonts w:ascii="Arial" w:hAnsi="Arial" w:cs="Arial"/>
          <w:sz w:val="22"/>
          <w:szCs w:val="22"/>
          <w:lang w:eastAsia="en-US"/>
        </w:rPr>
        <w:t>L</w:t>
      </w:r>
      <w:r w:rsidR="009470BE" w:rsidRPr="009470BE">
        <w:rPr>
          <w:rFonts w:ascii="Arial" w:hAnsi="Arial" w:cs="Arial"/>
          <w:sz w:val="22"/>
          <w:szCs w:val="22"/>
          <w:lang w:eastAsia="en-US"/>
        </w:rPr>
        <w:t xml:space="preserve">ogic </w:t>
      </w:r>
      <w:r w:rsidR="009470BE">
        <w:rPr>
          <w:rFonts w:ascii="Arial" w:hAnsi="Arial" w:cs="Arial"/>
          <w:sz w:val="22"/>
          <w:szCs w:val="22"/>
          <w:lang w:eastAsia="en-US"/>
        </w:rPr>
        <w:t>C</w:t>
      </w:r>
      <w:r w:rsidR="009470BE" w:rsidRPr="009470BE">
        <w:rPr>
          <w:rFonts w:ascii="Arial" w:hAnsi="Arial" w:cs="Arial"/>
          <w:sz w:val="22"/>
          <w:szCs w:val="22"/>
          <w:lang w:eastAsia="en-US"/>
        </w:rPr>
        <w:t xml:space="preserve">ontrollers </w:t>
      </w:r>
      <w:r w:rsidR="009470BE">
        <w:rPr>
          <w:rFonts w:ascii="Arial" w:hAnsi="Arial" w:cs="Arial"/>
          <w:sz w:val="22"/>
          <w:szCs w:val="22"/>
          <w:lang w:eastAsia="en-US"/>
        </w:rPr>
        <w:t>(</w:t>
      </w:r>
      <w:r w:rsidR="009470BE" w:rsidRPr="009470BE">
        <w:rPr>
          <w:rFonts w:ascii="Arial" w:hAnsi="Arial" w:cs="Arial"/>
          <w:sz w:val="22"/>
          <w:szCs w:val="22"/>
          <w:lang w:eastAsia="en-US"/>
        </w:rPr>
        <w:t>PLC</w:t>
      </w:r>
      <w:r w:rsidR="009470BE">
        <w:rPr>
          <w:rFonts w:ascii="Arial" w:hAnsi="Arial" w:cs="Arial"/>
          <w:sz w:val="22"/>
          <w:szCs w:val="22"/>
          <w:lang w:eastAsia="en-US"/>
        </w:rPr>
        <w:t xml:space="preserve">s) </w:t>
      </w:r>
      <w:r w:rsidR="009470BE" w:rsidRPr="009470BE">
        <w:rPr>
          <w:rFonts w:ascii="Arial" w:hAnsi="Arial" w:cs="Arial"/>
          <w:sz w:val="22"/>
          <w:szCs w:val="22"/>
          <w:lang w:eastAsia="en-US"/>
        </w:rPr>
        <w:t>And ordinary corporate network</w:t>
      </w:r>
      <w:r w:rsidR="009470BE">
        <w:rPr>
          <w:rFonts w:ascii="Arial" w:hAnsi="Arial" w:cs="Arial"/>
          <w:sz w:val="22"/>
          <w:szCs w:val="22"/>
          <w:lang w:eastAsia="en-US"/>
        </w:rPr>
        <w:t>s</w:t>
      </w:r>
      <w:r w:rsidR="009470BE" w:rsidRPr="009470BE">
        <w:rPr>
          <w:rFonts w:ascii="Arial" w:hAnsi="Arial" w:cs="Arial"/>
          <w:sz w:val="22"/>
          <w:szCs w:val="22"/>
          <w:lang w:eastAsia="en-US"/>
        </w:rPr>
        <w:t xml:space="preserve"> is </w:t>
      </w:r>
      <w:r w:rsidR="009470BE">
        <w:rPr>
          <w:rFonts w:ascii="Arial" w:hAnsi="Arial" w:cs="Arial"/>
          <w:sz w:val="22"/>
          <w:szCs w:val="22"/>
          <w:lang w:eastAsia="en-US"/>
        </w:rPr>
        <w:t xml:space="preserve">prohibited. </w:t>
      </w:r>
    </w:p>
    <w:p w14:paraId="386AFFF0" w14:textId="77777777" w:rsidR="009470BE" w:rsidRPr="009470BE" w:rsidRDefault="009470BE" w:rsidP="00512B01">
      <w:pPr>
        <w:jc w:val="both"/>
        <w:rPr>
          <w:rFonts w:ascii="Arial" w:hAnsi="Arial" w:cs="Arial"/>
          <w:b/>
          <w:bCs/>
          <w:sz w:val="28"/>
          <w:szCs w:val="28"/>
          <w:lang w:eastAsia="en-US"/>
        </w:rPr>
      </w:pPr>
    </w:p>
    <w:p w14:paraId="43E75B4E" w14:textId="4322312E" w:rsidR="009470BE" w:rsidRPr="009470BE" w:rsidRDefault="009470BE" w:rsidP="009470BE">
      <w:pPr>
        <w:pStyle w:val="Heading2"/>
        <w:rPr>
          <w:rFonts w:ascii="Arial" w:hAnsi="Arial" w:cs="Arial"/>
          <w:b/>
          <w:bCs/>
          <w:sz w:val="28"/>
          <w:szCs w:val="28"/>
        </w:rPr>
      </w:pPr>
      <w:bookmarkStart w:id="7" w:name="_Toc235668537"/>
      <w:r w:rsidRPr="009470BE">
        <w:rPr>
          <w:rFonts w:ascii="Arial" w:hAnsi="Arial" w:cs="Arial"/>
          <w:b/>
          <w:bCs/>
          <w:sz w:val="28"/>
          <w:szCs w:val="28"/>
        </w:rPr>
        <w:t>Governance and Compliance Policies</w:t>
      </w:r>
      <w:bookmarkEnd w:id="7"/>
    </w:p>
    <w:p w14:paraId="441F2ECA" w14:textId="77777777" w:rsidR="00A52416" w:rsidRDefault="00A52416" w:rsidP="00A52416">
      <w:pPr>
        <w:rPr>
          <w:lang w:eastAsia="en-US"/>
        </w:rPr>
      </w:pPr>
    </w:p>
    <w:p w14:paraId="446D44E2" w14:textId="7EC898D6" w:rsidR="009470BE" w:rsidRDefault="009470BE" w:rsidP="009470BE">
      <w:pPr>
        <w:jc w:val="both"/>
        <w:rPr>
          <w:rFonts w:ascii="Arial" w:hAnsi="Arial" w:cs="Arial"/>
          <w:sz w:val="22"/>
          <w:szCs w:val="22"/>
          <w:lang w:eastAsia="en-US"/>
        </w:rPr>
      </w:pPr>
      <w:r w:rsidRPr="009470BE">
        <w:rPr>
          <w:rFonts w:ascii="Arial" w:hAnsi="Arial" w:cs="Arial"/>
          <w:sz w:val="22"/>
          <w:szCs w:val="22"/>
          <w:lang w:eastAsia="en-US"/>
        </w:rPr>
        <w:t>Data Governance, Encryption, and GDPR Compliance</w:t>
      </w:r>
      <w:r>
        <w:rPr>
          <w:rFonts w:ascii="Arial" w:hAnsi="Arial" w:cs="Arial"/>
          <w:sz w:val="22"/>
          <w:szCs w:val="22"/>
          <w:lang w:eastAsia="en-US"/>
        </w:rPr>
        <w:t>:</w:t>
      </w:r>
    </w:p>
    <w:p w14:paraId="34EAB063" w14:textId="00DACD44" w:rsidR="009470BE" w:rsidRDefault="009470BE" w:rsidP="009470BE">
      <w:pPr>
        <w:jc w:val="both"/>
        <w:rPr>
          <w:rFonts w:ascii="Arial" w:hAnsi="Arial" w:cs="Arial"/>
          <w:sz w:val="22"/>
          <w:szCs w:val="22"/>
          <w:lang w:eastAsia="en-US"/>
        </w:rPr>
      </w:pPr>
      <w:r w:rsidRPr="009470BE">
        <w:rPr>
          <w:rFonts w:ascii="Arial" w:hAnsi="Arial" w:cs="Arial"/>
          <w:sz w:val="22"/>
          <w:szCs w:val="22"/>
          <w:lang w:eastAsia="en-US"/>
        </w:rPr>
        <w:t xml:space="preserve">SFM manages sensitive designs and regulated employee records as a specialised manufacturer that creates components for aerospace and automotive clients. End to end cryptographic protection must be mandated by data governance regulations, which call for the </w:t>
      </w:r>
      <w:r>
        <w:rPr>
          <w:rFonts w:ascii="Arial" w:hAnsi="Arial" w:cs="Arial"/>
          <w:sz w:val="22"/>
          <w:szCs w:val="22"/>
          <w:lang w:eastAsia="en-US"/>
        </w:rPr>
        <w:t>A</w:t>
      </w:r>
      <w:r w:rsidRPr="009470BE">
        <w:rPr>
          <w:rFonts w:ascii="Arial" w:hAnsi="Arial" w:cs="Arial"/>
          <w:sz w:val="22"/>
          <w:szCs w:val="22"/>
          <w:lang w:eastAsia="en-US"/>
        </w:rPr>
        <w:t xml:space="preserve">dvanced </w:t>
      </w:r>
      <w:r>
        <w:rPr>
          <w:rFonts w:ascii="Arial" w:hAnsi="Arial" w:cs="Arial"/>
          <w:sz w:val="22"/>
          <w:szCs w:val="22"/>
          <w:lang w:eastAsia="en-US"/>
        </w:rPr>
        <w:t>E</w:t>
      </w:r>
      <w:r w:rsidRPr="009470BE">
        <w:rPr>
          <w:rFonts w:ascii="Arial" w:hAnsi="Arial" w:cs="Arial"/>
          <w:sz w:val="22"/>
          <w:szCs w:val="22"/>
          <w:lang w:eastAsia="en-US"/>
        </w:rPr>
        <w:t xml:space="preserve">ncryption </w:t>
      </w:r>
      <w:r>
        <w:rPr>
          <w:rFonts w:ascii="Arial" w:hAnsi="Arial" w:cs="Arial"/>
          <w:sz w:val="22"/>
          <w:szCs w:val="22"/>
          <w:lang w:eastAsia="en-US"/>
        </w:rPr>
        <w:t>S</w:t>
      </w:r>
      <w:r w:rsidRPr="009470BE">
        <w:rPr>
          <w:rFonts w:ascii="Arial" w:hAnsi="Arial" w:cs="Arial"/>
          <w:sz w:val="22"/>
          <w:szCs w:val="22"/>
          <w:lang w:eastAsia="en-US"/>
        </w:rPr>
        <w:t>tandard</w:t>
      </w:r>
      <w:r>
        <w:rPr>
          <w:rFonts w:ascii="Arial" w:hAnsi="Arial" w:cs="Arial"/>
          <w:sz w:val="22"/>
          <w:szCs w:val="22"/>
          <w:lang w:eastAsia="en-US"/>
        </w:rPr>
        <w:t xml:space="preserve"> (AES-256)</w:t>
      </w:r>
      <w:r w:rsidRPr="009470BE">
        <w:rPr>
          <w:rFonts w:ascii="Arial" w:hAnsi="Arial" w:cs="Arial"/>
          <w:sz w:val="22"/>
          <w:szCs w:val="22"/>
          <w:lang w:eastAsia="en-US"/>
        </w:rPr>
        <w:t xml:space="preserve"> </w:t>
      </w:r>
      <w:r>
        <w:rPr>
          <w:rFonts w:ascii="Arial" w:hAnsi="Arial" w:cs="Arial"/>
          <w:sz w:val="22"/>
          <w:szCs w:val="22"/>
          <w:lang w:eastAsia="en-US"/>
        </w:rPr>
        <w:t>f</w:t>
      </w:r>
      <w:r w:rsidRPr="009470BE">
        <w:rPr>
          <w:rFonts w:ascii="Arial" w:hAnsi="Arial" w:cs="Arial"/>
          <w:sz w:val="22"/>
          <w:szCs w:val="22"/>
          <w:lang w:eastAsia="en-US"/>
        </w:rPr>
        <w:t>or operational telemetry and</w:t>
      </w:r>
      <w:r>
        <w:rPr>
          <w:rFonts w:ascii="Arial" w:hAnsi="Arial" w:cs="Arial"/>
          <w:sz w:val="22"/>
          <w:szCs w:val="22"/>
          <w:lang w:eastAsia="en-US"/>
        </w:rPr>
        <w:t xml:space="preserve"> CAD</w:t>
      </w:r>
      <w:r w:rsidRPr="009470BE">
        <w:rPr>
          <w:rFonts w:ascii="Arial" w:hAnsi="Arial" w:cs="Arial"/>
          <w:sz w:val="22"/>
          <w:szCs w:val="22"/>
          <w:lang w:eastAsia="en-US"/>
        </w:rPr>
        <w:t xml:space="preserve"> files both in transit and at rest Connected through supply chains</w:t>
      </w:r>
      <w:r>
        <w:rPr>
          <w:rFonts w:ascii="Arial" w:hAnsi="Arial" w:cs="Arial"/>
          <w:sz w:val="22"/>
          <w:szCs w:val="22"/>
          <w:lang w:eastAsia="en-US"/>
        </w:rPr>
        <w:t xml:space="preserve"> </w:t>
      </w:r>
      <w:sdt>
        <w:sdtPr>
          <w:rPr>
            <w:rFonts w:ascii="Arial" w:hAnsi="Arial" w:cs="Arial"/>
            <w:sz w:val="22"/>
            <w:szCs w:val="22"/>
            <w:lang w:eastAsia="en-US"/>
          </w:rPr>
          <w:id w:val="151803759"/>
          <w:citation/>
        </w:sdtPr>
        <w:sdtContent>
          <w:r w:rsidR="00A13575">
            <w:rPr>
              <w:rFonts w:ascii="Arial" w:hAnsi="Arial" w:cs="Arial"/>
              <w:sz w:val="22"/>
              <w:szCs w:val="22"/>
              <w:lang w:eastAsia="en-US"/>
            </w:rPr>
            <w:fldChar w:fldCharType="begin"/>
          </w:r>
          <w:r w:rsidR="00A13575">
            <w:rPr>
              <w:rFonts w:ascii="Arial" w:hAnsi="Arial" w:cs="Arial"/>
              <w:sz w:val="22"/>
              <w:szCs w:val="22"/>
              <w:lang w:eastAsia="en-US"/>
            </w:rPr>
            <w:instrText xml:space="preserve"> CITATION Góm23 \l 2057 </w:instrText>
          </w:r>
          <w:r w:rsidR="00A13575">
            <w:rPr>
              <w:rFonts w:ascii="Arial" w:hAnsi="Arial" w:cs="Arial"/>
              <w:sz w:val="22"/>
              <w:szCs w:val="22"/>
              <w:lang w:eastAsia="en-US"/>
            </w:rPr>
            <w:fldChar w:fldCharType="separate"/>
          </w:r>
          <w:r w:rsidR="00A13575" w:rsidRPr="00A13575">
            <w:rPr>
              <w:rFonts w:ascii="Arial" w:hAnsi="Arial" w:cs="Arial"/>
              <w:noProof/>
              <w:sz w:val="22"/>
              <w:szCs w:val="22"/>
              <w:lang w:eastAsia="en-US"/>
            </w:rPr>
            <w:t>[10]</w:t>
          </w:r>
          <w:r w:rsidR="00A13575">
            <w:rPr>
              <w:rFonts w:ascii="Arial" w:hAnsi="Arial" w:cs="Arial"/>
              <w:sz w:val="22"/>
              <w:szCs w:val="22"/>
              <w:lang w:eastAsia="en-US"/>
            </w:rPr>
            <w:fldChar w:fldCharType="end"/>
          </w:r>
        </w:sdtContent>
      </w:sdt>
      <w:r w:rsidR="00A13575">
        <w:rPr>
          <w:rFonts w:ascii="Arial" w:hAnsi="Arial" w:cs="Arial"/>
          <w:sz w:val="22"/>
          <w:szCs w:val="22"/>
          <w:lang w:eastAsia="en-US"/>
        </w:rPr>
        <w:t xml:space="preserve">. </w:t>
      </w:r>
      <w:r w:rsidR="00A13575" w:rsidRPr="00A13575">
        <w:rPr>
          <w:rFonts w:ascii="Arial" w:hAnsi="Arial" w:cs="Arial"/>
          <w:sz w:val="22"/>
          <w:szCs w:val="22"/>
          <w:lang w:eastAsia="en-US"/>
        </w:rPr>
        <w:t xml:space="preserve">Policies must control how personal data is processed in procurement and administrative systems in compliance with the UK </w:t>
      </w:r>
      <w:r w:rsidR="00A13575">
        <w:rPr>
          <w:rFonts w:ascii="Arial" w:hAnsi="Arial" w:cs="Arial"/>
          <w:sz w:val="22"/>
          <w:szCs w:val="22"/>
          <w:lang w:eastAsia="en-US"/>
        </w:rPr>
        <w:t>G</w:t>
      </w:r>
      <w:r w:rsidR="00A13575" w:rsidRPr="00A13575">
        <w:rPr>
          <w:rFonts w:ascii="Arial" w:hAnsi="Arial" w:cs="Arial"/>
          <w:sz w:val="22"/>
          <w:szCs w:val="22"/>
          <w:lang w:eastAsia="en-US"/>
        </w:rPr>
        <w:t xml:space="preserve">eneral </w:t>
      </w:r>
      <w:r w:rsidR="00A13575">
        <w:rPr>
          <w:rFonts w:ascii="Arial" w:hAnsi="Arial" w:cs="Arial"/>
          <w:sz w:val="22"/>
          <w:szCs w:val="22"/>
          <w:lang w:eastAsia="en-US"/>
        </w:rPr>
        <w:t>D</w:t>
      </w:r>
      <w:r w:rsidR="00A13575" w:rsidRPr="00A13575">
        <w:rPr>
          <w:rFonts w:ascii="Arial" w:hAnsi="Arial" w:cs="Arial"/>
          <w:sz w:val="22"/>
          <w:szCs w:val="22"/>
          <w:lang w:eastAsia="en-US"/>
        </w:rPr>
        <w:t xml:space="preserve">ata </w:t>
      </w:r>
      <w:r w:rsidR="00A13575">
        <w:rPr>
          <w:rFonts w:ascii="Arial" w:hAnsi="Arial" w:cs="Arial"/>
          <w:sz w:val="22"/>
          <w:szCs w:val="22"/>
          <w:lang w:eastAsia="en-US"/>
        </w:rPr>
        <w:t>P</w:t>
      </w:r>
      <w:r w:rsidR="00A13575" w:rsidRPr="00A13575">
        <w:rPr>
          <w:rFonts w:ascii="Arial" w:hAnsi="Arial" w:cs="Arial"/>
          <w:sz w:val="22"/>
          <w:szCs w:val="22"/>
          <w:lang w:eastAsia="en-US"/>
        </w:rPr>
        <w:t xml:space="preserve">rotection </w:t>
      </w:r>
      <w:r w:rsidR="00A13575">
        <w:rPr>
          <w:rFonts w:ascii="Arial" w:hAnsi="Arial" w:cs="Arial"/>
          <w:sz w:val="22"/>
          <w:szCs w:val="22"/>
          <w:lang w:eastAsia="en-US"/>
        </w:rPr>
        <w:t>R</w:t>
      </w:r>
      <w:r w:rsidR="00A13575" w:rsidRPr="00A13575">
        <w:rPr>
          <w:rFonts w:ascii="Arial" w:hAnsi="Arial" w:cs="Arial"/>
          <w:sz w:val="22"/>
          <w:szCs w:val="22"/>
          <w:lang w:eastAsia="en-US"/>
        </w:rPr>
        <w:t>egulation</w:t>
      </w:r>
      <w:r w:rsidR="00A13575">
        <w:rPr>
          <w:rFonts w:ascii="Arial" w:hAnsi="Arial" w:cs="Arial"/>
          <w:sz w:val="22"/>
          <w:szCs w:val="22"/>
          <w:lang w:eastAsia="en-US"/>
        </w:rPr>
        <w:t xml:space="preserve"> (UK GDPR) </w:t>
      </w:r>
      <w:sdt>
        <w:sdtPr>
          <w:rPr>
            <w:rFonts w:ascii="Arial" w:hAnsi="Arial" w:cs="Arial"/>
            <w:sz w:val="22"/>
            <w:szCs w:val="22"/>
            <w:lang w:eastAsia="en-US"/>
          </w:rPr>
          <w:id w:val="-204105598"/>
          <w:citation/>
        </w:sdtPr>
        <w:sdtContent>
          <w:r w:rsidR="00A13575">
            <w:rPr>
              <w:rFonts w:ascii="Arial" w:hAnsi="Arial" w:cs="Arial"/>
              <w:sz w:val="22"/>
              <w:szCs w:val="22"/>
              <w:lang w:eastAsia="en-US"/>
            </w:rPr>
            <w:fldChar w:fldCharType="begin"/>
          </w:r>
          <w:r w:rsidR="00A13575">
            <w:rPr>
              <w:rFonts w:ascii="Arial" w:hAnsi="Arial" w:cs="Arial"/>
              <w:sz w:val="22"/>
              <w:szCs w:val="22"/>
              <w:lang w:eastAsia="en-US"/>
            </w:rPr>
            <w:instrText xml:space="preserve"> CITATION ICO23 \l 2057 </w:instrText>
          </w:r>
          <w:r w:rsidR="00A13575">
            <w:rPr>
              <w:rFonts w:ascii="Arial" w:hAnsi="Arial" w:cs="Arial"/>
              <w:sz w:val="22"/>
              <w:szCs w:val="22"/>
              <w:lang w:eastAsia="en-US"/>
            </w:rPr>
            <w:fldChar w:fldCharType="separate"/>
          </w:r>
          <w:r w:rsidR="00A13575" w:rsidRPr="00A13575">
            <w:rPr>
              <w:rFonts w:ascii="Arial" w:hAnsi="Arial" w:cs="Arial"/>
              <w:noProof/>
              <w:sz w:val="22"/>
              <w:szCs w:val="22"/>
              <w:lang w:eastAsia="en-US"/>
            </w:rPr>
            <w:t>[11]</w:t>
          </w:r>
          <w:r w:rsidR="00A13575">
            <w:rPr>
              <w:rFonts w:ascii="Arial" w:hAnsi="Arial" w:cs="Arial"/>
              <w:sz w:val="22"/>
              <w:szCs w:val="22"/>
              <w:lang w:eastAsia="en-US"/>
            </w:rPr>
            <w:fldChar w:fldCharType="end"/>
          </w:r>
        </w:sdtContent>
      </w:sdt>
      <w:r w:rsidR="00A13575">
        <w:rPr>
          <w:rFonts w:ascii="Arial" w:hAnsi="Arial" w:cs="Arial"/>
          <w:sz w:val="22"/>
          <w:szCs w:val="22"/>
          <w:lang w:eastAsia="en-US"/>
        </w:rPr>
        <w:t xml:space="preserve">. </w:t>
      </w:r>
      <w:r w:rsidR="00A13575" w:rsidRPr="00A13575">
        <w:rPr>
          <w:rFonts w:ascii="Arial" w:hAnsi="Arial" w:cs="Arial"/>
          <w:sz w:val="22"/>
          <w:szCs w:val="22"/>
          <w:lang w:eastAsia="en-US"/>
        </w:rPr>
        <w:t>Properly documented procedures guarantee complete regulatory compliance that has processes that address data reduction, key lifecycle management and audit ready retention schedules</w:t>
      </w:r>
      <w:r w:rsidR="00A13575">
        <w:rPr>
          <w:rFonts w:ascii="Arial" w:hAnsi="Arial" w:cs="Arial"/>
          <w:sz w:val="22"/>
          <w:szCs w:val="22"/>
          <w:lang w:eastAsia="en-US"/>
        </w:rPr>
        <w:t>.</w:t>
      </w:r>
    </w:p>
    <w:p w14:paraId="199D4335" w14:textId="77777777" w:rsidR="00A13575" w:rsidRDefault="00A13575" w:rsidP="009470BE">
      <w:pPr>
        <w:jc w:val="both"/>
        <w:rPr>
          <w:rFonts w:ascii="Arial" w:hAnsi="Arial" w:cs="Arial"/>
          <w:sz w:val="22"/>
          <w:szCs w:val="22"/>
          <w:lang w:eastAsia="en-US"/>
        </w:rPr>
      </w:pPr>
    </w:p>
    <w:p w14:paraId="38AE670D" w14:textId="48D23F1C" w:rsidR="00A13575" w:rsidRDefault="00A13575" w:rsidP="009470BE">
      <w:pPr>
        <w:jc w:val="both"/>
        <w:rPr>
          <w:rFonts w:ascii="Arial" w:hAnsi="Arial" w:cs="Arial"/>
          <w:sz w:val="22"/>
          <w:szCs w:val="22"/>
          <w:lang w:eastAsia="en-US"/>
        </w:rPr>
      </w:pPr>
      <w:r w:rsidRPr="00A13575">
        <w:rPr>
          <w:rFonts w:ascii="Arial" w:hAnsi="Arial" w:cs="Arial"/>
          <w:sz w:val="22"/>
          <w:szCs w:val="22"/>
          <w:lang w:eastAsia="en-US"/>
        </w:rPr>
        <w:t>Removable Media and Asset Management Policy</w:t>
      </w:r>
      <w:r>
        <w:rPr>
          <w:rFonts w:ascii="Arial" w:hAnsi="Arial" w:cs="Arial"/>
          <w:sz w:val="22"/>
          <w:szCs w:val="22"/>
          <w:lang w:eastAsia="en-US"/>
        </w:rPr>
        <w:t>:</w:t>
      </w:r>
    </w:p>
    <w:p w14:paraId="60C4FEEE" w14:textId="294AEDB7" w:rsidR="00A13575" w:rsidRDefault="00A13575" w:rsidP="009470BE">
      <w:pPr>
        <w:jc w:val="both"/>
        <w:rPr>
          <w:rFonts w:ascii="Arial" w:hAnsi="Arial" w:cs="Arial"/>
          <w:sz w:val="22"/>
          <w:szCs w:val="22"/>
          <w:lang w:eastAsia="en-US"/>
        </w:rPr>
      </w:pPr>
      <w:r w:rsidRPr="00A13575">
        <w:rPr>
          <w:rFonts w:ascii="Arial" w:hAnsi="Arial" w:cs="Arial"/>
          <w:sz w:val="22"/>
          <w:szCs w:val="22"/>
          <w:lang w:eastAsia="en-US"/>
        </w:rPr>
        <w:t>A big portion of industrial malware deployments are by removable media, which is a main infection vector for operational networks</w:t>
      </w:r>
      <w:r>
        <w:rPr>
          <w:rFonts w:ascii="Arial" w:hAnsi="Arial" w:cs="Arial"/>
          <w:sz w:val="22"/>
          <w:szCs w:val="22"/>
          <w:lang w:eastAsia="en-US"/>
        </w:rPr>
        <w:t xml:space="preserve"> </w:t>
      </w:r>
      <w:sdt>
        <w:sdtPr>
          <w:rPr>
            <w:rFonts w:ascii="Arial" w:hAnsi="Arial" w:cs="Arial"/>
            <w:sz w:val="22"/>
            <w:szCs w:val="22"/>
            <w:lang w:eastAsia="en-US"/>
          </w:rPr>
          <w:id w:val="-1286187751"/>
          <w:citation/>
        </w:sdtPr>
        <w:sdtContent>
          <w:r>
            <w:rPr>
              <w:rFonts w:ascii="Arial" w:hAnsi="Arial" w:cs="Arial"/>
              <w:sz w:val="22"/>
              <w:szCs w:val="22"/>
              <w:lang w:eastAsia="en-US"/>
            </w:rPr>
            <w:fldChar w:fldCharType="begin"/>
          </w:r>
          <w:r>
            <w:rPr>
              <w:rFonts w:ascii="Arial" w:hAnsi="Arial" w:cs="Arial"/>
              <w:sz w:val="22"/>
              <w:szCs w:val="22"/>
              <w:lang w:eastAsia="en-US"/>
            </w:rPr>
            <w:instrText xml:space="preserve"> CITATION Hon26 \l 2057 </w:instrText>
          </w:r>
          <w:r>
            <w:rPr>
              <w:rFonts w:ascii="Arial" w:hAnsi="Arial" w:cs="Arial"/>
              <w:sz w:val="22"/>
              <w:szCs w:val="22"/>
              <w:lang w:eastAsia="en-US"/>
            </w:rPr>
            <w:fldChar w:fldCharType="separate"/>
          </w:r>
          <w:r w:rsidRPr="00A13575">
            <w:rPr>
              <w:rFonts w:ascii="Arial" w:hAnsi="Arial" w:cs="Arial"/>
              <w:noProof/>
              <w:sz w:val="22"/>
              <w:szCs w:val="22"/>
              <w:lang w:eastAsia="en-US"/>
            </w:rPr>
            <w:t>[12]</w:t>
          </w:r>
          <w:r>
            <w:rPr>
              <w:rFonts w:ascii="Arial" w:hAnsi="Arial" w:cs="Arial"/>
              <w:sz w:val="22"/>
              <w:szCs w:val="22"/>
              <w:lang w:eastAsia="en-US"/>
            </w:rPr>
            <w:fldChar w:fldCharType="end"/>
          </w:r>
        </w:sdtContent>
      </w:sdt>
      <w:r>
        <w:rPr>
          <w:rFonts w:ascii="Arial" w:hAnsi="Arial" w:cs="Arial"/>
          <w:sz w:val="22"/>
          <w:szCs w:val="22"/>
          <w:lang w:eastAsia="en-US"/>
        </w:rPr>
        <w:t xml:space="preserve">. </w:t>
      </w:r>
      <w:r w:rsidRPr="00A13575">
        <w:rPr>
          <w:rFonts w:ascii="Arial" w:hAnsi="Arial" w:cs="Arial"/>
          <w:sz w:val="22"/>
          <w:szCs w:val="22"/>
          <w:lang w:eastAsia="en-US"/>
        </w:rPr>
        <w:t>Unauthorised personal USB drives and external storage on factory equipment must be strictly prohibited on the SFM policy. Before connecting to production hardware, authorised media usage must be inspected at separate scanning kiosks with file saniti</w:t>
      </w:r>
      <w:r>
        <w:rPr>
          <w:rFonts w:ascii="Arial" w:hAnsi="Arial" w:cs="Arial"/>
          <w:sz w:val="22"/>
          <w:szCs w:val="22"/>
          <w:lang w:eastAsia="en-US"/>
        </w:rPr>
        <w:t>sation tools.</w:t>
      </w:r>
      <w:r w:rsidRPr="00A13575">
        <w:rPr>
          <w:rFonts w:ascii="Arial" w:hAnsi="Arial" w:cs="Arial"/>
          <w:sz w:val="22"/>
          <w:szCs w:val="22"/>
          <w:lang w:eastAsia="en-US"/>
        </w:rPr>
        <w:t xml:space="preserve"> Furthermore, asset management policies would require a centralised inventory that tracks firmware versions, network IDs and security patches for every linked</w:t>
      </w:r>
      <w:r>
        <w:rPr>
          <w:rFonts w:ascii="Arial" w:hAnsi="Arial" w:cs="Arial"/>
          <w:sz w:val="22"/>
          <w:szCs w:val="22"/>
          <w:lang w:eastAsia="en-US"/>
        </w:rPr>
        <w:t xml:space="preserve"> IoT</w:t>
      </w:r>
      <w:r w:rsidRPr="00A13575">
        <w:rPr>
          <w:rFonts w:ascii="Arial" w:hAnsi="Arial" w:cs="Arial"/>
          <w:sz w:val="22"/>
          <w:szCs w:val="22"/>
          <w:lang w:eastAsia="en-US"/>
        </w:rPr>
        <w:t xml:space="preserve"> sensor</w:t>
      </w:r>
      <w:r>
        <w:rPr>
          <w:rFonts w:ascii="Arial" w:hAnsi="Arial" w:cs="Arial"/>
          <w:sz w:val="22"/>
          <w:szCs w:val="22"/>
          <w:lang w:eastAsia="en-US"/>
        </w:rPr>
        <w:t xml:space="preserve">. </w:t>
      </w:r>
    </w:p>
    <w:p w14:paraId="7D9A7F53" w14:textId="77777777" w:rsidR="00A13575" w:rsidRDefault="00A13575" w:rsidP="009470BE">
      <w:pPr>
        <w:jc w:val="both"/>
        <w:rPr>
          <w:rFonts w:ascii="Arial" w:hAnsi="Arial" w:cs="Arial"/>
          <w:sz w:val="22"/>
          <w:szCs w:val="22"/>
          <w:lang w:eastAsia="en-US"/>
        </w:rPr>
      </w:pPr>
    </w:p>
    <w:p w14:paraId="7B516F97" w14:textId="140D173D" w:rsidR="003532E9" w:rsidRDefault="003532E9" w:rsidP="003532E9">
      <w:pPr>
        <w:pStyle w:val="Heading1"/>
        <w:rPr>
          <w:rFonts w:ascii="Arial" w:hAnsi="Arial" w:cs="Arial"/>
          <w:b/>
          <w:bCs/>
          <w:sz w:val="28"/>
          <w:szCs w:val="28"/>
        </w:rPr>
      </w:pPr>
      <w:bookmarkStart w:id="8" w:name="_Toc235668538"/>
      <w:r w:rsidRPr="003532E9">
        <w:rPr>
          <w:rFonts w:ascii="Arial" w:hAnsi="Arial" w:cs="Arial"/>
          <w:b/>
          <w:bCs/>
          <w:sz w:val="28"/>
          <w:szCs w:val="28"/>
        </w:rPr>
        <w:t>Mitigation Measures</w:t>
      </w:r>
      <w:bookmarkEnd w:id="8"/>
    </w:p>
    <w:p w14:paraId="0690AA6D" w14:textId="77777777" w:rsidR="003532E9" w:rsidRDefault="003532E9" w:rsidP="003532E9">
      <w:pPr>
        <w:rPr>
          <w:lang w:eastAsia="en-US"/>
        </w:rPr>
      </w:pPr>
    </w:p>
    <w:p w14:paraId="47FAA93B" w14:textId="763B1F1C" w:rsidR="003532E9" w:rsidRDefault="003532E9" w:rsidP="003532E9">
      <w:pPr>
        <w:jc w:val="both"/>
        <w:rPr>
          <w:rFonts w:ascii="Arial" w:hAnsi="Arial" w:cs="Arial"/>
          <w:sz w:val="22"/>
          <w:szCs w:val="22"/>
          <w:lang w:eastAsia="en-US"/>
        </w:rPr>
      </w:pPr>
      <w:r w:rsidRPr="003532E9">
        <w:rPr>
          <w:rFonts w:ascii="Arial" w:hAnsi="Arial" w:cs="Arial"/>
          <w:sz w:val="22"/>
          <w:szCs w:val="22"/>
          <w:lang w:eastAsia="en-US"/>
        </w:rPr>
        <w:t xml:space="preserve">To reduce the risk towards SFM, solutions must directly address the operational and technical vulnerabilities found throughout corporate systems </w:t>
      </w:r>
      <w:proofErr w:type="gramStart"/>
      <w:r w:rsidRPr="003532E9">
        <w:rPr>
          <w:rFonts w:ascii="Arial" w:hAnsi="Arial" w:cs="Arial"/>
          <w:sz w:val="22"/>
          <w:szCs w:val="22"/>
          <w:lang w:eastAsia="en-US"/>
        </w:rPr>
        <w:t>in order to</w:t>
      </w:r>
      <w:proofErr w:type="gramEnd"/>
      <w:r w:rsidRPr="003532E9">
        <w:rPr>
          <w:rFonts w:ascii="Arial" w:hAnsi="Arial" w:cs="Arial"/>
          <w:sz w:val="22"/>
          <w:szCs w:val="22"/>
          <w:lang w:eastAsia="en-US"/>
        </w:rPr>
        <w:t xml:space="preserve"> strategically lower SFM</w:t>
      </w:r>
      <w:r>
        <w:rPr>
          <w:rFonts w:ascii="Arial" w:hAnsi="Arial" w:cs="Arial"/>
          <w:sz w:val="22"/>
          <w:szCs w:val="22"/>
          <w:lang w:eastAsia="en-US"/>
        </w:rPr>
        <w:t>’s</w:t>
      </w:r>
      <w:r w:rsidRPr="003532E9">
        <w:rPr>
          <w:rFonts w:ascii="Arial" w:hAnsi="Arial" w:cs="Arial"/>
          <w:sz w:val="22"/>
          <w:szCs w:val="22"/>
          <w:lang w:eastAsia="en-US"/>
        </w:rPr>
        <w:t xml:space="preserve"> risk</w:t>
      </w:r>
      <w:r>
        <w:rPr>
          <w:rFonts w:ascii="Arial" w:hAnsi="Arial" w:cs="Arial"/>
          <w:sz w:val="22"/>
          <w:szCs w:val="22"/>
          <w:lang w:eastAsia="en-US"/>
        </w:rPr>
        <w:t xml:space="preserve"> profile </w:t>
      </w:r>
      <w:sdt>
        <w:sdtPr>
          <w:rPr>
            <w:rFonts w:ascii="Arial" w:hAnsi="Arial" w:cs="Arial"/>
            <w:sz w:val="22"/>
            <w:szCs w:val="22"/>
            <w:lang w:eastAsia="en-US"/>
          </w:rPr>
          <w:id w:val="1683317528"/>
          <w:citation/>
        </w:sdtPr>
        <w:sdtContent>
          <w:r>
            <w:rPr>
              <w:rFonts w:ascii="Arial" w:hAnsi="Arial" w:cs="Arial"/>
              <w:sz w:val="22"/>
              <w:szCs w:val="22"/>
              <w:lang w:eastAsia="en-US"/>
            </w:rPr>
            <w:fldChar w:fldCharType="begin"/>
          </w:r>
          <w:r>
            <w:rPr>
              <w:rFonts w:ascii="Arial" w:hAnsi="Arial" w:cs="Arial"/>
              <w:sz w:val="22"/>
              <w:szCs w:val="22"/>
              <w:lang w:eastAsia="en-US"/>
            </w:rPr>
            <w:instrText xml:space="preserve"> CITATION Sto231 \l 2057 </w:instrText>
          </w:r>
          <w:r>
            <w:rPr>
              <w:rFonts w:ascii="Arial" w:hAnsi="Arial" w:cs="Arial"/>
              <w:sz w:val="22"/>
              <w:szCs w:val="22"/>
              <w:lang w:eastAsia="en-US"/>
            </w:rPr>
            <w:fldChar w:fldCharType="separate"/>
          </w:r>
          <w:r w:rsidRPr="003532E9">
            <w:rPr>
              <w:rFonts w:ascii="Arial" w:hAnsi="Arial" w:cs="Arial"/>
              <w:noProof/>
              <w:sz w:val="22"/>
              <w:szCs w:val="22"/>
              <w:lang w:eastAsia="en-US"/>
            </w:rPr>
            <w:t>[13]</w:t>
          </w:r>
          <w:r>
            <w:rPr>
              <w:rFonts w:ascii="Arial" w:hAnsi="Arial" w:cs="Arial"/>
              <w:sz w:val="22"/>
              <w:szCs w:val="22"/>
              <w:lang w:eastAsia="en-US"/>
            </w:rPr>
            <w:fldChar w:fldCharType="end"/>
          </w:r>
        </w:sdtContent>
      </w:sdt>
      <w:r>
        <w:rPr>
          <w:rFonts w:ascii="Arial" w:hAnsi="Arial" w:cs="Arial"/>
          <w:sz w:val="22"/>
          <w:szCs w:val="22"/>
          <w:lang w:eastAsia="en-US"/>
        </w:rPr>
        <w:t xml:space="preserve">. </w:t>
      </w:r>
      <w:r w:rsidRPr="003532E9">
        <w:rPr>
          <w:rFonts w:ascii="Arial" w:hAnsi="Arial" w:cs="Arial"/>
          <w:sz w:val="22"/>
          <w:szCs w:val="22"/>
          <w:lang w:eastAsia="en-US"/>
        </w:rPr>
        <w:t>Robust protection is insured in both information technology and operational technology environments by matching defensive systems with established industrial frameworks.</w:t>
      </w:r>
    </w:p>
    <w:p w14:paraId="1A5986F0" w14:textId="77777777" w:rsidR="003532E9" w:rsidRDefault="003532E9" w:rsidP="003532E9">
      <w:pPr>
        <w:jc w:val="both"/>
        <w:rPr>
          <w:rFonts w:ascii="Arial" w:hAnsi="Arial" w:cs="Arial"/>
          <w:sz w:val="22"/>
          <w:szCs w:val="22"/>
          <w:lang w:eastAsia="en-US"/>
        </w:rPr>
      </w:pPr>
    </w:p>
    <w:p w14:paraId="766AED62" w14:textId="77777777" w:rsidR="003532E9" w:rsidRPr="003532E9" w:rsidRDefault="003532E9" w:rsidP="003532E9">
      <w:pPr>
        <w:jc w:val="both"/>
        <w:rPr>
          <w:rFonts w:ascii="Arial" w:hAnsi="Arial" w:cs="Arial"/>
          <w:sz w:val="22"/>
          <w:szCs w:val="22"/>
          <w:lang w:eastAsia="en-US"/>
        </w:rPr>
      </w:pPr>
    </w:p>
    <w:p w14:paraId="78FCC1D2" w14:textId="71152787" w:rsidR="003532E9" w:rsidRDefault="003532E9" w:rsidP="003532E9">
      <w:pPr>
        <w:pStyle w:val="Heading2"/>
        <w:rPr>
          <w:rFonts w:ascii="Arial" w:hAnsi="Arial" w:cs="Arial"/>
          <w:b/>
          <w:bCs/>
          <w:sz w:val="28"/>
          <w:szCs w:val="28"/>
        </w:rPr>
      </w:pPr>
      <w:bookmarkStart w:id="9" w:name="_Toc235668539"/>
      <w:r w:rsidRPr="003532E9">
        <w:rPr>
          <w:rFonts w:ascii="Arial" w:hAnsi="Arial" w:cs="Arial"/>
          <w:b/>
          <w:bCs/>
          <w:sz w:val="28"/>
          <w:szCs w:val="28"/>
        </w:rPr>
        <w:lastRenderedPageBreak/>
        <w:t>Mitigation Measures</w:t>
      </w:r>
      <w:bookmarkEnd w:id="9"/>
    </w:p>
    <w:p w14:paraId="24CA451F" w14:textId="77777777" w:rsidR="003532E9" w:rsidRDefault="003532E9" w:rsidP="003532E9">
      <w:pPr>
        <w:rPr>
          <w:lang w:eastAsia="en-US"/>
        </w:rPr>
      </w:pPr>
    </w:p>
    <w:p w14:paraId="4FA28741" w14:textId="2EB86656" w:rsidR="003532E9" w:rsidRDefault="003532E9" w:rsidP="003532E9">
      <w:pPr>
        <w:jc w:val="both"/>
        <w:rPr>
          <w:rFonts w:ascii="Arial" w:hAnsi="Arial" w:cs="Arial"/>
          <w:sz w:val="22"/>
          <w:szCs w:val="22"/>
          <w:lang w:eastAsia="en-US"/>
        </w:rPr>
      </w:pPr>
      <w:r w:rsidRPr="003532E9">
        <w:rPr>
          <w:rFonts w:ascii="Arial" w:hAnsi="Arial" w:cs="Arial"/>
          <w:sz w:val="22"/>
          <w:szCs w:val="22"/>
          <w:lang w:eastAsia="en-US"/>
        </w:rPr>
        <w:t>Network Segmentation and Industrial Demilitari</w:t>
      </w:r>
      <w:r>
        <w:rPr>
          <w:rFonts w:ascii="Arial" w:hAnsi="Arial" w:cs="Arial"/>
          <w:sz w:val="22"/>
          <w:szCs w:val="22"/>
          <w:lang w:eastAsia="en-US"/>
        </w:rPr>
        <w:t>s</w:t>
      </w:r>
      <w:r w:rsidRPr="003532E9">
        <w:rPr>
          <w:rFonts w:ascii="Arial" w:hAnsi="Arial" w:cs="Arial"/>
          <w:sz w:val="22"/>
          <w:szCs w:val="22"/>
          <w:lang w:eastAsia="en-US"/>
        </w:rPr>
        <w:t>ed Zone (IDMZ)</w:t>
      </w:r>
      <w:r>
        <w:rPr>
          <w:rFonts w:ascii="Arial" w:hAnsi="Arial" w:cs="Arial"/>
          <w:sz w:val="22"/>
          <w:szCs w:val="22"/>
          <w:lang w:eastAsia="en-US"/>
        </w:rPr>
        <w:t>:</w:t>
      </w:r>
    </w:p>
    <w:p w14:paraId="2CB6CE0B" w14:textId="13EA5EEE" w:rsidR="003532E9" w:rsidRDefault="00104AE8" w:rsidP="003532E9">
      <w:pPr>
        <w:jc w:val="both"/>
        <w:rPr>
          <w:rFonts w:ascii="Arial" w:hAnsi="Arial" w:cs="Arial"/>
          <w:sz w:val="22"/>
          <w:szCs w:val="22"/>
          <w:lang w:eastAsia="en-US"/>
        </w:rPr>
      </w:pPr>
      <w:r w:rsidRPr="00104AE8">
        <w:rPr>
          <w:rFonts w:ascii="Arial" w:hAnsi="Arial" w:cs="Arial"/>
          <w:sz w:val="22"/>
          <w:szCs w:val="22"/>
          <w:lang w:eastAsia="en-US"/>
        </w:rPr>
        <w:t>SFM must create a specific</w:t>
      </w:r>
      <w:r>
        <w:rPr>
          <w:rFonts w:ascii="Arial" w:hAnsi="Arial" w:cs="Arial"/>
          <w:sz w:val="22"/>
          <w:szCs w:val="22"/>
          <w:lang w:eastAsia="en-US"/>
        </w:rPr>
        <w:t xml:space="preserve"> </w:t>
      </w:r>
      <w:r w:rsidRPr="003532E9">
        <w:rPr>
          <w:rFonts w:ascii="Arial" w:hAnsi="Arial" w:cs="Arial"/>
          <w:sz w:val="22"/>
          <w:szCs w:val="22"/>
          <w:lang w:eastAsia="en-US"/>
        </w:rPr>
        <w:t>Industrial Demilitari</w:t>
      </w:r>
      <w:r>
        <w:rPr>
          <w:rFonts w:ascii="Arial" w:hAnsi="Arial" w:cs="Arial"/>
          <w:sz w:val="22"/>
          <w:szCs w:val="22"/>
          <w:lang w:eastAsia="en-US"/>
        </w:rPr>
        <w:t>s</w:t>
      </w:r>
      <w:r w:rsidRPr="003532E9">
        <w:rPr>
          <w:rFonts w:ascii="Arial" w:hAnsi="Arial" w:cs="Arial"/>
          <w:sz w:val="22"/>
          <w:szCs w:val="22"/>
          <w:lang w:eastAsia="en-US"/>
        </w:rPr>
        <w:t>ed Zone</w:t>
      </w:r>
      <w:r w:rsidRPr="00104AE8">
        <w:rPr>
          <w:rFonts w:ascii="Arial" w:hAnsi="Arial" w:cs="Arial"/>
          <w:sz w:val="22"/>
          <w:szCs w:val="22"/>
          <w:lang w:eastAsia="en-US"/>
        </w:rPr>
        <w:t xml:space="preserve"> to stop external ransomware outbreaks from laterally spreading onto actual shop floor equipment</w:t>
      </w:r>
      <w:r>
        <w:rPr>
          <w:rFonts w:ascii="Arial" w:hAnsi="Arial" w:cs="Arial"/>
          <w:sz w:val="22"/>
          <w:szCs w:val="22"/>
          <w:lang w:eastAsia="en-US"/>
        </w:rPr>
        <w:t xml:space="preserve"> </w:t>
      </w:r>
      <w:sdt>
        <w:sdtPr>
          <w:rPr>
            <w:rFonts w:ascii="Arial" w:hAnsi="Arial" w:cs="Arial"/>
            <w:sz w:val="22"/>
            <w:szCs w:val="22"/>
            <w:lang w:eastAsia="en-US"/>
          </w:rPr>
          <w:id w:val="-229392613"/>
          <w:citation/>
        </w:sdtPr>
        <w:sdtContent>
          <w:r>
            <w:rPr>
              <w:rFonts w:ascii="Arial" w:hAnsi="Arial" w:cs="Arial"/>
              <w:sz w:val="22"/>
              <w:szCs w:val="22"/>
              <w:lang w:eastAsia="en-US"/>
            </w:rPr>
            <w:fldChar w:fldCharType="begin"/>
          </w:r>
          <w:r>
            <w:rPr>
              <w:rFonts w:ascii="Arial" w:hAnsi="Arial" w:cs="Arial"/>
              <w:sz w:val="22"/>
              <w:szCs w:val="22"/>
              <w:lang w:eastAsia="en-US"/>
            </w:rPr>
            <w:instrText xml:space="preserve"> CITATION Scr20 \l 2057 </w:instrText>
          </w:r>
          <w:r>
            <w:rPr>
              <w:rFonts w:ascii="Arial" w:hAnsi="Arial" w:cs="Arial"/>
              <w:sz w:val="22"/>
              <w:szCs w:val="22"/>
              <w:lang w:eastAsia="en-US"/>
            </w:rPr>
            <w:fldChar w:fldCharType="separate"/>
          </w:r>
          <w:r w:rsidRPr="00104AE8">
            <w:rPr>
              <w:rFonts w:ascii="Arial" w:hAnsi="Arial" w:cs="Arial"/>
              <w:noProof/>
              <w:sz w:val="22"/>
              <w:szCs w:val="22"/>
              <w:lang w:eastAsia="en-US"/>
            </w:rPr>
            <w:t>[14]</w:t>
          </w:r>
          <w:r>
            <w:rPr>
              <w:rFonts w:ascii="Arial" w:hAnsi="Arial" w:cs="Arial"/>
              <w:sz w:val="22"/>
              <w:szCs w:val="22"/>
              <w:lang w:eastAsia="en-US"/>
            </w:rPr>
            <w:fldChar w:fldCharType="end"/>
          </w:r>
        </w:sdtContent>
      </w:sdt>
      <w:r>
        <w:rPr>
          <w:rFonts w:ascii="Arial" w:hAnsi="Arial" w:cs="Arial"/>
          <w:sz w:val="22"/>
          <w:szCs w:val="22"/>
          <w:lang w:eastAsia="en-US"/>
        </w:rPr>
        <w:t xml:space="preserve">. </w:t>
      </w:r>
      <w:r w:rsidRPr="00104AE8">
        <w:rPr>
          <w:rFonts w:ascii="Arial" w:hAnsi="Arial" w:cs="Arial"/>
          <w:sz w:val="22"/>
          <w:szCs w:val="22"/>
          <w:lang w:eastAsia="en-US"/>
        </w:rPr>
        <w:t>Direct</w:t>
      </w:r>
      <w:r>
        <w:rPr>
          <w:rFonts w:ascii="Arial" w:hAnsi="Arial" w:cs="Arial"/>
          <w:sz w:val="22"/>
          <w:szCs w:val="22"/>
          <w:lang w:eastAsia="en-US"/>
        </w:rPr>
        <w:t xml:space="preserve"> IT to OT</w:t>
      </w:r>
      <w:r w:rsidRPr="00104AE8">
        <w:rPr>
          <w:rFonts w:ascii="Arial" w:hAnsi="Arial" w:cs="Arial"/>
          <w:sz w:val="22"/>
          <w:szCs w:val="22"/>
          <w:lang w:eastAsia="en-US"/>
        </w:rPr>
        <w:t xml:space="preserve"> Connections can be efficiently blocked by deploying high availability industrial firewalls between corporate subnets, cloud management platforms and shop floor </w:t>
      </w:r>
      <w:r>
        <w:rPr>
          <w:rFonts w:ascii="Arial" w:hAnsi="Arial" w:cs="Arial"/>
          <w:sz w:val="22"/>
          <w:szCs w:val="22"/>
          <w:lang w:eastAsia="en-US"/>
        </w:rPr>
        <w:t>P</w:t>
      </w:r>
      <w:r w:rsidRPr="00104AE8">
        <w:rPr>
          <w:rFonts w:ascii="Arial" w:hAnsi="Arial" w:cs="Arial"/>
          <w:sz w:val="22"/>
          <w:szCs w:val="22"/>
          <w:lang w:eastAsia="en-US"/>
        </w:rPr>
        <w:t>rogrammable</w:t>
      </w:r>
      <w:r>
        <w:rPr>
          <w:rFonts w:ascii="Arial" w:hAnsi="Arial" w:cs="Arial"/>
          <w:sz w:val="22"/>
          <w:szCs w:val="22"/>
          <w:lang w:eastAsia="en-US"/>
        </w:rPr>
        <w:t xml:space="preserve"> L</w:t>
      </w:r>
      <w:r w:rsidRPr="00104AE8">
        <w:rPr>
          <w:rFonts w:ascii="Arial" w:hAnsi="Arial" w:cs="Arial"/>
          <w:sz w:val="22"/>
          <w:szCs w:val="22"/>
          <w:lang w:eastAsia="en-US"/>
        </w:rPr>
        <w:t xml:space="preserve">ogic </w:t>
      </w:r>
      <w:r>
        <w:rPr>
          <w:rFonts w:ascii="Arial" w:hAnsi="Arial" w:cs="Arial"/>
          <w:sz w:val="22"/>
          <w:szCs w:val="22"/>
          <w:lang w:eastAsia="en-US"/>
        </w:rPr>
        <w:t>C</w:t>
      </w:r>
      <w:r w:rsidRPr="00104AE8">
        <w:rPr>
          <w:rFonts w:ascii="Arial" w:hAnsi="Arial" w:cs="Arial"/>
          <w:sz w:val="22"/>
          <w:szCs w:val="22"/>
          <w:lang w:eastAsia="en-US"/>
        </w:rPr>
        <w:t>ontrollers.</w:t>
      </w:r>
      <w:r>
        <w:rPr>
          <w:rFonts w:ascii="Arial" w:hAnsi="Arial" w:cs="Arial"/>
          <w:sz w:val="22"/>
          <w:szCs w:val="22"/>
          <w:lang w:eastAsia="en-US"/>
        </w:rPr>
        <w:t xml:space="preserve"> </w:t>
      </w:r>
      <w:r w:rsidRPr="00104AE8">
        <w:rPr>
          <w:rFonts w:ascii="Arial" w:hAnsi="Arial" w:cs="Arial"/>
          <w:sz w:val="22"/>
          <w:szCs w:val="22"/>
          <w:lang w:eastAsia="en-US"/>
        </w:rPr>
        <w:t xml:space="preserve">To add, incorporating </w:t>
      </w:r>
      <w:r>
        <w:rPr>
          <w:rFonts w:ascii="Arial" w:hAnsi="Arial" w:cs="Arial"/>
          <w:sz w:val="22"/>
          <w:szCs w:val="22"/>
          <w:lang w:eastAsia="en-US"/>
        </w:rPr>
        <w:t>D</w:t>
      </w:r>
      <w:r w:rsidRPr="00104AE8">
        <w:rPr>
          <w:rFonts w:ascii="Arial" w:hAnsi="Arial" w:cs="Arial"/>
          <w:sz w:val="22"/>
          <w:szCs w:val="22"/>
          <w:lang w:eastAsia="en-US"/>
        </w:rPr>
        <w:t xml:space="preserve">eep </w:t>
      </w:r>
      <w:r>
        <w:rPr>
          <w:rFonts w:ascii="Arial" w:hAnsi="Arial" w:cs="Arial"/>
          <w:sz w:val="22"/>
          <w:szCs w:val="22"/>
          <w:lang w:eastAsia="en-US"/>
        </w:rPr>
        <w:t>P</w:t>
      </w:r>
      <w:r w:rsidRPr="00104AE8">
        <w:rPr>
          <w:rFonts w:ascii="Arial" w:hAnsi="Arial" w:cs="Arial"/>
          <w:sz w:val="22"/>
          <w:szCs w:val="22"/>
          <w:lang w:eastAsia="en-US"/>
        </w:rPr>
        <w:t xml:space="preserve">acket </w:t>
      </w:r>
      <w:r>
        <w:rPr>
          <w:rFonts w:ascii="Arial" w:hAnsi="Arial" w:cs="Arial"/>
          <w:sz w:val="22"/>
          <w:szCs w:val="22"/>
          <w:lang w:eastAsia="en-US"/>
        </w:rPr>
        <w:t>I</w:t>
      </w:r>
      <w:r w:rsidRPr="00104AE8">
        <w:rPr>
          <w:rFonts w:ascii="Arial" w:hAnsi="Arial" w:cs="Arial"/>
          <w:sz w:val="22"/>
          <w:szCs w:val="22"/>
          <w:lang w:eastAsia="en-US"/>
        </w:rPr>
        <w:t>nspection</w:t>
      </w:r>
      <w:r>
        <w:rPr>
          <w:rFonts w:ascii="Arial" w:hAnsi="Arial" w:cs="Arial"/>
          <w:sz w:val="22"/>
          <w:szCs w:val="22"/>
          <w:lang w:eastAsia="en-US"/>
        </w:rPr>
        <w:t xml:space="preserve"> (DPI) </w:t>
      </w:r>
      <w:r w:rsidRPr="00104AE8">
        <w:rPr>
          <w:rFonts w:ascii="Arial" w:hAnsi="Arial" w:cs="Arial"/>
          <w:sz w:val="22"/>
          <w:szCs w:val="22"/>
          <w:lang w:eastAsia="en-US"/>
        </w:rPr>
        <w:t xml:space="preserve">Allows security devices to inspect and authenticate industrial protocol commands before execution, resulting in neutralising unauthorised </w:t>
      </w:r>
      <w:r>
        <w:rPr>
          <w:rFonts w:ascii="Arial" w:hAnsi="Arial" w:cs="Arial"/>
          <w:sz w:val="22"/>
          <w:szCs w:val="22"/>
          <w:lang w:eastAsia="en-US"/>
        </w:rPr>
        <w:t xml:space="preserve">access. </w:t>
      </w:r>
    </w:p>
    <w:p w14:paraId="75CC61ED" w14:textId="77777777" w:rsidR="00104AE8" w:rsidRDefault="00104AE8" w:rsidP="003532E9">
      <w:pPr>
        <w:jc w:val="both"/>
        <w:rPr>
          <w:rFonts w:ascii="Arial" w:hAnsi="Arial" w:cs="Arial"/>
          <w:sz w:val="22"/>
          <w:szCs w:val="22"/>
          <w:lang w:eastAsia="en-US"/>
        </w:rPr>
      </w:pPr>
    </w:p>
    <w:p w14:paraId="6DB64C1E" w14:textId="404BC620" w:rsidR="00104AE8" w:rsidRDefault="00104AE8" w:rsidP="003532E9">
      <w:pPr>
        <w:jc w:val="both"/>
        <w:rPr>
          <w:rFonts w:ascii="Arial" w:hAnsi="Arial" w:cs="Arial"/>
          <w:sz w:val="22"/>
          <w:szCs w:val="22"/>
          <w:lang w:eastAsia="en-US"/>
        </w:rPr>
      </w:pPr>
      <w:r w:rsidRPr="00104AE8">
        <w:rPr>
          <w:rFonts w:ascii="Arial" w:hAnsi="Arial" w:cs="Arial"/>
          <w:sz w:val="22"/>
          <w:szCs w:val="22"/>
          <w:lang w:eastAsia="en-US"/>
        </w:rPr>
        <w:t>Multi-Factor Authentication (MFA) and Access Governance</w:t>
      </w:r>
      <w:r>
        <w:rPr>
          <w:rFonts w:ascii="Arial" w:hAnsi="Arial" w:cs="Arial"/>
          <w:sz w:val="22"/>
          <w:szCs w:val="22"/>
          <w:lang w:eastAsia="en-US"/>
        </w:rPr>
        <w:t>:</w:t>
      </w:r>
    </w:p>
    <w:p w14:paraId="33ACA52F" w14:textId="323CBA65" w:rsidR="00104AE8" w:rsidRDefault="009F3589" w:rsidP="003532E9">
      <w:pPr>
        <w:jc w:val="both"/>
        <w:rPr>
          <w:rFonts w:ascii="Arial" w:hAnsi="Arial" w:cs="Arial"/>
          <w:sz w:val="22"/>
          <w:szCs w:val="22"/>
          <w:lang w:eastAsia="en-US"/>
        </w:rPr>
      </w:pPr>
      <w:r w:rsidRPr="009F3589">
        <w:rPr>
          <w:rFonts w:ascii="Arial" w:hAnsi="Arial" w:cs="Arial"/>
          <w:sz w:val="22"/>
          <w:szCs w:val="22"/>
          <w:lang w:eastAsia="en-US"/>
        </w:rPr>
        <w:t>They must also implement stringent logical access restrictions across all company systems to fight speed efficient tactics credential harvesting risks</w:t>
      </w:r>
      <w:r>
        <w:rPr>
          <w:rFonts w:ascii="Arial" w:hAnsi="Arial" w:cs="Arial"/>
          <w:sz w:val="22"/>
          <w:szCs w:val="22"/>
          <w:lang w:eastAsia="en-US"/>
        </w:rPr>
        <w:t xml:space="preserve"> </w:t>
      </w:r>
      <w:sdt>
        <w:sdtPr>
          <w:rPr>
            <w:rFonts w:ascii="Arial" w:hAnsi="Arial" w:cs="Arial"/>
            <w:sz w:val="22"/>
            <w:szCs w:val="22"/>
            <w:lang w:eastAsia="en-US"/>
          </w:rPr>
          <w:id w:val="-1499257994"/>
          <w:citation/>
        </w:sdtPr>
        <w:sdtContent>
          <w:r>
            <w:rPr>
              <w:rFonts w:ascii="Arial" w:hAnsi="Arial" w:cs="Arial"/>
              <w:sz w:val="22"/>
              <w:szCs w:val="22"/>
              <w:lang w:eastAsia="en-US"/>
            </w:rPr>
            <w:fldChar w:fldCharType="begin"/>
          </w:r>
          <w:r>
            <w:rPr>
              <w:rFonts w:ascii="Arial" w:hAnsi="Arial" w:cs="Arial"/>
              <w:sz w:val="22"/>
              <w:szCs w:val="22"/>
              <w:lang w:eastAsia="en-US"/>
            </w:rPr>
            <w:instrText xml:space="preserve"> CITATION CIS16 \l 2057 </w:instrText>
          </w:r>
          <w:r>
            <w:rPr>
              <w:rFonts w:ascii="Arial" w:hAnsi="Arial" w:cs="Arial"/>
              <w:sz w:val="22"/>
              <w:szCs w:val="22"/>
              <w:lang w:eastAsia="en-US"/>
            </w:rPr>
            <w:fldChar w:fldCharType="separate"/>
          </w:r>
          <w:r w:rsidRPr="009F3589">
            <w:rPr>
              <w:rFonts w:ascii="Arial" w:hAnsi="Arial" w:cs="Arial"/>
              <w:noProof/>
              <w:sz w:val="22"/>
              <w:szCs w:val="22"/>
              <w:lang w:eastAsia="en-US"/>
            </w:rPr>
            <w:t>[15]</w:t>
          </w:r>
          <w:r>
            <w:rPr>
              <w:rFonts w:ascii="Arial" w:hAnsi="Arial" w:cs="Arial"/>
              <w:sz w:val="22"/>
              <w:szCs w:val="22"/>
              <w:lang w:eastAsia="en-US"/>
            </w:rPr>
            <w:fldChar w:fldCharType="end"/>
          </w:r>
        </w:sdtContent>
      </w:sdt>
      <w:r>
        <w:rPr>
          <w:rFonts w:ascii="Arial" w:hAnsi="Arial" w:cs="Arial"/>
          <w:sz w:val="22"/>
          <w:szCs w:val="22"/>
          <w:lang w:eastAsia="en-US"/>
        </w:rPr>
        <w:t xml:space="preserve">. </w:t>
      </w:r>
      <w:r w:rsidR="001E3C2B" w:rsidRPr="001E3C2B">
        <w:rPr>
          <w:rFonts w:ascii="Arial" w:hAnsi="Arial" w:cs="Arial"/>
          <w:sz w:val="22"/>
          <w:szCs w:val="22"/>
          <w:lang w:eastAsia="en-US"/>
        </w:rPr>
        <w:t>Third party engineering contractors must require time bound session restrictions and hardware backed cryptographic tokens for remote maintenance channels. Furthermore, restricting administrative privileges through</w:t>
      </w:r>
      <w:r w:rsidR="001E3C2B">
        <w:rPr>
          <w:rFonts w:ascii="Arial" w:hAnsi="Arial" w:cs="Arial"/>
          <w:sz w:val="22"/>
          <w:szCs w:val="22"/>
          <w:lang w:eastAsia="en-US"/>
        </w:rPr>
        <w:t xml:space="preserve"> Just In Time (JIT)</w:t>
      </w:r>
      <w:r w:rsidR="001E3C2B" w:rsidRPr="001E3C2B">
        <w:rPr>
          <w:rFonts w:ascii="Arial" w:hAnsi="Arial" w:cs="Arial"/>
          <w:sz w:val="22"/>
          <w:szCs w:val="22"/>
          <w:lang w:eastAsia="en-US"/>
        </w:rPr>
        <w:t xml:space="preserve"> access models ensures that user accounts cannot take advantage of elevated permissions to change important operational settings. </w:t>
      </w:r>
    </w:p>
    <w:p w14:paraId="61046217" w14:textId="77777777" w:rsidR="00BC6AD2" w:rsidRDefault="00BC6AD2" w:rsidP="003532E9">
      <w:pPr>
        <w:jc w:val="both"/>
        <w:rPr>
          <w:rFonts w:ascii="Arial" w:hAnsi="Arial" w:cs="Arial"/>
          <w:sz w:val="22"/>
          <w:szCs w:val="22"/>
          <w:lang w:eastAsia="en-US"/>
        </w:rPr>
      </w:pPr>
    </w:p>
    <w:p w14:paraId="62D3752B" w14:textId="1BEEE046" w:rsidR="00BC6AD2" w:rsidRDefault="00BC6AD2" w:rsidP="003532E9">
      <w:pPr>
        <w:jc w:val="both"/>
        <w:rPr>
          <w:rFonts w:ascii="Arial" w:hAnsi="Arial" w:cs="Arial"/>
          <w:sz w:val="22"/>
          <w:szCs w:val="22"/>
          <w:lang w:eastAsia="en-US"/>
        </w:rPr>
      </w:pPr>
      <w:r w:rsidRPr="00BC6AD2">
        <w:rPr>
          <w:rFonts w:ascii="Arial" w:hAnsi="Arial" w:cs="Arial"/>
          <w:sz w:val="22"/>
          <w:szCs w:val="22"/>
          <w:lang w:eastAsia="en-US"/>
        </w:rPr>
        <w:t>Removable Media Sanitization and Asset Tracking</w:t>
      </w:r>
      <w:r>
        <w:rPr>
          <w:rFonts w:ascii="Arial" w:hAnsi="Arial" w:cs="Arial"/>
          <w:sz w:val="22"/>
          <w:szCs w:val="22"/>
          <w:lang w:eastAsia="en-US"/>
        </w:rPr>
        <w:t>:</w:t>
      </w:r>
    </w:p>
    <w:p w14:paraId="4E817C41" w14:textId="33929DC0" w:rsidR="00BC6AD2" w:rsidRDefault="00BC6AD2" w:rsidP="003532E9">
      <w:pPr>
        <w:jc w:val="both"/>
        <w:rPr>
          <w:rFonts w:ascii="Arial" w:hAnsi="Arial" w:cs="Arial"/>
          <w:sz w:val="22"/>
          <w:szCs w:val="22"/>
          <w:lang w:eastAsia="en-US"/>
        </w:rPr>
      </w:pPr>
      <w:r w:rsidRPr="00BC6AD2">
        <w:rPr>
          <w:rFonts w:ascii="Arial" w:hAnsi="Arial" w:cs="Arial"/>
          <w:sz w:val="22"/>
          <w:szCs w:val="22"/>
          <w:lang w:eastAsia="en-US"/>
        </w:rPr>
        <w:t xml:space="preserve">Physical USB ports on all engineering workstations and human machine interfaces must be deactivated to avoid insider threat abuse and unintentional </w:t>
      </w:r>
      <w:r w:rsidR="001C7797">
        <w:rPr>
          <w:rFonts w:ascii="Arial" w:hAnsi="Arial" w:cs="Arial"/>
          <w:sz w:val="22"/>
          <w:szCs w:val="22"/>
          <w:lang w:eastAsia="en-US"/>
        </w:rPr>
        <w:t xml:space="preserve">spread of viruses </w:t>
      </w:r>
      <w:r w:rsidR="001C7797" w:rsidRPr="001C7797">
        <w:rPr>
          <w:rFonts w:ascii="Arial" w:hAnsi="Arial" w:cs="Arial"/>
          <w:sz w:val="22"/>
          <w:szCs w:val="22"/>
          <w:lang w:eastAsia="en-US"/>
        </w:rPr>
        <w:t>Through removable media</w:t>
      </w:r>
      <w:r w:rsidR="001C7797">
        <w:rPr>
          <w:rFonts w:ascii="Arial" w:hAnsi="Arial" w:cs="Arial"/>
          <w:sz w:val="22"/>
          <w:szCs w:val="22"/>
          <w:lang w:eastAsia="en-US"/>
        </w:rPr>
        <w:t xml:space="preserve"> </w:t>
      </w:r>
      <w:sdt>
        <w:sdtPr>
          <w:rPr>
            <w:rFonts w:ascii="Arial" w:hAnsi="Arial" w:cs="Arial"/>
            <w:sz w:val="22"/>
            <w:szCs w:val="22"/>
            <w:lang w:eastAsia="en-US"/>
          </w:rPr>
          <w:id w:val="2131811390"/>
          <w:citation/>
        </w:sdtPr>
        <w:sdtContent>
          <w:r w:rsidR="001C7797">
            <w:rPr>
              <w:rFonts w:ascii="Arial" w:hAnsi="Arial" w:cs="Arial"/>
              <w:sz w:val="22"/>
              <w:szCs w:val="22"/>
              <w:lang w:eastAsia="en-US"/>
            </w:rPr>
            <w:fldChar w:fldCharType="begin"/>
          </w:r>
          <w:r w:rsidR="001C7797">
            <w:rPr>
              <w:rFonts w:ascii="Arial" w:hAnsi="Arial" w:cs="Arial"/>
              <w:sz w:val="22"/>
              <w:szCs w:val="22"/>
              <w:lang w:eastAsia="en-US"/>
            </w:rPr>
            <w:instrText xml:space="preserve"> CITATION Cen24 \l 2057 </w:instrText>
          </w:r>
          <w:r w:rsidR="001C7797">
            <w:rPr>
              <w:rFonts w:ascii="Arial" w:hAnsi="Arial" w:cs="Arial"/>
              <w:sz w:val="22"/>
              <w:szCs w:val="22"/>
              <w:lang w:eastAsia="en-US"/>
            </w:rPr>
            <w:fldChar w:fldCharType="separate"/>
          </w:r>
          <w:r w:rsidR="001C7797" w:rsidRPr="001C7797">
            <w:rPr>
              <w:rFonts w:ascii="Arial" w:hAnsi="Arial" w:cs="Arial"/>
              <w:noProof/>
              <w:sz w:val="22"/>
              <w:szCs w:val="22"/>
              <w:lang w:eastAsia="en-US"/>
            </w:rPr>
            <w:t>[16]</w:t>
          </w:r>
          <w:r w:rsidR="001C7797">
            <w:rPr>
              <w:rFonts w:ascii="Arial" w:hAnsi="Arial" w:cs="Arial"/>
              <w:sz w:val="22"/>
              <w:szCs w:val="22"/>
              <w:lang w:eastAsia="en-US"/>
            </w:rPr>
            <w:fldChar w:fldCharType="end"/>
          </w:r>
        </w:sdtContent>
      </w:sdt>
      <w:r w:rsidR="001C7797">
        <w:rPr>
          <w:rFonts w:ascii="Arial" w:hAnsi="Arial" w:cs="Arial"/>
          <w:sz w:val="22"/>
          <w:szCs w:val="22"/>
          <w:lang w:eastAsia="en-US"/>
        </w:rPr>
        <w:t xml:space="preserve">. </w:t>
      </w:r>
      <w:r w:rsidR="001C7797" w:rsidRPr="001C7797">
        <w:rPr>
          <w:rFonts w:ascii="Arial" w:hAnsi="Arial" w:cs="Arial"/>
          <w:sz w:val="22"/>
          <w:szCs w:val="22"/>
          <w:lang w:eastAsia="en-US"/>
        </w:rPr>
        <w:t>At facility access points, specific hardware scanning kiosks must be used for any necessary external drive usage. Before file transfers to production systems are allowed, storage devices uh cleaned thoroughly using specific kiosk tools and an automated asset management site keeps track of all active</w:t>
      </w:r>
      <w:r w:rsidR="001C7797">
        <w:rPr>
          <w:rFonts w:ascii="Arial" w:hAnsi="Arial" w:cs="Arial"/>
          <w:sz w:val="22"/>
          <w:szCs w:val="22"/>
          <w:lang w:eastAsia="en-US"/>
        </w:rPr>
        <w:t xml:space="preserve"> IoT</w:t>
      </w:r>
      <w:r w:rsidR="001C7797" w:rsidRPr="001C7797">
        <w:rPr>
          <w:rFonts w:ascii="Arial" w:hAnsi="Arial" w:cs="Arial"/>
          <w:sz w:val="22"/>
          <w:szCs w:val="22"/>
          <w:lang w:eastAsia="en-US"/>
        </w:rPr>
        <w:t xml:space="preserve"> hardware in real time</w:t>
      </w:r>
      <w:r w:rsidR="001C7797">
        <w:rPr>
          <w:rFonts w:ascii="Arial" w:hAnsi="Arial" w:cs="Arial"/>
          <w:sz w:val="22"/>
          <w:szCs w:val="22"/>
          <w:lang w:eastAsia="en-US"/>
        </w:rPr>
        <w:t xml:space="preserve"> </w:t>
      </w:r>
      <w:sdt>
        <w:sdtPr>
          <w:rPr>
            <w:rFonts w:ascii="Arial" w:hAnsi="Arial" w:cs="Arial"/>
            <w:sz w:val="22"/>
            <w:szCs w:val="22"/>
            <w:lang w:eastAsia="en-US"/>
          </w:rPr>
          <w:id w:val="-446009673"/>
          <w:citation/>
        </w:sdtPr>
        <w:sdtContent>
          <w:r w:rsidR="001C7797">
            <w:rPr>
              <w:rFonts w:ascii="Arial" w:hAnsi="Arial" w:cs="Arial"/>
              <w:sz w:val="22"/>
              <w:szCs w:val="22"/>
              <w:lang w:eastAsia="en-US"/>
            </w:rPr>
            <w:fldChar w:fldCharType="begin"/>
          </w:r>
          <w:r w:rsidR="001C7797">
            <w:rPr>
              <w:rFonts w:ascii="Arial" w:hAnsi="Arial" w:cs="Arial"/>
              <w:sz w:val="22"/>
              <w:szCs w:val="22"/>
              <w:lang w:eastAsia="en-US"/>
            </w:rPr>
            <w:instrText xml:space="preserve"> CITATION Joi20 \l 2057 </w:instrText>
          </w:r>
          <w:r w:rsidR="001C7797">
            <w:rPr>
              <w:rFonts w:ascii="Arial" w:hAnsi="Arial" w:cs="Arial"/>
              <w:sz w:val="22"/>
              <w:szCs w:val="22"/>
              <w:lang w:eastAsia="en-US"/>
            </w:rPr>
            <w:fldChar w:fldCharType="separate"/>
          </w:r>
          <w:r w:rsidR="001C7797" w:rsidRPr="001C7797">
            <w:rPr>
              <w:rFonts w:ascii="Arial" w:hAnsi="Arial" w:cs="Arial"/>
              <w:noProof/>
              <w:sz w:val="22"/>
              <w:szCs w:val="22"/>
              <w:lang w:eastAsia="en-US"/>
            </w:rPr>
            <w:t>[17]</w:t>
          </w:r>
          <w:r w:rsidR="001C7797">
            <w:rPr>
              <w:rFonts w:ascii="Arial" w:hAnsi="Arial" w:cs="Arial"/>
              <w:sz w:val="22"/>
              <w:szCs w:val="22"/>
              <w:lang w:eastAsia="en-US"/>
            </w:rPr>
            <w:fldChar w:fldCharType="end"/>
          </w:r>
        </w:sdtContent>
      </w:sdt>
      <w:r w:rsidR="001C7797">
        <w:rPr>
          <w:rFonts w:ascii="Arial" w:hAnsi="Arial" w:cs="Arial"/>
          <w:sz w:val="22"/>
          <w:szCs w:val="22"/>
          <w:lang w:eastAsia="en-US"/>
        </w:rPr>
        <w:t xml:space="preserve">. </w:t>
      </w:r>
    </w:p>
    <w:p w14:paraId="7042FDB6" w14:textId="77777777" w:rsidR="001C7797" w:rsidRDefault="001C7797" w:rsidP="003532E9">
      <w:pPr>
        <w:jc w:val="both"/>
        <w:rPr>
          <w:rFonts w:ascii="Arial" w:hAnsi="Arial" w:cs="Arial"/>
          <w:sz w:val="22"/>
          <w:szCs w:val="22"/>
          <w:lang w:eastAsia="en-US"/>
        </w:rPr>
      </w:pPr>
    </w:p>
    <w:p w14:paraId="4C13760E" w14:textId="581D3CED" w:rsidR="001C7797" w:rsidRDefault="001C7797" w:rsidP="001C7797">
      <w:pPr>
        <w:pStyle w:val="Heading1"/>
        <w:rPr>
          <w:rFonts w:ascii="Arial" w:hAnsi="Arial" w:cs="Arial"/>
          <w:b/>
          <w:bCs/>
          <w:sz w:val="28"/>
          <w:szCs w:val="28"/>
          <w:lang w:eastAsia="en-US"/>
        </w:rPr>
      </w:pPr>
      <w:bookmarkStart w:id="10" w:name="_Toc235668540"/>
      <w:r w:rsidRPr="001C7797">
        <w:rPr>
          <w:rFonts w:ascii="Arial" w:hAnsi="Arial" w:cs="Arial"/>
          <w:b/>
          <w:bCs/>
          <w:sz w:val="28"/>
          <w:szCs w:val="28"/>
          <w:lang w:eastAsia="en-US"/>
        </w:rPr>
        <w:t>Incident Response and Continuous Improvement</w:t>
      </w:r>
      <w:bookmarkEnd w:id="10"/>
    </w:p>
    <w:p w14:paraId="32CAC29C" w14:textId="77777777" w:rsidR="001C7797" w:rsidRDefault="001C7797" w:rsidP="001C7797">
      <w:pPr>
        <w:rPr>
          <w:lang w:eastAsia="en-US"/>
        </w:rPr>
      </w:pPr>
    </w:p>
    <w:p w14:paraId="2646AECD" w14:textId="28532F90" w:rsidR="001C7797" w:rsidRPr="00F9066A" w:rsidRDefault="001C7797" w:rsidP="000B7377">
      <w:pPr>
        <w:jc w:val="both"/>
        <w:rPr>
          <w:rFonts w:ascii="Arial" w:hAnsi="Arial" w:cs="Arial"/>
          <w:sz w:val="22"/>
          <w:szCs w:val="22"/>
          <w:lang w:eastAsia="en-US"/>
        </w:rPr>
      </w:pPr>
      <w:r w:rsidRPr="00F9066A">
        <w:rPr>
          <w:rFonts w:ascii="Arial" w:hAnsi="Arial" w:cs="Arial"/>
          <w:sz w:val="22"/>
          <w:szCs w:val="22"/>
          <w:lang w:eastAsia="en-US"/>
        </w:rPr>
        <w:t>To guarantee that SFM maintains operational resilience against changing cyber threats, a robust incident response and continuous improvement strategy must be in place</w:t>
      </w:r>
      <w:r w:rsidR="000B7377" w:rsidRPr="00F9066A">
        <w:rPr>
          <w:rFonts w:ascii="Arial" w:hAnsi="Arial" w:cs="Arial"/>
          <w:sz w:val="22"/>
          <w:szCs w:val="22"/>
          <w:lang w:eastAsia="en-US"/>
        </w:rPr>
        <w:t xml:space="preserve"> </w:t>
      </w:r>
      <w:sdt>
        <w:sdtPr>
          <w:rPr>
            <w:rFonts w:ascii="Arial" w:hAnsi="Arial" w:cs="Arial"/>
            <w:sz w:val="22"/>
            <w:szCs w:val="22"/>
            <w:lang w:eastAsia="en-US"/>
          </w:rPr>
          <w:id w:val="209693264"/>
          <w:citation/>
        </w:sdtPr>
        <w:sdtContent>
          <w:r w:rsidR="000B7377" w:rsidRPr="00F9066A">
            <w:rPr>
              <w:rFonts w:ascii="Arial" w:hAnsi="Arial" w:cs="Arial"/>
              <w:sz w:val="22"/>
              <w:szCs w:val="22"/>
              <w:lang w:eastAsia="en-US"/>
            </w:rPr>
            <w:fldChar w:fldCharType="begin"/>
          </w:r>
          <w:r w:rsidR="000B7377" w:rsidRPr="00F9066A">
            <w:rPr>
              <w:rFonts w:ascii="Arial" w:hAnsi="Arial" w:cs="Arial"/>
              <w:sz w:val="22"/>
              <w:szCs w:val="22"/>
              <w:lang w:eastAsia="en-US"/>
            </w:rPr>
            <w:instrText xml:space="preserve"> CITATION ISO221 \l 2057 </w:instrText>
          </w:r>
          <w:r w:rsidR="000B7377" w:rsidRPr="00F9066A">
            <w:rPr>
              <w:rFonts w:ascii="Arial" w:hAnsi="Arial" w:cs="Arial"/>
              <w:sz w:val="22"/>
              <w:szCs w:val="22"/>
              <w:lang w:eastAsia="en-US"/>
            </w:rPr>
            <w:fldChar w:fldCharType="separate"/>
          </w:r>
          <w:r w:rsidR="000B7377" w:rsidRPr="00F9066A">
            <w:rPr>
              <w:rFonts w:ascii="Arial" w:hAnsi="Arial" w:cs="Arial"/>
              <w:noProof/>
              <w:sz w:val="22"/>
              <w:szCs w:val="22"/>
              <w:lang w:eastAsia="en-US"/>
            </w:rPr>
            <w:t>[18]</w:t>
          </w:r>
          <w:r w:rsidR="000B7377" w:rsidRPr="00F9066A">
            <w:rPr>
              <w:rFonts w:ascii="Arial" w:hAnsi="Arial" w:cs="Arial"/>
              <w:sz w:val="22"/>
              <w:szCs w:val="22"/>
              <w:lang w:eastAsia="en-US"/>
            </w:rPr>
            <w:fldChar w:fldCharType="end"/>
          </w:r>
        </w:sdtContent>
      </w:sdt>
      <w:r w:rsidR="000B7377" w:rsidRPr="00F9066A">
        <w:rPr>
          <w:rFonts w:ascii="Arial" w:hAnsi="Arial" w:cs="Arial"/>
          <w:sz w:val="22"/>
          <w:szCs w:val="22"/>
          <w:lang w:eastAsia="en-US"/>
        </w:rPr>
        <w:t xml:space="preserve">. A structured approach like this ensures security incidents are systematically addressed and </w:t>
      </w:r>
      <w:proofErr w:type="gramStart"/>
      <w:r w:rsidR="000B7377" w:rsidRPr="00F9066A">
        <w:rPr>
          <w:rFonts w:ascii="Arial" w:hAnsi="Arial" w:cs="Arial"/>
          <w:sz w:val="22"/>
          <w:szCs w:val="22"/>
          <w:lang w:eastAsia="en-US"/>
        </w:rPr>
        <w:t>long term</w:t>
      </w:r>
      <w:proofErr w:type="gramEnd"/>
      <w:r w:rsidR="000B7377" w:rsidRPr="00F9066A">
        <w:rPr>
          <w:rFonts w:ascii="Arial" w:hAnsi="Arial" w:cs="Arial"/>
          <w:sz w:val="22"/>
          <w:szCs w:val="22"/>
          <w:lang w:eastAsia="en-US"/>
        </w:rPr>
        <w:t xml:space="preserve"> security postures are continuously improved. </w:t>
      </w:r>
    </w:p>
    <w:p w14:paraId="0B1973D5" w14:textId="1720E010" w:rsidR="000B7377" w:rsidRDefault="000B7377" w:rsidP="000B7377">
      <w:pPr>
        <w:jc w:val="both"/>
        <w:rPr>
          <w:rFonts w:ascii="Arial" w:hAnsi="Arial" w:cs="Arial"/>
          <w:sz w:val="22"/>
          <w:szCs w:val="22"/>
          <w:lang w:eastAsia="en-US"/>
        </w:rPr>
      </w:pPr>
      <w:r w:rsidRPr="00F9066A">
        <w:rPr>
          <w:rFonts w:ascii="Arial" w:hAnsi="Arial" w:cs="Arial"/>
          <w:sz w:val="22"/>
          <w:szCs w:val="22"/>
          <w:lang w:eastAsia="en-US"/>
        </w:rPr>
        <w:t>An effective incident response plan must have clear escalation paths and operational workflows across IT and OT environments</w:t>
      </w:r>
      <w:sdt>
        <w:sdtPr>
          <w:rPr>
            <w:rFonts w:ascii="Arial" w:hAnsi="Arial" w:cs="Arial"/>
            <w:sz w:val="22"/>
            <w:szCs w:val="22"/>
            <w:lang w:eastAsia="en-US"/>
          </w:rPr>
          <w:id w:val="-624538143"/>
          <w:citation/>
        </w:sdtPr>
        <w:sdtContent>
          <w:r w:rsidRPr="00F9066A">
            <w:rPr>
              <w:rFonts w:ascii="Arial" w:hAnsi="Arial" w:cs="Arial"/>
              <w:sz w:val="22"/>
              <w:szCs w:val="22"/>
              <w:lang w:eastAsia="en-US"/>
            </w:rPr>
            <w:fldChar w:fldCharType="begin"/>
          </w:r>
          <w:r w:rsidRPr="00F9066A">
            <w:rPr>
              <w:rFonts w:ascii="Arial" w:hAnsi="Arial" w:cs="Arial"/>
              <w:sz w:val="22"/>
              <w:szCs w:val="22"/>
              <w:lang w:eastAsia="en-US"/>
            </w:rPr>
            <w:instrText xml:space="preserve"> CITATION ISO221 \l 2057 </w:instrText>
          </w:r>
          <w:r w:rsidRPr="00F9066A">
            <w:rPr>
              <w:rFonts w:ascii="Arial" w:hAnsi="Arial" w:cs="Arial"/>
              <w:sz w:val="22"/>
              <w:szCs w:val="22"/>
              <w:lang w:eastAsia="en-US"/>
            </w:rPr>
            <w:fldChar w:fldCharType="separate"/>
          </w:r>
          <w:r w:rsidRPr="00F9066A">
            <w:rPr>
              <w:rFonts w:ascii="Arial" w:hAnsi="Arial" w:cs="Arial"/>
              <w:noProof/>
              <w:sz w:val="22"/>
              <w:szCs w:val="22"/>
              <w:lang w:eastAsia="en-US"/>
            </w:rPr>
            <w:t xml:space="preserve"> [18]</w:t>
          </w:r>
          <w:r w:rsidRPr="00F9066A">
            <w:rPr>
              <w:rFonts w:ascii="Arial" w:hAnsi="Arial" w:cs="Arial"/>
              <w:sz w:val="22"/>
              <w:szCs w:val="22"/>
              <w:lang w:eastAsia="en-US"/>
            </w:rPr>
            <w:fldChar w:fldCharType="end"/>
          </w:r>
        </w:sdtContent>
      </w:sdt>
      <w:r w:rsidRPr="00F9066A">
        <w:rPr>
          <w:rFonts w:ascii="Arial" w:hAnsi="Arial" w:cs="Arial"/>
          <w:sz w:val="22"/>
          <w:szCs w:val="22"/>
          <w:lang w:eastAsia="en-US"/>
        </w:rPr>
        <w:t xml:space="preserve">. Continuous telemetry analysis is used through automated monitoring systems, such as Endpoint Detection and Response (EDR) Platforms and Security Information and Event Management (SIEM) systems, to identify suspicious activity. Designated incident managers categorise risk severity after a threat is detected </w:t>
      </w:r>
      <w:proofErr w:type="gramStart"/>
      <w:r w:rsidRPr="00F9066A">
        <w:rPr>
          <w:rFonts w:ascii="Arial" w:hAnsi="Arial" w:cs="Arial"/>
          <w:sz w:val="22"/>
          <w:szCs w:val="22"/>
          <w:lang w:eastAsia="en-US"/>
        </w:rPr>
        <w:t xml:space="preserve">in </w:t>
      </w:r>
      <w:r w:rsidRPr="00F9066A">
        <w:rPr>
          <w:rFonts w:ascii="Arial" w:hAnsi="Arial" w:cs="Arial"/>
          <w:sz w:val="22"/>
          <w:szCs w:val="22"/>
          <w:lang w:eastAsia="en-US"/>
        </w:rPr>
        <w:lastRenderedPageBreak/>
        <w:t>order to</w:t>
      </w:r>
      <w:proofErr w:type="gramEnd"/>
      <w:r w:rsidRPr="00F9066A">
        <w:rPr>
          <w:rFonts w:ascii="Arial" w:hAnsi="Arial" w:cs="Arial"/>
          <w:sz w:val="22"/>
          <w:szCs w:val="22"/>
          <w:lang w:eastAsia="en-US"/>
        </w:rPr>
        <w:t xml:space="preserve"> establish containment procedures. To stop lateral movement across production networks, promptly revoke credentials and isolate infected subnets.</w:t>
      </w:r>
    </w:p>
    <w:p w14:paraId="784BECCD" w14:textId="2E901A1D" w:rsidR="00F9066A" w:rsidRDefault="00F9066A" w:rsidP="000B7377">
      <w:pPr>
        <w:jc w:val="both"/>
        <w:rPr>
          <w:rFonts w:ascii="Arial" w:hAnsi="Arial" w:cs="Arial"/>
          <w:sz w:val="22"/>
          <w:szCs w:val="22"/>
          <w:lang w:eastAsia="en-US"/>
        </w:rPr>
      </w:pPr>
      <w:r w:rsidRPr="00F9066A">
        <w:rPr>
          <w:rFonts w:ascii="Arial" w:hAnsi="Arial" w:cs="Arial"/>
          <w:sz w:val="22"/>
          <w:szCs w:val="22"/>
          <w:lang w:eastAsia="en-US"/>
        </w:rPr>
        <w:t>Once contained, technical teams must execute forensic root cause analysis to eradicate malicious artefacts</w:t>
      </w:r>
      <w:r>
        <w:rPr>
          <w:rFonts w:ascii="Arial" w:hAnsi="Arial" w:cs="Arial"/>
          <w:sz w:val="22"/>
          <w:szCs w:val="22"/>
          <w:lang w:eastAsia="en-US"/>
        </w:rPr>
        <w:t xml:space="preserve">, </w:t>
      </w:r>
      <w:r w:rsidRPr="00F9066A">
        <w:rPr>
          <w:rFonts w:ascii="Arial" w:hAnsi="Arial" w:cs="Arial"/>
          <w:sz w:val="22"/>
          <w:szCs w:val="22"/>
          <w:lang w:eastAsia="en-US"/>
        </w:rPr>
        <w:t>Fix exploited vulnerabilities and verify system integrity</w:t>
      </w:r>
      <w:r>
        <w:rPr>
          <w:rFonts w:ascii="Arial" w:hAnsi="Arial" w:cs="Arial"/>
          <w:sz w:val="22"/>
          <w:szCs w:val="22"/>
          <w:lang w:eastAsia="en-US"/>
        </w:rPr>
        <w:t xml:space="preserve"> </w:t>
      </w:r>
      <w:sdt>
        <w:sdtPr>
          <w:rPr>
            <w:rFonts w:ascii="Arial" w:hAnsi="Arial" w:cs="Arial"/>
            <w:sz w:val="22"/>
            <w:szCs w:val="22"/>
            <w:lang w:eastAsia="en-US"/>
          </w:rPr>
          <w:id w:val="-1711410669"/>
          <w:citation/>
        </w:sdtPr>
        <w:sdtContent>
          <w:r>
            <w:rPr>
              <w:rFonts w:ascii="Arial" w:hAnsi="Arial" w:cs="Arial"/>
              <w:sz w:val="22"/>
              <w:szCs w:val="22"/>
              <w:lang w:eastAsia="en-US"/>
            </w:rPr>
            <w:fldChar w:fldCharType="begin"/>
          </w:r>
          <w:r>
            <w:rPr>
              <w:rFonts w:ascii="Arial" w:hAnsi="Arial" w:cs="Arial"/>
              <w:sz w:val="22"/>
              <w:szCs w:val="22"/>
              <w:lang w:eastAsia="en-US"/>
            </w:rPr>
            <w:instrText xml:space="preserve"> CITATION Cic12 \l 2057 </w:instrText>
          </w:r>
          <w:r>
            <w:rPr>
              <w:rFonts w:ascii="Arial" w:hAnsi="Arial" w:cs="Arial"/>
              <w:sz w:val="22"/>
              <w:szCs w:val="22"/>
              <w:lang w:eastAsia="en-US"/>
            </w:rPr>
            <w:fldChar w:fldCharType="separate"/>
          </w:r>
          <w:r w:rsidRPr="00F9066A">
            <w:rPr>
              <w:rFonts w:ascii="Arial" w:hAnsi="Arial" w:cs="Arial"/>
              <w:noProof/>
              <w:sz w:val="22"/>
              <w:szCs w:val="22"/>
              <w:lang w:eastAsia="en-US"/>
            </w:rPr>
            <w:t>[19]</w:t>
          </w:r>
          <w:r>
            <w:rPr>
              <w:rFonts w:ascii="Arial" w:hAnsi="Arial" w:cs="Arial"/>
              <w:sz w:val="22"/>
              <w:szCs w:val="22"/>
              <w:lang w:eastAsia="en-US"/>
            </w:rPr>
            <w:fldChar w:fldCharType="end"/>
          </w:r>
        </w:sdtContent>
      </w:sdt>
      <w:r>
        <w:rPr>
          <w:rFonts w:ascii="Arial" w:hAnsi="Arial" w:cs="Arial"/>
          <w:sz w:val="22"/>
          <w:szCs w:val="22"/>
          <w:lang w:eastAsia="en-US"/>
        </w:rPr>
        <w:t xml:space="preserve">. </w:t>
      </w:r>
      <w:r w:rsidRPr="00F9066A">
        <w:rPr>
          <w:rFonts w:ascii="Arial" w:hAnsi="Arial" w:cs="Arial"/>
          <w:sz w:val="22"/>
          <w:szCs w:val="22"/>
          <w:lang w:eastAsia="en-US"/>
        </w:rPr>
        <w:t>To minimise production downtime, operations are successively restored from verified, uncorrupted backups. To add, mandated reports to external agencies, such as the I</w:t>
      </w:r>
      <w:r>
        <w:rPr>
          <w:rFonts w:ascii="Arial" w:hAnsi="Arial" w:cs="Arial"/>
          <w:sz w:val="22"/>
          <w:szCs w:val="22"/>
          <w:lang w:eastAsia="en-US"/>
        </w:rPr>
        <w:t>CO (Information Commissioner’s Office),</w:t>
      </w:r>
      <w:r w:rsidRPr="00F9066A">
        <w:rPr>
          <w:rFonts w:ascii="Arial" w:hAnsi="Arial" w:cs="Arial"/>
          <w:sz w:val="22"/>
          <w:szCs w:val="22"/>
          <w:lang w:eastAsia="en-US"/>
        </w:rPr>
        <w:t xml:space="preserve"> are coordinated by legal and regulatory compliance teams in compliance with statutory breach reporting timelines</w:t>
      </w:r>
      <w:r>
        <w:rPr>
          <w:rFonts w:ascii="Arial" w:hAnsi="Arial" w:cs="Arial"/>
          <w:sz w:val="22"/>
          <w:szCs w:val="22"/>
          <w:lang w:eastAsia="en-US"/>
        </w:rPr>
        <w:t>.</w:t>
      </w:r>
    </w:p>
    <w:p w14:paraId="3398D59D" w14:textId="05BECF37" w:rsidR="00F9066A" w:rsidRDefault="00F9066A" w:rsidP="000B7377">
      <w:pPr>
        <w:jc w:val="both"/>
        <w:rPr>
          <w:rFonts w:ascii="Arial" w:hAnsi="Arial" w:cs="Arial"/>
          <w:sz w:val="22"/>
          <w:szCs w:val="22"/>
          <w:lang w:eastAsia="en-US"/>
        </w:rPr>
      </w:pPr>
      <w:r w:rsidRPr="00F9066A">
        <w:rPr>
          <w:rFonts w:ascii="Arial" w:hAnsi="Arial" w:cs="Arial"/>
          <w:sz w:val="22"/>
          <w:szCs w:val="22"/>
          <w:lang w:eastAsia="en-US"/>
        </w:rPr>
        <w:t>Leadership is then required to carry out a formal post incident review to investigate the effectiveness of the response to any security event. A centralised corrective action log is used to record identified control failures and procedural gaps. System owners are then tasked with updating technical configurations and security policies through corrective processes</w:t>
      </w:r>
      <w:r>
        <w:rPr>
          <w:rFonts w:ascii="Arial" w:hAnsi="Arial" w:cs="Arial"/>
          <w:sz w:val="22"/>
          <w:szCs w:val="22"/>
          <w:lang w:eastAsia="en-US"/>
        </w:rPr>
        <w:t>.</w:t>
      </w:r>
    </w:p>
    <w:p w14:paraId="5E744193" w14:textId="56AC0092" w:rsidR="00F9066A" w:rsidRDefault="00F9066A" w:rsidP="000B7377">
      <w:pPr>
        <w:jc w:val="both"/>
        <w:rPr>
          <w:rFonts w:ascii="Arial" w:hAnsi="Arial" w:cs="Arial"/>
          <w:sz w:val="22"/>
          <w:szCs w:val="22"/>
          <w:lang w:eastAsia="en-US"/>
        </w:rPr>
      </w:pPr>
      <w:r w:rsidRPr="00F9066A">
        <w:rPr>
          <w:rFonts w:ascii="Arial" w:hAnsi="Arial" w:cs="Arial"/>
          <w:sz w:val="22"/>
          <w:szCs w:val="22"/>
          <w:lang w:eastAsia="en-US"/>
        </w:rPr>
        <w:t>Long term resilience needs periodic internal audits to assess compliance against defined risk management benchmarks</w:t>
      </w:r>
      <w:r>
        <w:rPr>
          <w:rFonts w:ascii="Arial" w:hAnsi="Arial" w:cs="Arial"/>
          <w:sz w:val="22"/>
          <w:szCs w:val="22"/>
          <w:lang w:eastAsia="en-US"/>
        </w:rPr>
        <w:t>.</w:t>
      </w:r>
      <w:r w:rsidRPr="00F9066A">
        <w:rPr>
          <w:rFonts w:ascii="Arial" w:hAnsi="Arial" w:cs="Arial"/>
          <w:sz w:val="22"/>
          <w:szCs w:val="22"/>
          <w:lang w:eastAsia="en-US"/>
        </w:rPr>
        <w:t xml:space="preserve"> Finding new security halls is easier to find from conducting routine vulnerability assessments and penetration testing. Additionally</w:t>
      </w:r>
      <w:r>
        <w:rPr>
          <w:rFonts w:ascii="Arial" w:hAnsi="Arial" w:cs="Arial"/>
          <w:sz w:val="22"/>
          <w:szCs w:val="22"/>
          <w:lang w:eastAsia="en-US"/>
        </w:rPr>
        <w:t>,</w:t>
      </w:r>
      <w:r w:rsidRPr="00F9066A">
        <w:rPr>
          <w:rFonts w:ascii="Arial" w:hAnsi="Arial" w:cs="Arial"/>
          <w:sz w:val="22"/>
          <w:szCs w:val="22"/>
          <w:lang w:eastAsia="en-US"/>
        </w:rPr>
        <w:t xml:space="preserve"> continuous security awareness training and simulated efficient exercises cultivate an organisational culture of proactive risk reduction across all operational tiers</w:t>
      </w:r>
      <w:r>
        <w:rPr>
          <w:rFonts w:ascii="Arial" w:hAnsi="Arial" w:cs="Arial"/>
          <w:sz w:val="22"/>
          <w:szCs w:val="22"/>
          <w:lang w:eastAsia="en-US"/>
        </w:rPr>
        <w:t>.</w:t>
      </w:r>
    </w:p>
    <w:p w14:paraId="7878273F" w14:textId="77777777" w:rsidR="00F9066A" w:rsidRDefault="00F9066A" w:rsidP="000B7377">
      <w:pPr>
        <w:jc w:val="both"/>
        <w:rPr>
          <w:rFonts w:ascii="Arial" w:hAnsi="Arial" w:cs="Arial"/>
          <w:sz w:val="22"/>
          <w:szCs w:val="22"/>
          <w:lang w:eastAsia="en-US"/>
        </w:rPr>
      </w:pPr>
    </w:p>
    <w:p w14:paraId="3256C0BF" w14:textId="77777777" w:rsidR="00C13956" w:rsidRDefault="00C13956" w:rsidP="00C13956">
      <w:pPr>
        <w:keepNext/>
        <w:jc w:val="both"/>
      </w:pPr>
      <w:r>
        <w:rPr>
          <w:rFonts w:ascii="Arial" w:hAnsi="Arial" w:cs="Arial"/>
          <w:noProof/>
          <w:sz w:val="22"/>
          <w:szCs w:val="22"/>
          <w:lang w:eastAsia="en-US"/>
        </w:rPr>
        <w:lastRenderedPageBreak/>
        <w:drawing>
          <wp:inline distT="0" distB="0" distL="0" distR="0" wp14:anchorId="67EA8A9C" wp14:editId="19F95407">
            <wp:extent cx="3055620" cy="5196840"/>
            <wp:effectExtent l="0" t="0" r="0" b="3810"/>
            <wp:docPr id="17445026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502663" name="Picture 1744502663"/>
                    <pic:cNvPicPr/>
                  </pic:nvPicPr>
                  <pic:blipFill>
                    <a:blip r:embed="rId10">
                      <a:extLst>
                        <a:ext uri="{28A0092B-C50C-407E-A947-70E740481C1C}">
                          <a14:useLocalDpi xmlns:a14="http://schemas.microsoft.com/office/drawing/2010/main" val="0"/>
                        </a:ext>
                      </a:extLst>
                    </a:blip>
                    <a:stretch>
                      <a:fillRect/>
                    </a:stretch>
                  </pic:blipFill>
                  <pic:spPr>
                    <a:xfrm>
                      <a:off x="0" y="0"/>
                      <a:ext cx="3055620" cy="5196840"/>
                    </a:xfrm>
                    <a:prstGeom prst="rect">
                      <a:avLst/>
                    </a:prstGeom>
                  </pic:spPr>
                </pic:pic>
              </a:graphicData>
            </a:graphic>
          </wp:inline>
        </w:drawing>
      </w:r>
    </w:p>
    <w:p w14:paraId="2B558DB9" w14:textId="7362F095" w:rsidR="00F9066A" w:rsidRPr="00F9066A" w:rsidRDefault="00C13956" w:rsidP="00C13956">
      <w:pPr>
        <w:pStyle w:val="Caption"/>
        <w:jc w:val="both"/>
        <w:rPr>
          <w:rFonts w:ascii="Arial" w:hAnsi="Arial" w:cs="Arial"/>
          <w:sz w:val="22"/>
          <w:szCs w:val="22"/>
          <w:lang w:eastAsia="en-US"/>
        </w:rPr>
      </w:pPr>
      <w:r>
        <w:t xml:space="preserve">Figure </w:t>
      </w:r>
      <w:fldSimple w:instr=" SEQ Figure \* ARABIC ">
        <w:r>
          <w:rPr>
            <w:noProof/>
          </w:rPr>
          <w:t>1</w:t>
        </w:r>
      </w:fldSimple>
      <w:r>
        <w:t>: Flowchart of Incident Response</w:t>
      </w:r>
    </w:p>
    <w:p w14:paraId="734E569A" w14:textId="77777777" w:rsidR="000B7377" w:rsidRPr="00F9066A" w:rsidRDefault="000B7377" w:rsidP="000B7377">
      <w:pPr>
        <w:jc w:val="both"/>
        <w:rPr>
          <w:rFonts w:ascii="Arial" w:hAnsi="Arial" w:cs="Arial"/>
          <w:lang w:eastAsia="en-US"/>
        </w:rPr>
      </w:pPr>
    </w:p>
    <w:p w14:paraId="54F2C08B" w14:textId="77777777" w:rsidR="000B7377" w:rsidRDefault="000B7377" w:rsidP="001C7797">
      <w:pPr>
        <w:rPr>
          <w:lang w:eastAsia="en-US"/>
        </w:rPr>
      </w:pPr>
    </w:p>
    <w:p w14:paraId="344DC4F9" w14:textId="77777777" w:rsidR="000B7377" w:rsidRPr="001C7797" w:rsidRDefault="000B7377" w:rsidP="001C7797">
      <w:pPr>
        <w:rPr>
          <w:lang w:eastAsia="en-US"/>
        </w:rPr>
      </w:pPr>
    </w:p>
    <w:p w14:paraId="368F261A" w14:textId="77777777" w:rsidR="003532E9" w:rsidRPr="003532E9" w:rsidRDefault="003532E9" w:rsidP="003532E9">
      <w:pPr>
        <w:rPr>
          <w:lang w:eastAsia="en-US"/>
        </w:rPr>
      </w:pPr>
    </w:p>
    <w:p w14:paraId="73CC1357" w14:textId="77777777" w:rsidR="003532E9" w:rsidRPr="003532E9" w:rsidRDefault="003532E9" w:rsidP="003532E9">
      <w:pPr>
        <w:pStyle w:val="Heading2"/>
      </w:pPr>
    </w:p>
    <w:p w14:paraId="00D79614" w14:textId="77777777" w:rsidR="00A52416" w:rsidRDefault="00A52416" w:rsidP="00A52416">
      <w:pPr>
        <w:rPr>
          <w:lang w:eastAsia="en-US"/>
        </w:rPr>
      </w:pPr>
    </w:p>
    <w:p w14:paraId="025CCE6A" w14:textId="77777777" w:rsidR="00A52416" w:rsidRPr="00A52416" w:rsidRDefault="00A52416" w:rsidP="00A52416">
      <w:pPr>
        <w:rPr>
          <w:lang w:eastAsia="en-US"/>
        </w:rPr>
      </w:pPr>
    </w:p>
    <w:p w14:paraId="36E47517" w14:textId="77777777" w:rsidR="00A52416" w:rsidRDefault="00A52416" w:rsidP="00A52416">
      <w:pPr>
        <w:pStyle w:val="Heading2"/>
      </w:pPr>
    </w:p>
    <w:p w14:paraId="6714942C" w14:textId="77777777" w:rsidR="00A52416" w:rsidRPr="00A52416" w:rsidRDefault="00A52416" w:rsidP="00A52416">
      <w:pPr>
        <w:jc w:val="both"/>
        <w:rPr>
          <w:rFonts w:ascii="Arial" w:hAnsi="Arial" w:cs="Arial"/>
          <w:sz w:val="22"/>
          <w:szCs w:val="22"/>
          <w:lang w:eastAsia="en-US"/>
        </w:rPr>
      </w:pPr>
    </w:p>
    <w:p w14:paraId="555A2A45" w14:textId="77777777" w:rsidR="00BB64D1" w:rsidRDefault="00BB64D1" w:rsidP="00BB64D1">
      <w:pPr>
        <w:pStyle w:val="Heading1"/>
        <w:rPr>
          <w:rFonts w:ascii="Arial" w:hAnsi="Arial" w:cs="Arial"/>
          <w:b/>
          <w:bCs/>
          <w:sz w:val="28"/>
          <w:szCs w:val="28"/>
          <w:lang w:eastAsia="en-US"/>
        </w:rPr>
      </w:pPr>
      <w:bookmarkStart w:id="11" w:name="_Toc235668541"/>
      <w:r w:rsidRPr="00BB64D1">
        <w:rPr>
          <w:rFonts w:ascii="Arial" w:hAnsi="Arial" w:cs="Arial"/>
          <w:b/>
          <w:bCs/>
          <w:sz w:val="28"/>
          <w:szCs w:val="28"/>
          <w:lang w:eastAsia="en-US"/>
        </w:rPr>
        <w:lastRenderedPageBreak/>
        <w:t>Continuous Training and Awareness</w:t>
      </w:r>
      <w:bookmarkEnd w:id="11"/>
    </w:p>
    <w:p w14:paraId="5D483194" w14:textId="77777777" w:rsidR="00BB64D1" w:rsidRDefault="00BB64D1" w:rsidP="00BB64D1">
      <w:pPr>
        <w:rPr>
          <w:lang w:eastAsia="en-US"/>
        </w:rPr>
      </w:pPr>
    </w:p>
    <w:p w14:paraId="43F98203" w14:textId="1DD35468" w:rsidR="00BB64D1" w:rsidRDefault="00BB64D1" w:rsidP="00BB64D1">
      <w:pPr>
        <w:jc w:val="both"/>
        <w:rPr>
          <w:rFonts w:ascii="Arial" w:hAnsi="Arial" w:cs="Arial"/>
          <w:sz w:val="22"/>
          <w:szCs w:val="22"/>
          <w:lang w:eastAsia="en-US"/>
        </w:rPr>
      </w:pPr>
      <w:r w:rsidRPr="00BB64D1">
        <w:rPr>
          <w:rFonts w:ascii="Arial" w:hAnsi="Arial" w:cs="Arial"/>
          <w:sz w:val="22"/>
          <w:szCs w:val="22"/>
          <w:lang w:eastAsia="en-US"/>
        </w:rPr>
        <w:t>Executive management must set aside a specific budget for</w:t>
      </w:r>
      <w:r>
        <w:rPr>
          <w:rFonts w:ascii="Arial" w:hAnsi="Arial" w:cs="Arial"/>
          <w:sz w:val="22"/>
          <w:szCs w:val="22"/>
          <w:lang w:eastAsia="en-US"/>
        </w:rPr>
        <w:t xml:space="preserve"> IT and OT </w:t>
      </w:r>
      <w:r w:rsidRPr="00BB64D1">
        <w:rPr>
          <w:rFonts w:ascii="Arial" w:hAnsi="Arial" w:cs="Arial"/>
          <w:sz w:val="22"/>
          <w:szCs w:val="22"/>
          <w:lang w:eastAsia="en-US"/>
        </w:rPr>
        <w:t xml:space="preserve">security integration during the next fiscal cycle </w:t>
      </w:r>
      <w:proofErr w:type="gramStart"/>
      <w:r w:rsidRPr="00BB64D1">
        <w:rPr>
          <w:rFonts w:ascii="Arial" w:hAnsi="Arial" w:cs="Arial"/>
          <w:sz w:val="22"/>
          <w:szCs w:val="22"/>
          <w:lang w:eastAsia="en-US"/>
        </w:rPr>
        <w:t>in order to</w:t>
      </w:r>
      <w:proofErr w:type="gramEnd"/>
      <w:r w:rsidRPr="00BB64D1">
        <w:rPr>
          <w:rFonts w:ascii="Arial" w:hAnsi="Arial" w:cs="Arial"/>
          <w:sz w:val="22"/>
          <w:szCs w:val="22"/>
          <w:lang w:eastAsia="en-US"/>
        </w:rPr>
        <w:t xml:space="preserve"> successfully implement and operationalize this road map. Creating cross functional governance teams with cybersecurity experts and other specialists ensures that technical controls don't interfere with daily production schedules or manufacturing output.</w:t>
      </w:r>
    </w:p>
    <w:p w14:paraId="47995B4E" w14:textId="6F7DAF9F" w:rsidR="00BB64D1" w:rsidRDefault="00BB64D1" w:rsidP="00BB64D1">
      <w:pPr>
        <w:jc w:val="both"/>
        <w:rPr>
          <w:rFonts w:ascii="Arial" w:hAnsi="Arial" w:cs="Arial"/>
          <w:sz w:val="22"/>
          <w:szCs w:val="22"/>
          <w:lang w:eastAsia="en-US"/>
        </w:rPr>
      </w:pPr>
      <w:r w:rsidRPr="00BB64D1">
        <w:rPr>
          <w:rFonts w:ascii="Arial" w:hAnsi="Arial" w:cs="Arial"/>
          <w:sz w:val="22"/>
          <w:szCs w:val="22"/>
          <w:lang w:eastAsia="en-US"/>
        </w:rPr>
        <w:t xml:space="preserve">Furthermore, executive management should also require ongoing staff awareness programmes in addition to biannual </w:t>
      </w:r>
      <w:proofErr w:type="gramStart"/>
      <w:r w:rsidRPr="00BB64D1">
        <w:rPr>
          <w:rFonts w:ascii="Arial" w:hAnsi="Arial" w:cs="Arial"/>
          <w:sz w:val="22"/>
          <w:szCs w:val="22"/>
          <w:lang w:eastAsia="en-US"/>
        </w:rPr>
        <w:t>third party</w:t>
      </w:r>
      <w:proofErr w:type="gramEnd"/>
      <w:r w:rsidRPr="00BB64D1">
        <w:rPr>
          <w:rFonts w:ascii="Arial" w:hAnsi="Arial" w:cs="Arial"/>
          <w:sz w:val="22"/>
          <w:szCs w:val="22"/>
          <w:lang w:eastAsia="en-US"/>
        </w:rPr>
        <w:t xml:space="preserve"> penetration testing. This is because regular employee training strengthens operational alertness throughout all manufacturing facilities, and hiring outside experts offers objective, independent validation of internal security procedures.</w:t>
      </w:r>
    </w:p>
    <w:p w14:paraId="704037BF" w14:textId="398533D4" w:rsidR="00BB64D1" w:rsidRDefault="00BB64D1" w:rsidP="00BB64D1">
      <w:pPr>
        <w:jc w:val="both"/>
        <w:rPr>
          <w:rFonts w:ascii="Arial" w:hAnsi="Arial" w:cs="Arial"/>
          <w:sz w:val="22"/>
          <w:szCs w:val="22"/>
          <w:lang w:eastAsia="en-US"/>
        </w:rPr>
      </w:pPr>
      <w:r w:rsidRPr="00BB64D1">
        <w:rPr>
          <w:rFonts w:ascii="Arial" w:hAnsi="Arial" w:cs="Arial"/>
          <w:sz w:val="22"/>
          <w:szCs w:val="22"/>
          <w:lang w:eastAsia="en-US"/>
        </w:rPr>
        <w:t>In addition, establishing formal service level agreements</w:t>
      </w:r>
      <w:r>
        <w:rPr>
          <w:rFonts w:ascii="Arial" w:hAnsi="Arial" w:cs="Arial"/>
          <w:sz w:val="22"/>
          <w:szCs w:val="22"/>
          <w:lang w:eastAsia="en-US"/>
        </w:rPr>
        <w:t xml:space="preserve"> (SLA)</w:t>
      </w:r>
      <w:r w:rsidRPr="00BB64D1">
        <w:rPr>
          <w:rFonts w:ascii="Arial" w:hAnsi="Arial" w:cs="Arial"/>
          <w:sz w:val="22"/>
          <w:szCs w:val="22"/>
          <w:lang w:eastAsia="en-US"/>
        </w:rPr>
        <w:t xml:space="preserve"> with important industrial automation suppliers also ensures quick technical assistance in the event of significant security problems. Routine risk assessments must also be scheduled to account for emerging software vulnerabilities and the evolving industrial threat vectors. All linked digital and physical manufacturing systems are guaranteed long term flexibility, operational safety and sustainable risk reduction by these proactive administrative actions.</w:t>
      </w:r>
      <w:r>
        <w:rPr>
          <w:rFonts w:ascii="Arial" w:hAnsi="Arial" w:cs="Arial"/>
          <w:sz w:val="22"/>
          <w:szCs w:val="22"/>
          <w:lang w:eastAsia="en-US"/>
        </w:rPr>
        <w:t xml:space="preserve"> </w:t>
      </w:r>
    </w:p>
    <w:p w14:paraId="27C54C37" w14:textId="77777777" w:rsidR="00BB64D1" w:rsidRDefault="00BB64D1" w:rsidP="00BB64D1">
      <w:pPr>
        <w:jc w:val="both"/>
        <w:rPr>
          <w:rFonts w:ascii="Arial" w:hAnsi="Arial" w:cs="Arial"/>
          <w:sz w:val="22"/>
          <w:szCs w:val="22"/>
          <w:lang w:eastAsia="en-US"/>
        </w:rPr>
      </w:pPr>
    </w:p>
    <w:p w14:paraId="26677D73" w14:textId="34966797" w:rsidR="00BB64D1" w:rsidRDefault="00BB64D1" w:rsidP="00BB64D1">
      <w:pPr>
        <w:pStyle w:val="Heading1"/>
        <w:rPr>
          <w:rFonts w:ascii="Arial" w:hAnsi="Arial" w:cs="Arial"/>
          <w:b/>
          <w:bCs/>
          <w:sz w:val="28"/>
          <w:szCs w:val="28"/>
          <w:lang w:eastAsia="en-US"/>
        </w:rPr>
      </w:pPr>
      <w:bookmarkStart w:id="12" w:name="_Toc235668542"/>
      <w:r>
        <w:rPr>
          <w:rFonts w:ascii="Arial" w:hAnsi="Arial" w:cs="Arial"/>
          <w:b/>
          <w:bCs/>
          <w:sz w:val="28"/>
          <w:szCs w:val="28"/>
          <w:lang w:eastAsia="en-US"/>
        </w:rPr>
        <w:t>Conclusion</w:t>
      </w:r>
      <w:bookmarkEnd w:id="12"/>
    </w:p>
    <w:p w14:paraId="662C47A6" w14:textId="77777777" w:rsidR="00BB64D1" w:rsidRDefault="00BB64D1" w:rsidP="00BB64D1">
      <w:pPr>
        <w:rPr>
          <w:lang w:eastAsia="en-US"/>
        </w:rPr>
      </w:pPr>
    </w:p>
    <w:p w14:paraId="749FE1F4" w14:textId="1A21C543" w:rsidR="00BB64D1" w:rsidRDefault="00C479B1" w:rsidP="00C479B1">
      <w:pPr>
        <w:jc w:val="both"/>
        <w:rPr>
          <w:rFonts w:ascii="Arial" w:hAnsi="Arial" w:cs="Arial"/>
          <w:sz w:val="22"/>
          <w:szCs w:val="22"/>
          <w:lang w:eastAsia="en-US"/>
        </w:rPr>
      </w:pPr>
      <w:r w:rsidRPr="00C479B1">
        <w:rPr>
          <w:rFonts w:ascii="Arial" w:hAnsi="Arial" w:cs="Arial"/>
          <w:sz w:val="22"/>
          <w:szCs w:val="22"/>
          <w:lang w:eastAsia="en-US"/>
        </w:rPr>
        <w:t>In conclusion</w:t>
      </w:r>
      <w:r>
        <w:rPr>
          <w:rFonts w:ascii="Arial" w:hAnsi="Arial" w:cs="Arial"/>
          <w:sz w:val="22"/>
          <w:szCs w:val="22"/>
          <w:lang w:eastAsia="en-US"/>
        </w:rPr>
        <w:t xml:space="preserve">, </w:t>
      </w:r>
      <w:proofErr w:type="spellStart"/>
      <w:r>
        <w:rPr>
          <w:rFonts w:ascii="Arial" w:hAnsi="Arial" w:cs="Arial"/>
          <w:sz w:val="22"/>
          <w:szCs w:val="22"/>
          <w:lang w:eastAsia="en-US"/>
        </w:rPr>
        <w:t>SteelForm</w:t>
      </w:r>
      <w:proofErr w:type="spellEnd"/>
      <w:r>
        <w:rPr>
          <w:rFonts w:ascii="Arial" w:hAnsi="Arial" w:cs="Arial"/>
          <w:sz w:val="22"/>
          <w:szCs w:val="22"/>
          <w:lang w:eastAsia="en-US"/>
        </w:rPr>
        <w:t xml:space="preserve"> Manufacturing Ltd. </w:t>
      </w:r>
      <w:r w:rsidRPr="00C479B1">
        <w:rPr>
          <w:rFonts w:ascii="Arial" w:hAnsi="Arial" w:cs="Arial"/>
          <w:sz w:val="22"/>
          <w:szCs w:val="22"/>
          <w:lang w:eastAsia="en-US"/>
        </w:rPr>
        <w:t>Should adapt A comprehensive security strategy</w:t>
      </w:r>
      <w:r>
        <w:rPr>
          <w:rFonts w:ascii="Arial" w:hAnsi="Arial" w:cs="Arial"/>
          <w:sz w:val="22"/>
          <w:szCs w:val="22"/>
          <w:lang w:eastAsia="en-US"/>
        </w:rPr>
        <w:t xml:space="preserve"> such as thorough set of security policies</w:t>
      </w:r>
      <w:r w:rsidRPr="00C479B1">
        <w:rPr>
          <w:rFonts w:ascii="Arial" w:hAnsi="Arial" w:cs="Arial"/>
          <w:sz w:val="22"/>
          <w:szCs w:val="22"/>
          <w:lang w:eastAsia="en-US"/>
        </w:rPr>
        <w:t xml:space="preserve"> that requires a structured and methodical approach to ensure long term operational resilience</w:t>
      </w:r>
      <w:r>
        <w:rPr>
          <w:rFonts w:ascii="Arial" w:hAnsi="Arial" w:cs="Arial"/>
          <w:sz w:val="22"/>
          <w:szCs w:val="22"/>
          <w:lang w:eastAsia="en-US"/>
        </w:rPr>
        <w:t xml:space="preserve">. </w:t>
      </w:r>
      <w:r w:rsidRPr="00C479B1">
        <w:rPr>
          <w:rFonts w:ascii="Arial" w:hAnsi="Arial" w:cs="Arial"/>
          <w:sz w:val="22"/>
          <w:szCs w:val="22"/>
          <w:lang w:eastAsia="en-US"/>
        </w:rPr>
        <w:t>The most important first line of defence is to prioritise immediate high risk technical weaknesses, such as establishing an industrial the demilitarised zone and implementing multi-factor authentication.</w:t>
      </w:r>
      <w:r>
        <w:rPr>
          <w:rFonts w:ascii="Arial" w:hAnsi="Arial" w:cs="Arial"/>
          <w:sz w:val="22"/>
          <w:szCs w:val="22"/>
          <w:lang w:eastAsia="en-US"/>
        </w:rPr>
        <w:t xml:space="preserve"> </w:t>
      </w:r>
    </w:p>
    <w:p w14:paraId="4091182D" w14:textId="123C9A1B" w:rsidR="00C479B1" w:rsidRDefault="00C479B1" w:rsidP="00C479B1">
      <w:pPr>
        <w:jc w:val="both"/>
        <w:rPr>
          <w:rFonts w:ascii="Arial" w:hAnsi="Arial" w:cs="Arial"/>
          <w:sz w:val="22"/>
          <w:szCs w:val="22"/>
          <w:lang w:eastAsia="en-US"/>
        </w:rPr>
      </w:pPr>
      <w:proofErr w:type="gramStart"/>
      <w:r w:rsidRPr="00C479B1">
        <w:rPr>
          <w:rFonts w:ascii="Arial" w:hAnsi="Arial" w:cs="Arial"/>
          <w:sz w:val="22"/>
          <w:szCs w:val="22"/>
          <w:lang w:eastAsia="en-US"/>
        </w:rPr>
        <w:t>In order to</w:t>
      </w:r>
      <w:proofErr w:type="gramEnd"/>
      <w:r w:rsidRPr="00C479B1">
        <w:rPr>
          <w:rFonts w:ascii="Arial" w:hAnsi="Arial" w:cs="Arial"/>
          <w:sz w:val="22"/>
          <w:szCs w:val="22"/>
          <w:lang w:eastAsia="en-US"/>
        </w:rPr>
        <w:t xml:space="preserve"> secure Old infrastructure without running the risk of actual production interruption, subsequent operational phases focus on continual risk management incorporating passive vulnerability scanning</w:t>
      </w:r>
      <w:r>
        <w:rPr>
          <w:rFonts w:ascii="Arial" w:hAnsi="Arial" w:cs="Arial"/>
          <w:sz w:val="22"/>
          <w:szCs w:val="22"/>
          <w:lang w:eastAsia="en-US"/>
        </w:rPr>
        <w:t xml:space="preserve"> and </w:t>
      </w:r>
      <w:r w:rsidRPr="00C479B1">
        <w:rPr>
          <w:rFonts w:ascii="Arial" w:hAnsi="Arial" w:cs="Arial"/>
          <w:sz w:val="22"/>
          <w:szCs w:val="22"/>
          <w:lang w:eastAsia="en-US"/>
        </w:rPr>
        <w:t>USB saniti</w:t>
      </w:r>
      <w:r>
        <w:rPr>
          <w:rFonts w:ascii="Arial" w:hAnsi="Arial" w:cs="Arial"/>
          <w:sz w:val="22"/>
          <w:szCs w:val="22"/>
          <w:lang w:eastAsia="en-US"/>
        </w:rPr>
        <w:t>s</w:t>
      </w:r>
      <w:r w:rsidRPr="00C479B1">
        <w:rPr>
          <w:rFonts w:ascii="Arial" w:hAnsi="Arial" w:cs="Arial"/>
          <w:sz w:val="22"/>
          <w:szCs w:val="22"/>
          <w:lang w:eastAsia="en-US"/>
        </w:rPr>
        <w:t>ation kiosks</w:t>
      </w:r>
      <w:r>
        <w:rPr>
          <w:rFonts w:ascii="Arial" w:hAnsi="Arial" w:cs="Arial"/>
          <w:sz w:val="22"/>
          <w:szCs w:val="22"/>
          <w:lang w:eastAsia="en-US"/>
        </w:rPr>
        <w:t xml:space="preserve">. </w:t>
      </w:r>
      <w:r w:rsidRPr="00C479B1">
        <w:rPr>
          <w:rFonts w:ascii="Arial" w:hAnsi="Arial" w:cs="Arial"/>
          <w:sz w:val="22"/>
          <w:szCs w:val="22"/>
          <w:lang w:eastAsia="en-US"/>
        </w:rPr>
        <w:t>Lastly, a permanent continuous improvement feedback loop is created by coordinating incident response protocols with established governance frameworks. This effectively reduces shop floor ransomware risks and secures supply chain access</w:t>
      </w:r>
      <w:r>
        <w:rPr>
          <w:rFonts w:ascii="Arial" w:hAnsi="Arial" w:cs="Arial"/>
          <w:sz w:val="22"/>
          <w:szCs w:val="22"/>
          <w:lang w:eastAsia="en-US"/>
        </w:rPr>
        <w:t>.</w:t>
      </w:r>
    </w:p>
    <w:p w14:paraId="30FBB8FD" w14:textId="77777777" w:rsidR="00C479B1" w:rsidRPr="00BB64D1" w:rsidRDefault="00C479B1" w:rsidP="00C479B1">
      <w:pPr>
        <w:jc w:val="both"/>
        <w:rPr>
          <w:rFonts w:ascii="Arial" w:hAnsi="Arial" w:cs="Arial"/>
          <w:sz w:val="22"/>
          <w:szCs w:val="22"/>
          <w:lang w:eastAsia="en-US"/>
        </w:rPr>
      </w:pPr>
    </w:p>
    <w:p w14:paraId="3CB439E7" w14:textId="77777777" w:rsidR="00D6351E" w:rsidRPr="00BB64D1" w:rsidRDefault="00D6351E" w:rsidP="00BB64D1">
      <w:pPr>
        <w:pStyle w:val="Heading1"/>
        <w:rPr>
          <w:rFonts w:ascii="Arial" w:hAnsi="Arial" w:cs="Arial"/>
          <w:b/>
          <w:bCs/>
          <w:sz w:val="28"/>
          <w:szCs w:val="28"/>
          <w:lang w:eastAsia="en-US"/>
        </w:rPr>
      </w:pPr>
    </w:p>
    <w:p w14:paraId="7BD2D23B" w14:textId="77777777" w:rsidR="00D6351E" w:rsidRPr="00D6351E" w:rsidRDefault="00D6351E" w:rsidP="00D6351E">
      <w:pPr>
        <w:jc w:val="both"/>
        <w:rPr>
          <w:rFonts w:ascii="Arial" w:hAnsi="Arial" w:cs="Arial"/>
          <w:sz w:val="22"/>
          <w:szCs w:val="22"/>
          <w:lang w:eastAsia="en-US"/>
        </w:rPr>
      </w:pPr>
    </w:p>
    <w:p w14:paraId="7D2CD273" w14:textId="77777777" w:rsidR="00D6351E" w:rsidRPr="00D6351E" w:rsidRDefault="00D6351E" w:rsidP="00D6351E">
      <w:pPr>
        <w:rPr>
          <w:rFonts w:ascii="Arial" w:hAnsi="Arial" w:cs="Arial"/>
          <w:lang w:eastAsia="en-US"/>
        </w:rPr>
      </w:pPr>
    </w:p>
    <w:p w14:paraId="0D93EF02" w14:textId="77777777" w:rsidR="00D6351E" w:rsidRPr="00921D24" w:rsidRDefault="00D6351E" w:rsidP="00921D24">
      <w:pPr>
        <w:jc w:val="both"/>
        <w:rPr>
          <w:rFonts w:ascii="Arial" w:hAnsi="Arial" w:cs="Arial"/>
          <w:sz w:val="22"/>
          <w:szCs w:val="22"/>
        </w:rPr>
      </w:pPr>
    </w:p>
    <w:bookmarkStart w:id="13" w:name="_Toc235668543" w:displacedByCustomXml="next"/>
    <w:sdt>
      <w:sdtPr>
        <w:id w:val="-1798909409"/>
        <w:docPartObj>
          <w:docPartGallery w:val="Bibliographies"/>
          <w:docPartUnique/>
        </w:docPartObj>
      </w:sdtPr>
      <w:sdtEndPr>
        <w:rPr>
          <w:rFonts w:asciiTheme="minorHAnsi" w:eastAsiaTheme="minorEastAsia" w:hAnsiTheme="minorHAnsi" w:cstheme="minorBidi"/>
          <w:color w:val="auto"/>
          <w:sz w:val="24"/>
          <w:szCs w:val="24"/>
        </w:rPr>
      </w:sdtEndPr>
      <w:sdtContent>
        <w:p w14:paraId="375FBA22" w14:textId="0E64C198" w:rsidR="00273BFA" w:rsidRDefault="00273BFA">
          <w:pPr>
            <w:pStyle w:val="Heading1"/>
          </w:pPr>
          <w:r>
            <w:t>References</w:t>
          </w:r>
          <w:bookmarkEnd w:id="13"/>
        </w:p>
        <w:sdt>
          <w:sdtPr>
            <w:id w:val="-573587230"/>
            <w:bibliography/>
          </w:sdtPr>
          <w:sdtContent>
            <w:p w14:paraId="40A434FD" w14:textId="77777777" w:rsidR="00273BFA" w:rsidRDefault="00273BFA">
              <w:pPr>
                <w:rPr>
                  <w:rFonts w:eastAsiaTheme="minorHAnsi"/>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273BFA" w14:paraId="2B910DB1" w14:textId="77777777">
                <w:trPr>
                  <w:divId w:val="548615035"/>
                  <w:tblCellSpacing w:w="15" w:type="dxa"/>
                </w:trPr>
                <w:tc>
                  <w:tcPr>
                    <w:tcW w:w="50" w:type="pct"/>
                    <w:hideMark/>
                  </w:tcPr>
                  <w:p w14:paraId="1676F331" w14:textId="7164BC99" w:rsidR="00273BFA" w:rsidRDefault="00273BFA">
                    <w:pPr>
                      <w:pStyle w:val="Bibliography"/>
                      <w:rPr>
                        <w:noProof/>
                        <w:kern w:val="0"/>
                        <w14:ligatures w14:val="none"/>
                      </w:rPr>
                    </w:pPr>
                    <w:r>
                      <w:rPr>
                        <w:noProof/>
                      </w:rPr>
                      <w:t xml:space="preserve">[1] </w:t>
                    </w:r>
                  </w:p>
                </w:tc>
                <w:tc>
                  <w:tcPr>
                    <w:tcW w:w="0" w:type="auto"/>
                    <w:hideMark/>
                  </w:tcPr>
                  <w:p w14:paraId="6C5C4A08" w14:textId="77777777" w:rsidR="00273BFA" w:rsidRDefault="00273BFA">
                    <w:pPr>
                      <w:pStyle w:val="Bibliography"/>
                      <w:rPr>
                        <w:noProof/>
                      </w:rPr>
                    </w:pPr>
                    <w:r>
                      <w:rPr>
                        <w:noProof/>
                      </w:rPr>
                      <w:t>K. Stouffer, M. Pease, C. Tang, T. Zimmerman, V. Pillitteri, S. Lightman, A. Hahn, S. Saravia, A. Sherule and M. Thompson, “Guide to Operational Technology (OT) Security,” 28 09 2023. [Online]. Available: https://csrc.nist.gov/pubs/sp/800/82/r3/final. [Accessed 16 07 2026].</w:t>
                    </w:r>
                  </w:p>
                </w:tc>
              </w:tr>
              <w:tr w:rsidR="00273BFA" w14:paraId="78118138" w14:textId="77777777">
                <w:trPr>
                  <w:divId w:val="548615035"/>
                  <w:tblCellSpacing w:w="15" w:type="dxa"/>
                </w:trPr>
                <w:tc>
                  <w:tcPr>
                    <w:tcW w:w="50" w:type="pct"/>
                    <w:hideMark/>
                  </w:tcPr>
                  <w:p w14:paraId="76C711A5" w14:textId="77777777" w:rsidR="00273BFA" w:rsidRDefault="00273BFA">
                    <w:pPr>
                      <w:pStyle w:val="Bibliography"/>
                      <w:rPr>
                        <w:noProof/>
                      </w:rPr>
                    </w:pPr>
                    <w:r>
                      <w:rPr>
                        <w:noProof/>
                      </w:rPr>
                      <w:t xml:space="preserve">[2] </w:t>
                    </w:r>
                  </w:p>
                </w:tc>
                <w:tc>
                  <w:tcPr>
                    <w:tcW w:w="0" w:type="auto"/>
                    <w:hideMark/>
                  </w:tcPr>
                  <w:p w14:paraId="4DFCD8AF" w14:textId="77777777" w:rsidR="00273BFA" w:rsidRDefault="00273BFA">
                    <w:pPr>
                      <w:pStyle w:val="Bibliography"/>
                      <w:rPr>
                        <w:noProof/>
                      </w:rPr>
                    </w:pPr>
                    <w:r>
                      <w:rPr>
                        <w:noProof/>
                      </w:rPr>
                      <w:t>M. Nankya, R. Chataut and R. Akl, “Securing Industrial Control Systems: Components, Cyber Threats, and Machine Learning-Driven Defense Strategies,” 01 01 2023. [Online]. Available: https://www.mdpi.com/1424-8220/23/21/8840. [Accessed 10 07 2026].</w:t>
                    </w:r>
                  </w:p>
                </w:tc>
              </w:tr>
              <w:tr w:rsidR="00273BFA" w14:paraId="0348E8D7" w14:textId="77777777">
                <w:trPr>
                  <w:divId w:val="548615035"/>
                  <w:tblCellSpacing w:w="15" w:type="dxa"/>
                </w:trPr>
                <w:tc>
                  <w:tcPr>
                    <w:tcW w:w="50" w:type="pct"/>
                    <w:hideMark/>
                  </w:tcPr>
                  <w:p w14:paraId="529744C4" w14:textId="77777777" w:rsidR="00273BFA" w:rsidRDefault="00273BFA">
                    <w:pPr>
                      <w:pStyle w:val="Bibliography"/>
                      <w:rPr>
                        <w:noProof/>
                      </w:rPr>
                    </w:pPr>
                    <w:r>
                      <w:rPr>
                        <w:noProof/>
                      </w:rPr>
                      <w:t xml:space="preserve">[3] </w:t>
                    </w:r>
                  </w:p>
                </w:tc>
                <w:tc>
                  <w:tcPr>
                    <w:tcW w:w="0" w:type="auto"/>
                    <w:hideMark/>
                  </w:tcPr>
                  <w:p w14:paraId="10360420" w14:textId="77777777" w:rsidR="00273BFA" w:rsidRDefault="00273BFA">
                    <w:pPr>
                      <w:pStyle w:val="Bibliography"/>
                      <w:rPr>
                        <w:noProof/>
                      </w:rPr>
                    </w:pPr>
                    <w:r>
                      <w:rPr>
                        <w:noProof/>
                      </w:rPr>
                      <w:t>CISA, “Ransomware Guide | CISA,” 2025. [Online]. Available: https://www.cisa.gov/stopransomware/ransomware-guide. [Accessed 10 07 2026].</w:t>
                    </w:r>
                  </w:p>
                </w:tc>
              </w:tr>
              <w:tr w:rsidR="00273BFA" w14:paraId="371D7655" w14:textId="77777777">
                <w:trPr>
                  <w:divId w:val="548615035"/>
                  <w:tblCellSpacing w:w="15" w:type="dxa"/>
                </w:trPr>
                <w:tc>
                  <w:tcPr>
                    <w:tcW w:w="50" w:type="pct"/>
                    <w:hideMark/>
                  </w:tcPr>
                  <w:p w14:paraId="1F192FD6" w14:textId="77777777" w:rsidR="00273BFA" w:rsidRDefault="00273BFA">
                    <w:pPr>
                      <w:pStyle w:val="Bibliography"/>
                      <w:rPr>
                        <w:noProof/>
                      </w:rPr>
                    </w:pPr>
                    <w:r>
                      <w:rPr>
                        <w:noProof/>
                      </w:rPr>
                      <w:t xml:space="preserve">[4] </w:t>
                    </w:r>
                  </w:p>
                </w:tc>
                <w:tc>
                  <w:tcPr>
                    <w:tcW w:w="0" w:type="auto"/>
                    <w:hideMark/>
                  </w:tcPr>
                  <w:p w14:paraId="244CF345" w14:textId="77777777" w:rsidR="00273BFA" w:rsidRDefault="00273BFA">
                    <w:pPr>
                      <w:pStyle w:val="Bibliography"/>
                      <w:rPr>
                        <w:noProof/>
                      </w:rPr>
                    </w:pPr>
                    <w:r>
                      <w:rPr>
                        <w:noProof/>
                      </w:rPr>
                      <w:t>A. M. Y. Koay, R. K. L. Ko, H. Hettema and K. Radke, “Machine Learning in Industrial Control System (ICS) Security: Current Landscape, Opportunities and Challenges,” 12 10 2022. [Online]. Available: doi: 10.1007/s10844-022-00753-1. [Accessed 10 07 2026].</w:t>
                    </w:r>
                  </w:p>
                </w:tc>
              </w:tr>
              <w:tr w:rsidR="00273BFA" w14:paraId="5E633EE0" w14:textId="77777777">
                <w:trPr>
                  <w:divId w:val="548615035"/>
                  <w:tblCellSpacing w:w="15" w:type="dxa"/>
                </w:trPr>
                <w:tc>
                  <w:tcPr>
                    <w:tcW w:w="50" w:type="pct"/>
                    <w:hideMark/>
                  </w:tcPr>
                  <w:p w14:paraId="005173AC" w14:textId="77777777" w:rsidR="00273BFA" w:rsidRDefault="00273BFA">
                    <w:pPr>
                      <w:pStyle w:val="Bibliography"/>
                      <w:rPr>
                        <w:noProof/>
                      </w:rPr>
                    </w:pPr>
                    <w:r>
                      <w:rPr>
                        <w:noProof/>
                      </w:rPr>
                      <w:t xml:space="preserve">[5] </w:t>
                    </w:r>
                  </w:p>
                </w:tc>
                <w:tc>
                  <w:tcPr>
                    <w:tcW w:w="0" w:type="auto"/>
                    <w:hideMark/>
                  </w:tcPr>
                  <w:p w14:paraId="4FCF4A53" w14:textId="77777777" w:rsidR="00273BFA" w:rsidRDefault="00273BFA">
                    <w:pPr>
                      <w:pStyle w:val="Bibliography"/>
                      <w:rPr>
                        <w:noProof/>
                      </w:rPr>
                    </w:pPr>
                    <w:r>
                      <w:rPr>
                        <w:noProof/>
                      </w:rPr>
                      <w:t>G. S. GABA, I. BUTUN, A. GURTOV, A. SARI, M. LIYANAGE and P. SINGH, “A Survey on Security and Privacy of Industry 4.0 and,” 10 01 2025. [Online]. Available: https://www.diva-portal.org/smash/get/diva2:2011497/FULLTEXT02.pdf. [Accessed 11 07 2026].</w:t>
                    </w:r>
                  </w:p>
                </w:tc>
              </w:tr>
              <w:tr w:rsidR="00273BFA" w14:paraId="46C3E5AA" w14:textId="77777777">
                <w:trPr>
                  <w:divId w:val="548615035"/>
                  <w:tblCellSpacing w:w="15" w:type="dxa"/>
                </w:trPr>
                <w:tc>
                  <w:tcPr>
                    <w:tcW w:w="50" w:type="pct"/>
                    <w:hideMark/>
                  </w:tcPr>
                  <w:p w14:paraId="206FEEBE" w14:textId="77777777" w:rsidR="00273BFA" w:rsidRDefault="00273BFA">
                    <w:pPr>
                      <w:pStyle w:val="Bibliography"/>
                      <w:rPr>
                        <w:noProof/>
                      </w:rPr>
                    </w:pPr>
                    <w:r>
                      <w:rPr>
                        <w:noProof/>
                      </w:rPr>
                      <w:t xml:space="preserve">[6] </w:t>
                    </w:r>
                  </w:p>
                </w:tc>
                <w:tc>
                  <w:tcPr>
                    <w:tcW w:w="0" w:type="auto"/>
                    <w:hideMark/>
                  </w:tcPr>
                  <w:p w14:paraId="0126C0ED" w14:textId="77777777" w:rsidR="00273BFA" w:rsidRDefault="00273BFA">
                    <w:pPr>
                      <w:pStyle w:val="Bibliography"/>
                      <w:rPr>
                        <w:noProof/>
                      </w:rPr>
                    </w:pPr>
                    <w:r>
                      <w:rPr>
                        <w:noProof/>
                      </w:rPr>
                      <w:t>M. Basnet, S. Poudyal, A. Mohd Hasan and D. Dasgupta, “Ransomware Detection Using Deep Learning in the Scada System of Electric\n Vehicle Charging Station,” 16 04 2021. [Online]. Available: doi: 10.48550/arxiv.2104.07409. [Accessed 09 07 2026].</w:t>
                    </w:r>
                  </w:p>
                </w:tc>
              </w:tr>
              <w:tr w:rsidR="00273BFA" w14:paraId="310DD539" w14:textId="77777777">
                <w:trPr>
                  <w:divId w:val="548615035"/>
                  <w:tblCellSpacing w:w="15" w:type="dxa"/>
                </w:trPr>
                <w:tc>
                  <w:tcPr>
                    <w:tcW w:w="50" w:type="pct"/>
                    <w:hideMark/>
                  </w:tcPr>
                  <w:p w14:paraId="644E92FB" w14:textId="77777777" w:rsidR="00273BFA" w:rsidRDefault="00273BFA">
                    <w:pPr>
                      <w:pStyle w:val="Bibliography"/>
                      <w:rPr>
                        <w:noProof/>
                      </w:rPr>
                    </w:pPr>
                    <w:r>
                      <w:rPr>
                        <w:noProof/>
                      </w:rPr>
                      <w:t xml:space="preserve">[7] </w:t>
                    </w:r>
                  </w:p>
                </w:tc>
                <w:tc>
                  <w:tcPr>
                    <w:tcW w:w="0" w:type="auto"/>
                    <w:hideMark/>
                  </w:tcPr>
                  <w:p w14:paraId="3569A5E3" w14:textId="77777777" w:rsidR="00273BFA" w:rsidRDefault="00273BFA">
                    <w:pPr>
                      <w:pStyle w:val="Bibliography"/>
                      <w:rPr>
                        <w:noProof/>
                      </w:rPr>
                    </w:pPr>
                    <w:r>
                      <w:rPr>
                        <w:noProof/>
                      </w:rPr>
                      <w:t>ISO, “Iso/Iec 27001,” 2022. [Online]. Available: https://www.iso.org/standard/82875.html. [Accessed 15 07 2026].</w:t>
                    </w:r>
                  </w:p>
                </w:tc>
              </w:tr>
              <w:tr w:rsidR="00273BFA" w14:paraId="1F3DF825" w14:textId="77777777">
                <w:trPr>
                  <w:divId w:val="548615035"/>
                  <w:tblCellSpacing w:w="15" w:type="dxa"/>
                </w:trPr>
                <w:tc>
                  <w:tcPr>
                    <w:tcW w:w="50" w:type="pct"/>
                    <w:hideMark/>
                  </w:tcPr>
                  <w:p w14:paraId="7AB9CACA" w14:textId="77777777" w:rsidR="00273BFA" w:rsidRDefault="00273BFA">
                    <w:pPr>
                      <w:pStyle w:val="Bibliography"/>
                      <w:rPr>
                        <w:noProof/>
                      </w:rPr>
                    </w:pPr>
                    <w:r>
                      <w:rPr>
                        <w:noProof/>
                      </w:rPr>
                      <w:t xml:space="preserve">[8] </w:t>
                    </w:r>
                  </w:p>
                </w:tc>
                <w:tc>
                  <w:tcPr>
                    <w:tcW w:w="0" w:type="auto"/>
                    <w:hideMark/>
                  </w:tcPr>
                  <w:p w14:paraId="44A5947A" w14:textId="77777777" w:rsidR="00273BFA" w:rsidRDefault="00273BFA">
                    <w:pPr>
                      <w:pStyle w:val="Bibliography"/>
                      <w:rPr>
                        <w:noProof/>
                      </w:rPr>
                    </w:pPr>
                    <w:r>
                      <w:rPr>
                        <w:noProof/>
                      </w:rPr>
                      <w:t>S. Rose, O. Borchert, S. Mitchell and M. Mitchell, “Zero Trust Architecture,” 2020. [Online]. Available: doi: 10.6028/nist.sp.800-207. [Accessed 10 07 2026].</w:t>
                    </w:r>
                  </w:p>
                </w:tc>
              </w:tr>
              <w:tr w:rsidR="00273BFA" w14:paraId="0588F312" w14:textId="77777777">
                <w:trPr>
                  <w:divId w:val="548615035"/>
                  <w:tblCellSpacing w:w="15" w:type="dxa"/>
                </w:trPr>
                <w:tc>
                  <w:tcPr>
                    <w:tcW w:w="50" w:type="pct"/>
                    <w:hideMark/>
                  </w:tcPr>
                  <w:p w14:paraId="27656588" w14:textId="77777777" w:rsidR="00273BFA" w:rsidRDefault="00273BFA">
                    <w:pPr>
                      <w:pStyle w:val="Bibliography"/>
                      <w:rPr>
                        <w:noProof/>
                      </w:rPr>
                    </w:pPr>
                    <w:r>
                      <w:rPr>
                        <w:noProof/>
                      </w:rPr>
                      <w:t xml:space="preserve">[9] </w:t>
                    </w:r>
                  </w:p>
                </w:tc>
                <w:tc>
                  <w:tcPr>
                    <w:tcW w:w="0" w:type="auto"/>
                    <w:hideMark/>
                  </w:tcPr>
                  <w:p w14:paraId="77F4CDD2" w14:textId="77777777" w:rsidR="00273BFA" w:rsidRDefault="00273BFA">
                    <w:pPr>
                      <w:pStyle w:val="Bibliography"/>
                      <w:rPr>
                        <w:noProof/>
                      </w:rPr>
                    </w:pPr>
                    <w:r>
                      <w:rPr>
                        <w:noProof/>
                      </w:rPr>
                      <w:t>Elisity , “Enhancing OT Network Security through IEC 62443,” 2025. [Online]. Available: https://www.elisity.com/resources/wp/iec-62443-segmentation-white-paper. [Accessed 09 07 2026].</w:t>
                    </w:r>
                  </w:p>
                </w:tc>
              </w:tr>
              <w:tr w:rsidR="00273BFA" w14:paraId="26A0F779" w14:textId="77777777">
                <w:trPr>
                  <w:divId w:val="548615035"/>
                  <w:tblCellSpacing w:w="15" w:type="dxa"/>
                </w:trPr>
                <w:tc>
                  <w:tcPr>
                    <w:tcW w:w="50" w:type="pct"/>
                    <w:hideMark/>
                  </w:tcPr>
                  <w:p w14:paraId="71E19DBA" w14:textId="77777777" w:rsidR="00273BFA" w:rsidRDefault="00273BFA">
                    <w:pPr>
                      <w:pStyle w:val="Bibliography"/>
                      <w:rPr>
                        <w:noProof/>
                      </w:rPr>
                    </w:pPr>
                    <w:r>
                      <w:rPr>
                        <w:noProof/>
                      </w:rPr>
                      <w:lastRenderedPageBreak/>
                      <w:t xml:space="preserve">[10] </w:t>
                    </w:r>
                  </w:p>
                </w:tc>
                <w:tc>
                  <w:tcPr>
                    <w:tcW w:w="0" w:type="auto"/>
                    <w:hideMark/>
                  </w:tcPr>
                  <w:p w14:paraId="776CDE81" w14:textId="77777777" w:rsidR="00273BFA" w:rsidRDefault="00273BFA">
                    <w:pPr>
                      <w:pStyle w:val="Bibliography"/>
                      <w:rPr>
                        <w:noProof/>
                      </w:rPr>
                    </w:pPr>
                    <w:r>
                      <w:rPr>
                        <w:noProof/>
                      </w:rPr>
                      <w:t>E. Gómez-Marín, D. Martintoni, V. Senni, E. Castillo and L. Parrilla, “Fine-Grained Access Control with User Revocation in Smart Manufacturing,” 27 06 2023. [Online]. Available: doi: 10.3390/electronics12132843. [Accessed 13 07 2026].</w:t>
                    </w:r>
                  </w:p>
                </w:tc>
              </w:tr>
              <w:tr w:rsidR="00273BFA" w14:paraId="6671CB17" w14:textId="77777777">
                <w:trPr>
                  <w:divId w:val="548615035"/>
                  <w:tblCellSpacing w:w="15" w:type="dxa"/>
                </w:trPr>
                <w:tc>
                  <w:tcPr>
                    <w:tcW w:w="50" w:type="pct"/>
                    <w:hideMark/>
                  </w:tcPr>
                  <w:p w14:paraId="08429322" w14:textId="77777777" w:rsidR="00273BFA" w:rsidRDefault="00273BFA">
                    <w:pPr>
                      <w:pStyle w:val="Bibliography"/>
                      <w:rPr>
                        <w:noProof/>
                      </w:rPr>
                    </w:pPr>
                    <w:r>
                      <w:rPr>
                        <w:noProof/>
                      </w:rPr>
                      <w:t xml:space="preserve">[11] </w:t>
                    </w:r>
                  </w:p>
                </w:tc>
                <w:tc>
                  <w:tcPr>
                    <w:tcW w:w="0" w:type="auto"/>
                    <w:hideMark/>
                  </w:tcPr>
                  <w:p w14:paraId="7D133F56" w14:textId="77777777" w:rsidR="00273BFA" w:rsidRDefault="00273BFA">
                    <w:pPr>
                      <w:pStyle w:val="Bibliography"/>
                      <w:rPr>
                        <w:noProof/>
                      </w:rPr>
                    </w:pPr>
                    <w:r>
                      <w:rPr>
                        <w:noProof/>
                      </w:rPr>
                      <w:t>ICO - Information Commissioner's Office, “A Guide to the Data Protection Principles,” 10 05 2023. [Online]. Available: https://ico.org.uk/for-organisations/uk-gdpr-guidance-and-resources/data-protection-principles/a-guide-to-the-data-protection-principles/. [Accessed 13 07 2026].</w:t>
                    </w:r>
                  </w:p>
                </w:tc>
              </w:tr>
              <w:tr w:rsidR="00273BFA" w14:paraId="5C27024A" w14:textId="77777777">
                <w:trPr>
                  <w:divId w:val="548615035"/>
                  <w:tblCellSpacing w:w="15" w:type="dxa"/>
                </w:trPr>
                <w:tc>
                  <w:tcPr>
                    <w:tcW w:w="50" w:type="pct"/>
                    <w:hideMark/>
                  </w:tcPr>
                  <w:p w14:paraId="36890D25" w14:textId="77777777" w:rsidR="00273BFA" w:rsidRDefault="00273BFA">
                    <w:pPr>
                      <w:pStyle w:val="Bibliography"/>
                      <w:rPr>
                        <w:noProof/>
                      </w:rPr>
                    </w:pPr>
                    <w:r>
                      <w:rPr>
                        <w:noProof/>
                      </w:rPr>
                      <w:t xml:space="preserve">[12] </w:t>
                    </w:r>
                  </w:p>
                </w:tc>
                <w:tc>
                  <w:tcPr>
                    <w:tcW w:w="0" w:type="auto"/>
                    <w:hideMark/>
                  </w:tcPr>
                  <w:p w14:paraId="42CA0B79" w14:textId="77777777" w:rsidR="00273BFA" w:rsidRDefault="00273BFA">
                    <w:pPr>
                      <w:pStyle w:val="Bibliography"/>
                      <w:rPr>
                        <w:noProof/>
                      </w:rPr>
                    </w:pPr>
                    <w:r>
                      <w:rPr>
                        <w:noProof/>
                      </w:rPr>
                      <w:t>Honeywell Technologies, “Honeywell Secure Media Exchange,” 2026. [Online]. Available: https://www.honeywell.com/us/en/solutions/ot-cybersecurity/secure-media-exchange?utm_source=google&amp;utm_medium=cpc&amp;utm_campaign=corp-26-cyber-search-smx&amp;utm_content=203865915048&amp;utm_term=kwd-2515515943127&amp;s_kwcid=al. [Accessed 13 07 2026].</w:t>
                    </w:r>
                  </w:p>
                </w:tc>
              </w:tr>
              <w:tr w:rsidR="00273BFA" w14:paraId="26D2D5DD" w14:textId="77777777">
                <w:trPr>
                  <w:divId w:val="548615035"/>
                  <w:tblCellSpacing w:w="15" w:type="dxa"/>
                </w:trPr>
                <w:tc>
                  <w:tcPr>
                    <w:tcW w:w="50" w:type="pct"/>
                    <w:hideMark/>
                  </w:tcPr>
                  <w:p w14:paraId="5F8FA8D9" w14:textId="77777777" w:rsidR="00273BFA" w:rsidRDefault="00273BFA">
                    <w:pPr>
                      <w:pStyle w:val="Bibliography"/>
                      <w:rPr>
                        <w:noProof/>
                      </w:rPr>
                    </w:pPr>
                    <w:r>
                      <w:rPr>
                        <w:noProof/>
                      </w:rPr>
                      <w:t xml:space="preserve">[13] </w:t>
                    </w:r>
                  </w:p>
                </w:tc>
                <w:tc>
                  <w:tcPr>
                    <w:tcW w:w="0" w:type="auto"/>
                    <w:hideMark/>
                  </w:tcPr>
                  <w:p w14:paraId="254D701D" w14:textId="77777777" w:rsidR="00273BFA" w:rsidRDefault="00273BFA">
                    <w:pPr>
                      <w:pStyle w:val="Bibliography"/>
                      <w:rPr>
                        <w:noProof/>
                      </w:rPr>
                    </w:pPr>
                    <w:r>
                      <w:rPr>
                        <w:noProof/>
                      </w:rPr>
                      <w:t>K. Stouffer , M. Pease, C. Tang , T. Zimmerman , V. Pillitteri , S. Lightman , A. Hahn, S. Saravia , A. Sherule and M. Thompson, “Guide to Operational Technology (OT) Security,” 01 01 2023. [Online]. Available: https://csrc.nist.gov/pubs/sp/800/82/r3/final. [Accessed 13 07 2026].</w:t>
                    </w:r>
                  </w:p>
                </w:tc>
              </w:tr>
              <w:tr w:rsidR="00273BFA" w14:paraId="477E559D" w14:textId="77777777">
                <w:trPr>
                  <w:divId w:val="548615035"/>
                  <w:tblCellSpacing w:w="15" w:type="dxa"/>
                </w:trPr>
                <w:tc>
                  <w:tcPr>
                    <w:tcW w:w="50" w:type="pct"/>
                    <w:hideMark/>
                  </w:tcPr>
                  <w:p w14:paraId="01634426" w14:textId="77777777" w:rsidR="00273BFA" w:rsidRDefault="00273BFA">
                    <w:pPr>
                      <w:pStyle w:val="Bibliography"/>
                      <w:rPr>
                        <w:noProof/>
                      </w:rPr>
                    </w:pPr>
                    <w:r>
                      <w:rPr>
                        <w:noProof/>
                      </w:rPr>
                      <w:t xml:space="preserve">[14] </w:t>
                    </w:r>
                  </w:p>
                </w:tc>
                <w:tc>
                  <w:tcPr>
                    <w:tcW w:w="0" w:type="auto"/>
                    <w:hideMark/>
                  </w:tcPr>
                  <w:p w14:paraId="583A1682" w14:textId="77777777" w:rsidR="00273BFA" w:rsidRDefault="00273BFA">
                    <w:pPr>
                      <w:pStyle w:val="Bibliography"/>
                      <w:rPr>
                        <w:noProof/>
                      </w:rPr>
                    </w:pPr>
                    <w:r>
                      <w:rPr>
                        <w:noProof/>
                      </w:rPr>
                      <w:t>Scribd, “International Electrotechnical Commission - IEC 62443-3-2 Ed. 1.0 En_2020, First Edition_ Security for Industrial Automation and Control Systems - Part 3-2_ Security Risk Assessment for System Design,” 2020. [Online]. Available: https://www.scribd.com/document/703749643/international-electrotechnical-commission-iec-62443-3-2-ed-1-0-en-2020-first-edition-security-for-industrial-automation-and-control-systems-par. [Accessed 13 07 2026].</w:t>
                    </w:r>
                  </w:p>
                </w:tc>
              </w:tr>
              <w:tr w:rsidR="00273BFA" w14:paraId="07C5131A" w14:textId="77777777">
                <w:trPr>
                  <w:divId w:val="548615035"/>
                  <w:tblCellSpacing w:w="15" w:type="dxa"/>
                </w:trPr>
                <w:tc>
                  <w:tcPr>
                    <w:tcW w:w="50" w:type="pct"/>
                    <w:hideMark/>
                  </w:tcPr>
                  <w:p w14:paraId="54A74BEA" w14:textId="77777777" w:rsidR="00273BFA" w:rsidRDefault="00273BFA">
                    <w:pPr>
                      <w:pStyle w:val="Bibliography"/>
                      <w:rPr>
                        <w:noProof/>
                      </w:rPr>
                    </w:pPr>
                    <w:r>
                      <w:rPr>
                        <w:noProof/>
                      </w:rPr>
                      <w:t xml:space="preserve">[15] </w:t>
                    </w:r>
                  </w:p>
                </w:tc>
                <w:tc>
                  <w:tcPr>
                    <w:tcW w:w="0" w:type="auto"/>
                    <w:hideMark/>
                  </w:tcPr>
                  <w:p w14:paraId="31182EB8" w14:textId="77777777" w:rsidR="00273BFA" w:rsidRDefault="00273BFA">
                    <w:pPr>
                      <w:pStyle w:val="Bibliography"/>
                      <w:rPr>
                        <w:noProof/>
                      </w:rPr>
                    </w:pPr>
                    <w:r>
                      <w:rPr>
                        <w:noProof/>
                      </w:rPr>
                      <w:t>CISA, “Recommended Practice: Improving Industrial Control System Cybersecurity with Defense-in-Depth Strategies Industrial Control Systems Cyber Emergency Response Team,” 2016. [Online]. Available: https://www.cisa.gov/sites/default/files/2023-01/NCCIC_ICS-CERT_Defense_in_Depth_2016_S508C.pdf. [Accessed 09 07 2026].</w:t>
                    </w:r>
                  </w:p>
                </w:tc>
              </w:tr>
              <w:tr w:rsidR="00273BFA" w14:paraId="1C5B76D8" w14:textId="77777777">
                <w:trPr>
                  <w:divId w:val="548615035"/>
                  <w:tblCellSpacing w:w="15" w:type="dxa"/>
                </w:trPr>
                <w:tc>
                  <w:tcPr>
                    <w:tcW w:w="50" w:type="pct"/>
                    <w:hideMark/>
                  </w:tcPr>
                  <w:p w14:paraId="2E7A8026" w14:textId="77777777" w:rsidR="00273BFA" w:rsidRDefault="00273BFA">
                    <w:pPr>
                      <w:pStyle w:val="Bibliography"/>
                      <w:rPr>
                        <w:noProof/>
                      </w:rPr>
                    </w:pPr>
                    <w:r>
                      <w:rPr>
                        <w:noProof/>
                      </w:rPr>
                      <w:t xml:space="preserve">[16] </w:t>
                    </w:r>
                  </w:p>
                </w:tc>
                <w:tc>
                  <w:tcPr>
                    <w:tcW w:w="0" w:type="auto"/>
                    <w:hideMark/>
                  </w:tcPr>
                  <w:p w14:paraId="2C92F205" w14:textId="77777777" w:rsidR="00273BFA" w:rsidRDefault="00273BFA">
                    <w:pPr>
                      <w:pStyle w:val="Bibliography"/>
                      <w:rPr>
                        <w:noProof/>
                      </w:rPr>
                    </w:pPr>
                    <w:r>
                      <w:rPr>
                        <w:noProof/>
                      </w:rPr>
                      <w:t>Center for Internet Security, “CIS Controls Version 8,” 2024. [Online]. Available: https://www.cisecurity.org/controls/v8. [Accessed 13 07 2026].</w:t>
                    </w:r>
                  </w:p>
                </w:tc>
              </w:tr>
              <w:tr w:rsidR="00273BFA" w14:paraId="12507B5C" w14:textId="77777777">
                <w:trPr>
                  <w:divId w:val="548615035"/>
                  <w:tblCellSpacing w:w="15" w:type="dxa"/>
                </w:trPr>
                <w:tc>
                  <w:tcPr>
                    <w:tcW w:w="50" w:type="pct"/>
                    <w:hideMark/>
                  </w:tcPr>
                  <w:p w14:paraId="7BEB0BD1" w14:textId="77777777" w:rsidR="00273BFA" w:rsidRDefault="00273BFA">
                    <w:pPr>
                      <w:pStyle w:val="Bibliography"/>
                      <w:rPr>
                        <w:noProof/>
                      </w:rPr>
                    </w:pPr>
                    <w:r>
                      <w:rPr>
                        <w:noProof/>
                      </w:rPr>
                      <w:t xml:space="preserve">[17] </w:t>
                    </w:r>
                  </w:p>
                </w:tc>
                <w:tc>
                  <w:tcPr>
                    <w:tcW w:w="0" w:type="auto"/>
                    <w:hideMark/>
                  </w:tcPr>
                  <w:p w14:paraId="0331387B" w14:textId="77777777" w:rsidR="00273BFA" w:rsidRDefault="00273BFA">
                    <w:pPr>
                      <w:pStyle w:val="Bibliography"/>
                      <w:rPr>
                        <w:noProof/>
                      </w:rPr>
                    </w:pPr>
                    <w:r>
                      <w:rPr>
                        <w:noProof/>
                      </w:rPr>
                      <w:t>Joint Task Force, “Security and Privacy Controls for Information Systems and Organizations,” 09 2020. [Online]. Available: https://nvlpubs.nist.gov/nistpubs/SpecialPublications/NIST.SP.800-53r5.pdf. [Accessed 13 07 2026].</w:t>
                    </w:r>
                  </w:p>
                </w:tc>
              </w:tr>
              <w:tr w:rsidR="00273BFA" w14:paraId="653221F1" w14:textId="77777777">
                <w:trPr>
                  <w:divId w:val="548615035"/>
                  <w:tblCellSpacing w:w="15" w:type="dxa"/>
                </w:trPr>
                <w:tc>
                  <w:tcPr>
                    <w:tcW w:w="50" w:type="pct"/>
                    <w:hideMark/>
                  </w:tcPr>
                  <w:p w14:paraId="34994680" w14:textId="77777777" w:rsidR="00273BFA" w:rsidRDefault="00273BFA">
                    <w:pPr>
                      <w:pStyle w:val="Bibliography"/>
                      <w:rPr>
                        <w:noProof/>
                      </w:rPr>
                    </w:pPr>
                    <w:r>
                      <w:rPr>
                        <w:noProof/>
                      </w:rPr>
                      <w:lastRenderedPageBreak/>
                      <w:t xml:space="preserve">[18] </w:t>
                    </w:r>
                  </w:p>
                </w:tc>
                <w:tc>
                  <w:tcPr>
                    <w:tcW w:w="0" w:type="auto"/>
                    <w:hideMark/>
                  </w:tcPr>
                  <w:p w14:paraId="77327151" w14:textId="77777777" w:rsidR="00273BFA" w:rsidRDefault="00273BFA">
                    <w:pPr>
                      <w:pStyle w:val="Bibliography"/>
                      <w:rPr>
                        <w:noProof/>
                      </w:rPr>
                    </w:pPr>
                    <w:r>
                      <w:rPr>
                        <w:noProof/>
                      </w:rPr>
                      <w:t>ISO, “Information security, cybersecurity and privacy protection — Information security management systems — Requirements,” 2022. [Online]. Available: https://www.iso.org/standard/82875.html. [Accessed 13 07 2026].</w:t>
                    </w:r>
                  </w:p>
                </w:tc>
              </w:tr>
              <w:tr w:rsidR="00273BFA" w14:paraId="0EB1F8E5" w14:textId="77777777">
                <w:trPr>
                  <w:divId w:val="548615035"/>
                  <w:tblCellSpacing w:w="15" w:type="dxa"/>
                </w:trPr>
                <w:tc>
                  <w:tcPr>
                    <w:tcW w:w="50" w:type="pct"/>
                    <w:hideMark/>
                  </w:tcPr>
                  <w:p w14:paraId="4F4CFB95" w14:textId="77777777" w:rsidR="00273BFA" w:rsidRDefault="00273BFA">
                    <w:pPr>
                      <w:pStyle w:val="Bibliography"/>
                      <w:rPr>
                        <w:noProof/>
                      </w:rPr>
                    </w:pPr>
                    <w:r>
                      <w:rPr>
                        <w:noProof/>
                      </w:rPr>
                      <w:t xml:space="preserve">[19] </w:t>
                    </w:r>
                  </w:p>
                </w:tc>
                <w:tc>
                  <w:tcPr>
                    <w:tcW w:w="0" w:type="auto"/>
                    <w:hideMark/>
                  </w:tcPr>
                  <w:p w14:paraId="575C6595" w14:textId="77777777" w:rsidR="00273BFA" w:rsidRDefault="00273BFA">
                    <w:pPr>
                      <w:pStyle w:val="Bibliography"/>
                      <w:rPr>
                        <w:noProof/>
                      </w:rPr>
                    </w:pPr>
                    <w:r>
                      <w:rPr>
                        <w:noProof/>
                      </w:rPr>
                      <w:t>P. Cichonski, T. Millar, T. Grance and K. Scarfone, “Computer Security Incident Handling Guide,” 2012. [Online]. Available: doi: 10.6028/nist.sp.800-61r2. [Accessed 13 07 2026].</w:t>
                    </w:r>
                  </w:p>
                </w:tc>
              </w:tr>
            </w:tbl>
            <w:p w14:paraId="5CA63504" w14:textId="77777777" w:rsidR="00273BFA" w:rsidRDefault="00273BFA">
              <w:pPr>
                <w:divId w:val="548615035"/>
                <w:rPr>
                  <w:rFonts w:eastAsia="Times New Roman"/>
                  <w:noProof/>
                </w:rPr>
              </w:pPr>
            </w:p>
            <w:p w14:paraId="6E7477C0" w14:textId="4DCEB78F" w:rsidR="00273BFA" w:rsidRDefault="00273BFA">
              <w:r>
                <w:rPr>
                  <w:b/>
                  <w:bCs/>
                  <w:noProof/>
                </w:rPr>
                <w:fldChar w:fldCharType="end"/>
              </w:r>
            </w:p>
          </w:sdtContent>
        </w:sdt>
      </w:sdtContent>
    </w:sdt>
    <w:p w14:paraId="491758E2" w14:textId="77777777" w:rsidR="00921D24" w:rsidRPr="00024340" w:rsidRDefault="00921D24" w:rsidP="00921D24">
      <w:pPr>
        <w:rPr>
          <w:b/>
          <w:bCs/>
        </w:rPr>
      </w:pPr>
    </w:p>
    <w:p w14:paraId="5B9E6DFA" w14:textId="77777777" w:rsidR="00921D24" w:rsidRPr="00921D24" w:rsidRDefault="00921D24" w:rsidP="00921D24">
      <w:pPr>
        <w:rPr>
          <w:lang w:eastAsia="en-US"/>
        </w:rPr>
      </w:pPr>
    </w:p>
    <w:p w14:paraId="448238B7" w14:textId="77777777" w:rsidR="00C07665" w:rsidRDefault="00C07665" w:rsidP="00C07665">
      <w:pPr>
        <w:jc w:val="center"/>
        <w:rPr>
          <w:rFonts w:asciiTheme="majorHAnsi" w:hAnsiTheme="majorHAnsi"/>
          <w:sz w:val="52"/>
          <w:szCs w:val="52"/>
        </w:rPr>
      </w:pPr>
    </w:p>
    <w:p w14:paraId="046E22AA" w14:textId="77777777" w:rsidR="000E3917" w:rsidRDefault="000E3917" w:rsidP="00C07665">
      <w:pPr>
        <w:jc w:val="center"/>
        <w:rPr>
          <w:rFonts w:asciiTheme="majorHAnsi" w:hAnsiTheme="majorHAnsi"/>
          <w:sz w:val="52"/>
          <w:szCs w:val="52"/>
        </w:rPr>
      </w:pPr>
    </w:p>
    <w:p w14:paraId="4B151062" w14:textId="77777777" w:rsidR="000E3917" w:rsidRDefault="000E3917" w:rsidP="00C07665">
      <w:pPr>
        <w:jc w:val="center"/>
        <w:rPr>
          <w:rFonts w:asciiTheme="majorHAnsi" w:hAnsiTheme="majorHAnsi"/>
          <w:sz w:val="52"/>
          <w:szCs w:val="52"/>
        </w:rPr>
      </w:pPr>
    </w:p>
    <w:p w14:paraId="788F2F96" w14:textId="77777777" w:rsidR="000E3917" w:rsidRDefault="000E3917" w:rsidP="00C07665">
      <w:pPr>
        <w:jc w:val="center"/>
        <w:rPr>
          <w:rFonts w:asciiTheme="majorHAnsi" w:hAnsiTheme="majorHAnsi"/>
          <w:sz w:val="52"/>
          <w:szCs w:val="52"/>
        </w:rPr>
      </w:pPr>
    </w:p>
    <w:p w14:paraId="273DB142" w14:textId="77777777" w:rsidR="000E3917" w:rsidRDefault="000E3917" w:rsidP="00C07665">
      <w:pPr>
        <w:jc w:val="center"/>
        <w:rPr>
          <w:rFonts w:asciiTheme="majorHAnsi" w:hAnsiTheme="majorHAnsi"/>
          <w:sz w:val="52"/>
          <w:szCs w:val="52"/>
        </w:rPr>
      </w:pPr>
    </w:p>
    <w:p w14:paraId="3B3275C4" w14:textId="77777777" w:rsidR="000E3917" w:rsidRDefault="000E3917" w:rsidP="00C07665">
      <w:pPr>
        <w:jc w:val="center"/>
        <w:rPr>
          <w:rFonts w:asciiTheme="majorHAnsi" w:hAnsiTheme="majorHAnsi"/>
          <w:sz w:val="52"/>
          <w:szCs w:val="52"/>
        </w:rPr>
      </w:pPr>
    </w:p>
    <w:p w14:paraId="407E9056" w14:textId="77777777" w:rsidR="000E3917" w:rsidRDefault="000E3917" w:rsidP="00C07665">
      <w:pPr>
        <w:jc w:val="center"/>
        <w:rPr>
          <w:rFonts w:asciiTheme="majorHAnsi" w:hAnsiTheme="majorHAnsi"/>
          <w:sz w:val="52"/>
          <w:szCs w:val="52"/>
        </w:rPr>
      </w:pPr>
    </w:p>
    <w:p w14:paraId="49C4C930" w14:textId="77777777" w:rsidR="000E3917" w:rsidRDefault="000E3917" w:rsidP="00C07665">
      <w:pPr>
        <w:jc w:val="center"/>
        <w:rPr>
          <w:rFonts w:asciiTheme="majorHAnsi" w:hAnsiTheme="majorHAnsi"/>
          <w:sz w:val="52"/>
          <w:szCs w:val="52"/>
        </w:rPr>
      </w:pPr>
    </w:p>
    <w:p w14:paraId="165E202A" w14:textId="77777777" w:rsidR="000E3917" w:rsidRDefault="000E3917" w:rsidP="00C07665">
      <w:pPr>
        <w:jc w:val="center"/>
        <w:rPr>
          <w:rFonts w:asciiTheme="majorHAnsi" w:hAnsiTheme="majorHAnsi"/>
          <w:sz w:val="52"/>
          <w:szCs w:val="52"/>
        </w:rPr>
      </w:pPr>
    </w:p>
    <w:p w14:paraId="755CE1E5" w14:textId="77777777" w:rsidR="000E3917" w:rsidRDefault="000E3917" w:rsidP="00C07665">
      <w:pPr>
        <w:jc w:val="center"/>
        <w:rPr>
          <w:rFonts w:asciiTheme="majorHAnsi" w:hAnsiTheme="majorHAnsi"/>
          <w:sz w:val="52"/>
          <w:szCs w:val="52"/>
        </w:rPr>
      </w:pPr>
    </w:p>
    <w:p w14:paraId="196FFE07" w14:textId="77777777" w:rsidR="000E3917" w:rsidRPr="000E3917" w:rsidRDefault="000E3917" w:rsidP="000E3917">
      <w:pPr>
        <w:jc w:val="both"/>
        <w:rPr>
          <w:rFonts w:ascii="Arial" w:hAnsi="Arial" w:cs="Arial"/>
          <w:b/>
          <w:bCs/>
          <w:sz w:val="28"/>
          <w:szCs w:val="28"/>
        </w:rPr>
      </w:pPr>
    </w:p>
    <w:p w14:paraId="52C6A5D0" w14:textId="0A3F9A83" w:rsidR="00C07665" w:rsidRDefault="000E3917" w:rsidP="000E3917">
      <w:pPr>
        <w:pStyle w:val="Heading1"/>
        <w:rPr>
          <w:rFonts w:ascii="Arial" w:hAnsi="Arial" w:cs="Arial"/>
          <w:b/>
          <w:bCs/>
          <w:sz w:val="28"/>
          <w:szCs w:val="28"/>
        </w:rPr>
      </w:pPr>
      <w:bookmarkStart w:id="14" w:name="_Toc235668544"/>
      <w:r w:rsidRPr="000E3917">
        <w:rPr>
          <w:rFonts w:ascii="Arial" w:hAnsi="Arial" w:cs="Arial"/>
          <w:b/>
          <w:bCs/>
          <w:sz w:val="28"/>
          <w:szCs w:val="28"/>
        </w:rPr>
        <w:lastRenderedPageBreak/>
        <w:t>Appendix</w:t>
      </w:r>
      <w:bookmarkEnd w:id="14"/>
    </w:p>
    <w:p w14:paraId="60E45D28" w14:textId="77777777" w:rsidR="000E3917" w:rsidRDefault="000E3917" w:rsidP="000E3917"/>
    <w:p w14:paraId="4E666F40" w14:textId="106CEAAB" w:rsidR="000E3917" w:rsidRDefault="000E3917" w:rsidP="000E3917">
      <w:pPr>
        <w:rPr>
          <w:rFonts w:ascii="Arial" w:hAnsi="Arial" w:cs="Arial"/>
          <w:sz w:val="22"/>
          <w:szCs w:val="22"/>
        </w:rPr>
      </w:pPr>
      <w:r>
        <w:rPr>
          <w:rFonts w:ascii="Arial" w:hAnsi="Arial" w:cs="Arial"/>
          <w:sz w:val="22"/>
          <w:szCs w:val="22"/>
        </w:rPr>
        <w:t xml:space="preserve">Presentation PowerPoint Slides: </w:t>
      </w:r>
    </w:p>
    <w:p w14:paraId="0EA4695E" w14:textId="77777777" w:rsidR="000E3917" w:rsidRDefault="000E3917" w:rsidP="000E3917">
      <w:pPr>
        <w:rPr>
          <w:rFonts w:ascii="Arial" w:hAnsi="Arial" w:cs="Arial"/>
          <w:sz w:val="22"/>
          <w:szCs w:val="22"/>
        </w:rPr>
      </w:pPr>
    </w:p>
    <w:p w14:paraId="252BE37B" w14:textId="38B243FB" w:rsidR="000E3917" w:rsidRPr="000E3917" w:rsidRDefault="000E3917" w:rsidP="000E3917">
      <w:pPr>
        <w:rPr>
          <w:rFonts w:ascii="Arial" w:hAnsi="Arial" w:cs="Arial"/>
          <w:sz w:val="22"/>
          <w:szCs w:val="22"/>
        </w:rPr>
      </w:pPr>
      <w:r>
        <w:rPr>
          <w:rFonts w:ascii="Arial" w:hAnsi="Arial" w:cs="Arial"/>
          <w:noProof/>
          <w:sz w:val="22"/>
          <w:szCs w:val="22"/>
        </w:rPr>
        <w:drawing>
          <wp:inline distT="0" distB="0" distL="0" distR="0" wp14:anchorId="6C727D76" wp14:editId="6C6C72F1">
            <wp:extent cx="5731510" cy="3195320"/>
            <wp:effectExtent l="0" t="0" r="2540" b="5080"/>
            <wp:docPr id="4250571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057168" name="Picture 425057168"/>
                    <pic:cNvPicPr/>
                  </pic:nvPicPr>
                  <pic:blipFill>
                    <a:blip r:embed="rId11">
                      <a:extLst>
                        <a:ext uri="{28A0092B-C50C-407E-A947-70E740481C1C}">
                          <a14:useLocalDpi xmlns:a14="http://schemas.microsoft.com/office/drawing/2010/main" val="0"/>
                        </a:ext>
                      </a:extLst>
                    </a:blip>
                    <a:stretch>
                      <a:fillRect/>
                    </a:stretch>
                  </pic:blipFill>
                  <pic:spPr>
                    <a:xfrm>
                      <a:off x="0" y="0"/>
                      <a:ext cx="5731510" cy="3195320"/>
                    </a:xfrm>
                    <a:prstGeom prst="rect">
                      <a:avLst/>
                    </a:prstGeom>
                  </pic:spPr>
                </pic:pic>
              </a:graphicData>
            </a:graphic>
          </wp:inline>
        </w:drawing>
      </w:r>
      <w:r>
        <w:rPr>
          <w:rFonts w:ascii="Arial" w:hAnsi="Arial" w:cs="Arial"/>
          <w:noProof/>
          <w:sz w:val="22"/>
          <w:szCs w:val="22"/>
        </w:rPr>
        <w:drawing>
          <wp:inline distT="0" distB="0" distL="0" distR="0" wp14:anchorId="5D74835B" wp14:editId="056B0B31">
            <wp:extent cx="5731510" cy="3169920"/>
            <wp:effectExtent l="0" t="0" r="2540" b="0"/>
            <wp:docPr id="4708861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886197" name="Picture 470886197"/>
                    <pic:cNvPicPr/>
                  </pic:nvPicPr>
                  <pic:blipFill>
                    <a:blip r:embed="rId12">
                      <a:extLst>
                        <a:ext uri="{28A0092B-C50C-407E-A947-70E740481C1C}">
                          <a14:useLocalDpi xmlns:a14="http://schemas.microsoft.com/office/drawing/2010/main" val="0"/>
                        </a:ext>
                      </a:extLst>
                    </a:blip>
                    <a:stretch>
                      <a:fillRect/>
                    </a:stretch>
                  </pic:blipFill>
                  <pic:spPr>
                    <a:xfrm>
                      <a:off x="0" y="0"/>
                      <a:ext cx="5731510" cy="3169920"/>
                    </a:xfrm>
                    <a:prstGeom prst="rect">
                      <a:avLst/>
                    </a:prstGeom>
                  </pic:spPr>
                </pic:pic>
              </a:graphicData>
            </a:graphic>
          </wp:inline>
        </w:drawing>
      </w:r>
      <w:r>
        <w:rPr>
          <w:rFonts w:ascii="Arial" w:hAnsi="Arial" w:cs="Arial"/>
          <w:noProof/>
          <w:sz w:val="22"/>
          <w:szCs w:val="22"/>
        </w:rPr>
        <w:lastRenderedPageBreak/>
        <w:drawing>
          <wp:inline distT="0" distB="0" distL="0" distR="0" wp14:anchorId="5EB94730" wp14:editId="68C4709C">
            <wp:extent cx="5731510" cy="3208020"/>
            <wp:effectExtent l="0" t="0" r="2540" b="0"/>
            <wp:docPr id="163062306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623063" name="Picture 1630623063"/>
                    <pic:cNvPicPr/>
                  </pic:nvPicPr>
                  <pic:blipFill>
                    <a:blip r:embed="rId13">
                      <a:extLst>
                        <a:ext uri="{28A0092B-C50C-407E-A947-70E740481C1C}">
                          <a14:useLocalDpi xmlns:a14="http://schemas.microsoft.com/office/drawing/2010/main" val="0"/>
                        </a:ext>
                      </a:extLst>
                    </a:blip>
                    <a:stretch>
                      <a:fillRect/>
                    </a:stretch>
                  </pic:blipFill>
                  <pic:spPr>
                    <a:xfrm>
                      <a:off x="0" y="0"/>
                      <a:ext cx="5731510" cy="3208020"/>
                    </a:xfrm>
                    <a:prstGeom prst="rect">
                      <a:avLst/>
                    </a:prstGeom>
                  </pic:spPr>
                </pic:pic>
              </a:graphicData>
            </a:graphic>
          </wp:inline>
        </w:drawing>
      </w:r>
      <w:r>
        <w:rPr>
          <w:rFonts w:ascii="Arial" w:hAnsi="Arial" w:cs="Arial"/>
          <w:noProof/>
          <w:sz w:val="22"/>
          <w:szCs w:val="22"/>
        </w:rPr>
        <w:drawing>
          <wp:inline distT="0" distB="0" distL="0" distR="0" wp14:anchorId="6EFE082D" wp14:editId="3286619B">
            <wp:extent cx="5731510" cy="3150870"/>
            <wp:effectExtent l="0" t="0" r="2540" b="0"/>
            <wp:docPr id="2874334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43347" name="Picture 28743347"/>
                    <pic:cNvPicPr/>
                  </pic:nvPicPr>
                  <pic:blipFill>
                    <a:blip r:embed="rId14">
                      <a:extLst>
                        <a:ext uri="{28A0092B-C50C-407E-A947-70E740481C1C}">
                          <a14:useLocalDpi xmlns:a14="http://schemas.microsoft.com/office/drawing/2010/main" val="0"/>
                        </a:ext>
                      </a:extLst>
                    </a:blip>
                    <a:stretch>
                      <a:fillRect/>
                    </a:stretch>
                  </pic:blipFill>
                  <pic:spPr>
                    <a:xfrm>
                      <a:off x="0" y="0"/>
                      <a:ext cx="5731510" cy="3150870"/>
                    </a:xfrm>
                    <a:prstGeom prst="rect">
                      <a:avLst/>
                    </a:prstGeom>
                  </pic:spPr>
                </pic:pic>
              </a:graphicData>
            </a:graphic>
          </wp:inline>
        </w:drawing>
      </w:r>
      <w:r>
        <w:rPr>
          <w:rFonts w:ascii="Arial" w:hAnsi="Arial" w:cs="Arial"/>
          <w:noProof/>
          <w:sz w:val="22"/>
          <w:szCs w:val="22"/>
        </w:rPr>
        <w:lastRenderedPageBreak/>
        <w:drawing>
          <wp:inline distT="0" distB="0" distL="0" distR="0" wp14:anchorId="0182F220" wp14:editId="1050C6FC">
            <wp:extent cx="5731510" cy="3169285"/>
            <wp:effectExtent l="0" t="0" r="2540" b="0"/>
            <wp:docPr id="12726089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608913" name="Picture 1272608913"/>
                    <pic:cNvPicPr/>
                  </pic:nvPicPr>
                  <pic:blipFill>
                    <a:blip r:embed="rId15">
                      <a:extLst>
                        <a:ext uri="{28A0092B-C50C-407E-A947-70E740481C1C}">
                          <a14:useLocalDpi xmlns:a14="http://schemas.microsoft.com/office/drawing/2010/main" val="0"/>
                        </a:ext>
                      </a:extLst>
                    </a:blip>
                    <a:stretch>
                      <a:fillRect/>
                    </a:stretch>
                  </pic:blipFill>
                  <pic:spPr>
                    <a:xfrm>
                      <a:off x="0" y="0"/>
                      <a:ext cx="5731510" cy="3169285"/>
                    </a:xfrm>
                    <a:prstGeom prst="rect">
                      <a:avLst/>
                    </a:prstGeom>
                  </pic:spPr>
                </pic:pic>
              </a:graphicData>
            </a:graphic>
          </wp:inline>
        </w:drawing>
      </w:r>
      <w:r>
        <w:rPr>
          <w:rFonts w:ascii="Arial" w:hAnsi="Arial" w:cs="Arial"/>
          <w:noProof/>
          <w:sz w:val="22"/>
          <w:szCs w:val="22"/>
        </w:rPr>
        <w:drawing>
          <wp:inline distT="0" distB="0" distL="0" distR="0" wp14:anchorId="5D2EA133" wp14:editId="23CEFE10">
            <wp:extent cx="5731510" cy="3171825"/>
            <wp:effectExtent l="0" t="0" r="2540" b="9525"/>
            <wp:docPr id="94447991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479918" name="Picture 944479918"/>
                    <pic:cNvPicPr/>
                  </pic:nvPicPr>
                  <pic:blipFill>
                    <a:blip r:embed="rId16">
                      <a:extLst>
                        <a:ext uri="{28A0092B-C50C-407E-A947-70E740481C1C}">
                          <a14:useLocalDpi xmlns:a14="http://schemas.microsoft.com/office/drawing/2010/main" val="0"/>
                        </a:ext>
                      </a:extLst>
                    </a:blip>
                    <a:stretch>
                      <a:fillRect/>
                    </a:stretch>
                  </pic:blipFill>
                  <pic:spPr>
                    <a:xfrm>
                      <a:off x="0" y="0"/>
                      <a:ext cx="5731510" cy="3171825"/>
                    </a:xfrm>
                    <a:prstGeom prst="rect">
                      <a:avLst/>
                    </a:prstGeom>
                  </pic:spPr>
                </pic:pic>
              </a:graphicData>
            </a:graphic>
          </wp:inline>
        </w:drawing>
      </w:r>
      <w:r>
        <w:rPr>
          <w:rFonts w:ascii="Arial" w:hAnsi="Arial" w:cs="Arial"/>
          <w:noProof/>
          <w:sz w:val="22"/>
          <w:szCs w:val="22"/>
        </w:rPr>
        <w:lastRenderedPageBreak/>
        <w:drawing>
          <wp:inline distT="0" distB="0" distL="0" distR="0" wp14:anchorId="7B8F7E21" wp14:editId="21D08377">
            <wp:extent cx="5731510" cy="3183255"/>
            <wp:effectExtent l="0" t="0" r="2540" b="0"/>
            <wp:docPr id="47918035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180351" name="Picture 479180351"/>
                    <pic:cNvPicPr/>
                  </pic:nvPicPr>
                  <pic:blipFill>
                    <a:blip r:embed="rId17">
                      <a:extLst>
                        <a:ext uri="{28A0092B-C50C-407E-A947-70E740481C1C}">
                          <a14:useLocalDpi xmlns:a14="http://schemas.microsoft.com/office/drawing/2010/main" val="0"/>
                        </a:ext>
                      </a:extLst>
                    </a:blip>
                    <a:stretch>
                      <a:fillRect/>
                    </a:stretch>
                  </pic:blipFill>
                  <pic:spPr>
                    <a:xfrm>
                      <a:off x="0" y="0"/>
                      <a:ext cx="5731510" cy="3183255"/>
                    </a:xfrm>
                    <a:prstGeom prst="rect">
                      <a:avLst/>
                    </a:prstGeom>
                  </pic:spPr>
                </pic:pic>
              </a:graphicData>
            </a:graphic>
          </wp:inline>
        </w:drawing>
      </w:r>
      <w:r>
        <w:rPr>
          <w:rFonts w:ascii="Arial" w:hAnsi="Arial" w:cs="Arial"/>
          <w:noProof/>
          <w:sz w:val="22"/>
          <w:szCs w:val="22"/>
        </w:rPr>
        <w:drawing>
          <wp:inline distT="0" distB="0" distL="0" distR="0" wp14:anchorId="572F0379" wp14:editId="3BD106E7">
            <wp:extent cx="5731510" cy="3159125"/>
            <wp:effectExtent l="0" t="0" r="2540" b="3175"/>
            <wp:docPr id="37615247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152474" name="Picture 376152474"/>
                    <pic:cNvPicPr/>
                  </pic:nvPicPr>
                  <pic:blipFill>
                    <a:blip r:embed="rId18">
                      <a:extLst>
                        <a:ext uri="{28A0092B-C50C-407E-A947-70E740481C1C}">
                          <a14:useLocalDpi xmlns:a14="http://schemas.microsoft.com/office/drawing/2010/main" val="0"/>
                        </a:ext>
                      </a:extLst>
                    </a:blip>
                    <a:stretch>
                      <a:fillRect/>
                    </a:stretch>
                  </pic:blipFill>
                  <pic:spPr>
                    <a:xfrm>
                      <a:off x="0" y="0"/>
                      <a:ext cx="5731510" cy="3159125"/>
                    </a:xfrm>
                    <a:prstGeom prst="rect">
                      <a:avLst/>
                    </a:prstGeom>
                  </pic:spPr>
                </pic:pic>
              </a:graphicData>
            </a:graphic>
          </wp:inline>
        </w:drawing>
      </w:r>
      <w:r>
        <w:rPr>
          <w:rFonts w:ascii="Arial" w:hAnsi="Arial" w:cs="Arial"/>
          <w:noProof/>
          <w:sz w:val="22"/>
          <w:szCs w:val="22"/>
        </w:rPr>
        <w:lastRenderedPageBreak/>
        <w:drawing>
          <wp:inline distT="0" distB="0" distL="0" distR="0" wp14:anchorId="157D45B8" wp14:editId="4AA08982">
            <wp:extent cx="5731510" cy="3162300"/>
            <wp:effectExtent l="0" t="0" r="2540" b="0"/>
            <wp:docPr id="147385886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858867" name="Picture 1473858867"/>
                    <pic:cNvPicPr/>
                  </pic:nvPicPr>
                  <pic:blipFill>
                    <a:blip r:embed="rId19">
                      <a:extLst>
                        <a:ext uri="{28A0092B-C50C-407E-A947-70E740481C1C}">
                          <a14:useLocalDpi xmlns:a14="http://schemas.microsoft.com/office/drawing/2010/main" val="0"/>
                        </a:ext>
                      </a:extLst>
                    </a:blip>
                    <a:stretch>
                      <a:fillRect/>
                    </a:stretch>
                  </pic:blipFill>
                  <pic:spPr>
                    <a:xfrm>
                      <a:off x="0" y="0"/>
                      <a:ext cx="5731510" cy="3162300"/>
                    </a:xfrm>
                    <a:prstGeom prst="rect">
                      <a:avLst/>
                    </a:prstGeom>
                  </pic:spPr>
                </pic:pic>
              </a:graphicData>
            </a:graphic>
          </wp:inline>
        </w:drawing>
      </w:r>
      <w:r>
        <w:rPr>
          <w:rFonts w:ascii="Arial" w:hAnsi="Arial" w:cs="Arial"/>
          <w:noProof/>
          <w:sz w:val="22"/>
          <w:szCs w:val="22"/>
        </w:rPr>
        <w:drawing>
          <wp:inline distT="0" distB="0" distL="0" distR="0" wp14:anchorId="44E96064" wp14:editId="18743AA4">
            <wp:extent cx="5731510" cy="3164205"/>
            <wp:effectExtent l="0" t="0" r="2540" b="0"/>
            <wp:docPr id="35797616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976166" name="Picture 357976166"/>
                    <pic:cNvPicPr/>
                  </pic:nvPicPr>
                  <pic:blipFill>
                    <a:blip r:embed="rId20">
                      <a:extLst>
                        <a:ext uri="{28A0092B-C50C-407E-A947-70E740481C1C}">
                          <a14:useLocalDpi xmlns:a14="http://schemas.microsoft.com/office/drawing/2010/main" val="0"/>
                        </a:ext>
                      </a:extLst>
                    </a:blip>
                    <a:stretch>
                      <a:fillRect/>
                    </a:stretch>
                  </pic:blipFill>
                  <pic:spPr>
                    <a:xfrm>
                      <a:off x="0" y="0"/>
                      <a:ext cx="5731510" cy="3164205"/>
                    </a:xfrm>
                    <a:prstGeom prst="rect">
                      <a:avLst/>
                    </a:prstGeom>
                  </pic:spPr>
                </pic:pic>
              </a:graphicData>
            </a:graphic>
          </wp:inline>
        </w:drawing>
      </w:r>
      <w:r>
        <w:rPr>
          <w:rFonts w:ascii="Arial" w:hAnsi="Arial" w:cs="Arial"/>
          <w:noProof/>
          <w:sz w:val="22"/>
          <w:szCs w:val="22"/>
        </w:rPr>
        <w:lastRenderedPageBreak/>
        <w:drawing>
          <wp:inline distT="0" distB="0" distL="0" distR="0" wp14:anchorId="3BA645A4" wp14:editId="4A596730">
            <wp:extent cx="5731510" cy="3161030"/>
            <wp:effectExtent l="0" t="0" r="2540" b="1270"/>
            <wp:docPr id="19378948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894813" name="Picture 1937894813"/>
                    <pic:cNvPicPr/>
                  </pic:nvPicPr>
                  <pic:blipFill>
                    <a:blip r:embed="rId21">
                      <a:extLst>
                        <a:ext uri="{28A0092B-C50C-407E-A947-70E740481C1C}">
                          <a14:useLocalDpi xmlns:a14="http://schemas.microsoft.com/office/drawing/2010/main" val="0"/>
                        </a:ext>
                      </a:extLst>
                    </a:blip>
                    <a:stretch>
                      <a:fillRect/>
                    </a:stretch>
                  </pic:blipFill>
                  <pic:spPr>
                    <a:xfrm>
                      <a:off x="0" y="0"/>
                      <a:ext cx="5731510" cy="3161030"/>
                    </a:xfrm>
                    <a:prstGeom prst="rect">
                      <a:avLst/>
                    </a:prstGeom>
                  </pic:spPr>
                </pic:pic>
              </a:graphicData>
            </a:graphic>
          </wp:inline>
        </w:drawing>
      </w:r>
      <w:r>
        <w:rPr>
          <w:rFonts w:ascii="Arial" w:hAnsi="Arial" w:cs="Arial"/>
          <w:noProof/>
          <w:sz w:val="22"/>
          <w:szCs w:val="22"/>
        </w:rPr>
        <w:drawing>
          <wp:inline distT="0" distB="0" distL="0" distR="0" wp14:anchorId="4F8EA2E9" wp14:editId="22D16F67">
            <wp:extent cx="5731510" cy="3188970"/>
            <wp:effectExtent l="0" t="0" r="2540" b="0"/>
            <wp:docPr id="26905537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055371" name="Picture 269055371"/>
                    <pic:cNvPicPr/>
                  </pic:nvPicPr>
                  <pic:blipFill>
                    <a:blip r:embed="rId22">
                      <a:extLst>
                        <a:ext uri="{28A0092B-C50C-407E-A947-70E740481C1C}">
                          <a14:useLocalDpi xmlns:a14="http://schemas.microsoft.com/office/drawing/2010/main" val="0"/>
                        </a:ext>
                      </a:extLst>
                    </a:blip>
                    <a:stretch>
                      <a:fillRect/>
                    </a:stretch>
                  </pic:blipFill>
                  <pic:spPr>
                    <a:xfrm>
                      <a:off x="0" y="0"/>
                      <a:ext cx="5731510" cy="3188970"/>
                    </a:xfrm>
                    <a:prstGeom prst="rect">
                      <a:avLst/>
                    </a:prstGeom>
                  </pic:spPr>
                </pic:pic>
              </a:graphicData>
            </a:graphic>
          </wp:inline>
        </w:drawing>
      </w:r>
      <w:r>
        <w:rPr>
          <w:rFonts w:ascii="Arial" w:hAnsi="Arial" w:cs="Arial"/>
          <w:noProof/>
          <w:sz w:val="22"/>
          <w:szCs w:val="22"/>
        </w:rPr>
        <w:lastRenderedPageBreak/>
        <w:drawing>
          <wp:inline distT="0" distB="0" distL="0" distR="0" wp14:anchorId="29E6D3CB" wp14:editId="68F05730">
            <wp:extent cx="5731510" cy="3177540"/>
            <wp:effectExtent l="0" t="0" r="2540" b="3810"/>
            <wp:docPr id="86225047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250473" name="Picture 862250473"/>
                    <pic:cNvPicPr/>
                  </pic:nvPicPr>
                  <pic:blipFill>
                    <a:blip r:embed="rId23">
                      <a:extLst>
                        <a:ext uri="{28A0092B-C50C-407E-A947-70E740481C1C}">
                          <a14:useLocalDpi xmlns:a14="http://schemas.microsoft.com/office/drawing/2010/main" val="0"/>
                        </a:ext>
                      </a:extLst>
                    </a:blip>
                    <a:stretch>
                      <a:fillRect/>
                    </a:stretch>
                  </pic:blipFill>
                  <pic:spPr>
                    <a:xfrm>
                      <a:off x="0" y="0"/>
                      <a:ext cx="5731510" cy="3177540"/>
                    </a:xfrm>
                    <a:prstGeom prst="rect">
                      <a:avLst/>
                    </a:prstGeom>
                  </pic:spPr>
                </pic:pic>
              </a:graphicData>
            </a:graphic>
          </wp:inline>
        </w:drawing>
      </w:r>
    </w:p>
    <w:p w14:paraId="29D3F488" w14:textId="77777777" w:rsidR="00C07665" w:rsidRDefault="00C07665" w:rsidP="00C07665">
      <w:pPr>
        <w:jc w:val="center"/>
        <w:rPr>
          <w:rFonts w:asciiTheme="majorHAnsi" w:hAnsiTheme="majorHAnsi"/>
          <w:sz w:val="52"/>
          <w:szCs w:val="52"/>
        </w:rPr>
      </w:pPr>
    </w:p>
    <w:p w14:paraId="57E44A4C" w14:textId="77777777" w:rsidR="00C07665" w:rsidRDefault="00C07665"/>
    <w:sectPr w:rsidR="00C076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257666"/>
    <w:multiLevelType w:val="multilevel"/>
    <w:tmpl w:val="0D500830"/>
    <w:lvl w:ilvl="0">
      <w:start w:val="2"/>
      <w:numFmt w:val="decimal"/>
      <w:lvlText w:val="%1"/>
      <w:lvlJc w:val="left"/>
      <w:pPr>
        <w:ind w:left="375" w:hanging="375"/>
      </w:pPr>
    </w:lvl>
    <w:lvl w:ilvl="1">
      <w:start w:val="1"/>
      <w:numFmt w:val="decimal"/>
      <w:lvlText w:val="%1.%2"/>
      <w:lvlJc w:val="left"/>
      <w:pPr>
        <w:ind w:left="375" w:hanging="375"/>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2160" w:hanging="2160"/>
      </w:pPr>
    </w:lvl>
  </w:abstractNum>
  <w:num w:numId="1" w16cid:durableId="1557202139">
    <w:abstractNumId w:val="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665"/>
    <w:rsid w:val="000A4CD1"/>
    <w:rsid w:val="000B7377"/>
    <w:rsid w:val="000E3917"/>
    <w:rsid w:val="00104AE8"/>
    <w:rsid w:val="001C7797"/>
    <w:rsid w:val="001E3C2B"/>
    <w:rsid w:val="00273BFA"/>
    <w:rsid w:val="003532E9"/>
    <w:rsid w:val="00422978"/>
    <w:rsid w:val="00512B01"/>
    <w:rsid w:val="00921D24"/>
    <w:rsid w:val="009470BE"/>
    <w:rsid w:val="009F3589"/>
    <w:rsid w:val="00A13575"/>
    <w:rsid w:val="00A52416"/>
    <w:rsid w:val="00BB64D1"/>
    <w:rsid w:val="00BC6AD2"/>
    <w:rsid w:val="00C07665"/>
    <w:rsid w:val="00C13956"/>
    <w:rsid w:val="00C27AEC"/>
    <w:rsid w:val="00C479B1"/>
    <w:rsid w:val="00CD59DD"/>
    <w:rsid w:val="00D6351E"/>
    <w:rsid w:val="00D864DE"/>
    <w:rsid w:val="00DB3EE5"/>
    <w:rsid w:val="00F159C6"/>
    <w:rsid w:val="00F9066A"/>
    <w:rsid w:val="00FE1C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0E87A"/>
  <w15:chartTrackingRefBased/>
  <w15:docId w15:val="{AF6D7FF0-B0FC-47F5-B4B2-AE1F31ADF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7665"/>
    <w:rPr>
      <w:rFonts w:eastAsiaTheme="minorEastAsia"/>
      <w:lang w:eastAsia="zh-CN"/>
    </w:rPr>
  </w:style>
  <w:style w:type="paragraph" w:styleId="Heading1">
    <w:name w:val="heading 1"/>
    <w:basedOn w:val="Normal"/>
    <w:next w:val="Normal"/>
    <w:link w:val="Heading1Char"/>
    <w:uiPriority w:val="9"/>
    <w:qFormat/>
    <w:rsid w:val="00C076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076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76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76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76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76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76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76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76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76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076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76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76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76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76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76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76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7665"/>
    <w:rPr>
      <w:rFonts w:eastAsiaTheme="majorEastAsia" w:cstheme="majorBidi"/>
      <w:color w:val="272727" w:themeColor="text1" w:themeTint="D8"/>
    </w:rPr>
  </w:style>
  <w:style w:type="paragraph" w:styleId="Title">
    <w:name w:val="Title"/>
    <w:basedOn w:val="Normal"/>
    <w:next w:val="Normal"/>
    <w:link w:val="TitleChar"/>
    <w:uiPriority w:val="10"/>
    <w:qFormat/>
    <w:rsid w:val="00C076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76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76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76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7665"/>
    <w:pPr>
      <w:spacing w:before="160"/>
      <w:jc w:val="center"/>
    </w:pPr>
    <w:rPr>
      <w:i/>
      <w:iCs/>
      <w:color w:val="404040" w:themeColor="text1" w:themeTint="BF"/>
    </w:rPr>
  </w:style>
  <w:style w:type="character" w:customStyle="1" w:styleId="QuoteChar">
    <w:name w:val="Quote Char"/>
    <w:basedOn w:val="DefaultParagraphFont"/>
    <w:link w:val="Quote"/>
    <w:uiPriority w:val="29"/>
    <w:rsid w:val="00C07665"/>
    <w:rPr>
      <w:i/>
      <w:iCs/>
      <w:color w:val="404040" w:themeColor="text1" w:themeTint="BF"/>
    </w:rPr>
  </w:style>
  <w:style w:type="paragraph" w:styleId="ListParagraph">
    <w:name w:val="List Paragraph"/>
    <w:basedOn w:val="Normal"/>
    <w:uiPriority w:val="34"/>
    <w:qFormat/>
    <w:rsid w:val="00C07665"/>
    <w:pPr>
      <w:ind w:left="720"/>
      <w:contextualSpacing/>
    </w:pPr>
  </w:style>
  <w:style w:type="character" w:styleId="IntenseEmphasis">
    <w:name w:val="Intense Emphasis"/>
    <w:basedOn w:val="DefaultParagraphFont"/>
    <w:uiPriority w:val="21"/>
    <w:qFormat/>
    <w:rsid w:val="00C07665"/>
    <w:rPr>
      <w:i/>
      <w:iCs/>
      <w:color w:val="0F4761" w:themeColor="accent1" w:themeShade="BF"/>
    </w:rPr>
  </w:style>
  <w:style w:type="paragraph" w:styleId="IntenseQuote">
    <w:name w:val="Intense Quote"/>
    <w:basedOn w:val="Normal"/>
    <w:next w:val="Normal"/>
    <w:link w:val="IntenseQuoteChar"/>
    <w:uiPriority w:val="30"/>
    <w:qFormat/>
    <w:rsid w:val="00C076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7665"/>
    <w:rPr>
      <w:i/>
      <w:iCs/>
      <w:color w:val="0F4761" w:themeColor="accent1" w:themeShade="BF"/>
    </w:rPr>
  </w:style>
  <w:style w:type="character" w:styleId="IntenseReference">
    <w:name w:val="Intense Reference"/>
    <w:basedOn w:val="DefaultParagraphFont"/>
    <w:uiPriority w:val="32"/>
    <w:qFormat/>
    <w:rsid w:val="00C07665"/>
    <w:rPr>
      <w:b/>
      <w:bCs/>
      <w:smallCaps/>
      <w:color w:val="0F4761" w:themeColor="accent1" w:themeShade="BF"/>
      <w:spacing w:val="5"/>
    </w:rPr>
  </w:style>
  <w:style w:type="paragraph" w:styleId="TOCHeading">
    <w:name w:val="TOC Heading"/>
    <w:basedOn w:val="Heading1"/>
    <w:next w:val="Normal"/>
    <w:uiPriority w:val="39"/>
    <w:unhideWhenUsed/>
    <w:qFormat/>
    <w:rsid w:val="00C0766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07665"/>
    <w:pPr>
      <w:spacing w:after="100"/>
    </w:pPr>
  </w:style>
  <w:style w:type="character" w:styleId="Hyperlink">
    <w:name w:val="Hyperlink"/>
    <w:basedOn w:val="DefaultParagraphFont"/>
    <w:uiPriority w:val="99"/>
    <w:unhideWhenUsed/>
    <w:rsid w:val="00C07665"/>
    <w:rPr>
      <w:color w:val="467886" w:themeColor="hyperlink"/>
      <w:u w:val="single"/>
    </w:rPr>
  </w:style>
  <w:style w:type="paragraph" w:styleId="Caption">
    <w:name w:val="caption"/>
    <w:basedOn w:val="Normal"/>
    <w:next w:val="Normal"/>
    <w:uiPriority w:val="35"/>
    <w:unhideWhenUsed/>
    <w:qFormat/>
    <w:rsid w:val="00C13956"/>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FE1CF9"/>
    <w:pPr>
      <w:spacing w:after="100"/>
      <w:ind w:left="240"/>
    </w:pPr>
  </w:style>
  <w:style w:type="paragraph" w:styleId="Bibliography">
    <w:name w:val="Bibliography"/>
    <w:basedOn w:val="Normal"/>
    <w:next w:val="Normal"/>
    <w:uiPriority w:val="37"/>
    <w:unhideWhenUsed/>
    <w:rsid w:val="00273B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408015">
      <w:bodyDiv w:val="1"/>
      <w:marLeft w:val="0"/>
      <w:marRight w:val="0"/>
      <w:marTop w:val="0"/>
      <w:marBottom w:val="0"/>
      <w:divBdr>
        <w:top w:val="none" w:sz="0" w:space="0" w:color="auto"/>
        <w:left w:val="none" w:sz="0" w:space="0" w:color="auto"/>
        <w:bottom w:val="none" w:sz="0" w:space="0" w:color="auto"/>
        <w:right w:val="none" w:sz="0" w:space="0" w:color="auto"/>
      </w:divBdr>
    </w:div>
    <w:div w:id="25062186">
      <w:bodyDiv w:val="1"/>
      <w:marLeft w:val="0"/>
      <w:marRight w:val="0"/>
      <w:marTop w:val="0"/>
      <w:marBottom w:val="0"/>
      <w:divBdr>
        <w:top w:val="none" w:sz="0" w:space="0" w:color="auto"/>
        <w:left w:val="none" w:sz="0" w:space="0" w:color="auto"/>
        <w:bottom w:val="none" w:sz="0" w:space="0" w:color="auto"/>
        <w:right w:val="none" w:sz="0" w:space="0" w:color="auto"/>
      </w:divBdr>
    </w:div>
    <w:div w:id="40523679">
      <w:bodyDiv w:val="1"/>
      <w:marLeft w:val="0"/>
      <w:marRight w:val="0"/>
      <w:marTop w:val="0"/>
      <w:marBottom w:val="0"/>
      <w:divBdr>
        <w:top w:val="none" w:sz="0" w:space="0" w:color="auto"/>
        <w:left w:val="none" w:sz="0" w:space="0" w:color="auto"/>
        <w:bottom w:val="none" w:sz="0" w:space="0" w:color="auto"/>
        <w:right w:val="none" w:sz="0" w:space="0" w:color="auto"/>
      </w:divBdr>
    </w:div>
    <w:div w:id="97876847">
      <w:bodyDiv w:val="1"/>
      <w:marLeft w:val="0"/>
      <w:marRight w:val="0"/>
      <w:marTop w:val="0"/>
      <w:marBottom w:val="0"/>
      <w:divBdr>
        <w:top w:val="none" w:sz="0" w:space="0" w:color="auto"/>
        <w:left w:val="none" w:sz="0" w:space="0" w:color="auto"/>
        <w:bottom w:val="none" w:sz="0" w:space="0" w:color="auto"/>
        <w:right w:val="none" w:sz="0" w:space="0" w:color="auto"/>
      </w:divBdr>
    </w:div>
    <w:div w:id="108859512">
      <w:bodyDiv w:val="1"/>
      <w:marLeft w:val="0"/>
      <w:marRight w:val="0"/>
      <w:marTop w:val="0"/>
      <w:marBottom w:val="0"/>
      <w:divBdr>
        <w:top w:val="none" w:sz="0" w:space="0" w:color="auto"/>
        <w:left w:val="none" w:sz="0" w:space="0" w:color="auto"/>
        <w:bottom w:val="none" w:sz="0" w:space="0" w:color="auto"/>
        <w:right w:val="none" w:sz="0" w:space="0" w:color="auto"/>
      </w:divBdr>
    </w:div>
    <w:div w:id="123693366">
      <w:bodyDiv w:val="1"/>
      <w:marLeft w:val="0"/>
      <w:marRight w:val="0"/>
      <w:marTop w:val="0"/>
      <w:marBottom w:val="0"/>
      <w:divBdr>
        <w:top w:val="none" w:sz="0" w:space="0" w:color="auto"/>
        <w:left w:val="none" w:sz="0" w:space="0" w:color="auto"/>
        <w:bottom w:val="none" w:sz="0" w:space="0" w:color="auto"/>
        <w:right w:val="none" w:sz="0" w:space="0" w:color="auto"/>
      </w:divBdr>
    </w:div>
    <w:div w:id="423379124">
      <w:bodyDiv w:val="1"/>
      <w:marLeft w:val="0"/>
      <w:marRight w:val="0"/>
      <w:marTop w:val="0"/>
      <w:marBottom w:val="0"/>
      <w:divBdr>
        <w:top w:val="none" w:sz="0" w:space="0" w:color="auto"/>
        <w:left w:val="none" w:sz="0" w:space="0" w:color="auto"/>
        <w:bottom w:val="none" w:sz="0" w:space="0" w:color="auto"/>
        <w:right w:val="none" w:sz="0" w:space="0" w:color="auto"/>
      </w:divBdr>
    </w:div>
    <w:div w:id="519128092">
      <w:bodyDiv w:val="1"/>
      <w:marLeft w:val="0"/>
      <w:marRight w:val="0"/>
      <w:marTop w:val="0"/>
      <w:marBottom w:val="0"/>
      <w:divBdr>
        <w:top w:val="none" w:sz="0" w:space="0" w:color="auto"/>
        <w:left w:val="none" w:sz="0" w:space="0" w:color="auto"/>
        <w:bottom w:val="none" w:sz="0" w:space="0" w:color="auto"/>
        <w:right w:val="none" w:sz="0" w:space="0" w:color="auto"/>
      </w:divBdr>
    </w:div>
    <w:div w:id="548615035">
      <w:bodyDiv w:val="1"/>
      <w:marLeft w:val="0"/>
      <w:marRight w:val="0"/>
      <w:marTop w:val="0"/>
      <w:marBottom w:val="0"/>
      <w:divBdr>
        <w:top w:val="none" w:sz="0" w:space="0" w:color="auto"/>
        <w:left w:val="none" w:sz="0" w:space="0" w:color="auto"/>
        <w:bottom w:val="none" w:sz="0" w:space="0" w:color="auto"/>
        <w:right w:val="none" w:sz="0" w:space="0" w:color="auto"/>
      </w:divBdr>
    </w:div>
    <w:div w:id="632372571">
      <w:bodyDiv w:val="1"/>
      <w:marLeft w:val="0"/>
      <w:marRight w:val="0"/>
      <w:marTop w:val="0"/>
      <w:marBottom w:val="0"/>
      <w:divBdr>
        <w:top w:val="none" w:sz="0" w:space="0" w:color="auto"/>
        <w:left w:val="none" w:sz="0" w:space="0" w:color="auto"/>
        <w:bottom w:val="none" w:sz="0" w:space="0" w:color="auto"/>
        <w:right w:val="none" w:sz="0" w:space="0" w:color="auto"/>
      </w:divBdr>
    </w:div>
    <w:div w:id="646200645">
      <w:bodyDiv w:val="1"/>
      <w:marLeft w:val="0"/>
      <w:marRight w:val="0"/>
      <w:marTop w:val="0"/>
      <w:marBottom w:val="0"/>
      <w:divBdr>
        <w:top w:val="none" w:sz="0" w:space="0" w:color="auto"/>
        <w:left w:val="none" w:sz="0" w:space="0" w:color="auto"/>
        <w:bottom w:val="none" w:sz="0" w:space="0" w:color="auto"/>
        <w:right w:val="none" w:sz="0" w:space="0" w:color="auto"/>
      </w:divBdr>
    </w:div>
    <w:div w:id="726151734">
      <w:bodyDiv w:val="1"/>
      <w:marLeft w:val="0"/>
      <w:marRight w:val="0"/>
      <w:marTop w:val="0"/>
      <w:marBottom w:val="0"/>
      <w:divBdr>
        <w:top w:val="none" w:sz="0" w:space="0" w:color="auto"/>
        <w:left w:val="none" w:sz="0" w:space="0" w:color="auto"/>
        <w:bottom w:val="none" w:sz="0" w:space="0" w:color="auto"/>
        <w:right w:val="none" w:sz="0" w:space="0" w:color="auto"/>
      </w:divBdr>
    </w:div>
    <w:div w:id="823741864">
      <w:bodyDiv w:val="1"/>
      <w:marLeft w:val="0"/>
      <w:marRight w:val="0"/>
      <w:marTop w:val="0"/>
      <w:marBottom w:val="0"/>
      <w:divBdr>
        <w:top w:val="none" w:sz="0" w:space="0" w:color="auto"/>
        <w:left w:val="none" w:sz="0" w:space="0" w:color="auto"/>
        <w:bottom w:val="none" w:sz="0" w:space="0" w:color="auto"/>
        <w:right w:val="none" w:sz="0" w:space="0" w:color="auto"/>
      </w:divBdr>
    </w:div>
    <w:div w:id="860122364">
      <w:bodyDiv w:val="1"/>
      <w:marLeft w:val="0"/>
      <w:marRight w:val="0"/>
      <w:marTop w:val="0"/>
      <w:marBottom w:val="0"/>
      <w:divBdr>
        <w:top w:val="none" w:sz="0" w:space="0" w:color="auto"/>
        <w:left w:val="none" w:sz="0" w:space="0" w:color="auto"/>
        <w:bottom w:val="none" w:sz="0" w:space="0" w:color="auto"/>
        <w:right w:val="none" w:sz="0" w:space="0" w:color="auto"/>
      </w:divBdr>
    </w:div>
    <w:div w:id="907113487">
      <w:bodyDiv w:val="1"/>
      <w:marLeft w:val="0"/>
      <w:marRight w:val="0"/>
      <w:marTop w:val="0"/>
      <w:marBottom w:val="0"/>
      <w:divBdr>
        <w:top w:val="none" w:sz="0" w:space="0" w:color="auto"/>
        <w:left w:val="none" w:sz="0" w:space="0" w:color="auto"/>
        <w:bottom w:val="none" w:sz="0" w:space="0" w:color="auto"/>
        <w:right w:val="none" w:sz="0" w:space="0" w:color="auto"/>
      </w:divBdr>
    </w:div>
    <w:div w:id="1116752374">
      <w:bodyDiv w:val="1"/>
      <w:marLeft w:val="0"/>
      <w:marRight w:val="0"/>
      <w:marTop w:val="0"/>
      <w:marBottom w:val="0"/>
      <w:divBdr>
        <w:top w:val="none" w:sz="0" w:space="0" w:color="auto"/>
        <w:left w:val="none" w:sz="0" w:space="0" w:color="auto"/>
        <w:bottom w:val="none" w:sz="0" w:space="0" w:color="auto"/>
        <w:right w:val="none" w:sz="0" w:space="0" w:color="auto"/>
      </w:divBdr>
    </w:div>
    <w:div w:id="1166940705">
      <w:bodyDiv w:val="1"/>
      <w:marLeft w:val="0"/>
      <w:marRight w:val="0"/>
      <w:marTop w:val="0"/>
      <w:marBottom w:val="0"/>
      <w:divBdr>
        <w:top w:val="none" w:sz="0" w:space="0" w:color="auto"/>
        <w:left w:val="none" w:sz="0" w:space="0" w:color="auto"/>
        <w:bottom w:val="none" w:sz="0" w:space="0" w:color="auto"/>
        <w:right w:val="none" w:sz="0" w:space="0" w:color="auto"/>
      </w:divBdr>
    </w:div>
    <w:div w:id="1190795494">
      <w:bodyDiv w:val="1"/>
      <w:marLeft w:val="0"/>
      <w:marRight w:val="0"/>
      <w:marTop w:val="0"/>
      <w:marBottom w:val="0"/>
      <w:divBdr>
        <w:top w:val="none" w:sz="0" w:space="0" w:color="auto"/>
        <w:left w:val="none" w:sz="0" w:space="0" w:color="auto"/>
        <w:bottom w:val="none" w:sz="0" w:space="0" w:color="auto"/>
        <w:right w:val="none" w:sz="0" w:space="0" w:color="auto"/>
      </w:divBdr>
    </w:div>
    <w:div w:id="1212840535">
      <w:bodyDiv w:val="1"/>
      <w:marLeft w:val="0"/>
      <w:marRight w:val="0"/>
      <w:marTop w:val="0"/>
      <w:marBottom w:val="0"/>
      <w:divBdr>
        <w:top w:val="none" w:sz="0" w:space="0" w:color="auto"/>
        <w:left w:val="none" w:sz="0" w:space="0" w:color="auto"/>
        <w:bottom w:val="none" w:sz="0" w:space="0" w:color="auto"/>
        <w:right w:val="none" w:sz="0" w:space="0" w:color="auto"/>
      </w:divBdr>
    </w:div>
    <w:div w:id="1264650122">
      <w:bodyDiv w:val="1"/>
      <w:marLeft w:val="0"/>
      <w:marRight w:val="0"/>
      <w:marTop w:val="0"/>
      <w:marBottom w:val="0"/>
      <w:divBdr>
        <w:top w:val="none" w:sz="0" w:space="0" w:color="auto"/>
        <w:left w:val="none" w:sz="0" w:space="0" w:color="auto"/>
        <w:bottom w:val="none" w:sz="0" w:space="0" w:color="auto"/>
        <w:right w:val="none" w:sz="0" w:space="0" w:color="auto"/>
      </w:divBdr>
    </w:div>
    <w:div w:id="1396783250">
      <w:bodyDiv w:val="1"/>
      <w:marLeft w:val="0"/>
      <w:marRight w:val="0"/>
      <w:marTop w:val="0"/>
      <w:marBottom w:val="0"/>
      <w:divBdr>
        <w:top w:val="none" w:sz="0" w:space="0" w:color="auto"/>
        <w:left w:val="none" w:sz="0" w:space="0" w:color="auto"/>
        <w:bottom w:val="none" w:sz="0" w:space="0" w:color="auto"/>
        <w:right w:val="none" w:sz="0" w:space="0" w:color="auto"/>
      </w:divBdr>
    </w:div>
    <w:div w:id="1629319071">
      <w:bodyDiv w:val="1"/>
      <w:marLeft w:val="0"/>
      <w:marRight w:val="0"/>
      <w:marTop w:val="0"/>
      <w:marBottom w:val="0"/>
      <w:divBdr>
        <w:top w:val="none" w:sz="0" w:space="0" w:color="auto"/>
        <w:left w:val="none" w:sz="0" w:space="0" w:color="auto"/>
        <w:bottom w:val="none" w:sz="0" w:space="0" w:color="auto"/>
        <w:right w:val="none" w:sz="0" w:space="0" w:color="auto"/>
      </w:divBdr>
    </w:div>
    <w:div w:id="1769539820">
      <w:bodyDiv w:val="1"/>
      <w:marLeft w:val="0"/>
      <w:marRight w:val="0"/>
      <w:marTop w:val="0"/>
      <w:marBottom w:val="0"/>
      <w:divBdr>
        <w:top w:val="none" w:sz="0" w:space="0" w:color="auto"/>
        <w:left w:val="none" w:sz="0" w:space="0" w:color="auto"/>
        <w:bottom w:val="none" w:sz="0" w:space="0" w:color="auto"/>
        <w:right w:val="none" w:sz="0" w:space="0" w:color="auto"/>
      </w:divBdr>
    </w:div>
    <w:div w:id="1800568639">
      <w:bodyDiv w:val="1"/>
      <w:marLeft w:val="0"/>
      <w:marRight w:val="0"/>
      <w:marTop w:val="0"/>
      <w:marBottom w:val="0"/>
      <w:divBdr>
        <w:top w:val="none" w:sz="0" w:space="0" w:color="auto"/>
        <w:left w:val="none" w:sz="0" w:space="0" w:color="auto"/>
        <w:bottom w:val="none" w:sz="0" w:space="0" w:color="auto"/>
        <w:right w:val="none" w:sz="0" w:space="0" w:color="auto"/>
      </w:divBdr>
    </w:div>
    <w:div w:id="1883403532">
      <w:bodyDiv w:val="1"/>
      <w:marLeft w:val="0"/>
      <w:marRight w:val="0"/>
      <w:marTop w:val="0"/>
      <w:marBottom w:val="0"/>
      <w:divBdr>
        <w:top w:val="none" w:sz="0" w:space="0" w:color="auto"/>
        <w:left w:val="none" w:sz="0" w:space="0" w:color="auto"/>
        <w:bottom w:val="none" w:sz="0" w:space="0" w:color="auto"/>
        <w:right w:val="none" w:sz="0" w:space="0" w:color="auto"/>
      </w:divBdr>
    </w:div>
    <w:div w:id="1939293951">
      <w:bodyDiv w:val="1"/>
      <w:marLeft w:val="0"/>
      <w:marRight w:val="0"/>
      <w:marTop w:val="0"/>
      <w:marBottom w:val="0"/>
      <w:divBdr>
        <w:top w:val="none" w:sz="0" w:space="0" w:color="auto"/>
        <w:left w:val="none" w:sz="0" w:space="0" w:color="auto"/>
        <w:bottom w:val="none" w:sz="0" w:space="0" w:color="auto"/>
        <w:right w:val="none" w:sz="0" w:space="0" w:color="auto"/>
      </w:divBdr>
    </w:div>
    <w:div w:id="1979458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jpg"/><Relationship Id="rId18" Type="http://schemas.openxmlformats.org/officeDocument/2006/relationships/image" Target="media/image10.jpg"/><Relationship Id="rId3" Type="http://schemas.openxmlformats.org/officeDocument/2006/relationships/customXml" Target="../customXml/item3.xml"/><Relationship Id="rId21" Type="http://schemas.openxmlformats.org/officeDocument/2006/relationships/image" Target="media/image13.jpg"/><Relationship Id="rId7" Type="http://schemas.openxmlformats.org/officeDocument/2006/relationships/settings" Target="settings.xml"/><Relationship Id="rId12" Type="http://schemas.openxmlformats.org/officeDocument/2006/relationships/image" Target="media/image4.jpg"/><Relationship Id="rId17" Type="http://schemas.openxmlformats.org/officeDocument/2006/relationships/image" Target="media/image9.jp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jpg"/><Relationship Id="rId20" Type="http://schemas.openxmlformats.org/officeDocument/2006/relationships/image" Target="media/image12.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7.jpg"/><Relationship Id="rId23" Type="http://schemas.openxmlformats.org/officeDocument/2006/relationships/image" Target="media/image15.jpg"/><Relationship Id="rId10" Type="http://schemas.openxmlformats.org/officeDocument/2006/relationships/image" Target="media/image2.jpg"/><Relationship Id="rId19" Type="http://schemas.openxmlformats.org/officeDocument/2006/relationships/image" Target="media/image11.jp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jpg"/><Relationship Id="rId22" Type="http://schemas.openxmlformats.org/officeDocument/2006/relationships/image" Target="media/image1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39d34bf68da12b75e523a1dcc65bb71d">
  <xsd:schema xmlns:xsd="http://www.w3.org/2001/XMLSchema" xmlns:xs="http://www.w3.org/2001/XMLSchema" xmlns:p="http://schemas.microsoft.com/office/2006/metadata/properties" xmlns:ns3="b4f9f7ee-5770-4a14-8925-17f3d16e50b7" targetNamespace="http://schemas.microsoft.com/office/2006/metadata/properties" ma:root="true" ma:fieldsID="2fa59f44ab6bc21c9fd3259d686bc1ad"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Sto23</b:Tag>
    <b:SourceType>DocumentFromInternetSite</b:SourceType>
    <b:Guid>{E54517BB-A0FC-414C-8A7A-CE3DF5839ADA}</b:Guid>
    <b:Title>Guide to Operational Technology (OT) Security</b:Title>
    <b:Year>2023</b:Year>
    <b:Month>09</b:Month>
    <b:Day>28</b:Day>
    <b:YearAccessed>2026</b:YearAccessed>
    <b:MonthAccessed>07</b:MonthAccessed>
    <b:DayAccessed>16</b:DayAccessed>
    <b:URL>https://csrc.nist.gov/pubs/sp/800/82/r3/final</b:URL>
    <b:Author>
      <b:Author>
        <b:NameList>
          <b:Person>
            <b:Last>Stouffer</b:Last>
            <b:First>Keith</b:First>
          </b:Person>
          <b:Person>
            <b:Last>Pease</b:Last>
            <b:First>Michael</b:First>
          </b:Person>
          <b:Person>
            <b:Last>Tang</b:Last>
            <b:First>CheeYee</b:First>
          </b:Person>
          <b:Person>
            <b:Last>Zimmerman</b:Last>
            <b:First>Timothy</b:First>
          </b:Person>
          <b:Person>
            <b:Last>Pillitteri</b:Last>
            <b:First>Victoria</b:First>
          </b:Person>
          <b:Person>
            <b:Last>Lightman</b:Last>
            <b:First>Suzanne</b:First>
          </b:Person>
          <b:Person>
            <b:Last>Hahn</b:Last>
            <b:First>Adam</b:First>
          </b:Person>
          <b:Person>
            <b:Last>Saravia</b:Last>
            <b:First>Stephanie</b:First>
          </b:Person>
          <b:Person>
            <b:Last>Sherule</b:Last>
            <b:First>Aslam</b:First>
          </b:Person>
          <b:Person>
            <b:Last>Thompson</b:Last>
            <b:First>Michael</b:First>
          </b:Person>
        </b:NameList>
      </b:Author>
    </b:Author>
    <b:RefOrder>1</b:RefOrder>
  </b:Source>
  <b:Source>
    <b:Tag>Nan23</b:Tag>
    <b:SourceType>DocumentFromInternetSite</b:SourceType>
    <b:Guid>{115E6B76-006F-4221-99C1-9147FE9A865D}</b:Guid>
    <b:Title>Securing Industrial Control Systems: Components, Cyber Threats, and Machine Learning-Driven Defense Strategies</b:Title>
    <b:Year>2023</b:Year>
    <b:Month>01</b:Month>
    <b:Day>01</b:Day>
    <b:YearAccessed>2026</b:YearAccessed>
    <b:MonthAccessed>07</b:MonthAccessed>
    <b:DayAccessed>10</b:DayAccessed>
    <b:URL>https://www.mdpi.com/1424-8220/23/21/8840</b:URL>
    <b:Author>
      <b:Author>
        <b:NameList>
          <b:Person>
            <b:Last>Nankya</b:Last>
            <b:First>Mary</b:First>
          </b:Person>
          <b:Person>
            <b:Last>Chataut</b:Last>
            <b:First>Robin</b:First>
          </b:Person>
          <b:Person>
            <b:Last>Akl</b:Last>
            <b:First>Robert</b:First>
          </b:Person>
        </b:NameList>
      </b:Author>
    </b:Author>
    <b:RefOrder>2</b:RefOrder>
  </b:Source>
  <b:Source>
    <b:Tag>CIS25</b:Tag>
    <b:SourceType>DocumentFromInternetSite</b:SourceType>
    <b:Guid>{FC3AFA0C-BA6D-4AFB-9A71-152290150A3B}</b:Guid>
    <b:Author>
      <b:Author>
        <b:Corporate>CISA</b:Corporate>
      </b:Author>
    </b:Author>
    <b:Title>Ransomware Guide | CISA</b:Title>
    <b:Year>2025</b:Year>
    <b:YearAccessed>2026</b:YearAccessed>
    <b:MonthAccessed>07</b:MonthAccessed>
    <b:DayAccessed>10</b:DayAccessed>
    <b:URL>https://www.cisa.gov/stopransomware/ransomware-guide</b:URL>
    <b:RefOrder>3</b:RefOrder>
  </b:Source>
  <b:Source>
    <b:Tag>Koa22</b:Tag>
    <b:SourceType>DocumentFromInternetSite</b:SourceType>
    <b:Guid>{3668A22B-F685-4B83-ABCD-5A3F28F6E7F6}</b:Guid>
    <b:Title>Machine Learning in Industrial Control System (ICS) Security: Current Landscape, Opportunities and Challenges</b:Title>
    <b:Year>2022</b:Year>
    <b:Month>10</b:Month>
    <b:Day>12</b:Day>
    <b:YearAccessed>2026</b:YearAccessed>
    <b:MonthAccessed>07</b:MonthAccessed>
    <b:DayAccessed>10</b:DayAccessed>
    <b:URL>doi: 10.1007/s10844-022-00753-1</b:URL>
    <b:Author>
      <b:Author>
        <b:NameList>
          <b:Person>
            <b:Last>Koay</b:Last>
            <b:First>Abigail M. Y.</b:First>
          </b:Person>
          <b:Person>
            <b:Last>Ko</b:Last>
            <b:First>Ryan K. L</b:First>
          </b:Person>
          <b:Person>
            <b:Last>Hettema</b:Last>
            <b:First>Hinne</b:First>
          </b:Person>
          <b:Person>
            <b:Last>Radke</b:Last>
            <b:First>Kenneth</b:First>
          </b:Person>
        </b:NameList>
      </b:Author>
    </b:Author>
    <b:RefOrder>4</b:RefOrder>
  </b:Source>
  <b:Source>
    <b:Tag>GAB25</b:Tag>
    <b:SourceType>DocumentFromInternetSite</b:SourceType>
    <b:Guid>{600C5BC1-F8B2-44DD-9E59-2276B131FCD7}</b:Guid>
    <b:Title>A Survey on Security and Privacy of Industry 4.0 and</b:Title>
    <b:Year>2025</b:Year>
    <b:Month>01</b:Month>
    <b:Day>10</b:Day>
    <b:YearAccessed>2026</b:YearAccessed>
    <b:MonthAccessed>07</b:MonthAccessed>
    <b:DayAccessed>11</b:DayAccessed>
    <b:URL>https://www.diva-portal.org/smash/get/diva2:2011497/FULLTEXT02.pdf</b:URL>
    <b:Author>
      <b:Author>
        <b:NameList>
          <b:Person>
            <b:Last>GABA</b:Last>
            <b:Middle>SINGH</b:Middle>
            <b:First>GURJOT</b:First>
          </b:Person>
          <b:Person>
            <b:Last>BUTUN</b:Last>
            <b:First>ISMAIL</b:First>
          </b:Person>
          <b:Person>
            <b:Last>GURTOV</b:Last>
            <b:First>ANDREI</b:First>
          </b:Person>
          <b:Person>
            <b:Last>SARI</b:Last>
            <b:First>ALPARSLAN</b:First>
          </b:Person>
          <b:Person>
            <b:Last>LIYANAGE</b:Last>
            <b:First>MADHUSANKA</b:First>
          </b:Person>
          <b:Person>
            <b:Last>SINGH</b:Last>
            <b:First>PARMINDER</b:First>
          </b:Person>
        </b:NameList>
      </b:Author>
    </b:Author>
    <b:RefOrder>5</b:RefOrder>
  </b:Source>
  <b:Source>
    <b:Tag>Bas21</b:Tag>
    <b:SourceType>DocumentFromInternetSite</b:SourceType>
    <b:Guid>{DD0FFEF8-7952-4324-985F-AC5924FA76BE}</b:Guid>
    <b:Title>Ransomware Detection Using Deep Learning in the Scada System of Electric\n Vehicle Charging Station</b:Title>
    <b:Year>2021</b:Year>
    <b:Month>04</b:Month>
    <b:Day>16</b:Day>
    <b:YearAccessed>2026</b:YearAccessed>
    <b:MonthAccessed>07</b:MonthAccessed>
    <b:DayAccessed>09</b:DayAccessed>
    <b:URL>doi: 10.48550/arxiv.2104.07409</b:URL>
    <b:Author>
      <b:Author>
        <b:NameList>
          <b:Person>
            <b:Last>Basnet</b:Last>
            <b:First>Manoj</b:First>
          </b:Person>
          <b:Person>
            <b:Last>Poudyal</b:Last>
            <b:First>Subash</b:First>
          </b:Person>
          <b:Person>
            <b:Last>Mohd Hasan</b:Last>
            <b:First>Ali</b:First>
          </b:Person>
          <b:Person>
            <b:Last>Dasgupta</b:Last>
            <b:First>Dipankar</b:First>
          </b:Person>
        </b:NameList>
      </b:Author>
    </b:Author>
    <b:RefOrder>6</b:RefOrder>
  </b:Source>
  <b:Source>
    <b:Tag>ISO22</b:Tag>
    <b:SourceType>DocumentFromInternetSite</b:SourceType>
    <b:Guid>{3EA9392D-2E18-4EA4-B30E-BECC8AC1A66C}</b:Guid>
    <b:Author>
      <b:Author>
        <b:Corporate>ISO</b:Corporate>
      </b:Author>
    </b:Author>
    <b:Title>Iso/Iec 27001</b:Title>
    <b:Year>2022</b:Year>
    <b:YearAccessed>2026</b:YearAccessed>
    <b:MonthAccessed>07</b:MonthAccessed>
    <b:DayAccessed>15</b:DayAccessed>
    <b:URL>https://www.iso.org/standard/82875.html</b:URL>
    <b:RefOrder>7</b:RefOrder>
  </b:Source>
  <b:Source>
    <b:Tag>Ros20</b:Tag>
    <b:SourceType>DocumentFromInternetSite</b:SourceType>
    <b:Guid>{2570C2C7-7907-49CE-B40F-FAD2C94B1319}</b:Guid>
    <b:Title>Zero Trust Architecture</b:Title>
    <b:Year>2020</b:Year>
    <b:YearAccessed>2026</b:YearAccessed>
    <b:MonthAccessed>07</b:MonthAccessed>
    <b:DayAccessed>10</b:DayAccessed>
    <b:URL>doi: 10.6028/nist.sp.800-207</b:URL>
    <b:Author>
      <b:Author>
        <b:NameList>
          <b:Person>
            <b:Last>Rose</b:Last>
            <b:First>Scott</b:First>
          </b:Person>
          <b:Person>
            <b:Last>Borchert</b:Last>
            <b:First>Oliver</b:First>
          </b:Person>
          <b:Person>
            <b:Last>Mitchell</b:Last>
            <b:First>Stu</b:First>
          </b:Person>
          <b:Person>
            <b:Last>Mitchell</b:Last>
            <b:First>Mitchell</b:First>
          </b:Person>
        </b:NameList>
      </b:Author>
    </b:Author>
    <b:RefOrder>8</b:RefOrder>
  </b:Source>
  <b:Source>
    <b:Tag>Eli25</b:Tag>
    <b:SourceType>DocumentFromInternetSite</b:SourceType>
    <b:Guid>{922D4975-3FC8-4FBA-B152-7DCC38CC19AE}</b:Guid>
    <b:Author>
      <b:Author>
        <b:Corporate>Elisity </b:Corporate>
      </b:Author>
    </b:Author>
    <b:Title>Enhancing OT Network Security through IEC 62443</b:Title>
    <b:Year>2025</b:Year>
    <b:YearAccessed>2026</b:YearAccessed>
    <b:MonthAccessed>07</b:MonthAccessed>
    <b:DayAccessed>09</b:DayAccessed>
    <b:URL>https://www.elisity.com/resources/wp/iec-62443-segmentation-white-paper</b:URL>
    <b:RefOrder>9</b:RefOrder>
  </b:Source>
  <b:Source>
    <b:Tag>Góm23</b:Tag>
    <b:SourceType>DocumentFromInternetSite</b:SourceType>
    <b:Guid>{B33AF63C-7C72-4B34-8EFB-82030A0EA542}</b:Guid>
    <b:Title>Fine-Grained Access Control with User Revocation in Smart Manufacturing</b:Title>
    <b:Year>2023</b:Year>
    <b:Month>06</b:Month>
    <b:Day>27</b:Day>
    <b:YearAccessed>2026</b:YearAccessed>
    <b:MonthAccessed>07</b:MonthAccessed>
    <b:DayAccessed>13</b:DayAccessed>
    <b:URL>doi: 10.3390/electronics12132843</b:URL>
    <b:Author>
      <b:Author>
        <b:NameList>
          <b:Person>
            <b:Last>Gómez-Marín</b:Last>
            <b:First>Ernesto</b:First>
          </b:Person>
          <b:Person>
            <b:Last>Martintoni</b:Last>
            <b:First>Davide</b:First>
          </b:Person>
          <b:Person>
            <b:Last>Senni</b:Last>
            <b:First>Valerio</b:First>
          </b:Person>
          <b:Person>
            <b:Last>Castillo</b:Last>
            <b:First>Encarnación</b:First>
          </b:Person>
          <b:Person>
            <b:Last>Parrilla</b:Last>
            <b:First>Luis</b:First>
          </b:Person>
        </b:NameList>
      </b:Author>
    </b:Author>
    <b:RefOrder>10</b:RefOrder>
  </b:Source>
  <b:Source>
    <b:Tag>ICO23</b:Tag>
    <b:SourceType>DocumentFromInternetSite</b:SourceType>
    <b:Guid>{B14B56B2-09DC-45DC-BB68-B8A0BFEF8845}</b:Guid>
    <b:Author>
      <b:Author>
        <b:Corporate>ICO - Information Commissioner's Office</b:Corporate>
      </b:Author>
    </b:Author>
    <b:Title>A Guide to the Data Protection Principles</b:Title>
    <b:Year>2023</b:Year>
    <b:Month>05</b:Month>
    <b:Day>10</b:Day>
    <b:YearAccessed>2026</b:YearAccessed>
    <b:MonthAccessed>07</b:MonthAccessed>
    <b:DayAccessed>13</b:DayAccessed>
    <b:URL>https://ico.org.uk/for-organisations/uk-gdpr-guidance-and-resources/data-protection-principles/a-guide-to-the-data-protection-principles/</b:URL>
    <b:RefOrder>11</b:RefOrder>
  </b:Source>
  <b:Source>
    <b:Tag>Hon26</b:Tag>
    <b:SourceType>DocumentFromInternetSite</b:SourceType>
    <b:Guid>{2C4B86C3-8D0F-4A25-B38A-520673E27D19}</b:Guid>
    <b:Author>
      <b:Author>
        <b:Corporate>Honeywell Technologies</b:Corporate>
      </b:Author>
    </b:Author>
    <b:Title>Honeywell Secure Media Exchange</b:Title>
    <b:Year>2026</b:Year>
    <b:YearAccessed>2026</b:YearAccessed>
    <b:MonthAccessed>07</b:MonthAccessed>
    <b:DayAccessed>13</b:DayAccessed>
    <b:URL>https://www.honeywell.com/us/en/solutions/ot-cybersecurity/secure-media-exchange?utm_source=google&amp;utm_medium=cpc&amp;utm_campaign=corp-26-cyber-search-smx&amp;utm_content=203865915048&amp;utm_term=kwd-2515515943127&amp;s_kwcid=al</b:URL>
    <b:RefOrder>12</b:RefOrder>
  </b:Source>
  <b:Source>
    <b:Tag>Sto231</b:Tag>
    <b:SourceType>DocumentFromInternetSite</b:SourceType>
    <b:Guid>{2AAEFE3A-F2D8-448E-B9F9-02045365145E}</b:Guid>
    <b:Title>Guide to Operational Technology (OT) Security</b:Title>
    <b:Year>2023</b:Year>
    <b:Month>01</b:Month>
    <b:Day>01</b:Day>
    <b:YearAccessed>2026</b:YearAccessed>
    <b:MonthAccessed>07</b:MonthAccessed>
    <b:DayAccessed>13</b:DayAccessed>
    <b:URL>https://csrc.nist.gov/pubs/sp/800/82/r3/final</b:URL>
    <b:Author>
      <b:Author>
        <b:NameList>
          <b:Person>
            <b:Last>Stouffer </b:Last>
            <b:First>Keith</b:First>
          </b:Person>
          <b:Person>
            <b:Last>Pease</b:Last>
            <b:First>Michael</b:First>
          </b:Person>
          <b:Person>
            <b:Last>Tang </b:Last>
            <b:First>CheeYee </b:First>
          </b:Person>
          <b:Person>
            <b:Last>Zimmerman </b:Last>
            <b:First>Timothy </b:First>
          </b:Person>
          <b:Person>
            <b:Last>Pillitteri </b:Last>
            <b:First>Victoria </b:First>
          </b:Person>
          <b:Person>
            <b:Last>Lightman </b:Last>
            <b:First>Suzanne </b:First>
          </b:Person>
          <b:Person>
            <b:Last>Hahn</b:Last>
            <b:First>Adam </b:First>
          </b:Person>
          <b:Person>
            <b:Last>Saravia </b:Last>
            <b:First>Stephanie </b:First>
          </b:Person>
          <b:Person>
            <b:Last>Sherule </b:Last>
            <b:First>Aslam </b:First>
          </b:Person>
          <b:Person>
            <b:Last>Thompson</b:Last>
            <b:First>Michael</b:First>
          </b:Person>
        </b:NameList>
      </b:Author>
    </b:Author>
    <b:RefOrder>13</b:RefOrder>
  </b:Source>
  <b:Source>
    <b:Tag>Scr20</b:Tag>
    <b:SourceType>DocumentFromInternetSite</b:SourceType>
    <b:Guid>{A9E6F7BE-9839-4D7B-9185-1F5AC83EDC28}</b:Guid>
    <b:Author>
      <b:Author>
        <b:Corporate>Scribd</b:Corporate>
      </b:Author>
    </b:Author>
    <b:Title>International Electrotechnical Commission - IEC 62443-3-2 Ed. 1.0 En_2020, First Edition_ Security for Industrial Automation and Control Systems - Part 3-2_ Security Risk Assessment for System Design</b:Title>
    <b:Year>2020</b:Year>
    <b:YearAccessed>2026</b:YearAccessed>
    <b:MonthAccessed>07</b:MonthAccessed>
    <b:DayAccessed>13</b:DayAccessed>
    <b:URL>https://www.scribd.com/document/703749643/international-electrotechnical-commission-iec-62443-3-2-ed-1-0-en-2020-first-edition-security-for-industrial-automation-and-control-systems-par</b:URL>
    <b:RefOrder>14</b:RefOrder>
  </b:Source>
  <b:Source>
    <b:Tag>CIS16</b:Tag>
    <b:SourceType>DocumentFromInternetSite</b:SourceType>
    <b:Guid>{DBCB40D3-F2AF-4997-9F66-8A0EC0F9F8A0}</b:Guid>
    <b:Author>
      <b:Author>
        <b:Corporate>CISA</b:Corporate>
      </b:Author>
    </b:Author>
    <b:Title>Recommended Practice: Improving Industrial Control System Cybersecurity with Defense-in-Depth Strategies Industrial Control Systems Cyber Emergency Response Team</b:Title>
    <b:Year>2016</b:Year>
    <b:YearAccessed>2026</b:YearAccessed>
    <b:MonthAccessed>07</b:MonthAccessed>
    <b:DayAccessed>09</b:DayAccessed>
    <b:URL>https://www.cisa.gov/sites/default/files/2023-01/NCCIC_ICS-CERT_Defense_in_Depth_2016_S508C.pdf</b:URL>
    <b:RefOrder>15</b:RefOrder>
  </b:Source>
  <b:Source>
    <b:Tag>Cen24</b:Tag>
    <b:SourceType>DocumentFromInternetSite</b:SourceType>
    <b:Guid>{C712D98D-0E86-45C3-B63B-3C494E220194}</b:Guid>
    <b:Author>
      <b:Author>
        <b:Corporate>Center for Internet Security</b:Corporate>
      </b:Author>
    </b:Author>
    <b:Title>CIS Controls Version 8</b:Title>
    <b:Year>2024</b:Year>
    <b:YearAccessed>2026</b:YearAccessed>
    <b:MonthAccessed>07</b:MonthAccessed>
    <b:DayAccessed>13</b:DayAccessed>
    <b:URL>https://www.cisecurity.org/controls/v8</b:URL>
    <b:RefOrder>16</b:RefOrder>
  </b:Source>
  <b:Source>
    <b:Tag>Joi20</b:Tag>
    <b:SourceType>DocumentFromInternetSite</b:SourceType>
    <b:Guid>{1F0FDE03-21FF-40B4-8B7F-A4664D07CB6C}</b:Guid>
    <b:Author>
      <b:Author>
        <b:Corporate>Joint Task Force</b:Corporate>
      </b:Author>
    </b:Author>
    <b:Title>Security and Privacy Controls for Information Systems and Organizations</b:Title>
    <b:Year>2020</b:Year>
    <b:Month>09</b:Month>
    <b:YearAccessed>2026</b:YearAccessed>
    <b:MonthAccessed>07</b:MonthAccessed>
    <b:DayAccessed>13</b:DayAccessed>
    <b:URL>https://nvlpubs.nist.gov/nistpubs/SpecialPublications/NIST.SP.800-53r5.pdf</b:URL>
    <b:RefOrder>17</b:RefOrder>
  </b:Source>
  <b:Source>
    <b:Tag>ISO221</b:Tag>
    <b:SourceType>DocumentFromInternetSite</b:SourceType>
    <b:Guid>{E6626629-7714-4B42-B33E-78DD0FDEA4FC}</b:Guid>
    <b:Author>
      <b:Author>
        <b:Corporate>ISO</b:Corporate>
      </b:Author>
    </b:Author>
    <b:Title>Information security, cybersecurity and privacy protection — Information security management systems — Requirements</b:Title>
    <b:Year>2022</b:Year>
    <b:YearAccessed>2026</b:YearAccessed>
    <b:MonthAccessed>07</b:MonthAccessed>
    <b:DayAccessed>13</b:DayAccessed>
    <b:URL>https://www.iso.org/standard/82875.html</b:URL>
    <b:RefOrder>18</b:RefOrder>
  </b:Source>
  <b:Source>
    <b:Tag>Cic12</b:Tag>
    <b:SourceType>DocumentFromInternetSite</b:SourceType>
    <b:Guid>{2D8C5868-EEEC-4809-A3BB-65990DA80235}</b:Guid>
    <b:Title>Computer Security Incident Handling Guide</b:Title>
    <b:Year>2012</b:Year>
    <b:YearAccessed>2026</b:YearAccessed>
    <b:MonthAccessed>07</b:MonthAccessed>
    <b:DayAccessed>13</b:DayAccessed>
    <b:URL>doi: 10.6028/nist.sp.800-61r2</b:URL>
    <b:Author>
      <b:Author>
        <b:NameList>
          <b:Person>
            <b:Last>Cichonski</b:Last>
            <b:First>Paul</b:First>
          </b:Person>
          <b:Person>
            <b:Last>Millar</b:Last>
            <b:First>Tom</b:First>
          </b:Person>
          <b:Person>
            <b:Last>Grance</b:Last>
            <b:First>Tim</b:First>
          </b:Person>
          <b:Person>
            <b:Last>Scarfone</b:Last>
            <b:First>Karen</b:First>
          </b:Person>
        </b:NameList>
      </b:Author>
    </b:Author>
    <b:RefOrder>19</b:RefOrder>
  </b:Source>
</b:Sources>
</file>

<file path=customXml/itemProps1.xml><?xml version="1.0" encoding="utf-8"?>
<ds:datastoreItem xmlns:ds="http://schemas.openxmlformats.org/officeDocument/2006/customXml" ds:itemID="{E4BA008E-C0C8-4823-A9D0-71FC589F89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7C48883-ED85-4ACE-AE58-57476B322482}">
  <ds:schemaRefs>
    <ds:schemaRef ds:uri="http://schemas.microsoft.com/sharepoint/v3/contenttype/forms"/>
  </ds:schemaRefs>
</ds:datastoreItem>
</file>

<file path=customXml/itemProps3.xml><?xml version="1.0" encoding="utf-8"?>
<ds:datastoreItem xmlns:ds="http://schemas.openxmlformats.org/officeDocument/2006/customXml" ds:itemID="{123F76C2-CB35-40DE-9C34-8D07F1E79B9C}">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A240DA06-EB50-4D35-9445-9A58376A0B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20</Pages>
  <Words>3365</Words>
  <Characters>19185</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Tanvir Chowdhury (2220749)</dc:creator>
  <cp:keywords/>
  <dc:description/>
  <cp:lastModifiedBy>Mohammed Tanvir Chowdhury (2220749)</cp:lastModifiedBy>
  <cp:revision>6</cp:revision>
  <dcterms:created xsi:type="dcterms:W3CDTF">2026-07-22T23:35:00Z</dcterms:created>
  <dcterms:modified xsi:type="dcterms:W3CDTF">2026-07-23T02:08:00Z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