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2EAE" w14:textId="77777777" w:rsidR="00E75733" w:rsidRDefault="00E75733">
      <w:pPr>
        <w:spacing w:before="1800"/>
      </w:pPr>
    </w:p>
    <w:p w14:paraId="1D6993FE" w14:textId="77777777" w:rsidR="00E75733" w:rsidRDefault="00E049D6">
      <w:pPr>
        <w:spacing w:after="400" w:line="360" w:lineRule="auto"/>
        <w:jc w:val="center"/>
        <w:rPr>
          <w:rFonts w:ascii="Arial" w:eastAsia="Arial" w:hAnsi="Arial" w:cs="Arial"/>
          <w:b/>
          <w:bCs/>
          <w:sz w:val="32"/>
          <w:szCs w:val="32"/>
        </w:rPr>
      </w:pPr>
      <w:r w:rsidRPr="00D16B7C">
        <w:rPr>
          <w:rFonts w:ascii="Arial" w:eastAsia="Arial" w:hAnsi="Arial" w:cs="Arial"/>
          <w:b/>
          <w:bCs/>
          <w:sz w:val="32"/>
          <w:szCs w:val="32"/>
        </w:rPr>
        <w:t>RESEARCH PROPOSAL</w:t>
      </w:r>
    </w:p>
    <w:p w14:paraId="06EE25AC" w14:textId="77777777" w:rsidR="00D16B7C" w:rsidRPr="00D16B7C" w:rsidRDefault="00D16B7C">
      <w:pPr>
        <w:spacing w:after="400" w:line="360" w:lineRule="auto"/>
        <w:jc w:val="center"/>
      </w:pPr>
    </w:p>
    <w:p w14:paraId="765F3563" w14:textId="5A921D4A" w:rsidR="00E75733" w:rsidRDefault="00E049D6" w:rsidP="00D16B7C">
      <w:pPr>
        <w:spacing w:after="600" w:line="360" w:lineRule="auto"/>
        <w:jc w:val="center"/>
        <w:rPr>
          <w:rFonts w:ascii="Arial" w:eastAsia="Arial" w:hAnsi="Arial" w:cs="Arial"/>
          <w:b/>
          <w:bCs/>
          <w:sz w:val="26"/>
          <w:szCs w:val="26"/>
        </w:rPr>
      </w:pPr>
      <w:r>
        <w:rPr>
          <w:rFonts w:ascii="Arial" w:eastAsia="Arial" w:hAnsi="Arial" w:cs="Arial"/>
          <w:b/>
          <w:bCs/>
          <w:sz w:val="26"/>
          <w:szCs w:val="26"/>
        </w:rPr>
        <w:t>Investigating the Barriers to Accessing NHS Healthcare Services Among International Students at the UWTSD</w:t>
      </w:r>
      <w:r w:rsidR="00D16B7C">
        <w:rPr>
          <w:rFonts w:ascii="Arial" w:eastAsia="Arial" w:hAnsi="Arial" w:cs="Arial"/>
          <w:b/>
          <w:bCs/>
          <w:sz w:val="26"/>
          <w:szCs w:val="26"/>
        </w:rPr>
        <w:t>,</w:t>
      </w:r>
      <w:r>
        <w:rPr>
          <w:rFonts w:ascii="Arial" w:eastAsia="Arial" w:hAnsi="Arial" w:cs="Arial"/>
          <w:b/>
          <w:bCs/>
          <w:sz w:val="26"/>
          <w:szCs w:val="26"/>
        </w:rPr>
        <w:t xml:space="preserve"> London Campus</w:t>
      </w:r>
    </w:p>
    <w:p w14:paraId="218529E5" w14:textId="26C1297E" w:rsidR="00D16B7C" w:rsidRDefault="00EB242F" w:rsidP="00D16B7C">
      <w:pPr>
        <w:spacing w:after="600" w:line="360" w:lineRule="auto"/>
        <w:jc w:val="center"/>
        <w:rPr>
          <w:rFonts w:ascii="Arial" w:eastAsia="Arial" w:hAnsi="Arial" w:cs="Arial"/>
          <w:b/>
          <w:bCs/>
          <w:sz w:val="26"/>
          <w:szCs w:val="26"/>
        </w:rPr>
      </w:pPr>
      <w:r>
        <w:rPr>
          <w:noProof/>
        </w:rPr>
        <w:drawing>
          <wp:inline distT="0" distB="0" distL="0" distR="0" wp14:anchorId="518A2E52" wp14:editId="7C79BEFF">
            <wp:extent cx="1509237" cy="630381"/>
            <wp:effectExtent l="0" t="0" r="0" b="0"/>
            <wp:docPr id="487906674" name="Picture 4" descr="Logo for University of Wales Trinity Saint David featuring a yellow and black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for University of Wales Trinity Saint David featuring a yellow and black shiel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8623" cy="659362"/>
                    </a:xfrm>
                    <a:prstGeom prst="rect">
                      <a:avLst/>
                    </a:prstGeom>
                    <a:noFill/>
                    <a:ln>
                      <a:noFill/>
                    </a:ln>
                  </pic:spPr>
                </pic:pic>
              </a:graphicData>
            </a:graphic>
          </wp:inline>
        </w:drawing>
      </w:r>
    </w:p>
    <w:p w14:paraId="31D266AF" w14:textId="77777777" w:rsidR="00D16B7C" w:rsidRDefault="00D16B7C" w:rsidP="00D16B7C">
      <w:pPr>
        <w:spacing w:after="600" w:line="360" w:lineRule="auto"/>
        <w:jc w:val="center"/>
        <w:rPr>
          <w:rFonts w:ascii="Arial" w:eastAsia="Arial" w:hAnsi="Arial" w:cs="Arial"/>
          <w:b/>
          <w:bCs/>
          <w:sz w:val="26"/>
          <w:szCs w:val="26"/>
        </w:rPr>
      </w:pPr>
    </w:p>
    <w:p w14:paraId="1F751583" w14:textId="77777777" w:rsidR="00D16B7C" w:rsidRDefault="00D16B7C" w:rsidP="007432FA">
      <w:pPr>
        <w:spacing w:after="600" w:line="360" w:lineRule="auto"/>
        <w:rPr>
          <w:rFonts w:ascii="Arial" w:eastAsia="Arial" w:hAnsi="Arial" w:cs="Arial"/>
          <w:b/>
          <w:bCs/>
          <w:sz w:val="26"/>
          <w:szCs w:val="26"/>
        </w:rPr>
      </w:pPr>
    </w:p>
    <w:p w14:paraId="2B65D3C4" w14:textId="77777777" w:rsidR="007432FA" w:rsidRDefault="007432FA" w:rsidP="007432FA">
      <w:pPr>
        <w:spacing w:after="600" w:line="360" w:lineRule="auto"/>
        <w:rPr>
          <w:rFonts w:ascii="Arial" w:eastAsia="Arial" w:hAnsi="Arial" w:cs="Arial"/>
          <w:b/>
          <w:bCs/>
          <w:sz w:val="26"/>
          <w:szCs w:val="26"/>
        </w:rPr>
      </w:pPr>
    </w:p>
    <w:p w14:paraId="12DA7055" w14:textId="77777777" w:rsidR="00D16B7C" w:rsidRPr="00D16B7C" w:rsidRDefault="00D16B7C" w:rsidP="00D16B7C">
      <w:pPr>
        <w:spacing w:after="600" w:line="360" w:lineRule="auto"/>
        <w:jc w:val="center"/>
        <w:rPr>
          <w:rFonts w:ascii="Arial" w:eastAsia="Arial" w:hAnsi="Arial" w:cs="Arial"/>
          <w:b/>
          <w:bCs/>
          <w:sz w:val="26"/>
          <w:szCs w:val="26"/>
        </w:rPr>
      </w:pPr>
    </w:p>
    <w:p w14:paraId="3D90070F" w14:textId="77777777" w:rsidR="00E75733" w:rsidRDefault="00E049D6">
      <w:pPr>
        <w:spacing w:after="120" w:line="360" w:lineRule="auto"/>
        <w:jc w:val="center"/>
      </w:pPr>
      <w:r>
        <w:rPr>
          <w:rFonts w:ascii="Arial" w:eastAsia="Arial" w:hAnsi="Arial" w:cs="Arial"/>
          <w:b/>
          <w:bCs/>
          <w:sz w:val="22"/>
          <w:szCs w:val="22"/>
        </w:rPr>
        <w:t xml:space="preserve">Student Name: </w:t>
      </w:r>
      <w:r>
        <w:rPr>
          <w:rFonts w:ascii="Arial" w:eastAsia="Arial" w:hAnsi="Arial" w:cs="Arial"/>
          <w:sz w:val="22"/>
          <w:szCs w:val="22"/>
        </w:rPr>
        <w:t>Ardra Sudhan</w:t>
      </w:r>
    </w:p>
    <w:p w14:paraId="596B9A19" w14:textId="77777777" w:rsidR="00E75733" w:rsidRDefault="00E049D6">
      <w:pPr>
        <w:spacing w:after="120" w:line="360" w:lineRule="auto"/>
        <w:jc w:val="center"/>
        <w:rPr>
          <w:rFonts w:ascii="Arial" w:eastAsia="Arial" w:hAnsi="Arial" w:cs="Arial"/>
          <w:sz w:val="22"/>
          <w:szCs w:val="22"/>
        </w:rPr>
      </w:pPr>
      <w:r>
        <w:rPr>
          <w:rFonts w:ascii="Arial" w:eastAsia="Arial" w:hAnsi="Arial" w:cs="Arial"/>
          <w:b/>
          <w:bCs/>
          <w:sz w:val="22"/>
          <w:szCs w:val="22"/>
        </w:rPr>
        <w:t xml:space="preserve">Student Number: </w:t>
      </w:r>
      <w:r>
        <w:rPr>
          <w:rFonts w:ascii="Arial" w:eastAsia="Arial" w:hAnsi="Arial" w:cs="Arial"/>
          <w:sz w:val="22"/>
          <w:szCs w:val="22"/>
        </w:rPr>
        <w:t>2529434</w:t>
      </w:r>
    </w:p>
    <w:p w14:paraId="26A28FE2" w14:textId="59904063" w:rsidR="00D16B7C" w:rsidRDefault="00D16B7C" w:rsidP="00D16B7C">
      <w:pPr>
        <w:spacing w:after="120" w:line="360" w:lineRule="auto"/>
        <w:jc w:val="center"/>
      </w:pPr>
      <w:r>
        <w:rPr>
          <w:rFonts w:ascii="Arial" w:eastAsia="Arial" w:hAnsi="Arial" w:cs="Arial"/>
          <w:b/>
          <w:bCs/>
          <w:sz w:val="22"/>
          <w:szCs w:val="22"/>
        </w:rPr>
        <w:t xml:space="preserve">Lecturer: </w:t>
      </w:r>
      <w:r w:rsidRPr="00D16B7C">
        <w:rPr>
          <w:rFonts w:ascii="Arial" w:eastAsia="Arial" w:hAnsi="Arial" w:cs="Arial"/>
          <w:sz w:val="22"/>
          <w:szCs w:val="22"/>
        </w:rPr>
        <w:t xml:space="preserve">Diola </w:t>
      </w:r>
      <w:proofErr w:type="spellStart"/>
      <w:r w:rsidRPr="00D16B7C">
        <w:rPr>
          <w:rFonts w:ascii="Arial" w:eastAsia="Arial" w:hAnsi="Arial" w:cs="Arial"/>
          <w:sz w:val="22"/>
          <w:szCs w:val="22"/>
        </w:rPr>
        <w:t>Bijlhout</w:t>
      </w:r>
      <w:proofErr w:type="spellEnd"/>
    </w:p>
    <w:p w14:paraId="7370EBD8" w14:textId="7B14E994" w:rsidR="00E75733" w:rsidRDefault="00E049D6">
      <w:pPr>
        <w:spacing w:after="120" w:line="360" w:lineRule="auto"/>
        <w:jc w:val="center"/>
      </w:pPr>
      <w:r>
        <w:rPr>
          <w:rFonts w:ascii="Arial" w:eastAsia="Arial" w:hAnsi="Arial" w:cs="Arial"/>
          <w:b/>
          <w:bCs/>
          <w:sz w:val="22"/>
          <w:szCs w:val="22"/>
        </w:rPr>
        <w:t xml:space="preserve">Module: </w:t>
      </w:r>
      <w:r w:rsidR="00D16B7C">
        <w:rPr>
          <w:rFonts w:ascii="Arial" w:eastAsia="Arial" w:hAnsi="Arial" w:cs="Arial"/>
          <w:sz w:val="22"/>
          <w:szCs w:val="22"/>
        </w:rPr>
        <w:t>Practice based research {</w:t>
      </w:r>
      <w:r w:rsidR="00D16B7C" w:rsidRPr="00D16B7C">
        <w:rPr>
          <w:rFonts w:ascii="Arial" w:eastAsia="Arial" w:hAnsi="Arial" w:cs="Arial"/>
          <w:sz w:val="22"/>
          <w:szCs w:val="22"/>
        </w:rPr>
        <w:t>LCHS7008</w:t>
      </w:r>
      <w:r w:rsidR="00D16B7C">
        <w:rPr>
          <w:rFonts w:ascii="Arial" w:eastAsia="Arial" w:hAnsi="Arial" w:cs="Arial"/>
          <w:sz w:val="22"/>
          <w:szCs w:val="22"/>
        </w:rPr>
        <w:t>}</w:t>
      </w:r>
    </w:p>
    <w:p w14:paraId="32EE1B41" w14:textId="77777777" w:rsidR="00391A27" w:rsidRDefault="00E049D6" w:rsidP="00D16B7C">
      <w:pPr>
        <w:spacing w:after="120" w:line="360" w:lineRule="auto"/>
        <w:jc w:val="center"/>
        <w:rPr>
          <w:rFonts w:ascii="Arial" w:eastAsia="Arial" w:hAnsi="Arial" w:cs="Arial"/>
          <w:sz w:val="22"/>
          <w:szCs w:val="22"/>
        </w:rPr>
      </w:pPr>
      <w:r>
        <w:rPr>
          <w:rFonts w:ascii="Arial" w:eastAsia="Arial" w:hAnsi="Arial" w:cs="Arial"/>
          <w:b/>
          <w:bCs/>
          <w:sz w:val="22"/>
          <w:szCs w:val="22"/>
        </w:rPr>
        <w:t xml:space="preserve">Assignment Title: </w:t>
      </w:r>
      <w:r>
        <w:rPr>
          <w:rFonts w:ascii="Arial" w:eastAsia="Arial" w:hAnsi="Arial" w:cs="Arial"/>
          <w:sz w:val="22"/>
          <w:szCs w:val="22"/>
        </w:rPr>
        <w:t>Research Proposal (Component 2)</w:t>
      </w:r>
    </w:p>
    <w:p w14:paraId="35DC21A1" w14:textId="77777777" w:rsidR="00391A27" w:rsidRDefault="00391A27" w:rsidP="00D16B7C">
      <w:pPr>
        <w:spacing w:after="120" w:line="360" w:lineRule="auto"/>
        <w:jc w:val="center"/>
        <w:rPr>
          <w:rFonts w:ascii="Arial" w:eastAsia="Arial" w:hAnsi="Arial" w:cs="Arial"/>
          <w:sz w:val="22"/>
          <w:szCs w:val="22"/>
        </w:rPr>
      </w:pPr>
    </w:p>
    <w:p w14:paraId="5E78C9FC" w14:textId="77777777" w:rsidR="00391A27" w:rsidRDefault="00391A27" w:rsidP="00D16B7C">
      <w:pPr>
        <w:spacing w:after="120" w:line="360" w:lineRule="auto"/>
        <w:jc w:val="center"/>
        <w:rPr>
          <w:rFonts w:ascii="Arial" w:eastAsia="Arial" w:hAnsi="Arial" w:cs="Arial"/>
          <w:sz w:val="22"/>
          <w:szCs w:val="22"/>
        </w:rPr>
      </w:pPr>
    </w:p>
    <w:p w14:paraId="54B9A3A3" w14:textId="77777777" w:rsidR="00391A27" w:rsidRPr="00EF67DC" w:rsidRDefault="00391A27" w:rsidP="00391A27">
      <w:pPr>
        <w:spacing w:after="120" w:line="360" w:lineRule="auto"/>
        <w:jc w:val="center"/>
        <w:rPr>
          <w:rFonts w:ascii="Arial" w:hAnsi="Arial" w:cs="Arial"/>
          <w:b/>
          <w:bCs/>
          <w:sz w:val="28"/>
          <w:szCs w:val="28"/>
          <w:u w:val="single"/>
        </w:rPr>
      </w:pPr>
      <w:r w:rsidRPr="00EF67DC">
        <w:rPr>
          <w:rFonts w:ascii="Arial" w:hAnsi="Arial" w:cs="Arial"/>
          <w:b/>
          <w:bCs/>
          <w:sz w:val="28"/>
          <w:szCs w:val="28"/>
          <w:u w:val="single"/>
        </w:rPr>
        <w:t>Table of Contents</w:t>
      </w:r>
    </w:p>
    <w:tbl>
      <w:tblPr>
        <w:tblW w:w="9214" w:type="dxa"/>
        <w:tblCellSpacing w:w="15" w:type="dxa"/>
        <w:tblCellMar>
          <w:top w:w="15" w:type="dxa"/>
          <w:left w:w="15" w:type="dxa"/>
          <w:bottom w:w="15" w:type="dxa"/>
          <w:right w:w="15" w:type="dxa"/>
        </w:tblCellMar>
        <w:tblLook w:val="04A0" w:firstRow="1" w:lastRow="0" w:firstColumn="1" w:lastColumn="0" w:noHBand="0" w:noVBand="1"/>
      </w:tblPr>
      <w:tblGrid>
        <w:gridCol w:w="7088"/>
        <w:gridCol w:w="2126"/>
      </w:tblGrid>
      <w:tr w:rsidR="00391A27" w:rsidRPr="008F0533" w14:paraId="23DC78F8" w14:textId="77777777" w:rsidTr="008F0533">
        <w:trPr>
          <w:tblHeader/>
          <w:tblCellSpacing w:w="15" w:type="dxa"/>
        </w:trPr>
        <w:tc>
          <w:tcPr>
            <w:tcW w:w="7043" w:type="dxa"/>
            <w:vAlign w:val="center"/>
            <w:hideMark/>
          </w:tcPr>
          <w:p w14:paraId="70C791E8" w14:textId="77777777" w:rsidR="00391A27" w:rsidRPr="008F0533" w:rsidRDefault="00391A27" w:rsidP="00391A27">
            <w:pPr>
              <w:spacing w:after="120" w:line="360" w:lineRule="auto"/>
              <w:jc w:val="center"/>
              <w:rPr>
                <w:rFonts w:ascii="Arial" w:hAnsi="Arial" w:cs="Arial"/>
                <w:b/>
                <w:bCs/>
                <w:sz w:val="22"/>
                <w:szCs w:val="22"/>
              </w:rPr>
            </w:pPr>
            <w:r w:rsidRPr="008F0533">
              <w:rPr>
                <w:rFonts w:ascii="Arial" w:hAnsi="Arial" w:cs="Arial"/>
                <w:b/>
                <w:bCs/>
                <w:sz w:val="22"/>
                <w:szCs w:val="22"/>
              </w:rPr>
              <w:t>Contents</w:t>
            </w:r>
          </w:p>
        </w:tc>
        <w:tc>
          <w:tcPr>
            <w:tcW w:w="2081" w:type="dxa"/>
            <w:vAlign w:val="center"/>
            <w:hideMark/>
          </w:tcPr>
          <w:p w14:paraId="33356E7D" w14:textId="77777777" w:rsidR="00391A27" w:rsidRPr="008F0533" w:rsidRDefault="00391A27" w:rsidP="00391A27">
            <w:pPr>
              <w:spacing w:after="120" w:line="360" w:lineRule="auto"/>
              <w:jc w:val="center"/>
              <w:rPr>
                <w:rFonts w:ascii="Arial" w:hAnsi="Arial" w:cs="Arial"/>
                <w:b/>
                <w:bCs/>
                <w:sz w:val="22"/>
                <w:szCs w:val="22"/>
              </w:rPr>
            </w:pPr>
            <w:r w:rsidRPr="008F0533">
              <w:rPr>
                <w:rFonts w:ascii="Arial" w:hAnsi="Arial" w:cs="Arial"/>
                <w:b/>
                <w:bCs/>
                <w:sz w:val="22"/>
                <w:szCs w:val="22"/>
              </w:rPr>
              <w:t>Page No.</w:t>
            </w:r>
          </w:p>
        </w:tc>
      </w:tr>
      <w:tr w:rsidR="00391A27" w:rsidRPr="008F0533" w14:paraId="04EB1A14" w14:textId="77777777" w:rsidTr="008F0533">
        <w:trPr>
          <w:tblCellSpacing w:w="15" w:type="dxa"/>
        </w:trPr>
        <w:tc>
          <w:tcPr>
            <w:tcW w:w="7043" w:type="dxa"/>
            <w:vAlign w:val="center"/>
            <w:hideMark/>
          </w:tcPr>
          <w:p w14:paraId="1D55F276"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1. Title of the Proposed Research</w:t>
            </w:r>
          </w:p>
        </w:tc>
        <w:tc>
          <w:tcPr>
            <w:tcW w:w="2081" w:type="dxa"/>
            <w:vAlign w:val="center"/>
            <w:hideMark/>
          </w:tcPr>
          <w:p w14:paraId="054360F4" w14:textId="163C9EA5" w:rsidR="00391A27" w:rsidRPr="008F0533" w:rsidRDefault="00161EAF" w:rsidP="008F0533">
            <w:pPr>
              <w:spacing w:after="120" w:line="360" w:lineRule="auto"/>
              <w:rPr>
                <w:rFonts w:ascii="Arial" w:hAnsi="Arial" w:cs="Arial"/>
                <w:sz w:val="22"/>
                <w:szCs w:val="22"/>
              </w:rPr>
            </w:pPr>
            <w:r w:rsidRPr="008F0533">
              <w:rPr>
                <w:rFonts w:ascii="Arial" w:hAnsi="Arial" w:cs="Arial"/>
                <w:sz w:val="22"/>
                <w:szCs w:val="22"/>
              </w:rPr>
              <w:t>3</w:t>
            </w:r>
          </w:p>
        </w:tc>
      </w:tr>
      <w:tr w:rsidR="00391A27" w:rsidRPr="008F0533" w14:paraId="15C46505" w14:textId="77777777" w:rsidTr="008F0533">
        <w:trPr>
          <w:tblCellSpacing w:w="15" w:type="dxa"/>
        </w:trPr>
        <w:tc>
          <w:tcPr>
            <w:tcW w:w="7043" w:type="dxa"/>
            <w:vAlign w:val="center"/>
            <w:hideMark/>
          </w:tcPr>
          <w:p w14:paraId="4A5435E6"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2. Prevalence of the Problem</w:t>
            </w:r>
          </w:p>
        </w:tc>
        <w:tc>
          <w:tcPr>
            <w:tcW w:w="2081" w:type="dxa"/>
            <w:vAlign w:val="center"/>
            <w:hideMark/>
          </w:tcPr>
          <w:p w14:paraId="1BA4A115" w14:textId="1EDF3903" w:rsidR="00391A27" w:rsidRPr="008F0533" w:rsidRDefault="00161EAF" w:rsidP="008F0533">
            <w:pPr>
              <w:spacing w:after="120" w:line="360" w:lineRule="auto"/>
              <w:rPr>
                <w:rFonts w:ascii="Arial" w:hAnsi="Arial" w:cs="Arial"/>
                <w:sz w:val="22"/>
                <w:szCs w:val="22"/>
              </w:rPr>
            </w:pPr>
            <w:r w:rsidRPr="008F0533">
              <w:rPr>
                <w:rFonts w:ascii="Arial" w:hAnsi="Arial" w:cs="Arial"/>
                <w:sz w:val="22"/>
                <w:szCs w:val="22"/>
              </w:rPr>
              <w:t>3</w:t>
            </w:r>
          </w:p>
        </w:tc>
      </w:tr>
      <w:tr w:rsidR="00391A27" w:rsidRPr="008F0533" w14:paraId="72DB5A7A" w14:textId="77777777" w:rsidTr="008F0533">
        <w:trPr>
          <w:tblCellSpacing w:w="15" w:type="dxa"/>
        </w:trPr>
        <w:tc>
          <w:tcPr>
            <w:tcW w:w="7043" w:type="dxa"/>
            <w:vAlign w:val="center"/>
            <w:hideMark/>
          </w:tcPr>
          <w:p w14:paraId="2A6421BF"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3. Introduction and Literature-Based Background to the Study</w:t>
            </w:r>
          </w:p>
        </w:tc>
        <w:tc>
          <w:tcPr>
            <w:tcW w:w="2081" w:type="dxa"/>
            <w:vAlign w:val="center"/>
            <w:hideMark/>
          </w:tcPr>
          <w:p w14:paraId="5E6F6750" w14:textId="57A20946" w:rsidR="00391A27" w:rsidRPr="008F0533" w:rsidRDefault="00161EAF" w:rsidP="008F0533">
            <w:pPr>
              <w:spacing w:after="120" w:line="360" w:lineRule="auto"/>
              <w:rPr>
                <w:rFonts w:ascii="Arial" w:hAnsi="Arial" w:cs="Arial"/>
                <w:sz w:val="22"/>
                <w:szCs w:val="22"/>
              </w:rPr>
            </w:pPr>
            <w:r w:rsidRPr="008F0533">
              <w:rPr>
                <w:rFonts w:ascii="Arial" w:hAnsi="Arial" w:cs="Arial"/>
                <w:sz w:val="22"/>
                <w:szCs w:val="22"/>
              </w:rPr>
              <w:t>3 - 5</w:t>
            </w:r>
          </w:p>
        </w:tc>
      </w:tr>
      <w:tr w:rsidR="00391A27" w:rsidRPr="008F0533" w14:paraId="3F237F5C" w14:textId="77777777" w:rsidTr="008F0533">
        <w:trPr>
          <w:tblCellSpacing w:w="15" w:type="dxa"/>
        </w:trPr>
        <w:tc>
          <w:tcPr>
            <w:tcW w:w="7043" w:type="dxa"/>
            <w:vAlign w:val="center"/>
            <w:hideMark/>
          </w:tcPr>
          <w:p w14:paraId="642AE22B"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4. Rationale, Research Question, Aim and Objectives</w:t>
            </w:r>
          </w:p>
        </w:tc>
        <w:tc>
          <w:tcPr>
            <w:tcW w:w="2081" w:type="dxa"/>
            <w:vAlign w:val="center"/>
            <w:hideMark/>
          </w:tcPr>
          <w:p w14:paraId="5C338288" w14:textId="34B4C369" w:rsidR="00391A27" w:rsidRPr="008F0533" w:rsidRDefault="00391A27" w:rsidP="008F0533">
            <w:pPr>
              <w:spacing w:after="120" w:line="360" w:lineRule="auto"/>
              <w:rPr>
                <w:rFonts w:ascii="Arial" w:hAnsi="Arial" w:cs="Arial"/>
                <w:sz w:val="22"/>
                <w:szCs w:val="22"/>
              </w:rPr>
            </w:pPr>
            <w:r w:rsidRPr="008F0533">
              <w:rPr>
                <w:rFonts w:ascii="Arial" w:hAnsi="Arial" w:cs="Arial"/>
                <w:sz w:val="22"/>
                <w:szCs w:val="22"/>
              </w:rPr>
              <w:t>5</w:t>
            </w:r>
            <w:r w:rsidR="00EE1FA6" w:rsidRPr="008F0533">
              <w:rPr>
                <w:rFonts w:ascii="Arial" w:hAnsi="Arial" w:cs="Arial"/>
                <w:sz w:val="22"/>
                <w:szCs w:val="22"/>
              </w:rPr>
              <w:t>- 6</w:t>
            </w:r>
          </w:p>
        </w:tc>
      </w:tr>
      <w:tr w:rsidR="00391A27" w:rsidRPr="008F0533" w14:paraId="19A30935" w14:textId="77777777" w:rsidTr="008F0533">
        <w:trPr>
          <w:tblCellSpacing w:w="15" w:type="dxa"/>
        </w:trPr>
        <w:tc>
          <w:tcPr>
            <w:tcW w:w="7043" w:type="dxa"/>
            <w:vAlign w:val="center"/>
            <w:hideMark/>
          </w:tcPr>
          <w:p w14:paraId="4FD9D219"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   4.1 Rationale</w:t>
            </w:r>
          </w:p>
        </w:tc>
        <w:tc>
          <w:tcPr>
            <w:tcW w:w="2081" w:type="dxa"/>
            <w:vAlign w:val="center"/>
            <w:hideMark/>
          </w:tcPr>
          <w:p w14:paraId="725DF593" w14:textId="15B963FF" w:rsidR="00391A27" w:rsidRPr="008F0533" w:rsidRDefault="00391A27" w:rsidP="008F0533">
            <w:pPr>
              <w:spacing w:after="120" w:line="360" w:lineRule="auto"/>
              <w:rPr>
                <w:rFonts w:ascii="Arial" w:hAnsi="Arial" w:cs="Arial"/>
                <w:sz w:val="22"/>
                <w:szCs w:val="22"/>
              </w:rPr>
            </w:pPr>
          </w:p>
        </w:tc>
      </w:tr>
      <w:tr w:rsidR="00391A27" w:rsidRPr="008F0533" w14:paraId="197F6A25" w14:textId="77777777" w:rsidTr="008F0533">
        <w:trPr>
          <w:tblCellSpacing w:w="15" w:type="dxa"/>
        </w:trPr>
        <w:tc>
          <w:tcPr>
            <w:tcW w:w="7043" w:type="dxa"/>
            <w:vAlign w:val="center"/>
            <w:hideMark/>
          </w:tcPr>
          <w:p w14:paraId="1EA4F306"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   4.2 Research Question</w:t>
            </w:r>
          </w:p>
        </w:tc>
        <w:tc>
          <w:tcPr>
            <w:tcW w:w="2081" w:type="dxa"/>
            <w:vAlign w:val="center"/>
            <w:hideMark/>
          </w:tcPr>
          <w:p w14:paraId="390BEC92" w14:textId="37DFA431" w:rsidR="00391A27" w:rsidRPr="008F0533" w:rsidRDefault="00391A27" w:rsidP="008F0533">
            <w:pPr>
              <w:spacing w:after="120" w:line="360" w:lineRule="auto"/>
              <w:rPr>
                <w:rFonts w:ascii="Arial" w:hAnsi="Arial" w:cs="Arial"/>
                <w:sz w:val="22"/>
                <w:szCs w:val="22"/>
              </w:rPr>
            </w:pPr>
          </w:p>
        </w:tc>
      </w:tr>
      <w:tr w:rsidR="00391A27" w:rsidRPr="008F0533" w14:paraId="41501386" w14:textId="77777777" w:rsidTr="008F0533">
        <w:trPr>
          <w:tblCellSpacing w:w="15" w:type="dxa"/>
        </w:trPr>
        <w:tc>
          <w:tcPr>
            <w:tcW w:w="7043" w:type="dxa"/>
            <w:vAlign w:val="center"/>
            <w:hideMark/>
          </w:tcPr>
          <w:p w14:paraId="4817BD65"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   4.3 Research Aim</w:t>
            </w:r>
          </w:p>
        </w:tc>
        <w:tc>
          <w:tcPr>
            <w:tcW w:w="2081" w:type="dxa"/>
            <w:vAlign w:val="center"/>
            <w:hideMark/>
          </w:tcPr>
          <w:p w14:paraId="51C9AF1F" w14:textId="19AAB828" w:rsidR="00391A27" w:rsidRPr="008F0533" w:rsidRDefault="00391A27" w:rsidP="008F0533">
            <w:pPr>
              <w:spacing w:after="120" w:line="360" w:lineRule="auto"/>
              <w:rPr>
                <w:rFonts w:ascii="Arial" w:hAnsi="Arial" w:cs="Arial"/>
                <w:sz w:val="22"/>
                <w:szCs w:val="22"/>
              </w:rPr>
            </w:pPr>
          </w:p>
        </w:tc>
      </w:tr>
      <w:tr w:rsidR="00391A27" w:rsidRPr="008F0533" w14:paraId="0CF9D9F7" w14:textId="77777777" w:rsidTr="008F0533">
        <w:trPr>
          <w:tblCellSpacing w:w="15" w:type="dxa"/>
        </w:trPr>
        <w:tc>
          <w:tcPr>
            <w:tcW w:w="7043" w:type="dxa"/>
            <w:vAlign w:val="center"/>
            <w:hideMark/>
          </w:tcPr>
          <w:p w14:paraId="3809DEA9"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   4.4 Research Objectives</w:t>
            </w:r>
          </w:p>
        </w:tc>
        <w:tc>
          <w:tcPr>
            <w:tcW w:w="2081" w:type="dxa"/>
            <w:vAlign w:val="center"/>
            <w:hideMark/>
          </w:tcPr>
          <w:p w14:paraId="6DAFD135" w14:textId="1B2A52AD" w:rsidR="00391A27" w:rsidRPr="008F0533" w:rsidRDefault="00391A27" w:rsidP="008F0533">
            <w:pPr>
              <w:spacing w:after="120" w:line="360" w:lineRule="auto"/>
              <w:rPr>
                <w:rFonts w:ascii="Arial" w:hAnsi="Arial" w:cs="Arial"/>
                <w:sz w:val="22"/>
                <w:szCs w:val="22"/>
              </w:rPr>
            </w:pPr>
          </w:p>
        </w:tc>
      </w:tr>
      <w:tr w:rsidR="00391A27" w:rsidRPr="008F0533" w14:paraId="4BAC999C" w14:textId="77777777" w:rsidTr="008F0533">
        <w:trPr>
          <w:tblCellSpacing w:w="15" w:type="dxa"/>
        </w:trPr>
        <w:tc>
          <w:tcPr>
            <w:tcW w:w="7043" w:type="dxa"/>
            <w:vAlign w:val="center"/>
            <w:hideMark/>
          </w:tcPr>
          <w:p w14:paraId="682B8802"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5. Research Methodology</w:t>
            </w:r>
          </w:p>
        </w:tc>
        <w:tc>
          <w:tcPr>
            <w:tcW w:w="2081" w:type="dxa"/>
            <w:vAlign w:val="center"/>
            <w:hideMark/>
          </w:tcPr>
          <w:p w14:paraId="690DA62A" w14:textId="77777777" w:rsidR="00391A27" w:rsidRPr="008F0533" w:rsidRDefault="00391A27" w:rsidP="008F0533">
            <w:pPr>
              <w:spacing w:after="120" w:line="360" w:lineRule="auto"/>
              <w:rPr>
                <w:rFonts w:ascii="Arial" w:hAnsi="Arial" w:cs="Arial"/>
                <w:sz w:val="22"/>
                <w:szCs w:val="22"/>
              </w:rPr>
            </w:pPr>
            <w:r w:rsidRPr="008F0533">
              <w:rPr>
                <w:rFonts w:ascii="Arial" w:hAnsi="Arial" w:cs="Arial"/>
                <w:sz w:val="22"/>
                <w:szCs w:val="22"/>
              </w:rPr>
              <w:t>6</w:t>
            </w:r>
          </w:p>
        </w:tc>
      </w:tr>
      <w:tr w:rsidR="00391A27" w:rsidRPr="008F0533" w14:paraId="334B0B50" w14:textId="77777777" w:rsidTr="008F0533">
        <w:trPr>
          <w:tblCellSpacing w:w="15" w:type="dxa"/>
        </w:trPr>
        <w:tc>
          <w:tcPr>
            <w:tcW w:w="7043" w:type="dxa"/>
            <w:vAlign w:val="center"/>
            <w:hideMark/>
          </w:tcPr>
          <w:p w14:paraId="378DD548"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6. Research Design</w:t>
            </w:r>
          </w:p>
        </w:tc>
        <w:tc>
          <w:tcPr>
            <w:tcW w:w="2081" w:type="dxa"/>
            <w:vAlign w:val="center"/>
            <w:hideMark/>
          </w:tcPr>
          <w:p w14:paraId="573BFC4D" w14:textId="02C8C698" w:rsidR="00391A27" w:rsidRPr="008F0533" w:rsidRDefault="00CF2C72" w:rsidP="008F0533">
            <w:pPr>
              <w:spacing w:after="120" w:line="360" w:lineRule="auto"/>
              <w:rPr>
                <w:rFonts w:ascii="Arial" w:hAnsi="Arial" w:cs="Arial"/>
                <w:sz w:val="22"/>
                <w:szCs w:val="22"/>
              </w:rPr>
            </w:pPr>
            <w:r w:rsidRPr="008F0533">
              <w:rPr>
                <w:rFonts w:ascii="Arial" w:hAnsi="Arial" w:cs="Arial"/>
                <w:sz w:val="22"/>
                <w:szCs w:val="22"/>
              </w:rPr>
              <w:t>6</w:t>
            </w:r>
          </w:p>
        </w:tc>
      </w:tr>
      <w:tr w:rsidR="00391A27" w:rsidRPr="008F0533" w14:paraId="04D56515" w14:textId="77777777" w:rsidTr="008F0533">
        <w:trPr>
          <w:tblCellSpacing w:w="15" w:type="dxa"/>
        </w:trPr>
        <w:tc>
          <w:tcPr>
            <w:tcW w:w="7043" w:type="dxa"/>
            <w:vAlign w:val="center"/>
            <w:hideMark/>
          </w:tcPr>
          <w:p w14:paraId="60FDC0C5"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7. Recruitment, Sampling and Study Participants</w:t>
            </w:r>
          </w:p>
        </w:tc>
        <w:tc>
          <w:tcPr>
            <w:tcW w:w="2081" w:type="dxa"/>
            <w:vAlign w:val="center"/>
            <w:hideMark/>
          </w:tcPr>
          <w:p w14:paraId="01D93510" w14:textId="2AAF9FA9" w:rsidR="00391A27" w:rsidRPr="008F0533" w:rsidRDefault="00EC7939" w:rsidP="008F0533">
            <w:pPr>
              <w:spacing w:after="120" w:line="360" w:lineRule="auto"/>
              <w:rPr>
                <w:rFonts w:ascii="Arial" w:hAnsi="Arial" w:cs="Arial"/>
                <w:sz w:val="22"/>
                <w:szCs w:val="22"/>
              </w:rPr>
            </w:pPr>
            <w:r w:rsidRPr="008F0533">
              <w:rPr>
                <w:rFonts w:ascii="Arial" w:hAnsi="Arial" w:cs="Arial"/>
                <w:sz w:val="22"/>
                <w:szCs w:val="22"/>
              </w:rPr>
              <w:t>6 - 7</w:t>
            </w:r>
          </w:p>
        </w:tc>
      </w:tr>
      <w:tr w:rsidR="00391A27" w:rsidRPr="008F0533" w14:paraId="30EF5A62" w14:textId="77777777" w:rsidTr="008F0533">
        <w:trPr>
          <w:tblCellSpacing w:w="15" w:type="dxa"/>
        </w:trPr>
        <w:tc>
          <w:tcPr>
            <w:tcW w:w="7043" w:type="dxa"/>
            <w:vAlign w:val="center"/>
            <w:hideMark/>
          </w:tcPr>
          <w:p w14:paraId="62EF7AAB"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8. Materials, Data Collection Methods and Procedure</w:t>
            </w:r>
          </w:p>
        </w:tc>
        <w:tc>
          <w:tcPr>
            <w:tcW w:w="2081" w:type="dxa"/>
            <w:vAlign w:val="center"/>
            <w:hideMark/>
          </w:tcPr>
          <w:p w14:paraId="1841D75A" w14:textId="60B076BC" w:rsidR="00391A27" w:rsidRPr="008F0533" w:rsidRDefault="00486446" w:rsidP="008F0533">
            <w:pPr>
              <w:spacing w:after="120" w:line="360" w:lineRule="auto"/>
              <w:rPr>
                <w:rFonts w:ascii="Arial" w:hAnsi="Arial" w:cs="Arial"/>
                <w:sz w:val="22"/>
                <w:szCs w:val="22"/>
              </w:rPr>
            </w:pPr>
            <w:r w:rsidRPr="008F0533">
              <w:rPr>
                <w:rFonts w:ascii="Arial" w:hAnsi="Arial" w:cs="Arial"/>
                <w:sz w:val="22"/>
                <w:szCs w:val="22"/>
              </w:rPr>
              <w:t>7 - 8</w:t>
            </w:r>
          </w:p>
        </w:tc>
      </w:tr>
      <w:tr w:rsidR="00391A27" w:rsidRPr="008F0533" w14:paraId="39A5F87B" w14:textId="77777777" w:rsidTr="008F0533">
        <w:trPr>
          <w:tblCellSpacing w:w="15" w:type="dxa"/>
        </w:trPr>
        <w:tc>
          <w:tcPr>
            <w:tcW w:w="7043" w:type="dxa"/>
            <w:vAlign w:val="center"/>
            <w:hideMark/>
          </w:tcPr>
          <w:p w14:paraId="3EFB7821"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9. Proposed Data Analysis Technique</w:t>
            </w:r>
          </w:p>
        </w:tc>
        <w:tc>
          <w:tcPr>
            <w:tcW w:w="2081" w:type="dxa"/>
            <w:vAlign w:val="center"/>
            <w:hideMark/>
          </w:tcPr>
          <w:p w14:paraId="503C701D" w14:textId="59DAC17C" w:rsidR="00391A27" w:rsidRPr="008F0533" w:rsidRDefault="004D7DDB" w:rsidP="008F0533">
            <w:pPr>
              <w:spacing w:after="120" w:line="360" w:lineRule="auto"/>
              <w:rPr>
                <w:rFonts w:ascii="Arial" w:hAnsi="Arial" w:cs="Arial"/>
                <w:sz w:val="22"/>
                <w:szCs w:val="22"/>
              </w:rPr>
            </w:pPr>
            <w:r w:rsidRPr="008F0533">
              <w:rPr>
                <w:rFonts w:ascii="Arial" w:hAnsi="Arial" w:cs="Arial"/>
                <w:sz w:val="22"/>
                <w:szCs w:val="22"/>
              </w:rPr>
              <w:t>8 - 9</w:t>
            </w:r>
          </w:p>
        </w:tc>
      </w:tr>
      <w:tr w:rsidR="00391A27" w:rsidRPr="008F0533" w14:paraId="7156134A" w14:textId="77777777" w:rsidTr="008F0533">
        <w:trPr>
          <w:tblCellSpacing w:w="15" w:type="dxa"/>
        </w:trPr>
        <w:tc>
          <w:tcPr>
            <w:tcW w:w="7043" w:type="dxa"/>
            <w:vAlign w:val="center"/>
            <w:hideMark/>
          </w:tcPr>
          <w:p w14:paraId="2F3A4866"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10. Ethical Considerations</w:t>
            </w:r>
          </w:p>
        </w:tc>
        <w:tc>
          <w:tcPr>
            <w:tcW w:w="2081" w:type="dxa"/>
            <w:vAlign w:val="center"/>
            <w:hideMark/>
          </w:tcPr>
          <w:p w14:paraId="69F82FFE" w14:textId="631C658B" w:rsidR="00391A27" w:rsidRPr="008F0533" w:rsidRDefault="00BB77FF" w:rsidP="008F0533">
            <w:pPr>
              <w:spacing w:after="120" w:line="360" w:lineRule="auto"/>
              <w:rPr>
                <w:rFonts w:ascii="Arial" w:hAnsi="Arial" w:cs="Arial"/>
                <w:sz w:val="22"/>
                <w:szCs w:val="22"/>
              </w:rPr>
            </w:pPr>
            <w:r w:rsidRPr="008F0533">
              <w:rPr>
                <w:rFonts w:ascii="Arial" w:hAnsi="Arial" w:cs="Arial"/>
                <w:sz w:val="22"/>
                <w:szCs w:val="22"/>
              </w:rPr>
              <w:t>9 -10</w:t>
            </w:r>
          </w:p>
        </w:tc>
      </w:tr>
      <w:tr w:rsidR="00391A27" w:rsidRPr="008F0533" w14:paraId="05C350EE" w14:textId="77777777" w:rsidTr="008F0533">
        <w:trPr>
          <w:tblCellSpacing w:w="15" w:type="dxa"/>
        </w:trPr>
        <w:tc>
          <w:tcPr>
            <w:tcW w:w="7043" w:type="dxa"/>
            <w:vAlign w:val="center"/>
            <w:hideMark/>
          </w:tcPr>
          <w:p w14:paraId="0E2EECEE"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11. Implications of the Research</w:t>
            </w:r>
          </w:p>
        </w:tc>
        <w:tc>
          <w:tcPr>
            <w:tcW w:w="2081" w:type="dxa"/>
            <w:vAlign w:val="center"/>
            <w:hideMark/>
          </w:tcPr>
          <w:p w14:paraId="3944216E" w14:textId="38C39CFA" w:rsidR="00391A27" w:rsidRPr="008F0533" w:rsidRDefault="00391A27" w:rsidP="008F0533">
            <w:pPr>
              <w:spacing w:after="120" w:line="360" w:lineRule="auto"/>
              <w:rPr>
                <w:rFonts w:ascii="Arial" w:hAnsi="Arial" w:cs="Arial"/>
                <w:sz w:val="22"/>
                <w:szCs w:val="22"/>
              </w:rPr>
            </w:pPr>
            <w:r w:rsidRPr="008F0533">
              <w:rPr>
                <w:rFonts w:ascii="Arial" w:hAnsi="Arial" w:cs="Arial"/>
                <w:sz w:val="22"/>
                <w:szCs w:val="22"/>
              </w:rPr>
              <w:t>1</w:t>
            </w:r>
            <w:r w:rsidR="00BB77FF" w:rsidRPr="008F0533">
              <w:rPr>
                <w:rFonts w:ascii="Arial" w:hAnsi="Arial" w:cs="Arial"/>
                <w:sz w:val="22"/>
                <w:szCs w:val="22"/>
              </w:rPr>
              <w:t>0</w:t>
            </w:r>
          </w:p>
        </w:tc>
      </w:tr>
      <w:tr w:rsidR="00391A27" w:rsidRPr="008F0533" w14:paraId="14312C8A" w14:textId="77777777" w:rsidTr="008F0533">
        <w:trPr>
          <w:tblCellSpacing w:w="15" w:type="dxa"/>
        </w:trPr>
        <w:tc>
          <w:tcPr>
            <w:tcW w:w="7043" w:type="dxa"/>
            <w:vAlign w:val="center"/>
            <w:hideMark/>
          </w:tcPr>
          <w:p w14:paraId="31047761"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12. Plan of Work and Time Schedule (Gantt Chart)</w:t>
            </w:r>
          </w:p>
        </w:tc>
        <w:tc>
          <w:tcPr>
            <w:tcW w:w="2081" w:type="dxa"/>
            <w:vAlign w:val="center"/>
            <w:hideMark/>
          </w:tcPr>
          <w:p w14:paraId="13649191" w14:textId="5353D979" w:rsidR="00391A27" w:rsidRPr="008F0533" w:rsidRDefault="00391A27" w:rsidP="008F0533">
            <w:pPr>
              <w:spacing w:after="120" w:line="360" w:lineRule="auto"/>
              <w:rPr>
                <w:rFonts w:ascii="Arial" w:hAnsi="Arial" w:cs="Arial"/>
                <w:sz w:val="22"/>
                <w:szCs w:val="22"/>
              </w:rPr>
            </w:pPr>
            <w:r w:rsidRPr="008F0533">
              <w:rPr>
                <w:rFonts w:ascii="Arial" w:hAnsi="Arial" w:cs="Arial"/>
                <w:sz w:val="22"/>
                <w:szCs w:val="22"/>
              </w:rPr>
              <w:t>1</w:t>
            </w:r>
            <w:r w:rsidR="00BB77FF" w:rsidRPr="008F0533">
              <w:rPr>
                <w:rFonts w:ascii="Arial" w:hAnsi="Arial" w:cs="Arial"/>
                <w:sz w:val="22"/>
                <w:szCs w:val="22"/>
              </w:rPr>
              <w:t>1</w:t>
            </w:r>
          </w:p>
        </w:tc>
      </w:tr>
      <w:tr w:rsidR="00391A27" w:rsidRPr="008F0533" w14:paraId="4AA6EA67" w14:textId="77777777" w:rsidTr="008F0533">
        <w:trPr>
          <w:tblCellSpacing w:w="15" w:type="dxa"/>
        </w:trPr>
        <w:tc>
          <w:tcPr>
            <w:tcW w:w="7043" w:type="dxa"/>
            <w:vAlign w:val="center"/>
            <w:hideMark/>
          </w:tcPr>
          <w:p w14:paraId="3D865AD6" w14:textId="77777777" w:rsidR="00391A27" w:rsidRPr="008F0533" w:rsidRDefault="00391A27" w:rsidP="00DD5E87">
            <w:pPr>
              <w:spacing w:after="120" w:line="360" w:lineRule="auto"/>
              <w:rPr>
                <w:rFonts w:ascii="Arial" w:hAnsi="Arial" w:cs="Arial"/>
                <w:sz w:val="22"/>
                <w:szCs w:val="22"/>
              </w:rPr>
            </w:pPr>
            <w:r w:rsidRPr="008F0533">
              <w:rPr>
                <w:rFonts w:ascii="Arial" w:hAnsi="Arial" w:cs="Arial"/>
                <w:sz w:val="22"/>
                <w:szCs w:val="22"/>
              </w:rPr>
              <w:t>13. Reference List</w:t>
            </w:r>
          </w:p>
        </w:tc>
        <w:tc>
          <w:tcPr>
            <w:tcW w:w="2081" w:type="dxa"/>
            <w:vAlign w:val="center"/>
            <w:hideMark/>
          </w:tcPr>
          <w:p w14:paraId="6657A020" w14:textId="5F0BE9D9" w:rsidR="00391A27" w:rsidRPr="008F0533" w:rsidRDefault="00391A27" w:rsidP="008F0533">
            <w:pPr>
              <w:spacing w:after="120" w:line="360" w:lineRule="auto"/>
              <w:rPr>
                <w:rFonts w:ascii="Arial" w:hAnsi="Arial" w:cs="Arial"/>
                <w:sz w:val="22"/>
                <w:szCs w:val="22"/>
              </w:rPr>
            </w:pPr>
            <w:r w:rsidRPr="008F0533">
              <w:rPr>
                <w:rFonts w:ascii="Arial" w:hAnsi="Arial" w:cs="Arial"/>
                <w:sz w:val="22"/>
                <w:szCs w:val="22"/>
              </w:rPr>
              <w:t>1</w:t>
            </w:r>
            <w:r w:rsidR="00BB77FF" w:rsidRPr="008F0533">
              <w:rPr>
                <w:rFonts w:ascii="Arial" w:hAnsi="Arial" w:cs="Arial"/>
                <w:sz w:val="22"/>
                <w:szCs w:val="22"/>
              </w:rPr>
              <w:t>2 - 14</w:t>
            </w:r>
          </w:p>
        </w:tc>
      </w:tr>
    </w:tbl>
    <w:p w14:paraId="06239FF0" w14:textId="5902E0D9" w:rsidR="00E75733" w:rsidRDefault="00E049D6" w:rsidP="00D16B7C">
      <w:pPr>
        <w:spacing w:after="120" w:line="360" w:lineRule="auto"/>
        <w:jc w:val="center"/>
      </w:pPr>
      <w:r w:rsidRPr="001F4484">
        <w:rPr>
          <w:sz w:val="16"/>
          <w:szCs w:val="16"/>
        </w:rPr>
        <w:br w:type="page"/>
      </w:r>
    </w:p>
    <w:p w14:paraId="1FBB7276" w14:textId="77777777" w:rsidR="00E75733" w:rsidRDefault="00E75733">
      <w:pPr>
        <w:sectPr w:rsidR="00E75733">
          <w:footerReference w:type="default" r:id="rId9"/>
          <w:pgSz w:w="11906" w:h="16838"/>
          <w:pgMar w:top="1440" w:right="1440" w:bottom="1440" w:left="1440" w:header="708" w:footer="708" w:gutter="0"/>
          <w:cols w:space="720"/>
          <w:docGrid w:linePitch="360"/>
        </w:sectPr>
      </w:pPr>
    </w:p>
    <w:p w14:paraId="7522DC26" w14:textId="77777777" w:rsidR="00E75733" w:rsidRPr="00687E0F" w:rsidRDefault="00E049D6">
      <w:pPr>
        <w:pStyle w:val="Heading1"/>
        <w:spacing w:before="300" w:after="150" w:line="360" w:lineRule="auto"/>
        <w:rPr>
          <w:sz w:val="36"/>
          <w:szCs w:val="36"/>
        </w:rPr>
      </w:pPr>
      <w:r w:rsidRPr="00687E0F">
        <w:rPr>
          <w:rFonts w:ascii="Arial" w:eastAsia="Arial" w:hAnsi="Arial" w:cs="Arial"/>
          <w:b/>
          <w:bCs/>
          <w:color w:val="1F3864"/>
          <w:sz w:val="28"/>
          <w:szCs w:val="28"/>
        </w:rPr>
        <w:lastRenderedPageBreak/>
        <w:t>1. Title of the Proposed Research</w:t>
      </w:r>
    </w:p>
    <w:p w14:paraId="5564A25A" w14:textId="77777777" w:rsidR="00E75733" w:rsidRDefault="00E049D6">
      <w:pPr>
        <w:spacing w:after="200" w:line="360" w:lineRule="auto"/>
        <w:jc w:val="both"/>
      </w:pPr>
      <w:r>
        <w:rPr>
          <w:rFonts w:ascii="Arial" w:eastAsia="Arial" w:hAnsi="Arial" w:cs="Arial"/>
          <w:sz w:val="22"/>
          <w:szCs w:val="22"/>
        </w:rPr>
        <w:t>Investigating the Barriers to Accessing NHS Healthcare Services Among International Students at the UWTSD London Campus.</w:t>
      </w:r>
    </w:p>
    <w:p w14:paraId="10B53CFA" w14:textId="77777777" w:rsidR="00E75733" w:rsidRPr="00687E0F" w:rsidRDefault="00E049D6">
      <w:pPr>
        <w:pStyle w:val="Heading1"/>
        <w:spacing w:before="300" w:after="150" w:line="360" w:lineRule="auto"/>
        <w:rPr>
          <w:sz w:val="36"/>
          <w:szCs w:val="36"/>
        </w:rPr>
      </w:pPr>
      <w:r w:rsidRPr="00687E0F">
        <w:rPr>
          <w:rFonts w:ascii="Arial" w:eastAsia="Arial" w:hAnsi="Arial" w:cs="Arial"/>
          <w:b/>
          <w:bCs/>
          <w:color w:val="1F3864"/>
          <w:sz w:val="28"/>
          <w:szCs w:val="28"/>
        </w:rPr>
        <w:t>2. Prevalence of the Problem</w:t>
      </w:r>
    </w:p>
    <w:p w14:paraId="697310BF" w14:textId="696677AB" w:rsidR="00574448" w:rsidRDefault="00E049D6" w:rsidP="00574448">
      <w:pPr>
        <w:spacing w:after="200" w:line="360" w:lineRule="auto"/>
        <w:jc w:val="both"/>
        <w:rPr>
          <w:rFonts w:ascii="Arial" w:eastAsia="Arial" w:hAnsi="Arial" w:cs="Arial"/>
          <w:sz w:val="22"/>
          <w:szCs w:val="22"/>
        </w:rPr>
      </w:pPr>
      <w:r>
        <w:rPr>
          <w:rFonts w:ascii="Arial" w:eastAsia="Arial" w:hAnsi="Arial" w:cs="Arial"/>
          <w:sz w:val="22"/>
          <w:szCs w:val="22"/>
        </w:rPr>
        <w:t xml:space="preserve">International students represent a substantial and growing population within UK higher education. During 2022/23, more than 750,000 international students studied in the UK, contributing an estimated £37 billion to the national economy (UKCISA, 2024), and by 2023/24 this figure had risen to approximately 732,000 students, representing 23% of the entire UK higher education student body (HESA, 2024; </w:t>
      </w:r>
      <w:r w:rsidR="00B114FF" w:rsidRPr="00B114FF">
        <w:rPr>
          <w:rFonts w:ascii="Arial" w:eastAsia="Arial" w:hAnsi="Arial" w:cs="Arial"/>
          <w:sz w:val="22"/>
          <w:szCs w:val="22"/>
        </w:rPr>
        <w:t>Bolton, Lewis and Gower, 2025</w:t>
      </w:r>
      <w:r w:rsidR="00B84A36">
        <w:rPr>
          <w:rFonts w:ascii="Arial" w:eastAsia="Arial" w:hAnsi="Arial" w:cs="Arial"/>
          <w:sz w:val="22"/>
          <w:szCs w:val="22"/>
        </w:rPr>
        <w:t xml:space="preserve">; </w:t>
      </w:r>
      <w:r w:rsidR="00B84A36" w:rsidRPr="00B84A36">
        <w:rPr>
          <w:rFonts w:ascii="Arial" w:eastAsia="Arial" w:hAnsi="Arial" w:cs="Arial"/>
          <w:sz w:val="22"/>
          <w:szCs w:val="22"/>
        </w:rPr>
        <w:t>Migration Statistics team, 2026</w:t>
      </w:r>
      <w:r>
        <w:rPr>
          <w:rFonts w:ascii="Arial" w:eastAsia="Arial" w:hAnsi="Arial" w:cs="Arial"/>
          <w:sz w:val="22"/>
          <w:szCs w:val="22"/>
        </w:rPr>
        <w:t xml:space="preserve">). As a condition of their visa, most international students pay the Immigration Health Surcharge (IHS), currently £776 per year, which entitles them to access NHS healthcare services on broadly the same basis as UK residents </w:t>
      </w:r>
      <w:r w:rsidR="00B114FF" w:rsidRPr="00B114FF">
        <w:rPr>
          <w:rFonts w:ascii="Arial" w:eastAsia="Arial" w:hAnsi="Arial" w:cs="Arial"/>
          <w:sz w:val="22"/>
          <w:szCs w:val="22"/>
        </w:rPr>
        <w:t>(Government Digital Service, 2015)</w:t>
      </w:r>
      <w:r>
        <w:rPr>
          <w:rFonts w:ascii="Arial" w:eastAsia="Arial" w:hAnsi="Arial" w:cs="Arial"/>
          <w:sz w:val="22"/>
          <w:szCs w:val="22"/>
        </w:rPr>
        <w:t>. However, entitlement does not translate straightforwardly into use</w:t>
      </w:r>
      <w:r w:rsidRPr="00B84A36">
        <w:rPr>
          <w:rFonts w:ascii="Arial" w:eastAsia="Arial" w:hAnsi="Arial" w:cs="Arial"/>
          <w:sz w:val="22"/>
          <w:szCs w:val="22"/>
        </w:rPr>
        <w:t>. Doctors of the World (202</w:t>
      </w:r>
      <w:r w:rsidR="00B84A36" w:rsidRPr="00B84A36">
        <w:rPr>
          <w:rFonts w:ascii="Arial" w:eastAsia="Arial" w:hAnsi="Arial" w:cs="Arial"/>
          <w:sz w:val="22"/>
          <w:szCs w:val="22"/>
        </w:rPr>
        <w:t>0</w:t>
      </w:r>
      <w:r w:rsidRPr="00B84A36">
        <w:rPr>
          <w:rFonts w:ascii="Arial" w:eastAsia="Arial" w:hAnsi="Arial" w:cs="Arial"/>
          <w:sz w:val="22"/>
          <w:szCs w:val="22"/>
        </w:rPr>
        <w:t>) found that 53% of migrant patients in the UK had not attempted to access NHS care because of perceived barriers, most commonly administrative difficulties (22%), limited knowledge of the NHS (16%) and language barriers (14%).</w:t>
      </w:r>
      <w:r>
        <w:rPr>
          <w:rFonts w:ascii="Arial" w:eastAsia="Arial" w:hAnsi="Arial" w:cs="Arial"/>
          <w:sz w:val="22"/>
          <w:szCs w:val="22"/>
        </w:rPr>
        <w:t xml:space="preserve"> This pattern is corroborated by a large retrospective cohort study of new entrants to the UK, in which only 32.5% of individuals could be linked to a GP registration record, with students identified as a group significantly less likely to register </w:t>
      </w:r>
      <w:r w:rsidR="00574448" w:rsidRPr="00574448">
        <w:rPr>
          <w:rFonts w:ascii="Arial" w:eastAsia="Arial" w:hAnsi="Arial" w:cs="Arial"/>
          <w:sz w:val="22"/>
          <w:szCs w:val="22"/>
        </w:rPr>
        <w:t>(Stagg et al., 2012)</w:t>
      </w:r>
      <w:r>
        <w:rPr>
          <w:rFonts w:ascii="Arial" w:eastAsia="Arial" w:hAnsi="Arial" w:cs="Arial"/>
          <w:sz w:val="22"/>
          <w:szCs w:val="22"/>
        </w:rPr>
        <w:t xml:space="preserve">. Given that the largest cohorts of international students originate from India, China and Nigeria – countries whose healthcare systems differ considerably from the NHS – these barriers are likely to be especially pronounced within this specific population </w:t>
      </w:r>
      <w:r w:rsidR="00574448">
        <w:rPr>
          <w:rFonts w:ascii="Arial" w:eastAsia="Arial" w:hAnsi="Arial" w:cs="Arial"/>
          <w:sz w:val="22"/>
          <w:szCs w:val="22"/>
        </w:rPr>
        <w:t>(</w:t>
      </w:r>
      <w:r w:rsidR="00574448" w:rsidRPr="00B114FF">
        <w:rPr>
          <w:rFonts w:ascii="Arial" w:eastAsia="Arial" w:hAnsi="Arial" w:cs="Arial"/>
          <w:sz w:val="22"/>
          <w:szCs w:val="22"/>
        </w:rPr>
        <w:t>Bolton, Lewis and Gower, 2025</w:t>
      </w:r>
      <w:r w:rsidR="00574448">
        <w:rPr>
          <w:rFonts w:ascii="Arial" w:eastAsia="Arial" w:hAnsi="Arial" w:cs="Arial"/>
          <w:sz w:val="22"/>
          <w:szCs w:val="22"/>
        </w:rPr>
        <w:t>).</w:t>
      </w:r>
    </w:p>
    <w:p w14:paraId="1DCC774B" w14:textId="0AB1FE3D" w:rsidR="00E75733" w:rsidRPr="00687E0F" w:rsidRDefault="00E049D6" w:rsidP="00574448">
      <w:pPr>
        <w:spacing w:after="200" w:line="360" w:lineRule="auto"/>
        <w:jc w:val="both"/>
        <w:rPr>
          <w:sz w:val="22"/>
          <w:szCs w:val="22"/>
        </w:rPr>
      </w:pPr>
      <w:r w:rsidRPr="00687E0F">
        <w:rPr>
          <w:rFonts w:ascii="Arial" w:eastAsia="Arial" w:hAnsi="Arial" w:cs="Arial"/>
          <w:b/>
          <w:bCs/>
          <w:color w:val="1F3864"/>
          <w:sz w:val="28"/>
          <w:szCs w:val="28"/>
        </w:rPr>
        <w:t>3. Introduction, Including a Literature-Based Background to the Study</w:t>
      </w:r>
    </w:p>
    <w:p w14:paraId="480937EF" w14:textId="5845027B" w:rsidR="00E75733" w:rsidRDefault="00E049D6">
      <w:pPr>
        <w:spacing w:after="200" w:line="360" w:lineRule="auto"/>
        <w:jc w:val="both"/>
      </w:pPr>
      <w:r>
        <w:rPr>
          <w:rFonts w:ascii="Arial" w:eastAsia="Arial" w:hAnsi="Arial" w:cs="Arial"/>
          <w:sz w:val="22"/>
          <w:szCs w:val="22"/>
        </w:rPr>
        <w:t>The NHS is founded on the principle of care that is free at the point of use for those entitled to it, and international students who have paid the IHS are formally entitled to the same access as domestic patients</w:t>
      </w:r>
      <w:r w:rsidR="00574448">
        <w:rPr>
          <w:rFonts w:ascii="Arial" w:eastAsia="Arial" w:hAnsi="Arial" w:cs="Arial"/>
          <w:sz w:val="22"/>
          <w:szCs w:val="22"/>
        </w:rPr>
        <w:t xml:space="preserve"> </w:t>
      </w:r>
      <w:r w:rsidR="00574448" w:rsidRPr="00B114FF">
        <w:rPr>
          <w:rFonts w:ascii="Arial" w:eastAsia="Arial" w:hAnsi="Arial" w:cs="Arial"/>
          <w:sz w:val="22"/>
          <w:szCs w:val="22"/>
        </w:rPr>
        <w:t>(Government Digital Service, 2015)</w:t>
      </w:r>
      <w:r w:rsidR="00574448">
        <w:rPr>
          <w:rFonts w:ascii="Arial" w:eastAsia="Arial" w:hAnsi="Arial" w:cs="Arial"/>
          <w:sz w:val="22"/>
          <w:szCs w:val="22"/>
        </w:rPr>
        <w:t xml:space="preserve">. </w:t>
      </w:r>
      <w:r>
        <w:rPr>
          <w:rFonts w:ascii="Arial" w:eastAsia="Arial" w:hAnsi="Arial" w:cs="Arial"/>
          <w:sz w:val="22"/>
          <w:szCs w:val="22"/>
        </w:rPr>
        <w:t>Despite this, a growing body of evidence indicates that structural, cultural and informational barriers prevent many migrants, including students, from realising this entitlement in practice.</w:t>
      </w:r>
    </w:p>
    <w:p w14:paraId="24B3B4CD" w14:textId="2EF80585" w:rsidR="00E75733" w:rsidRPr="007D749E" w:rsidRDefault="00E049D6">
      <w:pPr>
        <w:spacing w:after="200" w:line="360" w:lineRule="auto"/>
        <w:jc w:val="both"/>
        <w:rPr>
          <w:rFonts w:ascii="Arial" w:eastAsia="Arial" w:hAnsi="Arial" w:cs="Arial"/>
          <w:sz w:val="22"/>
          <w:szCs w:val="22"/>
        </w:rPr>
      </w:pPr>
      <w:r>
        <w:rPr>
          <w:rFonts w:ascii="Arial" w:eastAsia="Arial" w:hAnsi="Arial" w:cs="Arial"/>
          <w:sz w:val="22"/>
          <w:szCs w:val="22"/>
        </w:rPr>
        <w:t xml:space="preserve">Administrative barriers are consistently reported as a primary obstacle. Difficulty registering with a General Practitioner (GP), a lack of required documentation, and confusion over eligibility rules discourage new arrivals from engaging with primary care (Ciftci and Blane, </w:t>
      </w:r>
      <w:r>
        <w:rPr>
          <w:rFonts w:ascii="Arial" w:eastAsia="Arial" w:hAnsi="Arial" w:cs="Arial"/>
          <w:sz w:val="22"/>
          <w:szCs w:val="22"/>
        </w:rPr>
        <w:lastRenderedPageBreak/>
        <w:t xml:space="preserve">2022; </w:t>
      </w:r>
      <w:r w:rsidR="00574448" w:rsidRPr="00574448">
        <w:rPr>
          <w:rFonts w:ascii="Arial" w:eastAsia="Arial" w:hAnsi="Arial" w:cs="Arial"/>
          <w:sz w:val="22"/>
          <w:szCs w:val="22"/>
        </w:rPr>
        <w:t>Stagg et al., 2012</w:t>
      </w:r>
      <w:r>
        <w:rPr>
          <w:rFonts w:ascii="Arial" w:eastAsia="Arial" w:hAnsi="Arial" w:cs="Arial"/>
          <w:sz w:val="22"/>
          <w:szCs w:val="22"/>
        </w:rPr>
        <w:t xml:space="preserve">). Language barriers compound these difficulties: patients who are not confident in English report greater difficulty describing symptoms, understanding clinical advice, and navigating appointment systems </w:t>
      </w:r>
      <w:r w:rsidR="007D749E" w:rsidRPr="00B84A36">
        <w:rPr>
          <w:rFonts w:ascii="Arial" w:eastAsia="Arial" w:hAnsi="Arial" w:cs="Arial"/>
          <w:sz w:val="22"/>
          <w:szCs w:val="22"/>
        </w:rPr>
        <w:t xml:space="preserve">(Kang, </w:t>
      </w:r>
      <w:proofErr w:type="spellStart"/>
      <w:r w:rsidR="007D749E" w:rsidRPr="00B84A36">
        <w:rPr>
          <w:rFonts w:ascii="Arial" w:eastAsia="Arial" w:hAnsi="Arial" w:cs="Arial"/>
          <w:sz w:val="22"/>
          <w:szCs w:val="22"/>
        </w:rPr>
        <w:t>Tomkow</w:t>
      </w:r>
      <w:proofErr w:type="spellEnd"/>
      <w:r w:rsidR="007D749E" w:rsidRPr="00B84A36">
        <w:rPr>
          <w:rFonts w:ascii="Arial" w:eastAsia="Arial" w:hAnsi="Arial" w:cs="Arial"/>
          <w:sz w:val="22"/>
          <w:szCs w:val="22"/>
        </w:rPr>
        <w:t xml:space="preserve"> and Farrington, 2019).</w:t>
      </w:r>
      <w:r w:rsidR="007D749E">
        <w:rPr>
          <w:rFonts w:ascii="Arial" w:eastAsia="Arial" w:hAnsi="Arial" w:cs="Arial"/>
          <w:sz w:val="22"/>
          <w:szCs w:val="22"/>
        </w:rPr>
        <w:t xml:space="preserve"> </w:t>
      </w:r>
      <w:r>
        <w:rPr>
          <w:rFonts w:ascii="Arial" w:eastAsia="Arial" w:hAnsi="Arial" w:cs="Arial"/>
          <w:sz w:val="22"/>
          <w:szCs w:val="22"/>
        </w:rPr>
        <w:t>Limited health literacy – the ability to access, understand and apply health-related information – has similarly been identified as a determinant of healthcare access among migrant populations, with lower health literacy associated with reduced service use and poorer communication with providers.</w:t>
      </w:r>
    </w:p>
    <w:p w14:paraId="1D2BE24F" w14:textId="533399FA" w:rsidR="00E75733" w:rsidRPr="001837D1" w:rsidRDefault="00E049D6">
      <w:pPr>
        <w:spacing w:after="200" w:line="360" w:lineRule="auto"/>
        <w:jc w:val="both"/>
        <w:rPr>
          <w:rFonts w:ascii="Arial" w:eastAsia="Arial" w:hAnsi="Arial" w:cs="Arial"/>
          <w:sz w:val="22"/>
          <w:szCs w:val="22"/>
        </w:rPr>
      </w:pPr>
      <w:r>
        <w:rPr>
          <w:rFonts w:ascii="Arial" w:eastAsia="Arial" w:hAnsi="Arial" w:cs="Arial"/>
          <w:sz w:val="22"/>
          <w:szCs w:val="22"/>
        </w:rPr>
        <w:t>Cultural and psychosocial factors also shape healthcare-seeking behaviour. Cogan et al. (202</w:t>
      </w:r>
      <w:r w:rsidR="001837D1">
        <w:rPr>
          <w:rFonts w:ascii="Arial" w:eastAsia="Arial" w:hAnsi="Arial" w:cs="Arial"/>
          <w:sz w:val="22"/>
          <w:szCs w:val="22"/>
        </w:rPr>
        <w:t>3</w:t>
      </w:r>
      <w:r>
        <w:rPr>
          <w:rFonts w:ascii="Arial" w:eastAsia="Arial" w:hAnsi="Arial" w:cs="Arial"/>
          <w:sz w:val="22"/>
          <w:szCs w:val="22"/>
        </w:rPr>
        <w:t>) found that stigma surrounding mental health, and fear of disclosure, discouraged Asian international students in the UK from seeking support, while a qualitative study of international students in Scotland found that impersonal or rushed GP consultations left students feeling discouraged from further engagement with primary care, with several attempting to manage their health by relying on services in their home country instead (</w:t>
      </w:r>
      <w:proofErr w:type="spellStart"/>
      <w:r>
        <w:rPr>
          <w:rFonts w:ascii="Arial" w:eastAsia="Arial" w:hAnsi="Arial" w:cs="Arial"/>
          <w:sz w:val="22"/>
          <w:szCs w:val="22"/>
        </w:rPr>
        <w:t>Kolinska</w:t>
      </w:r>
      <w:proofErr w:type="spellEnd"/>
      <w:r>
        <w:rPr>
          <w:rFonts w:ascii="Arial" w:eastAsia="Arial" w:hAnsi="Arial" w:cs="Arial"/>
          <w:sz w:val="22"/>
          <w:szCs w:val="22"/>
        </w:rPr>
        <w:t xml:space="preserve">, Piers and </w:t>
      </w:r>
      <w:proofErr w:type="spellStart"/>
      <w:r>
        <w:rPr>
          <w:rFonts w:ascii="Arial" w:eastAsia="Arial" w:hAnsi="Arial" w:cs="Arial"/>
          <w:sz w:val="22"/>
          <w:szCs w:val="22"/>
        </w:rPr>
        <w:t>Karadzhov</w:t>
      </w:r>
      <w:proofErr w:type="spellEnd"/>
      <w:r>
        <w:rPr>
          <w:rFonts w:ascii="Arial" w:eastAsia="Arial" w:hAnsi="Arial" w:cs="Arial"/>
          <w:sz w:val="22"/>
          <w:szCs w:val="22"/>
        </w:rPr>
        <w:t>, 2025</w:t>
      </w:r>
      <w:r w:rsidR="001837D1">
        <w:rPr>
          <w:rFonts w:ascii="Arial" w:eastAsia="Arial" w:hAnsi="Arial" w:cs="Arial"/>
          <w:sz w:val="22"/>
          <w:szCs w:val="22"/>
        </w:rPr>
        <w:t xml:space="preserve">; </w:t>
      </w:r>
      <w:r w:rsidR="001837D1" w:rsidRPr="001837D1">
        <w:rPr>
          <w:rFonts w:ascii="Arial" w:eastAsia="Arial" w:hAnsi="Arial" w:cs="Arial"/>
          <w:sz w:val="22"/>
          <w:szCs w:val="22"/>
        </w:rPr>
        <w:t>Cogan et al., 2023</w:t>
      </w:r>
      <w:r>
        <w:rPr>
          <w:rFonts w:ascii="Arial" w:eastAsia="Arial" w:hAnsi="Arial" w:cs="Arial"/>
          <w:sz w:val="22"/>
          <w:szCs w:val="22"/>
        </w:rPr>
        <w:t>). These findings suggest that even when administrative access is achieved, the quality of the patient–provider interaction can itself become a barrier to sustained engagement.</w:t>
      </w:r>
    </w:p>
    <w:p w14:paraId="3795AF44" w14:textId="77777777" w:rsidR="00E75733" w:rsidRDefault="00E049D6">
      <w:pPr>
        <w:spacing w:after="200" w:line="360" w:lineRule="auto"/>
        <w:jc w:val="both"/>
      </w:pPr>
      <w:r>
        <w:rPr>
          <w:rFonts w:ascii="Arial" w:eastAsia="Arial" w:hAnsi="Arial" w:cs="Arial"/>
          <w:sz w:val="22"/>
          <w:szCs w:val="22"/>
        </w:rPr>
        <w:t>Two theoretical frameworks underpin this proposed study. Andersen's Behavioural Model of Health Services Use proposes that healthcare utilisation is shaped by predisposing factors (e.g. cultural beliefs, education), enabling factors (e.g. income, language, knowledge of services) and need factors (perceived or evaluated health need) (Andersen, 1995). International students, navigating a new system with limited local knowledge and, in some cases, financial constraints, may be disadvantaged across each of thes</w:t>
      </w:r>
      <w:r>
        <w:rPr>
          <w:rFonts w:ascii="Arial" w:eastAsia="Arial" w:hAnsi="Arial" w:cs="Arial"/>
          <w:sz w:val="22"/>
          <w:szCs w:val="22"/>
        </w:rPr>
        <w:t>e domains. The Health Belief Model complements this by explaining how perceived barriers, perceived susceptibility and health beliefs influence the decision to seek care; fear of cost, unfamiliarity with the NHS, and low confidence in navigating services are all barriers this model would predict to reduce healthcare-seeking behaviour (Rosenstock, 1974).</w:t>
      </w:r>
    </w:p>
    <w:p w14:paraId="047190E2" w14:textId="09D2BEB0" w:rsidR="00E75733" w:rsidRPr="00A0472B" w:rsidRDefault="00E049D6">
      <w:pPr>
        <w:spacing w:after="200" w:line="360" w:lineRule="auto"/>
        <w:jc w:val="both"/>
        <w:rPr>
          <w:rFonts w:ascii="Arial" w:eastAsia="Arial" w:hAnsi="Arial" w:cs="Arial"/>
          <w:sz w:val="22"/>
          <w:szCs w:val="22"/>
        </w:rPr>
      </w:pPr>
      <w:r>
        <w:rPr>
          <w:rFonts w:ascii="Arial" w:eastAsia="Arial" w:hAnsi="Arial" w:cs="Arial"/>
          <w:sz w:val="22"/>
          <w:szCs w:val="22"/>
        </w:rPr>
        <w:t xml:space="preserve">These issues are not peripheral to UK health policy. The NHS Long Term Plan and the Marmot Review both identify the reduction of health inequalities and the improvement of equitable access as central priorities for the health system (NHS England, 2019; </w:t>
      </w:r>
      <w:r w:rsidR="00A0472B" w:rsidRPr="00A0472B">
        <w:rPr>
          <w:rFonts w:ascii="Arial" w:eastAsia="Arial" w:hAnsi="Arial" w:cs="Arial"/>
          <w:sz w:val="22"/>
          <w:szCs w:val="22"/>
        </w:rPr>
        <w:t>Marmot, 2010)</w:t>
      </w:r>
      <w:r w:rsidR="00A0472B">
        <w:rPr>
          <w:rFonts w:ascii="Arial" w:eastAsia="Arial" w:hAnsi="Arial" w:cs="Arial"/>
          <w:sz w:val="22"/>
          <w:szCs w:val="22"/>
        </w:rPr>
        <w:t xml:space="preserve">. </w:t>
      </w:r>
      <w:r>
        <w:rPr>
          <w:rFonts w:ascii="Arial" w:eastAsia="Arial" w:hAnsi="Arial" w:cs="Arial"/>
          <w:sz w:val="22"/>
          <w:szCs w:val="22"/>
        </w:rPr>
        <w:t>International students, who pay directly into the system through the IHS yet report substantial unmet need, represent a population whose experience speaks directly to these policy goals. Unmet healthcare needs among this group have additionally been linked to poorer academic outcomes, mental health deterioration and greater reliance on emergency services – outcomes that are, in principle, preventable through improved upstream access (Xie et al., 2024).</w:t>
      </w:r>
    </w:p>
    <w:p w14:paraId="13CFE507" w14:textId="6CA0FBDE" w:rsidR="00E75733" w:rsidRDefault="00E049D6">
      <w:pPr>
        <w:spacing w:after="200" w:line="360" w:lineRule="auto"/>
        <w:jc w:val="both"/>
      </w:pPr>
      <w:r>
        <w:rPr>
          <w:rFonts w:ascii="Arial" w:eastAsia="Arial" w:hAnsi="Arial" w:cs="Arial"/>
          <w:sz w:val="22"/>
          <w:szCs w:val="22"/>
        </w:rPr>
        <w:lastRenderedPageBreak/>
        <w:t>While the existing literature establishes a strong general case that migrants and international students face barriers to NHS access, much of it draws on broad migrant populations, undergraduate cohorts, or small qualitative studies in specific cities such as Glasgow or Edinburgh (</w:t>
      </w:r>
      <w:proofErr w:type="spellStart"/>
      <w:r>
        <w:rPr>
          <w:rFonts w:ascii="Arial" w:eastAsia="Arial" w:hAnsi="Arial" w:cs="Arial"/>
          <w:sz w:val="22"/>
          <w:szCs w:val="22"/>
        </w:rPr>
        <w:t>Kolinska</w:t>
      </w:r>
      <w:proofErr w:type="spellEnd"/>
      <w:r>
        <w:rPr>
          <w:rFonts w:ascii="Arial" w:eastAsia="Arial" w:hAnsi="Arial" w:cs="Arial"/>
          <w:sz w:val="22"/>
          <w:szCs w:val="22"/>
        </w:rPr>
        <w:t xml:space="preserve">, Piers and </w:t>
      </w:r>
      <w:proofErr w:type="spellStart"/>
      <w:r>
        <w:rPr>
          <w:rFonts w:ascii="Arial" w:eastAsia="Arial" w:hAnsi="Arial" w:cs="Arial"/>
          <w:sz w:val="22"/>
          <w:szCs w:val="22"/>
        </w:rPr>
        <w:t>Karadzhov</w:t>
      </w:r>
      <w:proofErr w:type="spellEnd"/>
      <w:r>
        <w:rPr>
          <w:rFonts w:ascii="Arial" w:eastAsia="Arial" w:hAnsi="Arial" w:cs="Arial"/>
          <w:sz w:val="22"/>
          <w:szCs w:val="22"/>
        </w:rPr>
        <w:t xml:space="preserve">, 2025; Ciftci and Blane, 2022). There remains limited evidence specifically examining postgraduate international students, studying at </w:t>
      </w:r>
      <w:r w:rsidR="00687E0F">
        <w:rPr>
          <w:rFonts w:ascii="Arial" w:eastAsia="Arial" w:hAnsi="Arial" w:cs="Arial"/>
          <w:sz w:val="22"/>
          <w:szCs w:val="22"/>
        </w:rPr>
        <w:t>UWTSD,</w:t>
      </w:r>
      <w:r>
        <w:rPr>
          <w:rFonts w:ascii="Arial" w:eastAsia="Arial" w:hAnsi="Arial" w:cs="Arial"/>
          <w:sz w:val="22"/>
          <w:szCs w:val="22"/>
        </w:rPr>
        <w:t xml:space="preserve"> London campus. This proposed study addresses that gap by focusing on international postgraduate students at the UWTSD London campus, using a structured quantitative approach to establish the prevalence and pattern of specific barriers within this defined population.</w:t>
      </w:r>
    </w:p>
    <w:p w14:paraId="2991F67D" w14:textId="77777777" w:rsidR="00E75733" w:rsidRDefault="00E049D6">
      <w:pPr>
        <w:pStyle w:val="Heading1"/>
        <w:spacing w:before="300" w:after="150" w:line="360" w:lineRule="auto"/>
        <w:rPr>
          <w:rFonts w:ascii="Arial" w:eastAsia="Arial" w:hAnsi="Arial" w:cs="Arial"/>
          <w:b/>
          <w:bCs/>
          <w:color w:val="1F3864"/>
          <w:sz w:val="28"/>
          <w:szCs w:val="28"/>
        </w:rPr>
      </w:pPr>
      <w:r w:rsidRPr="00687E0F">
        <w:rPr>
          <w:rFonts w:ascii="Arial" w:eastAsia="Arial" w:hAnsi="Arial" w:cs="Arial"/>
          <w:b/>
          <w:bCs/>
          <w:color w:val="1F3864"/>
          <w:sz w:val="28"/>
          <w:szCs w:val="28"/>
        </w:rPr>
        <w:t>4. Rationale &amp; Research Question / Aims / Objectives</w:t>
      </w:r>
    </w:p>
    <w:p w14:paraId="50B9F8F3" w14:textId="354279CA" w:rsidR="00707086" w:rsidRPr="00707086" w:rsidRDefault="00707086" w:rsidP="00707086">
      <w:pPr>
        <w:spacing w:after="200" w:line="360" w:lineRule="auto"/>
        <w:jc w:val="both"/>
        <w:rPr>
          <w:rFonts w:ascii="Arial" w:eastAsia="Arial" w:hAnsi="Arial" w:cs="Arial"/>
          <w:color w:val="156082" w:themeColor="accent1"/>
          <w:sz w:val="22"/>
          <w:szCs w:val="22"/>
        </w:rPr>
      </w:pPr>
      <w:r>
        <w:rPr>
          <w:rFonts w:ascii="Arial" w:eastAsia="Arial" w:hAnsi="Arial" w:cs="Arial"/>
          <w:b/>
          <w:bCs/>
          <w:color w:val="156082" w:themeColor="accent1"/>
          <w:sz w:val="28"/>
          <w:szCs w:val="28"/>
        </w:rPr>
        <w:t xml:space="preserve">4.1 </w:t>
      </w:r>
      <w:r w:rsidRPr="00687E0F">
        <w:rPr>
          <w:rFonts w:ascii="Arial" w:eastAsia="Arial" w:hAnsi="Arial" w:cs="Arial"/>
          <w:b/>
          <w:bCs/>
          <w:color w:val="156082" w:themeColor="accent1"/>
          <w:sz w:val="28"/>
          <w:szCs w:val="28"/>
        </w:rPr>
        <w:t xml:space="preserve">Research </w:t>
      </w:r>
      <w:r>
        <w:rPr>
          <w:rFonts w:ascii="Arial" w:eastAsia="Arial" w:hAnsi="Arial" w:cs="Arial"/>
          <w:b/>
          <w:bCs/>
          <w:color w:val="156082" w:themeColor="accent1"/>
          <w:sz w:val="28"/>
          <w:szCs w:val="28"/>
        </w:rPr>
        <w:t>Rationale</w:t>
      </w:r>
    </w:p>
    <w:p w14:paraId="5FA9F50C" w14:textId="77777777" w:rsidR="00E75733" w:rsidRDefault="00E049D6">
      <w:pPr>
        <w:spacing w:after="200" w:line="360" w:lineRule="auto"/>
        <w:jc w:val="both"/>
      </w:pPr>
      <w:r>
        <w:rPr>
          <w:rFonts w:ascii="Arial" w:eastAsia="Arial" w:hAnsi="Arial" w:cs="Arial"/>
          <w:sz w:val="22"/>
          <w:szCs w:val="22"/>
        </w:rPr>
        <w:t>T</w:t>
      </w:r>
      <w:r>
        <w:rPr>
          <w:rFonts w:ascii="Arial" w:eastAsia="Arial" w:hAnsi="Arial" w:cs="Arial"/>
          <w:sz w:val="22"/>
          <w:szCs w:val="22"/>
        </w:rPr>
        <w:t xml:space="preserve">he rationale for this study rests on three considerations. First, international students constitute a substantial, fee- and surcharge-paying population whose healthcare experiences have direct relevance to institutional duty of care and to NHS policy on equitable access (UKCISA, 2024; NHS England, 2019). Second, existing evidence, although suggestive of significant barriers, is fragmented across different migrant subgroups and geographic settings, and rarely focuses on the specific demographic composition </w:t>
      </w:r>
      <w:r>
        <w:rPr>
          <w:rFonts w:ascii="Arial" w:eastAsia="Arial" w:hAnsi="Arial" w:cs="Arial"/>
          <w:sz w:val="22"/>
          <w:szCs w:val="22"/>
        </w:rPr>
        <w:t>found at UWTSD's London campus. Third, generating locally relevant evidence will allow the University to design targeted health literacy and orientation support, rather than relying on findings generalised from other institutions or populations.</w:t>
      </w:r>
    </w:p>
    <w:p w14:paraId="0F2E2204" w14:textId="1C8043F2" w:rsidR="00687E0F" w:rsidRPr="00707086" w:rsidRDefault="00707086">
      <w:pPr>
        <w:spacing w:after="200" w:line="360" w:lineRule="auto"/>
        <w:jc w:val="both"/>
        <w:rPr>
          <w:rFonts w:ascii="Arial" w:eastAsia="Arial" w:hAnsi="Arial" w:cs="Arial"/>
          <w:b/>
          <w:bCs/>
          <w:color w:val="156082" w:themeColor="accent1"/>
          <w:sz w:val="28"/>
          <w:szCs w:val="28"/>
        </w:rPr>
      </w:pPr>
      <w:r>
        <w:rPr>
          <w:rFonts w:ascii="Arial" w:eastAsia="Arial" w:hAnsi="Arial" w:cs="Arial"/>
          <w:b/>
          <w:bCs/>
          <w:color w:val="156082" w:themeColor="accent1"/>
          <w:sz w:val="28"/>
          <w:szCs w:val="28"/>
        </w:rPr>
        <w:t>4</w:t>
      </w:r>
      <w:r w:rsidR="00DF0EDF">
        <w:rPr>
          <w:rFonts w:ascii="Arial" w:eastAsia="Arial" w:hAnsi="Arial" w:cs="Arial"/>
          <w:b/>
          <w:bCs/>
          <w:color w:val="156082" w:themeColor="accent1"/>
          <w:sz w:val="28"/>
          <w:szCs w:val="28"/>
        </w:rPr>
        <w:t xml:space="preserve">.2 </w:t>
      </w:r>
      <w:r w:rsidR="00E049D6" w:rsidRPr="00687E0F">
        <w:rPr>
          <w:rFonts w:ascii="Arial" w:eastAsia="Arial" w:hAnsi="Arial" w:cs="Arial"/>
          <w:b/>
          <w:bCs/>
          <w:color w:val="156082" w:themeColor="accent1"/>
          <w:sz w:val="28"/>
          <w:szCs w:val="28"/>
        </w:rPr>
        <w:t>Research Question</w:t>
      </w:r>
    </w:p>
    <w:p w14:paraId="162AACD2" w14:textId="37B3FE43" w:rsidR="00E75733" w:rsidRDefault="00E049D6">
      <w:pPr>
        <w:spacing w:after="200" w:line="360" w:lineRule="auto"/>
        <w:jc w:val="both"/>
      </w:pPr>
      <w:r>
        <w:rPr>
          <w:rFonts w:ascii="Arial" w:eastAsia="Arial" w:hAnsi="Arial" w:cs="Arial"/>
          <w:sz w:val="22"/>
          <w:szCs w:val="22"/>
        </w:rPr>
        <w:t>What are the barriers faced by international students in accessing NHS healthcare services at the UWTSD London campus?</w:t>
      </w:r>
    </w:p>
    <w:p w14:paraId="21B0D967" w14:textId="1222D4FF" w:rsidR="00687E0F" w:rsidRPr="00687E0F" w:rsidRDefault="00DF0EDF">
      <w:pPr>
        <w:spacing w:after="200" w:line="360" w:lineRule="auto"/>
        <w:jc w:val="both"/>
        <w:rPr>
          <w:rFonts w:ascii="Arial" w:eastAsia="Arial" w:hAnsi="Arial" w:cs="Arial"/>
          <w:b/>
          <w:bCs/>
          <w:color w:val="156082" w:themeColor="accent1"/>
          <w:sz w:val="28"/>
          <w:szCs w:val="28"/>
        </w:rPr>
      </w:pPr>
      <w:r>
        <w:rPr>
          <w:rFonts w:ascii="Arial" w:eastAsia="Arial" w:hAnsi="Arial" w:cs="Arial"/>
          <w:b/>
          <w:bCs/>
          <w:color w:val="156082" w:themeColor="accent1"/>
          <w:sz w:val="28"/>
          <w:szCs w:val="28"/>
        </w:rPr>
        <w:t xml:space="preserve">4.3 </w:t>
      </w:r>
      <w:r w:rsidR="00687E0F" w:rsidRPr="00687E0F">
        <w:rPr>
          <w:rFonts w:ascii="Arial" w:eastAsia="Arial" w:hAnsi="Arial" w:cs="Arial"/>
          <w:b/>
          <w:bCs/>
          <w:color w:val="156082" w:themeColor="accent1"/>
          <w:sz w:val="28"/>
          <w:szCs w:val="28"/>
        </w:rPr>
        <w:t>Research Aim</w:t>
      </w:r>
    </w:p>
    <w:p w14:paraId="7E34B77F" w14:textId="2BB03368" w:rsidR="00E75733" w:rsidRDefault="00E049D6">
      <w:pPr>
        <w:spacing w:after="200" w:line="360" w:lineRule="auto"/>
        <w:jc w:val="both"/>
      </w:pPr>
      <w:r>
        <w:rPr>
          <w:rFonts w:ascii="Arial" w:eastAsia="Arial" w:hAnsi="Arial" w:cs="Arial"/>
          <w:sz w:val="22"/>
          <w:szCs w:val="22"/>
        </w:rPr>
        <w:t>To explore and analyse the barriers faced by international students in accessing NHS healthcare services in the UK, and to provide recommendations to the University, students, management and the NHS.</w:t>
      </w:r>
    </w:p>
    <w:p w14:paraId="477080B7" w14:textId="0EC28F00" w:rsidR="00E75733" w:rsidRPr="00687E0F" w:rsidRDefault="00DF0EDF">
      <w:pPr>
        <w:spacing w:after="200" w:line="360" w:lineRule="auto"/>
        <w:jc w:val="both"/>
        <w:rPr>
          <w:b/>
          <w:bCs/>
          <w:color w:val="156082" w:themeColor="accent1"/>
          <w:sz w:val="24"/>
          <w:szCs w:val="24"/>
        </w:rPr>
      </w:pPr>
      <w:r>
        <w:rPr>
          <w:rFonts w:ascii="Arial" w:eastAsia="Arial" w:hAnsi="Arial" w:cs="Arial"/>
          <w:b/>
          <w:bCs/>
          <w:color w:val="156082" w:themeColor="accent1"/>
          <w:sz w:val="28"/>
          <w:szCs w:val="28"/>
        </w:rPr>
        <w:t xml:space="preserve">4.4 </w:t>
      </w:r>
      <w:r w:rsidR="00687E0F" w:rsidRPr="00687E0F">
        <w:rPr>
          <w:rFonts w:ascii="Arial" w:eastAsia="Arial" w:hAnsi="Arial" w:cs="Arial"/>
          <w:b/>
          <w:bCs/>
          <w:color w:val="156082" w:themeColor="accent1"/>
          <w:sz w:val="28"/>
          <w:szCs w:val="28"/>
        </w:rPr>
        <w:t>Research Objectives</w:t>
      </w:r>
    </w:p>
    <w:p w14:paraId="4206D6CE" w14:textId="77777777" w:rsidR="00E75733" w:rsidRDefault="00E049D6">
      <w:pPr>
        <w:pStyle w:val="ListParagraph"/>
        <w:numPr>
          <w:ilvl w:val="0"/>
          <w:numId w:val="1"/>
        </w:numPr>
        <w:spacing w:after="100" w:line="360" w:lineRule="auto"/>
      </w:pPr>
      <w:r>
        <w:rPr>
          <w:rFonts w:ascii="Arial" w:eastAsia="Arial" w:hAnsi="Arial" w:cs="Arial"/>
          <w:sz w:val="22"/>
          <w:szCs w:val="22"/>
        </w:rPr>
        <w:t>To assess the level of awareness of NHS services among international students.</w:t>
      </w:r>
    </w:p>
    <w:p w14:paraId="1B6B6D03" w14:textId="77777777" w:rsidR="00E75733" w:rsidRDefault="00E049D6">
      <w:pPr>
        <w:pStyle w:val="ListParagraph"/>
        <w:numPr>
          <w:ilvl w:val="0"/>
          <w:numId w:val="1"/>
        </w:numPr>
        <w:spacing w:after="100" w:line="360" w:lineRule="auto"/>
      </w:pPr>
      <w:r>
        <w:rPr>
          <w:rFonts w:ascii="Arial" w:eastAsia="Arial" w:hAnsi="Arial" w:cs="Arial"/>
          <w:sz w:val="22"/>
          <w:szCs w:val="22"/>
        </w:rPr>
        <w:t>To identify the key barriers experienced in accessing healthcare services.</w:t>
      </w:r>
    </w:p>
    <w:p w14:paraId="0341CD35" w14:textId="77777777" w:rsidR="00E75733" w:rsidRDefault="00E049D6">
      <w:pPr>
        <w:pStyle w:val="ListParagraph"/>
        <w:numPr>
          <w:ilvl w:val="0"/>
          <w:numId w:val="1"/>
        </w:numPr>
        <w:spacing w:after="100" w:line="360" w:lineRule="auto"/>
      </w:pPr>
      <w:r>
        <w:rPr>
          <w:rFonts w:ascii="Arial" w:eastAsia="Arial" w:hAnsi="Arial" w:cs="Arial"/>
          <w:sz w:val="22"/>
          <w:szCs w:val="22"/>
        </w:rPr>
        <w:lastRenderedPageBreak/>
        <w:t>To examine factors influencing healthcare utilisation.</w:t>
      </w:r>
    </w:p>
    <w:p w14:paraId="0E6A17D0" w14:textId="77777777" w:rsidR="00E75733" w:rsidRDefault="00E049D6">
      <w:pPr>
        <w:pStyle w:val="ListParagraph"/>
        <w:numPr>
          <w:ilvl w:val="0"/>
          <w:numId w:val="1"/>
        </w:numPr>
        <w:spacing w:after="100" w:line="360" w:lineRule="auto"/>
      </w:pPr>
      <w:r>
        <w:rPr>
          <w:rFonts w:ascii="Arial" w:eastAsia="Arial" w:hAnsi="Arial" w:cs="Arial"/>
          <w:sz w:val="22"/>
          <w:szCs w:val="22"/>
        </w:rPr>
        <w:t>To explore students' experiences with NHS services and provide recommendations for improving access.</w:t>
      </w:r>
    </w:p>
    <w:p w14:paraId="17204AD4" w14:textId="77777777" w:rsidR="00E75733" w:rsidRPr="00687E0F" w:rsidRDefault="00E049D6">
      <w:pPr>
        <w:pStyle w:val="Heading1"/>
        <w:spacing w:before="300" w:after="150" w:line="360" w:lineRule="auto"/>
        <w:rPr>
          <w:sz w:val="36"/>
          <w:szCs w:val="36"/>
        </w:rPr>
      </w:pPr>
      <w:r w:rsidRPr="00687E0F">
        <w:rPr>
          <w:rFonts w:ascii="Arial" w:eastAsia="Arial" w:hAnsi="Arial" w:cs="Arial"/>
          <w:b/>
          <w:bCs/>
          <w:color w:val="1F3864"/>
          <w:sz w:val="28"/>
          <w:szCs w:val="28"/>
        </w:rPr>
        <w:t>5. Research Methodology</w:t>
      </w:r>
    </w:p>
    <w:p w14:paraId="4CE35D57" w14:textId="77777777" w:rsidR="00E75733" w:rsidRDefault="00E049D6">
      <w:pPr>
        <w:spacing w:after="200" w:line="360" w:lineRule="auto"/>
        <w:jc w:val="both"/>
      </w:pPr>
      <w:r>
        <w:rPr>
          <w:rFonts w:ascii="Arial" w:eastAsia="Arial" w:hAnsi="Arial" w:cs="Arial"/>
          <w:sz w:val="22"/>
          <w:szCs w:val="22"/>
        </w:rPr>
        <w:t>This study will adopt a positivist research philosophy, which assumes that social phenomena, including healthcare-seeking behaviour, can be studied systematically through the collection of observable and measurable evidence (Saunders, Lewis and Thornhill, 2019). Positivism emphasises objectivity, structured data collection and quantitative analysis to identify patterns and associations within a population (Bryman, 2016). This approach is appropriate because the study aims to measure awareness, identify comm</w:t>
      </w:r>
      <w:r>
        <w:rPr>
          <w:rFonts w:ascii="Arial" w:eastAsia="Arial" w:hAnsi="Arial" w:cs="Arial"/>
          <w:sz w:val="22"/>
          <w:szCs w:val="22"/>
        </w:rPr>
        <w:t>only experienced barriers, and examine patterns of healthcare utilisation using structured, closed-ended questionnaire responses that can be coded and statistically analysed. A quantitative, deductive approach also aligns with the five-month timeframe available for this dissertation, allowing for a defined, replicable and rapidly analysable data collection process. The researcher will maintain an objective position throughout and will not seek to influence participants' responses.</w:t>
      </w:r>
    </w:p>
    <w:p w14:paraId="4980A088" w14:textId="77777777" w:rsidR="00E75733" w:rsidRPr="00400788" w:rsidRDefault="00E049D6">
      <w:pPr>
        <w:pStyle w:val="Heading1"/>
        <w:spacing w:before="300" w:after="150" w:line="360" w:lineRule="auto"/>
        <w:rPr>
          <w:sz w:val="36"/>
          <w:szCs w:val="36"/>
        </w:rPr>
      </w:pPr>
      <w:r w:rsidRPr="00400788">
        <w:rPr>
          <w:rFonts w:ascii="Arial" w:eastAsia="Arial" w:hAnsi="Arial" w:cs="Arial"/>
          <w:b/>
          <w:bCs/>
          <w:color w:val="1F3864"/>
          <w:sz w:val="28"/>
          <w:szCs w:val="28"/>
        </w:rPr>
        <w:t>6. Research Design</w:t>
      </w:r>
    </w:p>
    <w:p w14:paraId="669B57A6" w14:textId="5E534998" w:rsidR="00E75733" w:rsidRPr="001A19BD" w:rsidRDefault="00E049D6">
      <w:pPr>
        <w:spacing w:after="200" w:line="360" w:lineRule="auto"/>
        <w:jc w:val="both"/>
        <w:rPr>
          <w:rFonts w:ascii="Arial" w:eastAsia="Arial" w:hAnsi="Arial" w:cs="Arial"/>
          <w:sz w:val="22"/>
          <w:szCs w:val="22"/>
        </w:rPr>
      </w:pPr>
      <w:r>
        <w:rPr>
          <w:rFonts w:ascii="Arial" w:eastAsia="Arial" w:hAnsi="Arial" w:cs="Arial"/>
          <w:sz w:val="22"/>
          <w:szCs w:val="22"/>
        </w:rPr>
        <w:t>A cross-sectional research design will be used. Cross-sectional studies collect data from participants at a single point in time and are widely used to assess the prevalence and distribution of characteristics, behaviours or experiences within a defined population (Setia, 2016</w:t>
      </w:r>
      <w:r w:rsidR="001A19BD">
        <w:rPr>
          <w:rFonts w:ascii="Arial" w:eastAsia="Arial" w:hAnsi="Arial" w:cs="Arial"/>
          <w:sz w:val="22"/>
          <w:szCs w:val="22"/>
        </w:rPr>
        <w:t xml:space="preserve">; </w:t>
      </w:r>
      <w:r w:rsidR="001A19BD" w:rsidRPr="001A19BD">
        <w:rPr>
          <w:rFonts w:ascii="Arial" w:eastAsia="Arial" w:hAnsi="Arial" w:cs="Arial"/>
          <w:sz w:val="22"/>
          <w:szCs w:val="22"/>
        </w:rPr>
        <w:t>Creswell and Creswell, 2018</w:t>
      </w:r>
      <w:r>
        <w:rPr>
          <w:rFonts w:ascii="Arial" w:eastAsia="Arial" w:hAnsi="Arial" w:cs="Arial"/>
          <w:sz w:val="22"/>
          <w:szCs w:val="22"/>
        </w:rPr>
        <w:t>). This design is appropriate because the study aims to capture a snapshot of international students' awareness, experiences, and use of NHS services during the data collection period, rather than tracking change over time. It is also practical for a dissertation with a fixed five-month schedule, since data can be collected within a bounded window without the resource demands of a longitudinal follow-up (Bowling, 2014). A limitation is acknowledged: because data are collected at one time point, the study wi</w:t>
      </w:r>
      <w:r>
        <w:rPr>
          <w:rFonts w:ascii="Arial" w:eastAsia="Arial" w:hAnsi="Arial" w:cs="Arial"/>
          <w:sz w:val="22"/>
          <w:szCs w:val="22"/>
        </w:rPr>
        <w:t>ll identify patterns and associations between variables (for example, between length of residence and awareness of NHS services) but will not be able to establish causal relationships. This limitation will be made explicit in the discussion of findings; the design nonetheless remains the most feasible and appropriate choice given the aims, objectives and timeframe available.</w:t>
      </w:r>
    </w:p>
    <w:p w14:paraId="707E57C3" w14:textId="77777777" w:rsidR="00E75733" w:rsidRPr="00400788" w:rsidRDefault="00E049D6">
      <w:pPr>
        <w:pStyle w:val="Heading1"/>
        <w:spacing w:before="300" w:after="150" w:line="360" w:lineRule="auto"/>
        <w:rPr>
          <w:sz w:val="36"/>
          <w:szCs w:val="36"/>
        </w:rPr>
      </w:pPr>
      <w:r w:rsidRPr="00400788">
        <w:rPr>
          <w:rFonts w:ascii="Arial" w:eastAsia="Arial" w:hAnsi="Arial" w:cs="Arial"/>
          <w:b/>
          <w:bCs/>
          <w:color w:val="1F3864"/>
          <w:sz w:val="28"/>
          <w:szCs w:val="28"/>
        </w:rPr>
        <w:t>7. Recruitment, Sampling &amp; Study Participants</w:t>
      </w:r>
    </w:p>
    <w:p w14:paraId="39F9D996" w14:textId="77777777" w:rsidR="00E75733" w:rsidRDefault="00E049D6">
      <w:pPr>
        <w:spacing w:after="200" w:line="360" w:lineRule="auto"/>
        <w:jc w:val="both"/>
      </w:pPr>
      <w:r>
        <w:rPr>
          <w:rFonts w:ascii="Arial" w:eastAsia="Arial" w:hAnsi="Arial" w:cs="Arial"/>
          <w:sz w:val="22"/>
          <w:szCs w:val="22"/>
        </w:rPr>
        <w:lastRenderedPageBreak/>
        <w:t>The study will use purposive sampling, a non-probability technique in which participants are deliberately selected because they possess characteristics directly relevant to the research question (</w:t>
      </w:r>
      <w:proofErr w:type="spellStart"/>
      <w:r>
        <w:rPr>
          <w:rFonts w:ascii="Arial" w:eastAsia="Arial" w:hAnsi="Arial" w:cs="Arial"/>
          <w:sz w:val="22"/>
          <w:szCs w:val="22"/>
        </w:rPr>
        <w:t>Etikan</w:t>
      </w:r>
      <w:proofErr w:type="spellEnd"/>
      <w:r>
        <w:rPr>
          <w:rFonts w:ascii="Arial" w:eastAsia="Arial" w:hAnsi="Arial" w:cs="Arial"/>
          <w:sz w:val="22"/>
          <w:szCs w:val="22"/>
        </w:rPr>
        <w:t>, Musa and Alkassim, 2016). The target population will comprise international students aged 18 years or above currently studying on the MSc Public Health and Social Care in Practice programme (Term 3 cohort) at the UWTSD London campus.</w:t>
      </w:r>
    </w:p>
    <w:p w14:paraId="411D322C" w14:textId="77777777" w:rsidR="00E75733" w:rsidRDefault="00E049D6">
      <w:pPr>
        <w:spacing w:after="200" w:line="360" w:lineRule="auto"/>
        <w:jc w:val="both"/>
      </w:pPr>
      <w:r>
        <w:rPr>
          <w:rFonts w:ascii="Arial" w:eastAsia="Arial" w:hAnsi="Arial" w:cs="Arial"/>
          <w:sz w:val="22"/>
          <w:szCs w:val="22"/>
        </w:rPr>
        <w:t>Inclusion criteria:</w:t>
      </w:r>
    </w:p>
    <w:p w14:paraId="181AA44B" w14:textId="77777777" w:rsidR="00E75733" w:rsidRDefault="00E049D6">
      <w:pPr>
        <w:pStyle w:val="ListParagraph"/>
        <w:numPr>
          <w:ilvl w:val="0"/>
          <w:numId w:val="1"/>
        </w:numPr>
        <w:spacing w:after="100" w:line="360" w:lineRule="auto"/>
      </w:pPr>
      <w:r>
        <w:rPr>
          <w:rFonts w:ascii="Arial" w:eastAsia="Arial" w:hAnsi="Arial" w:cs="Arial"/>
          <w:sz w:val="22"/>
          <w:szCs w:val="22"/>
        </w:rPr>
        <w:t>International students currently studying at the UWTSD London campus.</w:t>
      </w:r>
    </w:p>
    <w:p w14:paraId="511D90B6" w14:textId="77777777" w:rsidR="00E75733" w:rsidRDefault="00E049D6">
      <w:pPr>
        <w:pStyle w:val="ListParagraph"/>
        <w:numPr>
          <w:ilvl w:val="0"/>
          <w:numId w:val="1"/>
        </w:numPr>
        <w:spacing w:after="100" w:line="360" w:lineRule="auto"/>
      </w:pPr>
      <w:r>
        <w:rPr>
          <w:rFonts w:ascii="Arial" w:eastAsia="Arial" w:hAnsi="Arial" w:cs="Arial"/>
          <w:sz w:val="22"/>
          <w:szCs w:val="22"/>
        </w:rPr>
        <w:t>Aged 18 years or above.</w:t>
      </w:r>
    </w:p>
    <w:p w14:paraId="76456A2F" w14:textId="77777777" w:rsidR="00E75733" w:rsidRDefault="00E049D6">
      <w:pPr>
        <w:pStyle w:val="ListParagraph"/>
        <w:numPr>
          <w:ilvl w:val="0"/>
          <w:numId w:val="1"/>
        </w:numPr>
        <w:spacing w:after="100" w:line="360" w:lineRule="auto"/>
      </w:pPr>
      <w:r>
        <w:rPr>
          <w:rFonts w:ascii="Arial" w:eastAsia="Arial" w:hAnsi="Arial" w:cs="Arial"/>
          <w:sz w:val="22"/>
          <w:szCs w:val="22"/>
        </w:rPr>
        <w:t>Able to understand the participant information and provide informed consent.</w:t>
      </w:r>
    </w:p>
    <w:p w14:paraId="600785A2" w14:textId="77777777" w:rsidR="00E75733" w:rsidRDefault="00E049D6">
      <w:pPr>
        <w:spacing w:after="200" w:line="360" w:lineRule="auto"/>
        <w:jc w:val="both"/>
      </w:pPr>
      <w:r>
        <w:rPr>
          <w:rFonts w:ascii="Arial" w:eastAsia="Arial" w:hAnsi="Arial" w:cs="Arial"/>
          <w:sz w:val="22"/>
          <w:szCs w:val="22"/>
        </w:rPr>
        <w:t>Exclusion criteria:</w:t>
      </w:r>
    </w:p>
    <w:p w14:paraId="1B9E7BBC" w14:textId="77777777" w:rsidR="00E75733" w:rsidRDefault="00E049D6">
      <w:pPr>
        <w:pStyle w:val="ListParagraph"/>
        <w:numPr>
          <w:ilvl w:val="0"/>
          <w:numId w:val="1"/>
        </w:numPr>
        <w:spacing w:after="100" w:line="360" w:lineRule="auto"/>
      </w:pPr>
      <w:r>
        <w:rPr>
          <w:rFonts w:ascii="Arial" w:eastAsia="Arial" w:hAnsi="Arial" w:cs="Arial"/>
          <w:sz w:val="22"/>
          <w:szCs w:val="22"/>
        </w:rPr>
        <w:t>Individuals under the age of 18.</w:t>
      </w:r>
    </w:p>
    <w:p w14:paraId="29FD93A5" w14:textId="77777777" w:rsidR="00E75733" w:rsidRDefault="00E049D6">
      <w:pPr>
        <w:pStyle w:val="ListParagraph"/>
        <w:numPr>
          <w:ilvl w:val="0"/>
          <w:numId w:val="1"/>
        </w:numPr>
        <w:spacing w:after="100" w:line="360" w:lineRule="auto"/>
      </w:pPr>
      <w:r>
        <w:rPr>
          <w:rFonts w:ascii="Arial" w:eastAsia="Arial" w:hAnsi="Arial" w:cs="Arial"/>
          <w:sz w:val="22"/>
          <w:szCs w:val="22"/>
        </w:rPr>
        <w:t>Individuals who are not international students.</w:t>
      </w:r>
    </w:p>
    <w:p w14:paraId="0015EB33" w14:textId="77777777" w:rsidR="00E75733" w:rsidRDefault="00E049D6">
      <w:pPr>
        <w:pStyle w:val="ListParagraph"/>
        <w:numPr>
          <w:ilvl w:val="0"/>
          <w:numId w:val="1"/>
        </w:numPr>
        <w:spacing w:after="100" w:line="360" w:lineRule="auto"/>
      </w:pPr>
      <w:r>
        <w:rPr>
          <w:rFonts w:ascii="Arial" w:eastAsia="Arial" w:hAnsi="Arial" w:cs="Arial"/>
          <w:sz w:val="22"/>
          <w:szCs w:val="22"/>
        </w:rPr>
        <w:t>Individuals who do not provide informed consent.</w:t>
      </w:r>
    </w:p>
    <w:p w14:paraId="63ECB73A" w14:textId="7C65EDF7" w:rsidR="00E75733" w:rsidRDefault="00E049D6">
      <w:pPr>
        <w:spacing w:after="200" w:line="360" w:lineRule="auto"/>
        <w:jc w:val="both"/>
      </w:pPr>
      <w:r>
        <w:rPr>
          <w:rFonts w:ascii="Arial" w:eastAsia="Arial" w:hAnsi="Arial" w:cs="Arial"/>
          <w:sz w:val="22"/>
          <w:szCs w:val="22"/>
        </w:rPr>
        <w:t xml:space="preserve">A sample of between 25 and 50 participants is anticipated, considered feasible and appropriate for a structured quantitative questionnaire within a taught postgraduate dissertation. Participants will be identified with the assistance of information provided by the University (for example, via programme mailing lists) and recruited through an email invitation and/or a link circulated through </w:t>
      </w:r>
      <w:r w:rsidR="00400788">
        <w:rPr>
          <w:rFonts w:ascii="Arial" w:eastAsia="Arial" w:hAnsi="Arial" w:cs="Arial"/>
          <w:sz w:val="22"/>
          <w:szCs w:val="22"/>
        </w:rPr>
        <w:t>university</w:t>
      </w:r>
      <w:r>
        <w:rPr>
          <w:rFonts w:ascii="Arial" w:eastAsia="Arial" w:hAnsi="Arial" w:cs="Arial"/>
          <w:sz w:val="22"/>
          <w:szCs w:val="22"/>
        </w:rPr>
        <w:t xml:space="preserve"> communication channels, containing the online questionnaire and Participant Information Sheet. Recruitment will emphasise the voluntary nature of participation, and no incentive or payment will be offered, in order to minimise any risk of coercion. Given the relatively small and clearly defined population from which the sample will be drawn, this strategy is expected to yield sufficient responses to address the research objectives while remaining manageable within the resources and time available to a sing</w:t>
      </w:r>
      <w:r>
        <w:rPr>
          <w:rFonts w:ascii="Arial" w:eastAsia="Arial" w:hAnsi="Arial" w:cs="Arial"/>
          <w:sz w:val="22"/>
          <w:szCs w:val="22"/>
        </w:rPr>
        <w:t>le postgraduate researcher.</w:t>
      </w:r>
    </w:p>
    <w:p w14:paraId="0B3E12A7" w14:textId="77777777" w:rsidR="00E75733" w:rsidRPr="00400788" w:rsidRDefault="00E049D6">
      <w:pPr>
        <w:pStyle w:val="Heading1"/>
        <w:spacing w:before="300" w:after="150" w:line="360" w:lineRule="auto"/>
        <w:rPr>
          <w:sz w:val="36"/>
          <w:szCs w:val="36"/>
        </w:rPr>
      </w:pPr>
      <w:r w:rsidRPr="00400788">
        <w:rPr>
          <w:rFonts w:ascii="Arial" w:eastAsia="Arial" w:hAnsi="Arial" w:cs="Arial"/>
          <w:b/>
          <w:bCs/>
          <w:color w:val="1F3864"/>
          <w:sz w:val="28"/>
          <w:szCs w:val="28"/>
        </w:rPr>
        <w:t>8. Materials / Data Collection Method(s) / Procedure</w:t>
      </w:r>
    </w:p>
    <w:p w14:paraId="675E44F7" w14:textId="77777777" w:rsidR="00E75733" w:rsidRDefault="00E049D6">
      <w:pPr>
        <w:spacing w:after="200" w:line="360" w:lineRule="auto"/>
        <w:jc w:val="both"/>
      </w:pPr>
      <w:r>
        <w:rPr>
          <w:rFonts w:ascii="Arial" w:eastAsia="Arial" w:hAnsi="Arial" w:cs="Arial"/>
          <w:sz w:val="22"/>
          <w:szCs w:val="22"/>
        </w:rPr>
        <w:t>Primary data will be collected using a structured online questionnaire developed in Microsoft Forms. An online, self-completion questionnaire is appropriate for a positivist, cross-sectional design because it enables data to be collected systematically using standardised questions, generating responses that can be coded, summarised and statistically analysed (Bowling, 2014; Field, 2018).</w:t>
      </w:r>
    </w:p>
    <w:p w14:paraId="2688AFB1" w14:textId="77777777" w:rsidR="00E75733" w:rsidRDefault="00E049D6">
      <w:pPr>
        <w:spacing w:after="200" w:line="360" w:lineRule="auto"/>
        <w:jc w:val="both"/>
      </w:pPr>
      <w:r>
        <w:rPr>
          <w:rFonts w:ascii="Arial" w:eastAsia="Arial" w:hAnsi="Arial" w:cs="Arial"/>
          <w:sz w:val="22"/>
          <w:szCs w:val="22"/>
        </w:rPr>
        <w:lastRenderedPageBreak/>
        <w:t>What will be asked: The questionnaire will consist predominantly of closed-ended items, including multiple-choice, multiple-response and five-point Likert-scale questions (Likert, 1932), with a small number of open-ended items allowing participants to offer recommendations in their own words. Example items include:</w:t>
      </w:r>
    </w:p>
    <w:p w14:paraId="64C8EBB8" w14:textId="77777777" w:rsidR="00E75733" w:rsidRDefault="00E049D6">
      <w:pPr>
        <w:pStyle w:val="ListParagraph"/>
        <w:numPr>
          <w:ilvl w:val="0"/>
          <w:numId w:val="1"/>
        </w:numPr>
        <w:spacing w:after="100" w:line="360" w:lineRule="auto"/>
      </w:pPr>
      <w:r>
        <w:rPr>
          <w:rFonts w:ascii="Arial" w:eastAsia="Arial" w:hAnsi="Arial" w:cs="Arial"/>
          <w:sz w:val="22"/>
          <w:szCs w:val="22"/>
        </w:rPr>
        <w:t>Awareness: 'How would you rate your overall knowledge of NHS healthcare services?' (Very poor to Very good) – addressing Objective 1.</w:t>
      </w:r>
    </w:p>
    <w:p w14:paraId="0B07EA8F" w14:textId="77777777" w:rsidR="00E75733" w:rsidRDefault="00E049D6">
      <w:pPr>
        <w:pStyle w:val="ListParagraph"/>
        <w:numPr>
          <w:ilvl w:val="0"/>
          <w:numId w:val="1"/>
        </w:numPr>
        <w:spacing w:after="100" w:line="360" w:lineRule="auto"/>
      </w:pPr>
      <w:r>
        <w:rPr>
          <w:rFonts w:ascii="Arial" w:eastAsia="Arial" w:hAnsi="Arial" w:cs="Arial"/>
          <w:sz w:val="22"/>
          <w:szCs w:val="22"/>
        </w:rPr>
        <w:t>Registration: 'Are you currently registered with a General Practitioner (GP) in the UK?' (Yes / No / Not sure).</w:t>
      </w:r>
    </w:p>
    <w:p w14:paraId="49BE14F7" w14:textId="77777777" w:rsidR="00E75733" w:rsidRDefault="00E049D6">
      <w:pPr>
        <w:pStyle w:val="ListParagraph"/>
        <w:numPr>
          <w:ilvl w:val="0"/>
          <w:numId w:val="1"/>
        </w:numPr>
        <w:spacing w:after="100" w:line="360" w:lineRule="auto"/>
      </w:pPr>
      <w:r>
        <w:rPr>
          <w:rFonts w:ascii="Arial" w:eastAsia="Arial" w:hAnsi="Arial" w:cs="Arial"/>
          <w:sz w:val="22"/>
          <w:szCs w:val="22"/>
        </w:rPr>
        <w:t>Barriers: 'Which of the following barriers have you experienced when trying to access NHS healthcare?' with multiple response options covering administrative, language, cultural, financial and time-related barriers – addressing Objective 2.</w:t>
      </w:r>
    </w:p>
    <w:p w14:paraId="1C37173B" w14:textId="77777777" w:rsidR="00E75733" w:rsidRDefault="00E049D6">
      <w:pPr>
        <w:pStyle w:val="ListParagraph"/>
        <w:numPr>
          <w:ilvl w:val="0"/>
          <w:numId w:val="1"/>
        </w:numPr>
        <w:spacing w:after="100" w:line="360" w:lineRule="auto"/>
      </w:pPr>
      <w:r>
        <w:rPr>
          <w:rFonts w:ascii="Arial" w:eastAsia="Arial" w:hAnsi="Arial" w:cs="Arial"/>
          <w:sz w:val="22"/>
          <w:szCs w:val="22"/>
        </w:rPr>
        <w:t>Utilisation: 'Since arriving in the UK, how often have you used NHS healthcare services?' – addressing Objective 3.</w:t>
      </w:r>
    </w:p>
    <w:p w14:paraId="08830190" w14:textId="77777777" w:rsidR="00E75733" w:rsidRDefault="00E049D6">
      <w:pPr>
        <w:pStyle w:val="ListParagraph"/>
        <w:numPr>
          <w:ilvl w:val="0"/>
          <w:numId w:val="1"/>
        </w:numPr>
        <w:spacing w:after="100" w:line="360" w:lineRule="auto"/>
      </w:pPr>
      <w:r>
        <w:rPr>
          <w:rFonts w:ascii="Arial" w:eastAsia="Arial" w:hAnsi="Arial" w:cs="Arial"/>
          <w:sz w:val="22"/>
          <w:szCs w:val="22"/>
        </w:rPr>
        <w:t>An open-text item inviting recommendations for improving access – addressing Objective 4.</w:t>
      </w:r>
    </w:p>
    <w:p w14:paraId="24DF9D99" w14:textId="77777777" w:rsidR="00E75733" w:rsidRDefault="00E049D6">
      <w:pPr>
        <w:spacing w:after="200" w:line="360" w:lineRule="auto"/>
        <w:jc w:val="both"/>
      </w:pPr>
      <w:r>
        <w:rPr>
          <w:rFonts w:ascii="Arial" w:eastAsia="Arial" w:hAnsi="Arial" w:cs="Arial"/>
          <w:sz w:val="22"/>
          <w:szCs w:val="22"/>
        </w:rPr>
        <w:t>Who will be asked: International students meeting the inclusion criteria outlined above, drawn from the Term 3 MSc Public Health and Social Care in Practice cohort at the UWTSD London campus.</w:t>
      </w:r>
    </w:p>
    <w:p w14:paraId="31ADB779" w14:textId="77777777" w:rsidR="00E75733" w:rsidRDefault="00E049D6">
      <w:pPr>
        <w:spacing w:after="200" w:line="360" w:lineRule="auto"/>
        <w:jc w:val="both"/>
      </w:pPr>
      <w:r>
        <w:rPr>
          <w:rFonts w:ascii="Arial" w:eastAsia="Arial" w:hAnsi="Arial" w:cs="Arial"/>
          <w:sz w:val="22"/>
          <w:szCs w:val="22"/>
        </w:rPr>
        <w:t xml:space="preserve">How they will be asked: The questionnaire link will be distributed electronically via </w:t>
      </w:r>
      <w:proofErr w:type="gramStart"/>
      <w:r>
        <w:rPr>
          <w:rFonts w:ascii="Arial" w:eastAsia="Arial" w:hAnsi="Arial" w:cs="Arial"/>
          <w:sz w:val="22"/>
          <w:szCs w:val="22"/>
        </w:rPr>
        <w:t>University</w:t>
      </w:r>
      <w:proofErr w:type="gramEnd"/>
      <w:r>
        <w:rPr>
          <w:rFonts w:ascii="Arial" w:eastAsia="Arial" w:hAnsi="Arial" w:cs="Arial"/>
          <w:sz w:val="22"/>
          <w:szCs w:val="22"/>
        </w:rPr>
        <w:t xml:space="preserve"> email and/or approved group communication channels. The survey will open with a Participant Information Sheet and an electronic informed-consent statement; only participants who confirm they are aged 18 or above, have read the information provided, and voluntarily agree to participate will be able to proceed. The questionnaire is expected to take approximately 8–15 minutes to complete and will not request identifying information such as names, student numbers or contact details. Prior to full distribution,</w:t>
      </w:r>
      <w:r>
        <w:rPr>
          <w:rFonts w:ascii="Arial" w:eastAsia="Arial" w:hAnsi="Arial" w:cs="Arial"/>
          <w:sz w:val="22"/>
          <w:szCs w:val="22"/>
        </w:rPr>
        <w:t xml:space="preserve"> the questionnaire will be piloted with a small number of peers to check clarity, question flow and completion time, with amendments made as necessary before recruitment begins.</w:t>
      </w:r>
    </w:p>
    <w:p w14:paraId="70645BF8" w14:textId="77777777" w:rsidR="00E75733" w:rsidRPr="001A19BD" w:rsidRDefault="00E049D6">
      <w:pPr>
        <w:pStyle w:val="Heading1"/>
        <w:spacing w:before="300" w:after="150" w:line="360" w:lineRule="auto"/>
        <w:rPr>
          <w:sz w:val="36"/>
          <w:szCs w:val="36"/>
        </w:rPr>
      </w:pPr>
      <w:r w:rsidRPr="001A19BD">
        <w:rPr>
          <w:rFonts w:ascii="Arial" w:eastAsia="Arial" w:hAnsi="Arial" w:cs="Arial"/>
          <w:b/>
          <w:bCs/>
          <w:color w:val="1F3864"/>
          <w:sz w:val="28"/>
          <w:szCs w:val="28"/>
        </w:rPr>
        <w:t>9. Proposed Data Analysis Technique</w:t>
      </w:r>
    </w:p>
    <w:p w14:paraId="55293014" w14:textId="57F4E36C" w:rsidR="00E75733" w:rsidRDefault="00E049D6">
      <w:pPr>
        <w:spacing w:after="200" w:line="360" w:lineRule="auto"/>
        <w:jc w:val="both"/>
      </w:pPr>
      <w:r>
        <w:rPr>
          <w:rFonts w:ascii="Arial" w:eastAsia="Arial" w:hAnsi="Arial" w:cs="Arial"/>
          <w:sz w:val="22"/>
          <w:szCs w:val="22"/>
        </w:rPr>
        <w:t xml:space="preserve">Quantitative data generated by the closed-ended items will be analysed using descriptive statistics (frequencies, percentages, means and standard deviations) to summarise participants' awareness, registration status and barriers experienced, consistent with the positivist, cross-sectional design (Field, 2018). Where appropriate, inferential techniques such as chi-square tests or cross-tabulations will be used to explore associations between </w:t>
      </w:r>
      <w:r>
        <w:rPr>
          <w:rFonts w:ascii="Arial" w:eastAsia="Arial" w:hAnsi="Arial" w:cs="Arial"/>
          <w:sz w:val="22"/>
          <w:szCs w:val="22"/>
        </w:rPr>
        <w:lastRenderedPageBreak/>
        <w:t>demographic variables (for example, region of origin, length of res</w:t>
      </w:r>
      <w:r>
        <w:rPr>
          <w:rFonts w:ascii="Arial" w:eastAsia="Arial" w:hAnsi="Arial" w:cs="Arial"/>
          <w:sz w:val="22"/>
          <w:szCs w:val="22"/>
        </w:rPr>
        <w:t>idence, or level of study) and reported barriers or utilisation patterns. Data will be analysed using IBM SPSS Statistics or an equivalent statistical package. Where multi-item Likert-scale constructs are used, the internal consistency of the scale will be assessed using Cronbach's alpha prior to further analysis (</w:t>
      </w:r>
      <w:proofErr w:type="spellStart"/>
      <w:r>
        <w:rPr>
          <w:rFonts w:ascii="Arial" w:eastAsia="Arial" w:hAnsi="Arial" w:cs="Arial"/>
          <w:sz w:val="22"/>
          <w:szCs w:val="22"/>
        </w:rPr>
        <w:t>Tavakol</w:t>
      </w:r>
      <w:proofErr w:type="spellEnd"/>
      <w:r>
        <w:rPr>
          <w:rFonts w:ascii="Arial" w:eastAsia="Arial" w:hAnsi="Arial" w:cs="Arial"/>
          <w:sz w:val="22"/>
          <w:szCs w:val="22"/>
        </w:rPr>
        <w:t xml:space="preserve"> and Dennick, 2011). Responses to the small number of open-ended questions will be analysed using a brief thematic approach, following the six-phase process described by Braun and Clarke (2006), to identify recurring recommendations and concerns not fully captured by the closed items</w:t>
      </w:r>
      <w:r w:rsidR="00332E12">
        <w:rPr>
          <w:rFonts w:ascii="Arial" w:eastAsia="Arial" w:hAnsi="Arial" w:cs="Arial"/>
          <w:sz w:val="22"/>
          <w:szCs w:val="22"/>
        </w:rPr>
        <w:t xml:space="preserve"> (Braun and Clarke, 2006)</w:t>
      </w:r>
      <w:r>
        <w:rPr>
          <w:rFonts w:ascii="Arial" w:eastAsia="Arial" w:hAnsi="Arial" w:cs="Arial"/>
          <w:sz w:val="22"/>
          <w:szCs w:val="22"/>
        </w:rPr>
        <w:t>. Combining descriptive and inferential statistical analysis with limited thematic coding of open responses will allow the study to both quantify the prevalence of specific barriers and illustrate them with participants' own words.</w:t>
      </w:r>
    </w:p>
    <w:p w14:paraId="28265A31" w14:textId="77777777" w:rsidR="00E75733" w:rsidRPr="001A19BD" w:rsidRDefault="00E049D6">
      <w:pPr>
        <w:pStyle w:val="Heading1"/>
        <w:spacing w:before="300" w:after="150" w:line="360" w:lineRule="auto"/>
        <w:rPr>
          <w:sz w:val="36"/>
          <w:szCs w:val="36"/>
        </w:rPr>
      </w:pPr>
      <w:r w:rsidRPr="001A19BD">
        <w:rPr>
          <w:rFonts w:ascii="Arial" w:eastAsia="Arial" w:hAnsi="Arial" w:cs="Arial"/>
          <w:b/>
          <w:bCs/>
          <w:color w:val="1F3864"/>
          <w:sz w:val="28"/>
          <w:szCs w:val="28"/>
        </w:rPr>
        <w:t>10. Ethical Considerations</w:t>
      </w:r>
    </w:p>
    <w:p w14:paraId="625EC4FE" w14:textId="7D0E2DE7" w:rsidR="00E75733" w:rsidRDefault="00E049D6">
      <w:pPr>
        <w:spacing w:after="200" w:line="360" w:lineRule="auto"/>
        <w:jc w:val="both"/>
      </w:pPr>
      <w:r>
        <w:rPr>
          <w:rFonts w:ascii="Arial" w:eastAsia="Arial" w:hAnsi="Arial" w:cs="Arial"/>
          <w:sz w:val="22"/>
          <w:szCs w:val="22"/>
        </w:rPr>
        <w:t>This study will be conducted in accordance with the UWTSD Research Ethics and Integrity Code of Practice, the UWTSD Research Data Management Policy, and the ethical principles set out in the Declaration of Helsinki and the British Educational Research Association's Ethical Guidelines for Educational Research (World Medical Association, 2013; BERA, 2018; U</w:t>
      </w:r>
      <w:r w:rsidR="00332E12">
        <w:rPr>
          <w:rFonts w:ascii="Arial" w:eastAsia="Arial" w:hAnsi="Arial" w:cs="Arial"/>
          <w:sz w:val="22"/>
          <w:szCs w:val="22"/>
        </w:rPr>
        <w:t>WTSD</w:t>
      </w:r>
      <w:r>
        <w:rPr>
          <w:rFonts w:ascii="Arial" w:eastAsia="Arial" w:hAnsi="Arial" w:cs="Arial"/>
          <w:sz w:val="22"/>
          <w:szCs w:val="22"/>
        </w:rPr>
        <w:t>, 202</w:t>
      </w:r>
      <w:r w:rsidR="00332E12">
        <w:rPr>
          <w:rFonts w:ascii="Arial" w:eastAsia="Arial" w:hAnsi="Arial" w:cs="Arial"/>
          <w:sz w:val="22"/>
          <w:szCs w:val="22"/>
        </w:rPr>
        <w:t>2</w:t>
      </w:r>
      <w:r>
        <w:rPr>
          <w:rFonts w:ascii="Arial" w:eastAsia="Arial" w:hAnsi="Arial" w:cs="Arial"/>
          <w:sz w:val="22"/>
          <w:szCs w:val="22"/>
        </w:rPr>
        <w:t>). Full ethical approval will be sought via the University's PG2 ethics process prior to any data collection taking place.</w:t>
      </w:r>
    </w:p>
    <w:p w14:paraId="68B83124" w14:textId="77777777" w:rsidR="00E75733" w:rsidRDefault="00E049D6">
      <w:pPr>
        <w:spacing w:after="200" w:line="360" w:lineRule="auto"/>
        <w:jc w:val="both"/>
      </w:pPr>
      <w:r>
        <w:rPr>
          <w:rFonts w:ascii="Arial" w:eastAsia="Arial" w:hAnsi="Arial" w:cs="Arial"/>
          <w:sz w:val="22"/>
          <w:szCs w:val="22"/>
        </w:rPr>
        <w:t xml:space="preserve">Informed consent will be obtained electronically at the start of the questionnaire. Participants will be provided with a Participant Information Sheet explaining the purpose of the research, what participation involves, the voluntary nature of participation, and their right to withdraw at any time before submitting their responses, without giving a reason and without any effect on their studies (Bryman, 2016). Only participants who confirm they are aged 18 or over and who actively agree to participate will </w:t>
      </w:r>
      <w:r>
        <w:rPr>
          <w:rFonts w:ascii="Arial" w:eastAsia="Arial" w:hAnsi="Arial" w:cs="Arial"/>
          <w:sz w:val="22"/>
          <w:szCs w:val="22"/>
        </w:rPr>
        <w:t>proceed to the questionnaire.</w:t>
      </w:r>
    </w:p>
    <w:p w14:paraId="7D422F5B" w14:textId="4DDE56A5" w:rsidR="00E75733" w:rsidRPr="001A19BD" w:rsidRDefault="00E049D6">
      <w:pPr>
        <w:spacing w:after="200" w:line="360" w:lineRule="auto"/>
        <w:jc w:val="both"/>
        <w:rPr>
          <w:rFonts w:ascii="Arial" w:eastAsia="Arial" w:hAnsi="Arial" w:cs="Arial"/>
          <w:sz w:val="22"/>
          <w:szCs w:val="22"/>
        </w:rPr>
      </w:pPr>
      <w:r>
        <w:rPr>
          <w:rFonts w:ascii="Arial" w:eastAsia="Arial" w:hAnsi="Arial" w:cs="Arial"/>
          <w:sz w:val="22"/>
          <w:szCs w:val="22"/>
        </w:rPr>
        <w:t>The study will not collect direct identifiers such as names, student numbers, email addresses or telephone numbers; demographic items (such as age group, gender, nationality and length of residence in the UK) will be collected only where necessary to address the research objectives. Because questions relating to health experiences constitute special category data under the UK GDPR, particular care will be taken to ensure that responses remain anonymous and are used solely for the purposes of this research (</w:t>
      </w:r>
      <w:r w:rsidR="001A19BD">
        <w:rPr>
          <w:rFonts w:ascii="Arial" w:eastAsia="Arial" w:hAnsi="Arial" w:cs="Arial"/>
          <w:sz w:val="22"/>
          <w:szCs w:val="22"/>
        </w:rPr>
        <w:t>ICO</w:t>
      </w:r>
      <w:r>
        <w:rPr>
          <w:rFonts w:ascii="Arial" w:eastAsia="Arial" w:hAnsi="Arial" w:cs="Arial"/>
          <w:sz w:val="22"/>
          <w:szCs w:val="22"/>
        </w:rPr>
        <w:t>, 20</w:t>
      </w:r>
      <w:r w:rsidR="001A19BD">
        <w:rPr>
          <w:rFonts w:ascii="Arial" w:eastAsia="Arial" w:hAnsi="Arial" w:cs="Arial"/>
          <w:sz w:val="22"/>
          <w:szCs w:val="22"/>
        </w:rPr>
        <w:t>23</w:t>
      </w:r>
      <w:r>
        <w:rPr>
          <w:rFonts w:ascii="Arial" w:eastAsia="Arial" w:hAnsi="Arial" w:cs="Arial"/>
          <w:sz w:val="22"/>
          <w:szCs w:val="22"/>
        </w:rPr>
        <w:t xml:space="preserve">; </w:t>
      </w:r>
      <w:r w:rsidR="001A19BD" w:rsidRPr="001A19BD">
        <w:rPr>
          <w:rFonts w:ascii="Arial" w:eastAsia="Arial" w:hAnsi="Arial" w:cs="Arial"/>
          <w:sz w:val="22"/>
          <w:szCs w:val="22"/>
        </w:rPr>
        <w:t>GOV.UK, 2018)</w:t>
      </w:r>
      <w:r>
        <w:rPr>
          <w:rFonts w:ascii="Arial" w:eastAsia="Arial" w:hAnsi="Arial" w:cs="Arial"/>
          <w:sz w:val="22"/>
          <w:szCs w:val="22"/>
        </w:rPr>
        <w:t>.</w:t>
      </w:r>
    </w:p>
    <w:p w14:paraId="6F1FAADF" w14:textId="7EC6D66B" w:rsidR="00E75733" w:rsidRDefault="00E049D6">
      <w:pPr>
        <w:spacing w:after="200" w:line="360" w:lineRule="auto"/>
        <w:jc w:val="both"/>
      </w:pPr>
      <w:r>
        <w:rPr>
          <w:rFonts w:ascii="Arial" w:eastAsia="Arial" w:hAnsi="Arial" w:cs="Arial"/>
          <w:sz w:val="22"/>
          <w:szCs w:val="22"/>
        </w:rPr>
        <w:t xml:space="preserve">All data will be stored on password-protected, University-approved cloud storage (Office 365/OneDrive), accessible only to the researcher and supervisor, and will be deleted at the end of the project. As the topic may touch on sensitive personal experiences, participants will be signposted to </w:t>
      </w:r>
      <w:proofErr w:type="gramStart"/>
      <w:r>
        <w:rPr>
          <w:rFonts w:ascii="Arial" w:eastAsia="Arial" w:hAnsi="Arial" w:cs="Arial"/>
          <w:sz w:val="22"/>
          <w:szCs w:val="22"/>
        </w:rPr>
        <w:t>University</w:t>
      </w:r>
      <w:proofErr w:type="gramEnd"/>
      <w:r>
        <w:rPr>
          <w:rFonts w:ascii="Arial" w:eastAsia="Arial" w:hAnsi="Arial" w:cs="Arial"/>
          <w:sz w:val="22"/>
          <w:szCs w:val="22"/>
        </w:rPr>
        <w:t xml:space="preserve"> wellbeing services and NHS support within the Participant </w:t>
      </w:r>
      <w:r>
        <w:rPr>
          <w:rFonts w:ascii="Arial" w:eastAsia="Arial" w:hAnsi="Arial" w:cs="Arial"/>
          <w:sz w:val="22"/>
          <w:szCs w:val="22"/>
        </w:rPr>
        <w:lastRenderedPageBreak/>
        <w:t>Information Sheet. No significant physical risk to participants, the researcher, or the University is anticipated.</w:t>
      </w:r>
    </w:p>
    <w:p w14:paraId="2CEB0DBF" w14:textId="77777777" w:rsidR="00E75733" w:rsidRPr="001A19BD" w:rsidRDefault="00E049D6">
      <w:pPr>
        <w:pStyle w:val="Heading1"/>
        <w:spacing w:before="300" w:after="150" w:line="360" w:lineRule="auto"/>
        <w:rPr>
          <w:sz w:val="36"/>
          <w:szCs w:val="36"/>
        </w:rPr>
      </w:pPr>
      <w:r w:rsidRPr="001A19BD">
        <w:rPr>
          <w:rFonts w:ascii="Arial" w:eastAsia="Arial" w:hAnsi="Arial" w:cs="Arial"/>
          <w:b/>
          <w:bCs/>
          <w:color w:val="1F3864"/>
          <w:sz w:val="28"/>
          <w:szCs w:val="28"/>
        </w:rPr>
        <w:t>11. Implication of Research</w:t>
      </w:r>
    </w:p>
    <w:p w14:paraId="507B1F0B" w14:textId="7F7BD223" w:rsidR="00E75733" w:rsidRDefault="00E049D6">
      <w:pPr>
        <w:spacing w:after="200" w:line="360" w:lineRule="auto"/>
        <w:jc w:val="both"/>
        <w:rPr>
          <w:rFonts w:ascii="Arial" w:eastAsia="Arial" w:hAnsi="Arial" w:cs="Arial"/>
          <w:sz w:val="22"/>
          <w:szCs w:val="22"/>
        </w:rPr>
      </w:pPr>
      <w:r>
        <w:rPr>
          <w:rFonts w:ascii="Arial" w:eastAsia="Arial" w:hAnsi="Arial" w:cs="Arial"/>
          <w:sz w:val="22"/>
          <w:szCs w:val="22"/>
        </w:rPr>
        <w:t xml:space="preserve">The findings of this study have implications across several levels. For policy, the research will contribute locally grounded evidence that can inform NHS England access policy and ongoing debate around the Immigration Health Surcharge and international student welfare </w:t>
      </w:r>
      <w:r w:rsidR="001A19BD" w:rsidRPr="001A19BD">
        <w:rPr>
          <w:rFonts w:ascii="Arial" w:eastAsia="Arial" w:hAnsi="Arial" w:cs="Arial"/>
          <w:sz w:val="22"/>
          <w:szCs w:val="22"/>
        </w:rPr>
        <w:t>(Government Digital Service, 2015</w:t>
      </w:r>
      <w:r>
        <w:rPr>
          <w:rFonts w:ascii="Arial" w:eastAsia="Arial" w:hAnsi="Arial" w:cs="Arial"/>
          <w:sz w:val="22"/>
          <w:szCs w:val="22"/>
        </w:rPr>
        <w:t>; NHS England, 2019). For health equity, the study addresses inequities affecting a population that contributes financially to the NHS yet may be unable to fully access it (Marmot, 2010). For the institution, findings will support UWTSD in developing targeted induction materials and health literacy programmes for incoming international students, directly informed by the specific barriers this cohort reports. Economically, given that international students contribute an estimated £37 billion to the UK econom</w:t>
      </w:r>
      <w:r>
        <w:rPr>
          <w:rFonts w:ascii="Arial" w:eastAsia="Arial" w:hAnsi="Arial" w:cs="Arial"/>
          <w:sz w:val="22"/>
          <w:szCs w:val="22"/>
        </w:rPr>
        <w:t>y, addressing unnecessary barriers to their healthcare access is a matter of both equity and sound institutional and national policy (UKCISA, 2024). More broadly, by helping to prevent unmet healthcare needs from compounding into poorer academic and mental health outcomes, the research supports both individual student wellbeing and the wider public health g</w:t>
      </w:r>
      <w:r>
        <w:rPr>
          <w:rFonts w:ascii="Arial" w:eastAsia="Arial" w:hAnsi="Arial" w:cs="Arial"/>
          <w:sz w:val="22"/>
          <w:szCs w:val="22"/>
        </w:rPr>
        <w:t>oal of reducing avoidable pressure on emergency NHS services (Xie et al., 2024).</w:t>
      </w:r>
    </w:p>
    <w:p w14:paraId="77A18700" w14:textId="77777777" w:rsidR="00C20C41" w:rsidRDefault="00C20C41">
      <w:pPr>
        <w:spacing w:after="200" w:line="360" w:lineRule="auto"/>
        <w:jc w:val="both"/>
        <w:rPr>
          <w:rFonts w:ascii="Arial" w:eastAsia="Arial" w:hAnsi="Arial" w:cs="Arial"/>
          <w:sz w:val="22"/>
          <w:szCs w:val="22"/>
        </w:rPr>
      </w:pPr>
    </w:p>
    <w:p w14:paraId="42ADAE43" w14:textId="77777777" w:rsidR="00C20C41" w:rsidRDefault="00C20C41">
      <w:pPr>
        <w:spacing w:after="200" w:line="360" w:lineRule="auto"/>
        <w:jc w:val="both"/>
        <w:rPr>
          <w:rFonts w:ascii="Arial" w:eastAsia="Arial" w:hAnsi="Arial" w:cs="Arial"/>
          <w:sz w:val="22"/>
          <w:szCs w:val="22"/>
        </w:rPr>
      </w:pPr>
    </w:p>
    <w:p w14:paraId="3BFC604F" w14:textId="77777777" w:rsidR="00C20C41" w:rsidRDefault="00C20C41">
      <w:pPr>
        <w:spacing w:after="200" w:line="360" w:lineRule="auto"/>
        <w:jc w:val="both"/>
        <w:rPr>
          <w:rFonts w:ascii="Arial" w:eastAsia="Arial" w:hAnsi="Arial" w:cs="Arial"/>
          <w:sz w:val="22"/>
          <w:szCs w:val="22"/>
        </w:rPr>
      </w:pPr>
    </w:p>
    <w:p w14:paraId="2874B8FD" w14:textId="77777777" w:rsidR="00C20C41" w:rsidRDefault="00C20C41">
      <w:pPr>
        <w:spacing w:after="200" w:line="360" w:lineRule="auto"/>
        <w:jc w:val="both"/>
        <w:rPr>
          <w:rFonts w:ascii="Arial" w:eastAsia="Arial" w:hAnsi="Arial" w:cs="Arial"/>
          <w:sz w:val="22"/>
          <w:szCs w:val="22"/>
        </w:rPr>
      </w:pPr>
    </w:p>
    <w:p w14:paraId="3AD29FE6" w14:textId="77777777" w:rsidR="00C20C41" w:rsidRDefault="00C20C41">
      <w:pPr>
        <w:spacing w:after="200" w:line="360" w:lineRule="auto"/>
        <w:jc w:val="both"/>
        <w:rPr>
          <w:rFonts w:ascii="Arial" w:eastAsia="Arial" w:hAnsi="Arial" w:cs="Arial"/>
          <w:sz w:val="22"/>
          <w:szCs w:val="22"/>
        </w:rPr>
      </w:pPr>
    </w:p>
    <w:p w14:paraId="51F18E68" w14:textId="77777777" w:rsidR="00C20C41" w:rsidRDefault="00C20C41">
      <w:pPr>
        <w:spacing w:after="200" w:line="360" w:lineRule="auto"/>
        <w:jc w:val="both"/>
        <w:rPr>
          <w:rFonts w:ascii="Arial" w:eastAsia="Arial" w:hAnsi="Arial" w:cs="Arial"/>
          <w:sz w:val="22"/>
          <w:szCs w:val="22"/>
        </w:rPr>
      </w:pPr>
    </w:p>
    <w:p w14:paraId="49D0A92F" w14:textId="77777777" w:rsidR="00C20C41" w:rsidRDefault="00C20C41">
      <w:pPr>
        <w:spacing w:after="200" w:line="360" w:lineRule="auto"/>
        <w:jc w:val="both"/>
        <w:rPr>
          <w:rFonts w:ascii="Arial" w:eastAsia="Arial" w:hAnsi="Arial" w:cs="Arial"/>
          <w:sz w:val="22"/>
          <w:szCs w:val="22"/>
        </w:rPr>
      </w:pPr>
    </w:p>
    <w:p w14:paraId="011A224F" w14:textId="77777777" w:rsidR="00C20C41" w:rsidRDefault="00C20C41">
      <w:pPr>
        <w:spacing w:after="200" w:line="360" w:lineRule="auto"/>
        <w:jc w:val="both"/>
        <w:rPr>
          <w:rFonts w:ascii="Arial" w:eastAsia="Arial" w:hAnsi="Arial" w:cs="Arial"/>
          <w:sz w:val="22"/>
          <w:szCs w:val="22"/>
        </w:rPr>
      </w:pPr>
    </w:p>
    <w:p w14:paraId="1DC507C6" w14:textId="77777777" w:rsidR="00C20C41" w:rsidRDefault="00C20C41">
      <w:pPr>
        <w:spacing w:after="200" w:line="360" w:lineRule="auto"/>
        <w:jc w:val="both"/>
        <w:rPr>
          <w:rFonts w:ascii="Arial" w:eastAsia="Arial" w:hAnsi="Arial" w:cs="Arial"/>
          <w:sz w:val="22"/>
          <w:szCs w:val="22"/>
        </w:rPr>
      </w:pPr>
    </w:p>
    <w:p w14:paraId="54C88ED0" w14:textId="77777777" w:rsidR="00C20C41" w:rsidRDefault="00C20C41">
      <w:pPr>
        <w:spacing w:after="200" w:line="360" w:lineRule="auto"/>
        <w:jc w:val="both"/>
        <w:rPr>
          <w:rFonts w:ascii="Arial" w:eastAsia="Arial" w:hAnsi="Arial" w:cs="Arial"/>
          <w:sz w:val="22"/>
          <w:szCs w:val="22"/>
        </w:rPr>
      </w:pPr>
    </w:p>
    <w:p w14:paraId="16569967" w14:textId="77777777" w:rsidR="00C20C41" w:rsidRPr="001A19BD" w:rsidRDefault="00C20C41">
      <w:pPr>
        <w:spacing w:after="200" w:line="360" w:lineRule="auto"/>
        <w:jc w:val="both"/>
        <w:rPr>
          <w:rFonts w:ascii="Arial" w:eastAsia="Arial" w:hAnsi="Arial" w:cs="Arial"/>
          <w:sz w:val="22"/>
          <w:szCs w:val="22"/>
        </w:rPr>
      </w:pPr>
    </w:p>
    <w:p w14:paraId="1E62CDDA" w14:textId="0774078B" w:rsidR="00E75733" w:rsidRPr="00B84A36" w:rsidRDefault="00E049D6">
      <w:pPr>
        <w:pStyle w:val="Heading1"/>
        <w:spacing w:before="300" w:after="150" w:line="360" w:lineRule="auto"/>
        <w:rPr>
          <w:sz w:val="36"/>
          <w:szCs w:val="36"/>
        </w:rPr>
      </w:pPr>
      <w:r w:rsidRPr="00B84A36">
        <w:rPr>
          <w:rFonts w:ascii="Arial" w:eastAsia="Arial" w:hAnsi="Arial" w:cs="Arial"/>
          <w:b/>
          <w:bCs/>
          <w:color w:val="1F3864"/>
          <w:sz w:val="28"/>
          <w:szCs w:val="28"/>
        </w:rPr>
        <w:lastRenderedPageBreak/>
        <w:t>12. Plan of Work and Time Schedule (Gantt Chart)</w:t>
      </w:r>
    </w:p>
    <w:p w14:paraId="2FDC1D6D" w14:textId="1C9B4EBE" w:rsidR="00C30F79" w:rsidRDefault="00E049D6" w:rsidP="00B84A36">
      <w:pPr>
        <w:spacing w:after="200" w:line="360" w:lineRule="auto"/>
        <w:jc w:val="both"/>
        <w:rPr>
          <w:rFonts w:ascii="Arial" w:eastAsia="Arial" w:hAnsi="Arial" w:cs="Arial"/>
          <w:sz w:val="22"/>
          <w:szCs w:val="22"/>
        </w:rPr>
      </w:pPr>
      <w:r>
        <w:rPr>
          <w:rFonts w:ascii="Arial" w:eastAsia="Arial" w:hAnsi="Arial" w:cs="Arial"/>
          <w:sz w:val="22"/>
          <w:szCs w:val="22"/>
        </w:rPr>
        <w:t>The research activity is scheduled to run from 28 September 2026 to 31 January 2027, in line with the proposed dates recorded on the PG2 ethics application. The plan below outlines the sequence of activities across this period.</w:t>
      </w:r>
    </w:p>
    <w:tbl>
      <w:tblPr>
        <w:tblpPr w:leftFromText="180" w:rightFromText="180" w:vertAnchor="text" w:horzAnchor="margin" w:tblpXSpec="center" w:tblpY="621"/>
        <w:tblW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40"/>
        <w:gridCol w:w="560"/>
        <w:gridCol w:w="560"/>
        <w:gridCol w:w="560"/>
        <w:gridCol w:w="560"/>
        <w:gridCol w:w="560"/>
        <w:gridCol w:w="560"/>
        <w:gridCol w:w="561"/>
        <w:gridCol w:w="561"/>
        <w:gridCol w:w="561"/>
        <w:gridCol w:w="561"/>
        <w:gridCol w:w="561"/>
        <w:gridCol w:w="561"/>
        <w:gridCol w:w="561"/>
        <w:gridCol w:w="561"/>
        <w:gridCol w:w="561"/>
        <w:gridCol w:w="561"/>
      </w:tblGrid>
      <w:tr w:rsidR="00C20C41" w14:paraId="0824B02B" w14:textId="77777777" w:rsidTr="00725917">
        <w:trPr>
          <w:trHeight w:val="103"/>
          <w:tblHeader/>
        </w:trPr>
        <w:tc>
          <w:tcPr>
            <w:tcW w:w="1540"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7A880C37" w14:textId="77777777" w:rsidR="00C20C41" w:rsidRDefault="00C20C41" w:rsidP="00725917">
            <w:pPr>
              <w:jc w:val="center"/>
            </w:pPr>
            <w:r>
              <w:rPr>
                <w:b/>
                <w:bCs/>
                <w:color w:val="FFFFFF"/>
                <w:sz w:val="16"/>
                <w:szCs w:val="16"/>
              </w:rPr>
              <w:t>Task</w:t>
            </w:r>
          </w:p>
        </w:tc>
        <w:tc>
          <w:tcPr>
            <w:tcW w:w="560"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5049A619" w14:textId="77777777" w:rsidR="00C20C41" w:rsidRDefault="00C20C41" w:rsidP="00725917">
            <w:pPr>
              <w:jc w:val="center"/>
            </w:pPr>
            <w:r>
              <w:rPr>
                <w:b/>
                <w:bCs/>
                <w:color w:val="FFFFFF"/>
                <w:sz w:val="16"/>
                <w:szCs w:val="16"/>
              </w:rPr>
              <w:t>W1</w:t>
            </w:r>
          </w:p>
        </w:tc>
        <w:tc>
          <w:tcPr>
            <w:tcW w:w="560"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3475DA56" w14:textId="77777777" w:rsidR="00C20C41" w:rsidRDefault="00C20C41" w:rsidP="00725917">
            <w:pPr>
              <w:jc w:val="center"/>
            </w:pPr>
            <w:r>
              <w:rPr>
                <w:b/>
                <w:bCs/>
                <w:color w:val="FFFFFF"/>
                <w:sz w:val="16"/>
                <w:szCs w:val="16"/>
              </w:rPr>
              <w:t>W2</w:t>
            </w:r>
          </w:p>
        </w:tc>
        <w:tc>
          <w:tcPr>
            <w:tcW w:w="560"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2845D322" w14:textId="77777777" w:rsidR="00C20C41" w:rsidRDefault="00C20C41" w:rsidP="00725917">
            <w:pPr>
              <w:jc w:val="center"/>
            </w:pPr>
            <w:r>
              <w:rPr>
                <w:b/>
                <w:bCs/>
                <w:color w:val="FFFFFF"/>
                <w:sz w:val="16"/>
                <w:szCs w:val="16"/>
              </w:rPr>
              <w:t>W3</w:t>
            </w:r>
          </w:p>
        </w:tc>
        <w:tc>
          <w:tcPr>
            <w:tcW w:w="560"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19C19A8B" w14:textId="77777777" w:rsidR="00C20C41" w:rsidRDefault="00C20C41" w:rsidP="00725917">
            <w:pPr>
              <w:jc w:val="center"/>
            </w:pPr>
            <w:r>
              <w:rPr>
                <w:b/>
                <w:bCs/>
                <w:color w:val="FFFFFF"/>
                <w:sz w:val="16"/>
                <w:szCs w:val="16"/>
              </w:rPr>
              <w:t>W4</w:t>
            </w:r>
          </w:p>
        </w:tc>
        <w:tc>
          <w:tcPr>
            <w:tcW w:w="560"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33527C25" w14:textId="77777777" w:rsidR="00C20C41" w:rsidRDefault="00C20C41" w:rsidP="00725917">
            <w:pPr>
              <w:jc w:val="center"/>
            </w:pPr>
            <w:r>
              <w:rPr>
                <w:b/>
                <w:bCs/>
                <w:color w:val="FFFFFF"/>
                <w:sz w:val="16"/>
                <w:szCs w:val="16"/>
              </w:rPr>
              <w:t>W5</w:t>
            </w:r>
          </w:p>
        </w:tc>
        <w:tc>
          <w:tcPr>
            <w:tcW w:w="560"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7E717360" w14:textId="77777777" w:rsidR="00C20C41" w:rsidRDefault="00C20C41" w:rsidP="00725917">
            <w:pPr>
              <w:jc w:val="center"/>
            </w:pPr>
            <w:r>
              <w:rPr>
                <w:b/>
                <w:bCs/>
                <w:color w:val="FFFFFF"/>
                <w:sz w:val="16"/>
                <w:szCs w:val="16"/>
              </w:rPr>
              <w:t>W6</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61642535" w14:textId="77777777" w:rsidR="00C20C41" w:rsidRDefault="00C20C41" w:rsidP="00725917">
            <w:pPr>
              <w:jc w:val="center"/>
            </w:pPr>
            <w:r>
              <w:rPr>
                <w:b/>
                <w:bCs/>
                <w:color w:val="FFFFFF"/>
                <w:sz w:val="16"/>
                <w:szCs w:val="16"/>
              </w:rPr>
              <w:t>W7</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59F43B7E" w14:textId="77777777" w:rsidR="00C20C41" w:rsidRDefault="00C20C41" w:rsidP="00725917">
            <w:pPr>
              <w:jc w:val="center"/>
            </w:pPr>
            <w:r>
              <w:rPr>
                <w:b/>
                <w:bCs/>
                <w:color w:val="FFFFFF"/>
                <w:sz w:val="16"/>
                <w:szCs w:val="16"/>
              </w:rPr>
              <w:t>W8</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099B376E" w14:textId="77777777" w:rsidR="00C20C41" w:rsidRDefault="00C20C41" w:rsidP="00725917">
            <w:pPr>
              <w:jc w:val="center"/>
            </w:pPr>
            <w:r>
              <w:rPr>
                <w:b/>
                <w:bCs/>
                <w:color w:val="FFFFFF"/>
                <w:sz w:val="16"/>
                <w:szCs w:val="16"/>
              </w:rPr>
              <w:t>W9</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22AA2498" w14:textId="77777777" w:rsidR="00C20C41" w:rsidRDefault="00C20C41" w:rsidP="00725917">
            <w:pPr>
              <w:jc w:val="center"/>
            </w:pPr>
            <w:r>
              <w:rPr>
                <w:b/>
                <w:bCs/>
                <w:color w:val="FFFFFF"/>
                <w:sz w:val="16"/>
                <w:szCs w:val="16"/>
              </w:rPr>
              <w:t>W10</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744AA672" w14:textId="77777777" w:rsidR="00C20C41" w:rsidRDefault="00C20C41" w:rsidP="00725917">
            <w:pPr>
              <w:jc w:val="center"/>
            </w:pPr>
            <w:r>
              <w:rPr>
                <w:b/>
                <w:bCs/>
                <w:color w:val="FFFFFF"/>
                <w:sz w:val="16"/>
                <w:szCs w:val="16"/>
              </w:rPr>
              <w:t>W11</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6EE04B56" w14:textId="77777777" w:rsidR="00C20C41" w:rsidRDefault="00C20C41" w:rsidP="00725917">
            <w:pPr>
              <w:jc w:val="center"/>
            </w:pPr>
            <w:r>
              <w:rPr>
                <w:b/>
                <w:bCs/>
                <w:color w:val="FFFFFF"/>
                <w:sz w:val="16"/>
                <w:szCs w:val="16"/>
              </w:rPr>
              <w:t>W12</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2DB7200C" w14:textId="77777777" w:rsidR="00C20C41" w:rsidRDefault="00C20C41" w:rsidP="00725917">
            <w:pPr>
              <w:jc w:val="center"/>
            </w:pPr>
            <w:r>
              <w:rPr>
                <w:b/>
                <w:bCs/>
                <w:color w:val="FFFFFF"/>
                <w:sz w:val="16"/>
                <w:szCs w:val="16"/>
              </w:rPr>
              <w:t>W13</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6555454C" w14:textId="77777777" w:rsidR="00C20C41" w:rsidRDefault="00C20C41" w:rsidP="00725917">
            <w:pPr>
              <w:jc w:val="center"/>
            </w:pPr>
            <w:r>
              <w:rPr>
                <w:b/>
                <w:bCs/>
                <w:color w:val="FFFFFF"/>
                <w:sz w:val="16"/>
                <w:szCs w:val="16"/>
              </w:rPr>
              <w:t>W14</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135065C1" w14:textId="77777777" w:rsidR="00C20C41" w:rsidRDefault="00C20C41" w:rsidP="00725917">
            <w:pPr>
              <w:jc w:val="center"/>
            </w:pPr>
            <w:r>
              <w:rPr>
                <w:b/>
                <w:bCs/>
                <w:color w:val="FFFFFF"/>
                <w:sz w:val="16"/>
                <w:szCs w:val="16"/>
              </w:rPr>
              <w:t>W15</w:t>
            </w:r>
          </w:p>
        </w:tc>
        <w:tc>
          <w:tcPr>
            <w:tcW w:w="561" w:type="dxa"/>
            <w:tcBorders>
              <w:top w:val="single" w:sz="2" w:space="0" w:color="BFBFBF"/>
              <w:left w:val="single" w:sz="2" w:space="0" w:color="BFBFBF"/>
              <w:bottom w:val="single" w:sz="2" w:space="0" w:color="BFBFBF"/>
              <w:right w:val="single" w:sz="2" w:space="0" w:color="BFBFBF"/>
            </w:tcBorders>
            <w:shd w:val="clear" w:color="auto" w:fill="1F3864"/>
            <w:vAlign w:val="center"/>
          </w:tcPr>
          <w:p w14:paraId="0E5C5B3B" w14:textId="77777777" w:rsidR="00C20C41" w:rsidRDefault="00C20C41" w:rsidP="00725917">
            <w:pPr>
              <w:jc w:val="center"/>
            </w:pPr>
            <w:r>
              <w:rPr>
                <w:b/>
                <w:bCs/>
                <w:color w:val="FFFFFF"/>
                <w:sz w:val="16"/>
                <w:szCs w:val="16"/>
              </w:rPr>
              <w:t>W16</w:t>
            </w:r>
          </w:p>
        </w:tc>
      </w:tr>
      <w:tr w:rsidR="00C20C41" w14:paraId="2AA7E87A" w14:textId="77777777" w:rsidTr="00725917">
        <w:trPr>
          <w:trHeight w:val="214"/>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02870AE9" w14:textId="77777777" w:rsidR="00C20C41" w:rsidRDefault="00C20C41" w:rsidP="00725917">
            <w:r>
              <w:rPr>
                <w:sz w:val="17"/>
                <w:szCs w:val="17"/>
              </w:rPr>
              <w:t>Finalise ethics application (PG2) &amp; protocol</w:t>
            </w:r>
          </w:p>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11BA4358"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31B65160"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3A5CA884"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0FB9A53A"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0044A4E"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1FA380E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E960832"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3CC548EC"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78B48A4"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356EC3A6"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5548BB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782136D"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4300BF2"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22472A7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F34F21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D394F66" w14:textId="77777777" w:rsidR="00C20C41" w:rsidRDefault="00C20C41" w:rsidP="00725917"/>
        </w:tc>
      </w:tr>
      <w:tr w:rsidR="00C20C41" w14:paraId="313A5AD1" w14:textId="77777777" w:rsidTr="00725917">
        <w:trPr>
          <w:trHeight w:val="214"/>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068E63CB" w14:textId="77777777" w:rsidR="00C20C41" w:rsidRDefault="00C20C41" w:rsidP="00725917">
            <w:r>
              <w:rPr>
                <w:sz w:val="17"/>
                <w:szCs w:val="17"/>
              </w:rPr>
              <w:t>Ethical approval process &amp; pilot questionnaire</w:t>
            </w:r>
          </w:p>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1F972390"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043C035D"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0D59B52B"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4587F6CE"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0C1421EB"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B65E91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FAD1F4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F96D377"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83B7E2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D639D2B"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1917640"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4726A5C"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4674807"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9431114"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CF3129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241E15E3" w14:textId="77777777" w:rsidR="00C20C41" w:rsidRDefault="00C20C41" w:rsidP="00725917"/>
        </w:tc>
      </w:tr>
      <w:tr w:rsidR="00C20C41" w14:paraId="7F4CEC44" w14:textId="77777777" w:rsidTr="00725917">
        <w:trPr>
          <w:trHeight w:val="214"/>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26BAC3FE" w14:textId="77777777" w:rsidR="00C20C41" w:rsidRDefault="00C20C41" w:rsidP="00725917">
            <w:r>
              <w:rPr>
                <w:sz w:val="17"/>
                <w:szCs w:val="17"/>
              </w:rPr>
              <w:t>Refine questionnaire &amp; recruit participants</w:t>
            </w:r>
          </w:p>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5FDA65C"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4EE41560"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1F14EAAE"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007BD0C8"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29054BA5"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4B33BB41"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AA38871"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EB60E5A"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951481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3E48944B"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16DE29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F9A1FBB"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6C02C3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56D12EC"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47BB284"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87C3011" w14:textId="77777777" w:rsidR="00C20C41" w:rsidRDefault="00C20C41" w:rsidP="00725917"/>
        </w:tc>
      </w:tr>
      <w:tr w:rsidR="00C20C41" w14:paraId="40CA3D9E" w14:textId="77777777" w:rsidTr="00725917">
        <w:trPr>
          <w:trHeight w:val="214"/>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4510E2B7" w14:textId="77777777" w:rsidR="00C20C41" w:rsidRDefault="00C20C41" w:rsidP="00725917">
            <w:r>
              <w:rPr>
                <w:sz w:val="17"/>
                <w:szCs w:val="17"/>
              </w:rPr>
              <w:t>Data collection: questionnaire</w:t>
            </w:r>
          </w:p>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33D6639E"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42B875C5"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398AEA72"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2150F620"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39FEF3E1"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A9C97E"/>
          </w:tcPr>
          <w:p w14:paraId="04DED8C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7430170C"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73F11AB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039C071A"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3C931B6"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2884CE9D"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9F7190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788F484"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C19624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4DB9D46"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382D66B7" w14:textId="77777777" w:rsidR="00C20C41" w:rsidRDefault="00C20C41" w:rsidP="00725917"/>
        </w:tc>
      </w:tr>
      <w:tr w:rsidR="00C20C41" w14:paraId="3AF5A0BC" w14:textId="77777777" w:rsidTr="00725917">
        <w:trPr>
          <w:trHeight w:val="123"/>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29AAA6A6" w14:textId="77777777" w:rsidR="00C20C41" w:rsidRDefault="00C20C41" w:rsidP="00725917">
            <w:r>
              <w:rPr>
                <w:sz w:val="17"/>
                <w:szCs w:val="17"/>
              </w:rPr>
              <w:t>Data cleaning &amp; preparation</w:t>
            </w:r>
          </w:p>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12C7F664"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1C4403C4"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8513AD6"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5F4B0C44"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5D227587"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0E039A4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3B43692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24257CD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4D3434FA"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66E13CF9"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9ED1AB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826946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B191169"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BBDADA1"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6BAD414"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866CDE6" w14:textId="77777777" w:rsidR="00C20C41" w:rsidRDefault="00C20C41" w:rsidP="00725917"/>
        </w:tc>
      </w:tr>
      <w:tr w:rsidR="00C20C41" w14:paraId="48C887A4" w14:textId="77777777" w:rsidTr="00725917">
        <w:trPr>
          <w:trHeight w:val="326"/>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7C241E44" w14:textId="77777777" w:rsidR="00C20C41" w:rsidRDefault="00C20C41" w:rsidP="00725917">
            <w:r>
              <w:rPr>
                <w:sz w:val="17"/>
                <w:szCs w:val="17"/>
              </w:rPr>
              <w:t xml:space="preserve">Quantitative analysis </w:t>
            </w:r>
          </w:p>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10AA0BF8"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699E6E8"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393C4CDD"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595D9A6B"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6F9D66E"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9A438D0"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C24715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D1CA7B0"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F59F4A9"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490BDC9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671BA8CF"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2B28005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38A2D09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92924C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A74735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0794E96" w14:textId="77777777" w:rsidR="00C20C41" w:rsidRDefault="00C20C41" w:rsidP="00725917"/>
        </w:tc>
      </w:tr>
      <w:tr w:rsidR="00C20C41" w14:paraId="1754A468" w14:textId="77777777" w:rsidTr="00725917">
        <w:trPr>
          <w:trHeight w:val="214"/>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50086C6E" w14:textId="77777777" w:rsidR="00C20C41" w:rsidRDefault="00C20C41" w:rsidP="00725917">
            <w:r>
              <w:rPr>
                <w:sz w:val="17"/>
                <w:szCs w:val="17"/>
              </w:rPr>
              <w:t>Thematic analysis of open-ended responses</w:t>
            </w:r>
          </w:p>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E3492B2"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1ECB597"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20FF56AC"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EACBEDA"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44229E24"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F19A91C"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67995C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174B269"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4ED574A"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203A7000"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7CE779BA"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5735CA95"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5A99344"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5836914"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D62E1C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57C945F" w14:textId="77777777" w:rsidR="00C20C41" w:rsidRDefault="00C20C41" w:rsidP="00725917"/>
        </w:tc>
      </w:tr>
      <w:tr w:rsidR="00C20C41" w14:paraId="677CB7CE" w14:textId="77777777" w:rsidTr="00725917">
        <w:trPr>
          <w:trHeight w:val="214"/>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2533DD7C" w14:textId="77777777" w:rsidR="00C20C41" w:rsidRDefault="00C20C41" w:rsidP="00725917">
            <w:r>
              <w:rPr>
                <w:sz w:val="17"/>
                <w:szCs w:val="17"/>
              </w:rPr>
              <w:t>Integration &amp; interpretation of findings</w:t>
            </w:r>
          </w:p>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51C49E42"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EF83D5D"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14570E80"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AD405C3"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2EDEBB2"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5C77EE31"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FF9C88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2C8EF77A"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3B8D6B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65120AB0"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0030E479"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6EB9A3F6"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62D40270"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A6E6477"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78112B01"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45ABB648" w14:textId="77777777" w:rsidR="00C20C41" w:rsidRDefault="00C20C41" w:rsidP="00725917"/>
        </w:tc>
      </w:tr>
      <w:tr w:rsidR="00C20C41" w14:paraId="21F3AB47" w14:textId="77777777" w:rsidTr="00725917">
        <w:trPr>
          <w:trHeight w:val="214"/>
        </w:trPr>
        <w:tc>
          <w:tcPr>
            <w:tcW w:w="1540" w:type="dxa"/>
            <w:tcBorders>
              <w:top w:val="single" w:sz="2" w:space="0" w:color="BFBFBF"/>
              <w:left w:val="single" w:sz="2" w:space="0" w:color="BFBFBF"/>
              <w:bottom w:val="single" w:sz="2" w:space="0" w:color="BFBFBF"/>
              <w:right w:val="single" w:sz="2" w:space="0" w:color="BFBFBF"/>
            </w:tcBorders>
            <w:tcMar>
              <w:top w:w="60" w:type="dxa"/>
              <w:left w:w="80" w:type="dxa"/>
              <w:bottom w:w="60" w:type="dxa"/>
              <w:right w:w="80" w:type="dxa"/>
            </w:tcMar>
            <w:vAlign w:val="center"/>
          </w:tcPr>
          <w:p w14:paraId="36A436E6" w14:textId="77777777" w:rsidR="00C20C41" w:rsidRDefault="00C20C41" w:rsidP="00725917">
            <w:r>
              <w:rPr>
                <w:sz w:val="17"/>
                <w:szCs w:val="17"/>
              </w:rPr>
              <w:t>Write-up, review &amp; finalise dissertation</w:t>
            </w:r>
          </w:p>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54DADFF5"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BCEA201"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7129DEB2"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6E5146E0"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3F18F516" w14:textId="77777777" w:rsidR="00C20C41" w:rsidRDefault="00C20C41" w:rsidP="00725917"/>
        </w:tc>
        <w:tc>
          <w:tcPr>
            <w:tcW w:w="560" w:type="dxa"/>
            <w:tcBorders>
              <w:top w:val="single" w:sz="2" w:space="0" w:color="BFBFBF"/>
              <w:left w:val="single" w:sz="2" w:space="0" w:color="BFBFBF"/>
              <w:bottom w:val="single" w:sz="2" w:space="0" w:color="BFBFBF"/>
              <w:right w:val="single" w:sz="2" w:space="0" w:color="BFBFBF"/>
            </w:tcBorders>
            <w:shd w:val="clear" w:color="auto" w:fill="FFFFFF"/>
          </w:tcPr>
          <w:p w14:paraId="3B7F349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1A127342"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0DC66F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32680B12"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C7D817C"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55DD6AFB"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FFFFFF"/>
          </w:tcPr>
          <w:p w14:paraId="2A5DFF78"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731E61BA"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6F98132E"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3824BA3B" w14:textId="77777777" w:rsidR="00C20C41" w:rsidRDefault="00C20C41" w:rsidP="00725917"/>
        </w:tc>
        <w:tc>
          <w:tcPr>
            <w:tcW w:w="561" w:type="dxa"/>
            <w:tcBorders>
              <w:top w:val="single" w:sz="2" w:space="0" w:color="BFBFBF"/>
              <w:left w:val="single" w:sz="2" w:space="0" w:color="BFBFBF"/>
              <w:bottom w:val="single" w:sz="2" w:space="0" w:color="BFBFBF"/>
              <w:right w:val="single" w:sz="2" w:space="0" w:color="BFBFBF"/>
            </w:tcBorders>
            <w:shd w:val="clear" w:color="auto" w:fill="A9C97E"/>
          </w:tcPr>
          <w:p w14:paraId="74094046" w14:textId="77777777" w:rsidR="00C20C41" w:rsidRDefault="00C20C41" w:rsidP="00725917"/>
        </w:tc>
      </w:tr>
    </w:tbl>
    <w:p w14:paraId="0820FBE8" w14:textId="77777777" w:rsidR="00C20C41" w:rsidRDefault="00C20C41">
      <w:pPr>
        <w:pStyle w:val="Heading1"/>
        <w:spacing w:before="300" w:after="150" w:line="360" w:lineRule="auto"/>
        <w:rPr>
          <w:rFonts w:ascii="Arial" w:eastAsia="Arial" w:hAnsi="Arial" w:cs="Arial"/>
          <w:b/>
          <w:bCs/>
          <w:color w:val="1F3864"/>
          <w:sz w:val="28"/>
          <w:szCs w:val="28"/>
        </w:rPr>
      </w:pPr>
    </w:p>
    <w:p w14:paraId="0512CB80" w14:textId="77777777" w:rsidR="00C20C41" w:rsidRDefault="00C20C41">
      <w:pPr>
        <w:pStyle w:val="Heading1"/>
        <w:spacing w:before="300" w:after="150" w:line="360" w:lineRule="auto"/>
        <w:rPr>
          <w:rFonts w:ascii="Arial" w:eastAsia="Arial" w:hAnsi="Arial" w:cs="Arial"/>
          <w:b/>
          <w:bCs/>
          <w:color w:val="1F3864"/>
          <w:sz w:val="28"/>
          <w:szCs w:val="28"/>
        </w:rPr>
      </w:pPr>
    </w:p>
    <w:p w14:paraId="02126564" w14:textId="77777777" w:rsidR="00C20C41" w:rsidRDefault="00C20C41">
      <w:pPr>
        <w:pStyle w:val="Heading1"/>
        <w:spacing w:before="300" w:after="150" w:line="360" w:lineRule="auto"/>
        <w:rPr>
          <w:rFonts w:ascii="Arial" w:eastAsia="Arial" w:hAnsi="Arial" w:cs="Arial"/>
          <w:b/>
          <w:bCs/>
          <w:color w:val="1F3864"/>
          <w:sz w:val="28"/>
          <w:szCs w:val="28"/>
        </w:rPr>
      </w:pPr>
    </w:p>
    <w:p w14:paraId="2292355B" w14:textId="77777777" w:rsidR="00C20C41" w:rsidRDefault="00C20C41">
      <w:pPr>
        <w:pStyle w:val="Heading1"/>
        <w:spacing w:before="300" w:after="150" w:line="360" w:lineRule="auto"/>
        <w:rPr>
          <w:rFonts w:ascii="Arial" w:eastAsia="Arial" w:hAnsi="Arial" w:cs="Arial"/>
          <w:b/>
          <w:bCs/>
          <w:color w:val="1F3864"/>
          <w:sz w:val="28"/>
          <w:szCs w:val="28"/>
        </w:rPr>
      </w:pPr>
    </w:p>
    <w:p w14:paraId="7D8E5280" w14:textId="77777777" w:rsidR="00C20C41" w:rsidRDefault="00C20C41">
      <w:pPr>
        <w:pStyle w:val="Heading1"/>
        <w:spacing w:before="300" w:after="150" w:line="360" w:lineRule="auto"/>
        <w:rPr>
          <w:rFonts w:ascii="Arial" w:eastAsia="Arial" w:hAnsi="Arial" w:cs="Arial"/>
          <w:b/>
          <w:bCs/>
          <w:color w:val="1F3864"/>
          <w:sz w:val="28"/>
          <w:szCs w:val="28"/>
        </w:rPr>
      </w:pPr>
    </w:p>
    <w:p w14:paraId="0E5FEC52" w14:textId="77777777" w:rsidR="00C20C41" w:rsidRDefault="00C20C41">
      <w:pPr>
        <w:pStyle w:val="Heading1"/>
        <w:spacing w:before="300" w:after="150" w:line="360" w:lineRule="auto"/>
        <w:rPr>
          <w:rFonts w:ascii="Arial" w:eastAsia="Arial" w:hAnsi="Arial" w:cs="Arial"/>
          <w:b/>
          <w:bCs/>
          <w:color w:val="1F3864"/>
          <w:sz w:val="28"/>
          <w:szCs w:val="28"/>
        </w:rPr>
      </w:pPr>
    </w:p>
    <w:p w14:paraId="2473CD29" w14:textId="77777777" w:rsidR="00C20C41" w:rsidRDefault="00C20C41">
      <w:pPr>
        <w:pStyle w:val="Heading1"/>
        <w:spacing w:before="300" w:after="150" w:line="360" w:lineRule="auto"/>
        <w:rPr>
          <w:rFonts w:ascii="Arial" w:eastAsia="Arial" w:hAnsi="Arial" w:cs="Arial"/>
          <w:b/>
          <w:bCs/>
          <w:color w:val="1F3864"/>
          <w:sz w:val="28"/>
          <w:szCs w:val="28"/>
        </w:rPr>
      </w:pPr>
    </w:p>
    <w:p w14:paraId="0DC4BCCA" w14:textId="6B973FB4" w:rsidR="00E75733" w:rsidRPr="00B84A36" w:rsidRDefault="00E049D6">
      <w:pPr>
        <w:pStyle w:val="Heading1"/>
        <w:spacing w:before="300" w:after="150" w:line="360" w:lineRule="auto"/>
        <w:rPr>
          <w:sz w:val="36"/>
          <w:szCs w:val="36"/>
        </w:rPr>
      </w:pPr>
      <w:r w:rsidRPr="00B84A36">
        <w:rPr>
          <w:rFonts w:ascii="Arial" w:eastAsia="Arial" w:hAnsi="Arial" w:cs="Arial"/>
          <w:b/>
          <w:bCs/>
          <w:color w:val="1F3864"/>
          <w:sz w:val="28"/>
          <w:szCs w:val="28"/>
        </w:rPr>
        <w:lastRenderedPageBreak/>
        <w:t>13. Reference List</w:t>
      </w:r>
    </w:p>
    <w:p w14:paraId="2B53A7A9"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Andersen, R.M. (1995). Revisiting the </w:t>
      </w:r>
      <w:proofErr w:type="spellStart"/>
      <w:r w:rsidRPr="00B84A36">
        <w:rPr>
          <w:rFonts w:ascii="Arial" w:hAnsi="Arial" w:cs="Arial"/>
          <w:sz w:val="22"/>
          <w:szCs w:val="22"/>
        </w:rPr>
        <w:t>behavioral</w:t>
      </w:r>
      <w:proofErr w:type="spellEnd"/>
      <w:r w:rsidRPr="00B84A36">
        <w:rPr>
          <w:rFonts w:ascii="Arial" w:hAnsi="Arial" w:cs="Arial"/>
          <w:sz w:val="22"/>
          <w:szCs w:val="22"/>
        </w:rPr>
        <w:t xml:space="preserve"> model and access to medical care: Does it matter? Journal of Health and Social </w:t>
      </w:r>
      <w:proofErr w:type="spellStart"/>
      <w:r w:rsidRPr="00B84A36">
        <w:rPr>
          <w:rFonts w:ascii="Arial" w:hAnsi="Arial" w:cs="Arial"/>
          <w:sz w:val="22"/>
          <w:szCs w:val="22"/>
        </w:rPr>
        <w:t>Behavior</w:t>
      </w:r>
      <w:proofErr w:type="spellEnd"/>
      <w:r w:rsidRPr="00B84A36">
        <w:rPr>
          <w:rFonts w:ascii="Arial" w:hAnsi="Arial" w:cs="Arial"/>
          <w:sz w:val="22"/>
          <w:szCs w:val="22"/>
        </w:rPr>
        <w:t>, 36(1), pp.1–10. doi:10.2307/2137284.</w:t>
      </w:r>
    </w:p>
    <w:p w14:paraId="4353BED5"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BERA (2018). Ethical guidelines for educational research, fourth edition (2018). [online] Bera.ac.uk. British Educational Research Association. Available at: https://www.bera.ac.uk/publication/ethical-guidelines-for-educational-research-2018 [Accessed 18 Aug. 2026].</w:t>
      </w:r>
    </w:p>
    <w:p w14:paraId="7ECCD34F"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Bolton, P., Lewis, J. and Gower, M. (2025). International students in UK higher education. commonslibrary.parliament.uk. [online] Available at: https://commonslibrary.parliament.uk/research-briefings/cbp-7976/ [Accessed 18 Aug. 2026].</w:t>
      </w:r>
    </w:p>
    <w:p w14:paraId="12D3670D"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Bowling, A. (2014). Research methods in </w:t>
      </w:r>
      <w:proofErr w:type="gramStart"/>
      <w:r w:rsidRPr="00B84A36">
        <w:rPr>
          <w:rFonts w:ascii="Arial" w:hAnsi="Arial" w:cs="Arial"/>
          <w:sz w:val="22"/>
          <w:szCs w:val="22"/>
        </w:rPr>
        <w:t>health :</w:t>
      </w:r>
      <w:proofErr w:type="gramEnd"/>
      <w:r w:rsidRPr="00B84A36">
        <w:rPr>
          <w:rFonts w:ascii="Arial" w:hAnsi="Arial" w:cs="Arial"/>
          <w:sz w:val="22"/>
          <w:szCs w:val="22"/>
        </w:rPr>
        <w:t xml:space="preserve"> Investigating Health and Health Services. 5th </w:t>
      </w:r>
      <w:proofErr w:type="spellStart"/>
      <w:r w:rsidRPr="00B84A36">
        <w:rPr>
          <w:rFonts w:ascii="Arial" w:hAnsi="Arial" w:cs="Arial"/>
          <w:sz w:val="22"/>
          <w:szCs w:val="22"/>
        </w:rPr>
        <w:t>edn</w:t>
      </w:r>
      <w:proofErr w:type="spellEnd"/>
      <w:r w:rsidRPr="00B84A36">
        <w:rPr>
          <w:rFonts w:ascii="Arial" w:hAnsi="Arial" w:cs="Arial"/>
          <w:sz w:val="22"/>
          <w:szCs w:val="22"/>
        </w:rPr>
        <w:t xml:space="preserve">. New York, N.Y.: </w:t>
      </w:r>
      <w:proofErr w:type="spellStart"/>
      <w:r w:rsidRPr="00B84A36">
        <w:rPr>
          <w:rFonts w:ascii="Arial" w:hAnsi="Arial" w:cs="Arial"/>
          <w:sz w:val="22"/>
          <w:szCs w:val="22"/>
        </w:rPr>
        <w:t>Mcgraw-Hill</w:t>
      </w:r>
      <w:proofErr w:type="spellEnd"/>
      <w:r w:rsidRPr="00B84A36">
        <w:rPr>
          <w:rFonts w:ascii="Arial" w:hAnsi="Arial" w:cs="Arial"/>
          <w:sz w:val="22"/>
          <w:szCs w:val="22"/>
        </w:rPr>
        <w:t xml:space="preserve"> Education.</w:t>
      </w:r>
    </w:p>
    <w:p w14:paraId="5325202F"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Braun, V. and Clarke, V. (2006). Using thematic analysis in psychology. Qualitative Research in Psychology, 3(2), pp.77–101. doi:10.1191/1478088706qp063oa.</w:t>
      </w:r>
    </w:p>
    <w:p w14:paraId="52508955"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Bryman, A. (2016). Social Research Methods. 5th </w:t>
      </w:r>
      <w:proofErr w:type="spellStart"/>
      <w:r w:rsidRPr="00B84A36">
        <w:rPr>
          <w:rFonts w:ascii="Arial" w:hAnsi="Arial" w:cs="Arial"/>
          <w:sz w:val="22"/>
          <w:szCs w:val="22"/>
        </w:rPr>
        <w:t>edn</w:t>
      </w:r>
      <w:proofErr w:type="spellEnd"/>
      <w:r w:rsidRPr="00B84A36">
        <w:rPr>
          <w:rFonts w:ascii="Arial" w:hAnsi="Arial" w:cs="Arial"/>
          <w:sz w:val="22"/>
          <w:szCs w:val="22"/>
        </w:rPr>
        <w:t>. [online] Oxford: Oxford University Press. Available at: https://ktpu.kpi.ua/wp-content/uploads/2014/02/social-research-methods-alan-bryman.pdf [Accessed 18 Aug. 2026].</w:t>
      </w:r>
    </w:p>
    <w:p w14:paraId="76B16F0C"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Ciftci, Y. and Blane, D.N. (2022). Improving GP registration and access for migrant health. British Journal of General Practice, [online] 72(715), pp.56–57. doi:10.3399/bjgp22X718301.</w:t>
      </w:r>
    </w:p>
    <w:p w14:paraId="0FFE1227"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Cogan, N.A., Liu, X., Chau, Y.C.- Van, Kelly, S.W., Anderson, T., Flynn, C., Scott, L., A. </w:t>
      </w:r>
      <w:proofErr w:type="spellStart"/>
      <w:r w:rsidRPr="00B84A36">
        <w:rPr>
          <w:rFonts w:ascii="Arial" w:hAnsi="Arial" w:cs="Arial"/>
          <w:sz w:val="22"/>
          <w:szCs w:val="22"/>
        </w:rPr>
        <w:t>Zaglis</w:t>
      </w:r>
      <w:proofErr w:type="spellEnd"/>
      <w:r w:rsidRPr="00B84A36">
        <w:rPr>
          <w:rFonts w:ascii="Arial" w:hAnsi="Arial" w:cs="Arial"/>
          <w:sz w:val="22"/>
          <w:szCs w:val="22"/>
        </w:rPr>
        <w:t xml:space="preserve"> and Corrigan, P. (2023). The taboo of mental health problems, stigma and fear of disclosure among Asian international students: Implications for help-seeking, guidance and support. British Journal of Guidance &amp; Counselling, 52(4), pp.1–19. doi:10.1080/03069885.2023.2214307.</w:t>
      </w:r>
    </w:p>
    <w:p w14:paraId="210B2023"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Creswell, J.W. and Creswell, J.D. (2018). Research design: Qualitative, quantitative, and mixed methods </w:t>
      </w:r>
      <w:proofErr w:type="gramStart"/>
      <w:r w:rsidRPr="00B84A36">
        <w:rPr>
          <w:rFonts w:ascii="Arial" w:hAnsi="Arial" w:cs="Arial"/>
          <w:sz w:val="22"/>
          <w:szCs w:val="22"/>
        </w:rPr>
        <w:t>approaches</w:t>
      </w:r>
      <w:proofErr w:type="gramEnd"/>
      <w:r w:rsidRPr="00B84A36">
        <w:rPr>
          <w:rFonts w:ascii="Arial" w:hAnsi="Arial" w:cs="Arial"/>
          <w:sz w:val="22"/>
          <w:szCs w:val="22"/>
        </w:rPr>
        <w:t xml:space="preserve">. 5th </w:t>
      </w:r>
      <w:proofErr w:type="spellStart"/>
      <w:r w:rsidRPr="00B84A36">
        <w:rPr>
          <w:rFonts w:ascii="Arial" w:hAnsi="Arial" w:cs="Arial"/>
          <w:sz w:val="22"/>
          <w:szCs w:val="22"/>
        </w:rPr>
        <w:t>edn</w:t>
      </w:r>
      <w:proofErr w:type="spellEnd"/>
      <w:r w:rsidRPr="00B84A36">
        <w:rPr>
          <w:rFonts w:ascii="Arial" w:hAnsi="Arial" w:cs="Arial"/>
          <w:sz w:val="22"/>
          <w:szCs w:val="22"/>
        </w:rPr>
        <w:t>. Thousand Oaks, California: SAGE Publications.</w:t>
      </w:r>
    </w:p>
    <w:p w14:paraId="42DC9A82"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Doctors of the world (2020). Doctors of the world. [online] Doctors of the World. Available at: https://www.doctorsoftheworld.org.uk/?s=Closing+the+Gaps+in+Healthcare+Access%3A+The+United+Kingdom. [Accessed 18 Aug. 2026].</w:t>
      </w:r>
    </w:p>
    <w:p w14:paraId="2420451F" w14:textId="77777777" w:rsidR="00B84A36" w:rsidRPr="00B84A36" w:rsidRDefault="00B84A36" w:rsidP="00B84A36">
      <w:pPr>
        <w:spacing w:after="160"/>
        <w:ind w:left="720" w:hanging="720"/>
        <w:rPr>
          <w:rFonts w:ascii="Arial" w:hAnsi="Arial" w:cs="Arial"/>
          <w:sz w:val="22"/>
          <w:szCs w:val="22"/>
        </w:rPr>
      </w:pPr>
      <w:proofErr w:type="spellStart"/>
      <w:r w:rsidRPr="00B84A36">
        <w:rPr>
          <w:rFonts w:ascii="Arial" w:hAnsi="Arial" w:cs="Arial"/>
          <w:sz w:val="22"/>
          <w:szCs w:val="22"/>
        </w:rPr>
        <w:t>Etikan</w:t>
      </w:r>
      <w:proofErr w:type="spellEnd"/>
      <w:r w:rsidRPr="00B84A36">
        <w:rPr>
          <w:rFonts w:ascii="Arial" w:hAnsi="Arial" w:cs="Arial"/>
          <w:sz w:val="22"/>
          <w:szCs w:val="22"/>
        </w:rPr>
        <w:t xml:space="preserve">, I., Musa, S.A. and Alkassim, R.S. (2016). Comparison of convenience sampling and purposive sampling. American Journal of Theoretical and Applied Statistics, 5(1), pp.1–4. </w:t>
      </w:r>
      <w:proofErr w:type="gramStart"/>
      <w:r w:rsidRPr="00B84A36">
        <w:rPr>
          <w:rFonts w:ascii="Arial" w:hAnsi="Arial" w:cs="Arial"/>
          <w:sz w:val="22"/>
          <w:szCs w:val="22"/>
        </w:rPr>
        <w:t>doi:10.11648/j.ajtas</w:t>
      </w:r>
      <w:proofErr w:type="gramEnd"/>
      <w:r w:rsidRPr="00B84A36">
        <w:rPr>
          <w:rFonts w:ascii="Arial" w:hAnsi="Arial" w:cs="Arial"/>
          <w:sz w:val="22"/>
          <w:szCs w:val="22"/>
        </w:rPr>
        <w:t>.20160501.11.</w:t>
      </w:r>
    </w:p>
    <w:p w14:paraId="05086C37"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Field, A. (2018). Discovering statistics using IBM SPSS statistics. 5th </w:t>
      </w:r>
      <w:proofErr w:type="spellStart"/>
      <w:r w:rsidRPr="00B84A36">
        <w:rPr>
          <w:rFonts w:ascii="Arial" w:hAnsi="Arial" w:cs="Arial"/>
          <w:sz w:val="22"/>
          <w:szCs w:val="22"/>
        </w:rPr>
        <w:t>edn</w:t>
      </w:r>
      <w:proofErr w:type="spellEnd"/>
      <w:r w:rsidRPr="00B84A36">
        <w:rPr>
          <w:rFonts w:ascii="Arial" w:hAnsi="Arial" w:cs="Arial"/>
          <w:sz w:val="22"/>
          <w:szCs w:val="22"/>
        </w:rPr>
        <w:t>. Sage Publications.</w:t>
      </w:r>
    </w:p>
    <w:p w14:paraId="2F2C2511"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Government Digital Service (2015). Pay for UK healthcare as part of your immigration application. [online] GOV.UK. Available at: https://www.gov.uk/healthcare-immigration-application [Accessed 18 Aug. 2026].</w:t>
      </w:r>
    </w:p>
    <w:p w14:paraId="4B96C1A9"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GOV.UK (2018). Data protection act 2018. [online] legislation.gov.uk. Available at: https://www.legislation.gov.uk/ukpga/2018/12/contents [Accessed 18 Aug. 2026].</w:t>
      </w:r>
    </w:p>
    <w:p w14:paraId="71904AFB"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lastRenderedPageBreak/>
        <w:t>HESA (2025). Higher Education Student Statistics: UK, 2023/24. [online] Hesa.ac.uk. Available at: https://www.hesa.ac.uk/news/20-03-2025/sb271-higher-education-student-statistics [Accessed 17 Aug. 2026].</w:t>
      </w:r>
    </w:p>
    <w:p w14:paraId="4799702D"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ICO (2023). UK GDPR guidance and resources. [online] ico.org.uk. Available at: https://ico.org.uk/for-organisations/uk-gdpr-guidance-and-resources/ [Accessed 18 Aug. 2026].</w:t>
      </w:r>
    </w:p>
    <w:p w14:paraId="647144E3"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Kang, C., </w:t>
      </w:r>
      <w:proofErr w:type="spellStart"/>
      <w:r w:rsidRPr="00B84A36">
        <w:rPr>
          <w:rFonts w:ascii="Arial" w:hAnsi="Arial" w:cs="Arial"/>
          <w:sz w:val="22"/>
          <w:szCs w:val="22"/>
        </w:rPr>
        <w:t>Tomkow</w:t>
      </w:r>
      <w:proofErr w:type="spellEnd"/>
      <w:r w:rsidRPr="00B84A36">
        <w:rPr>
          <w:rFonts w:ascii="Arial" w:hAnsi="Arial" w:cs="Arial"/>
          <w:sz w:val="22"/>
          <w:szCs w:val="22"/>
        </w:rPr>
        <w:t xml:space="preserve">, L. and Farrington, R. (2019). Access to primary health care for asylum seekers and refugees: A qualitative study of service user experiences in the UK. British Journal of General Practice, [online] 69(685), </w:t>
      </w:r>
      <w:proofErr w:type="gramStart"/>
      <w:r w:rsidRPr="00B84A36">
        <w:rPr>
          <w:rFonts w:ascii="Arial" w:hAnsi="Arial" w:cs="Arial"/>
          <w:sz w:val="22"/>
          <w:szCs w:val="22"/>
        </w:rPr>
        <w:t>pp.e</w:t>
      </w:r>
      <w:proofErr w:type="gramEnd"/>
      <w:r w:rsidRPr="00B84A36">
        <w:rPr>
          <w:rFonts w:ascii="Arial" w:hAnsi="Arial" w:cs="Arial"/>
          <w:sz w:val="22"/>
          <w:szCs w:val="22"/>
        </w:rPr>
        <w:t>537-e545. Available at: https://bjgp.org/content/69/685/e537 [Accessed 18 Aug. 2026].</w:t>
      </w:r>
    </w:p>
    <w:p w14:paraId="686CB0CC" w14:textId="77777777" w:rsidR="00B84A36" w:rsidRPr="00B84A36" w:rsidRDefault="00B84A36" w:rsidP="00B84A36">
      <w:pPr>
        <w:spacing w:after="160"/>
        <w:ind w:left="720" w:hanging="720"/>
        <w:rPr>
          <w:rFonts w:ascii="Arial" w:hAnsi="Arial" w:cs="Arial"/>
          <w:sz w:val="22"/>
          <w:szCs w:val="22"/>
        </w:rPr>
      </w:pPr>
      <w:proofErr w:type="spellStart"/>
      <w:r w:rsidRPr="00B84A36">
        <w:rPr>
          <w:rFonts w:ascii="Arial" w:hAnsi="Arial" w:cs="Arial"/>
          <w:sz w:val="22"/>
          <w:szCs w:val="22"/>
        </w:rPr>
        <w:t>Kolinska</w:t>
      </w:r>
      <w:proofErr w:type="spellEnd"/>
      <w:r w:rsidRPr="00B84A36">
        <w:rPr>
          <w:rFonts w:ascii="Arial" w:hAnsi="Arial" w:cs="Arial"/>
          <w:sz w:val="22"/>
          <w:szCs w:val="22"/>
        </w:rPr>
        <w:t xml:space="preserve">, U., Piers, R. and </w:t>
      </w:r>
      <w:proofErr w:type="spellStart"/>
      <w:r w:rsidRPr="00B84A36">
        <w:rPr>
          <w:rFonts w:ascii="Arial" w:hAnsi="Arial" w:cs="Arial"/>
          <w:sz w:val="22"/>
          <w:szCs w:val="22"/>
        </w:rPr>
        <w:t>Karadzhov</w:t>
      </w:r>
      <w:proofErr w:type="spellEnd"/>
      <w:r w:rsidRPr="00B84A36">
        <w:rPr>
          <w:rFonts w:ascii="Arial" w:hAnsi="Arial" w:cs="Arial"/>
          <w:sz w:val="22"/>
          <w:szCs w:val="22"/>
        </w:rPr>
        <w:t xml:space="preserve">, D. (2025). </w:t>
      </w:r>
      <w:proofErr w:type="gramStart"/>
      <w:r w:rsidRPr="00B84A36">
        <w:rPr>
          <w:rFonts w:ascii="Arial" w:hAnsi="Arial" w:cs="Arial"/>
          <w:sz w:val="22"/>
          <w:szCs w:val="22"/>
        </w:rPr>
        <w:t>“ you</w:t>
      </w:r>
      <w:proofErr w:type="gramEnd"/>
      <w:r w:rsidRPr="00B84A36">
        <w:rPr>
          <w:rFonts w:ascii="Arial" w:hAnsi="Arial" w:cs="Arial"/>
          <w:sz w:val="22"/>
          <w:szCs w:val="22"/>
        </w:rPr>
        <w:t xml:space="preserve"> feel hopeless when you can’t access </w:t>
      </w:r>
      <w:proofErr w:type="gramStart"/>
      <w:r w:rsidRPr="00B84A36">
        <w:rPr>
          <w:rFonts w:ascii="Arial" w:hAnsi="Arial" w:cs="Arial"/>
          <w:sz w:val="22"/>
          <w:szCs w:val="22"/>
        </w:rPr>
        <w:t>healthcare ”</w:t>
      </w:r>
      <w:proofErr w:type="gramEnd"/>
      <w:r w:rsidRPr="00B84A36">
        <w:rPr>
          <w:rFonts w:ascii="Arial" w:hAnsi="Arial" w:cs="Arial"/>
          <w:sz w:val="22"/>
          <w:szCs w:val="22"/>
        </w:rPr>
        <w:t>: International students’ experiences of mental health help-seeking through primary healthcare services in Scotland. International Journal of Qualitative Studies on Health and Well-being, 20(1). doi:10.1080/17482631.2025.2572518.</w:t>
      </w:r>
    </w:p>
    <w:p w14:paraId="2CC77760"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Likert, R. (1932). A technique for the measurement of attitudes. [online] Google Books. Archives of Psychology. Available at: https://books.google.co.uk/books/about/A_Technique_for_the_Measurement_of_Attit.html?id=9rotAAAAYAAJ&amp;redir_esc=y [Accessed 18 Aug. 2026].</w:t>
      </w:r>
    </w:p>
    <w:p w14:paraId="7B3B5B9D"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Marmot, M. (2010). Fair Society healthy lives (the marmot review). [online] Institute of Health Equity. Available at: https://www.instituteofhealthequity.org/resources-reports/fair-society-healthy-lives-the-marmot-review [Accessed 18 Aug. 2026].</w:t>
      </w:r>
    </w:p>
    <w:p w14:paraId="2F3689A7"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Migration Statistics team (2026). Reason for international migration, international students update. [online] Ons.gov.uk. Available at: https://www.ons.gov.uk/peoplepopulationandcommunity/populationandmigration/internationalmigration/articles/reasonforinternationalmigrationinternationalstudentsupdate/february2026#important-information-about-student-migration-data [Accessed 18 Aug. 2026].</w:t>
      </w:r>
    </w:p>
    <w:p w14:paraId="5A4B89A2"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NHS England (2019). NHS long term plan. [online] NHS. Available at: https://www.england.nhs.uk/long-term-plan/ [Accessed 18 Aug. 2026].</w:t>
      </w:r>
    </w:p>
    <w:p w14:paraId="1EEBEE03"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Rosenstock, I.M. (1974). Historical origins of the health belief model. Health Education Monographs, 2(4), pp.328–335. doi:10.1177/109019817400200403.</w:t>
      </w:r>
    </w:p>
    <w:p w14:paraId="5C169A9E"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Saunders, M., Lewis, P. and Thornhill, A. (2019). Research methods for business students. 8th </w:t>
      </w:r>
      <w:proofErr w:type="spellStart"/>
      <w:r w:rsidRPr="00B84A36">
        <w:rPr>
          <w:rFonts w:ascii="Arial" w:hAnsi="Arial" w:cs="Arial"/>
          <w:sz w:val="22"/>
          <w:szCs w:val="22"/>
        </w:rPr>
        <w:t>edn</w:t>
      </w:r>
      <w:proofErr w:type="spellEnd"/>
      <w:r w:rsidRPr="00B84A36">
        <w:rPr>
          <w:rFonts w:ascii="Arial" w:hAnsi="Arial" w:cs="Arial"/>
          <w:sz w:val="22"/>
          <w:szCs w:val="22"/>
        </w:rPr>
        <w:t xml:space="preserve">. United </w:t>
      </w:r>
      <w:proofErr w:type="gramStart"/>
      <w:r w:rsidRPr="00B84A36">
        <w:rPr>
          <w:rFonts w:ascii="Arial" w:hAnsi="Arial" w:cs="Arial"/>
          <w:sz w:val="22"/>
          <w:szCs w:val="22"/>
        </w:rPr>
        <w:t>Kingdom :</w:t>
      </w:r>
      <w:proofErr w:type="gramEnd"/>
      <w:r w:rsidRPr="00B84A36">
        <w:rPr>
          <w:rFonts w:ascii="Arial" w:hAnsi="Arial" w:cs="Arial"/>
          <w:sz w:val="22"/>
          <w:szCs w:val="22"/>
        </w:rPr>
        <w:t xml:space="preserve"> Pearson.</w:t>
      </w:r>
    </w:p>
    <w:p w14:paraId="6A367BB5"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Setia, M.S. (2016). Methodology series module 3: Cross-sectional studies. Indian Journal of Dermatology, 61(3), pp.261–264. doi:10.4103/0019-5154.182410.</w:t>
      </w:r>
    </w:p>
    <w:p w14:paraId="4734C690"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Stagg, H.R., Jones, J., Bickler, G. and Abubakar, I. (2012). Poor uptake of primary healthcare registration among recent entrants to the UK: A retrospective cohort study. BMJ Open, [online] 2(4), p.e001453. doi:10.1136/bmjopen-2012-001453.</w:t>
      </w:r>
    </w:p>
    <w:p w14:paraId="4EB26D29" w14:textId="77777777" w:rsidR="00B84A36" w:rsidRPr="00B84A36" w:rsidRDefault="00B84A36" w:rsidP="00B84A36">
      <w:pPr>
        <w:spacing w:after="160"/>
        <w:ind w:left="720" w:hanging="720"/>
        <w:rPr>
          <w:rFonts w:ascii="Arial" w:hAnsi="Arial" w:cs="Arial"/>
          <w:sz w:val="22"/>
          <w:szCs w:val="22"/>
        </w:rPr>
      </w:pPr>
      <w:proofErr w:type="spellStart"/>
      <w:r w:rsidRPr="00B84A36">
        <w:rPr>
          <w:rFonts w:ascii="Arial" w:hAnsi="Arial" w:cs="Arial"/>
          <w:sz w:val="22"/>
          <w:szCs w:val="22"/>
        </w:rPr>
        <w:t>Tavakol</w:t>
      </w:r>
      <w:proofErr w:type="spellEnd"/>
      <w:r w:rsidRPr="00B84A36">
        <w:rPr>
          <w:rFonts w:ascii="Arial" w:hAnsi="Arial" w:cs="Arial"/>
          <w:sz w:val="22"/>
          <w:szCs w:val="22"/>
        </w:rPr>
        <w:t xml:space="preserve">, M. and Dennick, R. (2011). Making sense of Cronbach’s alpha. International Journal of Medical Education, 2(2), pp.53–55. </w:t>
      </w:r>
      <w:proofErr w:type="gramStart"/>
      <w:r w:rsidRPr="00B84A36">
        <w:rPr>
          <w:rFonts w:ascii="Arial" w:hAnsi="Arial" w:cs="Arial"/>
          <w:sz w:val="22"/>
          <w:szCs w:val="22"/>
        </w:rPr>
        <w:t>doi:10.5116/ijme.4dfb.8dfd</w:t>
      </w:r>
      <w:proofErr w:type="gramEnd"/>
      <w:r w:rsidRPr="00B84A36">
        <w:rPr>
          <w:rFonts w:ascii="Arial" w:hAnsi="Arial" w:cs="Arial"/>
          <w:sz w:val="22"/>
          <w:szCs w:val="22"/>
        </w:rPr>
        <w:t>.</w:t>
      </w:r>
    </w:p>
    <w:p w14:paraId="2E12987C"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UKCISA (2024). Insights. [online] Ukcisa.org.uk. Available at: https://www.ukcisa.org.uk/our-work/insights/ [Accessed 17 Aug. 2026].</w:t>
      </w:r>
    </w:p>
    <w:p w14:paraId="1A7097AE"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UWTSD (2022). Research Integrity and Ethics. [online] The University of Wales Trinity Saint David. Available at: https://www.uwtsd.ac.uk/research/research-integrity-and-ethics [Accessed 18 Aug. 2026].</w:t>
      </w:r>
    </w:p>
    <w:p w14:paraId="6C779E63"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lastRenderedPageBreak/>
        <w:t>World Medical Association (2013). World medical association declaration of Helsinki: Ethical principles for medical research involving human subjects. JAMA, [online] 310(20), pp.2191–2194. doi:10.1001/jama.2013.281053.</w:t>
      </w:r>
    </w:p>
    <w:p w14:paraId="4404344D" w14:textId="77777777" w:rsidR="00B84A36" w:rsidRPr="00B84A36" w:rsidRDefault="00B84A36" w:rsidP="00B84A36">
      <w:pPr>
        <w:spacing w:after="160"/>
        <w:ind w:left="720" w:hanging="720"/>
        <w:rPr>
          <w:rFonts w:ascii="Arial" w:hAnsi="Arial" w:cs="Arial"/>
          <w:sz w:val="22"/>
          <w:szCs w:val="22"/>
        </w:rPr>
      </w:pPr>
      <w:r w:rsidRPr="00B84A36">
        <w:rPr>
          <w:rFonts w:ascii="Arial" w:hAnsi="Arial" w:cs="Arial"/>
          <w:sz w:val="22"/>
          <w:szCs w:val="22"/>
        </w:rPr>
        <w:t xml:space="preserve">Xie, Y., Kayode Philip Fadahunsi, Flynn, P., Taylor-Robinson, S., Gallagher, J., Cullen, W. and O’Donoghue, J. (2024). Barriers and facilitators of International Healthcare students’ well-being in higher education: Protocol for a systematic integrative review (preprint). JMIR Research Protocols, [online] 13, </w:t>
      </w:r>
      <w:proofErr w:type="gramStart"/>
      <w:r w:rsidRPr="00B84A36">
        <w:rPr>
          <w:rFonts w:ascii="Arial" w:hAnsi="Arial" w:cs="Arial"/>
          <w:sz w:val="22"/>
          <w:szCs w:val="22"/>
        </w:rPr>
        <w:t>pp.e</w:t>
      </w:r>
      <w:proofErr w:type="gramEnd"/>
      <w:r w:rsidRPr="00B84A36">
        <w:rPr>
          <w:rFonts w:ascii="Arial" w:hAnsi="Arial" w:cs="Arial"/>
          <w:sz w:val="22"/>
          <w:szCs w:val="22"/>
        </w:rPr>
        <w:t>59927-e59927. doi:10.2196/59927.</w:t>
      </w:r>
    </w:p>
    <w:p w14:paraId="5BA6D679" w14:textId="3C3B4095" w:rsidR="00E75733" w:rsidRPr="00B84A36" w:rsidRDefault="00E75733">
      <w:pPr>
        <w:spacing w:after="160"/>
        <w:ind w:left="720" w:hanging="720"/>
        <w:rPr>
          <w:rFonts w:ascii="Arial" w:hAnsi="Arial" w:cs="Arial"/>
          <w:sz w:val="22"/>
          <w:szCs w:val="22"/>
        </w:rPr>
      </w:pPr>
    </w:p>
    <w:sectPr w:rsidR="00E75733" w:rsidRPr="00B84A3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5FE58" w14:textId="77777777" w:rsidR="00E049D6" w:rsidRDefault="00E049D6" w:rsidP="00391A27">
      <w:r>
        <w:separator/>
      </w:r>
    </w:p>
  </w:endnote>
  <w:endnote w:type="continuationSeparator" w:id="0">
    <w:p w14:paraId="796086B5" w14:textId="77777777" w:rsidR="00E049D6" w:rsidRDefault="00E049D6" w:rsidP="00391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696265"/>
      <w:docPartObj>
        <w:docPartGallery w:val="Page Numbers (Bottom of Page)"/>
        <w:docPartUnique/>
      </w:docPartObj>
    </w:sdtPr>
    <w:sdtEndPr>
      <w:rPr>
        <w:noProof/>
      </w:rPr>
    </w:sdtEndPr>
    <w:sdtContent>
      <w:p w14:paraId="3A790092" w14:textId="1EA6238C" w:rsidR="00391A27" w:rsidRDefault="00391A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EDD4CF" w14:textId="77777777" w:rsidR="00391A27" w:rsidRDefault="00391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1948E" w14:textId="77777777" w:rsidR="00E049D6" w:rsidRDefault="00E049D6" w:rsidP="00391A27">
      <w:r>
        <w:separator/>
      </w:r>
    </w:p>
  </w:footnote>
  <w:footnote w:type="continuationSeparator" w:id="0">
    <w:p w14:paraId="3267AE50" w14:textId="77777777" w:rsidR="00E049D6" w:rsidRDefault="00E049D6" w:rsidP="00391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02B1"/>
    <w:multiLevelType w:val="hybridMultilevel"/>
    <w:tmpl w:val="4440A02A"/>
    <w:lvl w:ilvl="0" w:tplc="D9BCABEE">
      <w:start w:val="1"/>
      <w:numFmt w:val="bullet"/>
      <w:lvlText w:val="●"/>
      <w:lvlJc w:val="left"/>
      <w:pPr>
        <w:ind w:left="720" w:hanging="360"/>
      </w:pPr>
    </w:lvl>
    <w:lvl w:ilvl="1" w:tplc="65EA2740">
      <w:start w:val="1"/>
      <w:numFmt w:val="bullet"/>
      <w:lvlText w:val="○"/>
      <w:lvlJc w:val="left"/>
      <w:pPr>
        <w:ind w:left="1440" w:hanging="360"/>
      </w:pPr>
    </w:lvl>
    <w:lvl w:ilvl="2" w:tplc="47F607FE">
      <w:start w:val="1"/>
      <w:numFmt w:val="bullet"/>
      <w:lvlText w:val="■"/>
      <w:lvlJc w:val="left"/>
      <w:pPr>
        <w:ind w:left="2160" w:hanging="360"/>
      </w:pPr>
    </w:lvl>
    <w:lvl w:ilvl="3" w:tplc="E758CA28">
      <w:start w:val="1"/>
      <w:numFmt w:val="bullet"/>
      <w:lvlText w:val="●"/>
      <w:lvlJc w:val="left"/>
      <w:pPr>
        <w:ind w:left="2880" w:hanging="360"/>
      </w:pPr>
    </w:lvl>
    <w:lvl w:ilvl="4" w:tplc="1474FF38">
      <w:start w:val="1"/>
      <w:numFmt w:val="bullet"/>
      <w:lvlText w:val="○"/>
      <w:lvlJc w:val="left"/>
      <w:pPr>
        <w:ind w:left="3600" w:hanging="360"/>
      </w:pPr>
    </w:lvl>
    <w:lvl w:ilvl="5" w:tplc="BDAAAB20">
      <w:start w:val="1"/>
      <w:numFmt w:val="bullet"/>
      <w:lvlText w:val="■"/>
      <w:lvlJc w:val="left"/>
      <w:pPr>
        <w:ind w:left="4320" w:hanging="360"/>
      </w:pPr>
    </w:lvl>
    <w:lvl w:ilvl="6" w:tplc="9210D29A">
      <w:start w:val="1"/>
      <w:numFmt w:val="bullet"/>
      <w:lvlText w:val="●"/>
      <w:lvlJc w:val="left"/>
      <w:pPr>
        <w:ind w:left="5040" w:hanging="360"/>
      </w:pPr>
    </w:lvl>
    <w:lvl w:ilvl="7" w:tplc="04B4C10C">
      <w:start w:val="1"/>
      <w:numFmt w:val="bullet"/>
      <w:lvlText w:val="●"/>
      <w:lvlJc w:val="left"/>
      <w:pPr>
        <w:ind w:left="5760" w:hanging="360"/>
      </w:pPr>
    </w:lvl>
    <w:lvl w:ilvl="8" w:tplc="A372CBA8">
      <w:start w:val="1"/>
      <w:numFmt w:val="bullet"/>
      <w:lvlText w:val="●"/>
      <w:lvlJc w:val="left"/>
      <w:pPr>
        <w:ind w:left="6480" w:hanging="360"/>
      </w:pPr>
    </w:lvl>
  </w:abstractNum>
  <w:num w:numId="1" w16cid:durableId="2277698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733"/>
    <w:rsid w:val="000E5CC9"/>
    <w:rsid w:val="00161EAF"/>
    <w:rsid w:val="00181EBC"/>
    <w:rsid w:val="001837D1"/>
    <w:rsid w:val="00185D11"/>
    <w:rsid w:val="001A19BD"/>
    <w:rsid w:val="001F4484"/>
    <w:rsid w:val="00233BCC"/>
    <w:rsid w:val="00332E12"/>
    <w:rsid w:val="00391A27"/>
    <w:rsid w:val="00400788"/>
    <w:rsid w:val="00423B91"/>
    <w:rsid w:val="00486446"/>
    <w:rsid w:val="004D7DDB"/>
    <w:rsid w:val="004E324E"/>
    <w:rsid w:val="00574448"/>
    <w:rsid w:val="00662C09"/>
    <w:rsid w:val="00687E0F"/>
    <w:rsid w:val="00707086"/>
    <w:rsid w:val="007432FA"/>
    <w:rsid w:val="007D749E"/>
    <w:rsid w:val="00801DB4"/>
    <w:rsid w:val="008F0533"/>
    <w:rsid w:val="00916A90"/>
    <w:rsid w:val="00A0472B"/>
    <w:rsid w:val="00A25230"/>
    <w:rsid w:val="00B114FF"/>
    <w:rsid w:val="00B84A36"/>
    <w:rsid w:val="00BB77FF"/>
    <w:rsid w:val="00C20C41"/>
    <w:rsid w:val="00C30F79"/>
    <w:rsid w:val="00CF2C72"/>
    <w:rsid w:val="00D14A4D"/>
    <w:rsid w:val="00D16B7C"/>
    <w:rsid w:val="00D67EF0"/>
    <w:rsid w:val="00DA57B5"/>
    <w:rsid w:val="00DD5E87"/>
    <w:rsid w:val="00DF0EDF"/>
    <w:rsid w:val="00E049D6"/>
    <w:rsid w:val="00E75733"/>
    <w:rsid w:val="00EB242F"/>
    <w:rsid w:val="00EC7939"/>
    <w:rsid w:val="00EE1FA6"/>
    <w:rsid w:val="00EF67DC"/>
    <w:rsid w:val="00F32E05"/>
    <w:rsid w:val="00F6595C"/>
    <w:rsid w:val="00FB09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158F4"/>
  <w15:docId w15:val="{28E8AA4E-98AB-461D-AF73-A41D2FCA9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086"/>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91A27"/>
    <w:pPr>
      <w:tabs>
        <w:tab w:val="center" w:pos="4513"/>
        <w:tab w:val="right" w:pos="9026"/>
      </w:tabs>
    </w:pPr>
  </w:style>
  <w:style w:type="character" w:customStyle="1" w:styleId="HeaderChar">
    <w:name w:val="Header Char"/>
    <w:basedOn w:val="DefaultParagraphFont"/>
    <w:link w:val="Header"/>
    <w:uiPriority w:val="99"/>
    <w:rsid w:val="00391A27"/>
  </w:style>
  <w:style w:type="paragraph" w:styleId="Footer">
    <w:name w:val="footer"/>
    <w:basedOn w:val="Normal"/>
    <w:link w:val="FooterChar"/>
    <w:uiPriority w:val="99"/>
    <w:unhideWhenUsed/>
    <w:rsid w:val="00391A27"/>
    <w:pPr>
      <w:tabs>
        <w:tab w:val="center" w:pos="4513"/>
        <w:tab w:val="right" w:pos="9026"/>
      </w:tabs>
    </w:pPr>
  </w:style>
  <w:style w:type="character" w:customStyle="1" w:styleId="FooterChar">
    <w:name w:val="Footer Char"/>
    <w:basedOn w:val="DefaultParagraphFont"/>
    <w:link w:val="Footer"/>
    <w:uiPriority w:val="99"/>
    <w:rsid w:val="00391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69E60-3D60-41AA-A7F3-066C541C5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14</Pages>
  <Words>4095</Words>
  <Characters>23347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Ardra Sudhan</cp:lastModifiedBy>
  <cp:revision>33</cp:revision>
  <dcterms:created xsi:type="dcterms:W3CDTF">2026-08-15T10:59:00Z</dcterms:created>
  <dcterms:modified xsi:type="dcterms:W3CDTF">2026-08-18T10:53:00Z</dcterms:modified>
</cp:coreProperties>
</file>