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71674" w14:textId="77777777" w:rsidR="00FA608F" w:rsidRPr="00FA608F" w:rsidRDefault="00FA608F" w:rsidP="00B76938">
      <w:pPr>
        <w:shd w:val="clear" w:color="auto" w:fill="FFFFFF"/>
        <w:spacing w:line="480" w:lineRule="auto"/>
        <w:contextualSpacing/>
        <w:rPr>
          <w:lang w:val="en-AU"/>
        </w:rPr>
      </w:pPr>
    </w:p>
    <w:p w14:paraId="0AA51079" w14:textId="77777777" w:rsidR="00FA608F" w:rsidRPr="00FA608F" w:rsidRDefault="00FA608F" w:rsidP="001C18C1">
      <w:pPr>
        <w:shd w:val="clear" w:color="auto" w:fill="FFFFFF"/>
        <w:spacing w:line="480" w:lineRule="auto"/>
        <w:contextualSpacing/>
        <w:jc w:val="center"/>
        <w:rPr>
          <w:lang w:val="en-AU"/>
        </w:rPr>
      </w:pPr>
    </w:p>
    <w:p w14:paraId="66CBE04B" w14:textId="1BD4FECA" w:rsidR="00192A6C" w:rsidRPr="0044753E" w:rsidRDefault="00192A6C" w:rsidP="00705238">
      <w:pPr>
        <w:shd w:val="clear" w:color="auto" w:fill="FFFFFF"/>
        <w:spacing w:line="480" w:lineRule="auto"/>
        <w:contextualSpacing/>
        <w:jc w:val="center"/>
        <w:rPr>
          <w:lang w:val="en-AU"/>
        </w:rPr>
      </w:pPr>
      <w:r w:rsidRPr="00B222F2">
        <w:rPr>
          <w:lang w:val="en-GB"/>
        </w:rPr>
        <w:t xml:space="preserve">AN ANALYSIS AND CRITICAL REVIEW OF </w:t>
      </w:r>
      <w:r w:rsidRPr="0044753E">
        <w:rPr>
          <w:lang w:val="en-AU"/>
        </w:rPr>
        <w:t xml:space="preserve">M&amp;S </w:t>
      </w:r>
      <w:r w:rsidR="00705238">
        <w:rPr>
          <w:lang w:val="en-AU"/>
        </w:rPr>
        <w:t>AND</w:t>
      </w:r>
      <w:r w:rsidRPr="0044753E">
        <w:rPr>
          <w:lang w:val="en-AU"/>
        </w:rPr>
        <w:t xml:space="preserve"> OCADO</w:t>
      </w:r>
    </w:p>
    <w:p w14:paraId="366898E1" w14:textId="77777777" w:rsidR="00192A6C" w:rsidRPr="00B222F2" w:rsidRDefault="00192A6C" w:rsidP="00192A6C">
      <w:pPr>
        <w:shd w:val="clear" w:color="auto" w:fill="FFFFFF"/>
        <w:spacing w:line="480" w:lineRule="auto"/>
        <w:contextualSpacing/>
        <w:jc w:val="center"/>
        <w:rPr>
          <w:lang w:val="en-AU"/>
        </w:rPr>
      </w:pPr>
      <w:r w:rsidRPr="00B222F2">
        <w:rPr>
          <w:lang w:val="en-GB"/>
        </w:rPr>
        <w:t>CHANGE PROCESS</w:t>
      </w:r>
    </w:p>
    <w:p w14:paraId="65BDBE56" w14:textId="77777777" w:rsidR="00192A6C" w:rsidRPr="00B222F2" w:rsidRDefault="00192A6C" w:rsidP="00192A6C">
      <w:pPr>
        <w:shd w:val="clear" w:color="auto" w:fill="FFFFFF"/>
        <w:spacing w:line="480" w:lineRule="auto"/>
        <w:contextualSpacing/>
        <w:jc w:val="center"/>
        <w:rPr>
          <w:lang w:val="en-AU"/>
        </w:rPr>
      </w:pPr>
    </w:p>
    <w:p w14:paraId="507FD6DB" w14:textId="77777777" w:rsidR="00B76938" w:rsidRPr="00FA608F" w:rsidRDefault="00B76938" w:rsidP="00B76938">
      <w:pPr>
        <w:shd w:val="clear" w:color="auto" w:fill="FFFFFF"/>
        <w:spacing w:line="480" w:lineRule="auto"/>
        <w:contextualSpacing/>
        <w:jc w:val="center"/>
        <w:rPr>
          <w:lang w:val="en-AU"/>
        </w:rPr>
      </w:pPr>
    </w:p>
    <w:p w14:paraId="53626E0B" w14:textId="77777777" w:rsidR="00B76938" w:rsidRPr="00FA608F" w:rsidRDefault="00B76938" w:rsidP="00B76938">
      <w:pPr>
        <w:shd w:val="clear" w:color="auto" w:fill="FFFFFF"/>
        <w:spacing w:line="480" w:lineRule="auto"/>
        <w:contextualSpacing/>
        <w:jc w:val="center"/>
        <w:rPr>
          <w:lang w:val="en-AU"/>
        </w:rPr>
      </w:pPr>
      <w:r w:rsidRPr="00FA608F">
        <w:rPr>
          <w:lang w:val="en-AU"/>
        </w:rPr>
        <w:t xml:space="preserve">by </w:t>
      </w:r>
      <w:r>
        <w:rPr>
          <w:lang w:val="en-AU"/>
        </w:rPr>
        <w:t xml:space="preserve">Costel </w:t>
      </w:r>
      <w:proofErr w:type="spellStart"/>
      <w:r>
        <w:rPr>
          <w:lang w:val="en-AU"/>
        </w:rPr>
        <w:t>Ilie</w:t>
      </w:r>
      <w:proofErr w:type="spellEnd"/>
      <w:r>
        <w:rPr>
          <w:lang w:val="en-AU"/>
        </w:rPr>
        <w:t xml:space="preserve"> Grigorean</w:t>
      </w:r>
    </w:p>
    <w:p w14:paraId="022477B6" w14:textId="77777777" w:rsidR="00B76938" w:rsidRPr="00FA608F" w:rsidRDefault="00B76938" w:rsidP="00B76938">
      <w:pPr>
        <w:shd w:val="clear" w:color="auto" w:fill="FFFFFF"/>
        <w:tabs>
          <w:tab w:val="left" w:pos="1875"/>
        </w:tabs>
        <w:spacing w:line="480" w:lineRule="auto"/>
        <w:contextualSpacing/>
        <w:jc w:val="center"/>
        <w:rPr>
          <w:lang w:val="en-AU"/>
        </w:rPr>
      </w:pPr>
    </w:p>
    <w:p w14:paraId="4C11412E" w14:textId="77777777" w:rsidR="00B76938" w:rsidRPr="00FA608F" w:rsidRDefault="00B76938" w:rsidP="00B76938">
      <w:pPr>
        <w:shd w:val="clear" w:color="auto" w:fill="FFFFFF"/>
        <w:tabs>
          <w:tab w:val="left" w:pos="1875"/>
        </w:tabs>
        <w:spacing w:line="480" w:lineRule="auto"/>
        <w:contextualSpacing/>
        <w:jc w:val="center"/>
        <w:rPr>
          <w:lang w:val="en-AU"/>
        </w:rPr>
      </w:pPr>
    </w:p>
    <w:p w14:paraId="4CFE672A" w14:textId="77777777" w:rsidR="00B76938" w:rsidRPr="00FA608F" w:rsidRDefault="00B76938" w:rsidP="00B76938">
      <w:pPr>
        <w:shd w:val="clear" w:color="auto" w:fill="FFFFFF"/>
        <w:tabs>
          <w:tab w:val="left" w:pos="1875"/>
        </w:tabs>
        <w:spacing w:line="480" w:lineRule="auto"/>
        <w:contextualSpacing/>
        <w:jc w:val="center"/>
        <w:rPr>
          <w:lang w:val="en-AU"/>
        </w:rPr>
      </w:pPr>
    </w:p>
    <w:p w14:paraId="56C8A4DA" w14:textId="77777777" w:rsidR="00B76938" w:rsidRPr="00FA608F" w:rsidRDefault="00B76938" w:rsidP="00B76938">
      <w:pPr>
        <w:shd w:val="clear" w:color="auto" w:fill="FFFFFF"/>
        <w:tabs>
          <w:tab w:val="left" w:pos="1875"/>
        </w:tabs>
        <w:spacing w:line="480" w:lineRule="auto"/>
        <w:contextualSpacing/>
        <w:jc w:val="center"/>
        <w:rPr>
          <w:lang w:val="en-AU"/>
        </w:rPr>
      </w:pPr>
    </w:p>
    <w:p w14:paraId="6A691CEE" w14:textId="77777777" w:rsidR="00B76938" w:rsidRPr="00FA608F" w:rsidRDefault="00B76938" w:rsidP="00B76938">
      <w:pPr>
        <w:shd w:val="clear" w:color="auto" w:fill="FFFFFF"/>
        <w:tabs>
          <w:tab w:val="left" w:pos="1875"/>
        </w:tabs>
        <w:spacing w:line="480" w:lineRule="auto"/>
        <w:contextualSpacing/>
        <w:jc w:val="center"/>
        <w:rPr>
          <w:lang w:val="en-AU"/>
        </w:rPr>
      </w:pPr>
      <w:r w:rsidRPr="008B44FE">
        <w:rPr>
          <w:lang w:val="en-GB"/>
        </w:rPr>
        <w:t>BMSW6103</w:t>
      </w:r>
    </w:p>
    <w:p w14:paraId="5D87B937" w14:textId="77777777" w:rsidR="00B76938" w:rsidRPr="008B44FE" w:rsidRDefault="00B76938" w:rsidP="00B76938">
      <w:pPr>
        <w:shd w:val="clear" w:color="auto" w:fill="FFFFFF"/>
        <w:tabs>
          <w:tab w:val="left" w:pos="1875"/>
        </w:tabs>
        <w:spacing w:line="480" w:lineRule="auto"/>
        <w:contextualSpacing/>
        <w:jc w:val="center"/>
        <w:rPr>
          <w:lang w:val="en-GB"/>
        </w:rPr>
      </w:pPr>
      <w:r w:rsidRPr="008B44FE">
        <w:rPr>
          <w:b/>
          <w:bCs/>
          <w:lang w:val="en-GB"/>
        </w:rPr>
        <w:t>Maria Heffernan</w:t>
      </w:r>
    </w:p>
    <w:p w14:paraId="3AD95C41" w14:textId="77777777" w:rsidR="00B76938" w:rsidRPr="00FA608F" w:rsidRDefault="00B76938" w:rsidP="00B76938">
      <w:pPr>
        <w:shd w:val="clear" w:color="auto" w:fill="FFFFFF"/>
        <w:tabs>
          <w:tab w:val="left" w:pos="1875"/>
        </w:tabs>
        <w:spacing w:line="480" w:lineRule="auto"/>
        <w:contextualSpacing/>
        <w:jc w:val="center"/>
        <w:rPr>
          <w:lang w:val="en-AU"/>
        </w:rPr>
      </w:pPr>
      <w:r>
        <w:rPr>
          <w:lang w:val="en-AU"/>
        </w:rPr>
        <w:t>University of Wales Trinity Saint David</w:t>
      </w:r>
    </w:p>
    <w:p w14:paraId="3FB50B52" w14:textId="77777777" w:rsidR="00B76938" w:rsidRPr="00FA608F" w:rsidRDefault="00B76938" w:rsidP="00B76938">
      <w:pPr>
        <w:shd w:val="clear" w:color="auto" w:fill="FFFFFF"/>
        <w:tabs>
          <w:tab w:val="left" w:pos="1875"/>
        </w:tabs>
        <w:spacing w:line="480" w:lineRule="auto"/>
        <w:contextualSpacing/>
        <w:jc w:val="center"/>
        <w:rPr>
          <w:lang w:val="en-AU"/>
        </w:rPr>
      </w:pPr>
      <w:r>
        <w:rPr>
          <w:lang w:val="en-AU"/>
        </w:rPr>
        <w:t>Swansea</w:t>
      </w:r>
    </w:p>
    <w:p w14:paraId="1F801D3C" w14:textId="70271D83" w:rsidR="00B76938" w:rsidRPr="00FA608F" w:rsidRDefault="00B76938" w:rsidP="00B76938">
      <w:pPr>
        <w:spacing w:line="480" w:lineRule="auto"/>
        <w:jc w:val="center"/>
        <w:rPr>
          <w:lang w:val="en-GB"/>
        </w:rPr>
      </w:pPr>
      <w:r w:rsidRPr="00FA608F">
        <w:rPr>
          <w:lang w:val="en-AU"/>
        </w:rPr>
        <w:t>Date</w:t>
      </w:r>
      <w:r>
        <w:rPr>
          <w:lang w:val="en-AU"/>
        </w:rPr>
        <w:t>:</w:t>
      </w:r>
      <w:r w:rsidR="00192A6C">
        <w:rPr>
          <w:lang w:val="en-AU"/>
        </w:rPr>
        <w:t>25</w:t>
      </w:r>
      <w:r>
        <w:rPr>
          <w:lang w:val="en-AU"/>
        </w:rPr>
        <w:t>.06.2021</w:t>
      </w:r>
      <w:r w:rsidR="00385A7E">
        <w:rPr>
          <w:lang w:val="en-AU"/>
        </w:rPr>
        <w:t xml:space="preserve"> </w:t>
      </w:r>
    </w:p>
    <w:p w14:paraId="10EE557A" w14:textId="77777777" w:rsidR="00B76938" w:rsidRPr="00FA608F" w:rsidRDefault="00B76938" w:rsidP="00B76938">
      <w:pPr>
        <w:spacing w:line="480" w:lineRule="auto"/>
        <w:rPr>
          <w:rFonts w:eastAsiaTheme="majorEastAsia"/>
          <w:b/>
          <w:szCs w:val="32"/>
          <w:lang w:val="en-GB"/>
        </w:rPr>
      </w:pPr>
      <w:r w:rsidRPr="00FA608F">
        <w:rPr>
          <w:rFonts w:eastAsiaTheme="majorEastAsia"/>
          <w:b/>
          <w:szCs w:val="32"/>
          <w:lang w:val="en-GB"/>
        </w:rPr>
        <w:br w:type="page"/>
      </w:r>
    </w:p>
    <w:p w14:paraId="661D0133" w14:textId="60809F62" w:rsidR="00192A6C" w:rsidRPr="00FA608F" w:rsidRDefault="00192A6C" w:rsidP="00192A6C">
      <w:pPr>
        <w:pStyle w:val="Heading1"/>
        <w:spacing w:line="480" w:lineRule="auto"/>
        <w:rPr>
          <w:rFonts w:cs="Times New Roman"/>
          <w:lang w:val="en-GB"/>
        </w:rPr>
      </w:pPr>
      <w:bookmarkStart w:id="0" w:name="_Toc75437505"/>
      <w:r w:rsidRPr="00FA608F">
        <w:rPr>
          <w:rFonts w:cs="Times New Roman"/>
          <w:lang w:val="en-GB"/>
        </w:rPr>
        <w:lastRenderedPageBreak/>
        <w:t>Executive Summary</w:t>
      </w:r>
      <w:bookmarkEnd w:id="0"/>
    </w:p>
    <w:p w14:paraId="32413A86" w14:textId="2E4434C3" w:rsidR="00FA608F" w:rsidRDefault="00FA608F" w:rsidP="001C18C1">
      <w:pPr>
        <w:shd w:val="clear" w:color="auto" w:fill="FFFFFF"/>
        <w:spacing w:line="480" w:lineRule="auto"/>
        <w:contextualSpacing/>
        <w:jc w:val="center"/>
        <w:rPr>
          <w:lang w:val="en-AU"/>
        </w:rPr>
      </w:pPr>
    </w:p>
    <w:p w14:paraId="2ED627DF" w14:textId="77777777" w:rsidR="00192A6C" w:rsidRPr="00B222F2" w:rsidRDefault="00192A6C" w:rsidP="00192A6C">
      <w:pPr>
        <w:spacing w:line="480" w:lineRule="auto"/>
        <w:ind w:firstLine="720"/>
        <w:rPr>
          <w:lang w:val="en-GB"/>
        </w:rPr>
      </w:pPr>
      <w:r w:rsidRPr="00B222F2">
        <w:rPr>
          <w:lang w:val="en-GB"/>
        </w:rPr>
        <w:t xml:space="preserve">M&amp;S partnership with Ocado is one of the recent strategic changes that M&amp;S has adopted in its efforts to foster the success of its food business. </w:t>
      </w:r>
    </w:p>
    <w:p w14:paraId="68C464C2" w14:textId="494FD6F5" w:rsidR="00192A6C" w:rsidRPr="00B222F2" w:rsidRDefault="00192A6C" w:rsidP="00192A6C">
      <w:pPr>
        <w:spacing w:line="480" w:lineRule="auto"/>
        <w:ind w:firstLine="720"/>
        <w:rPr>
          <w:lang w:val="en-GB"/>
        </w:rPr>
      </w:pPr>
      <w:r w:rsidRPr="00B222F2">
        <w:rPr>
          <w:lang w:val="en-GB"/>
        </w:rPr>
        <w:t xml:space="preserve">M&amp;S will gain access to </w:t>
      </w:r>
      <w:r>
        <w:rPr>
          <w:lang w:val="en-GB"/>
        </w:rPr>
        <w:t>Ocado's</w:t>
      </w:r>
      <w:r w:rsidRPr="00B222F2">
        <w:rPr>
          <w:lang w:val="en-GB"/>
        </w:rPr>
        <w:t xml:space="preserve"> expertness in online operations and delivery services, an aspect that will benefit the business positively. The move demonstrates an awareness by M&amp;S that customers have exhibited preferred online shopping. The joint venture seeks to meet this need by providing customers with an online platform to order more than 6000 products online and receive deliveries affordably and effectively. The company </w:t>
      </w:r>
      <w:r w:rsidR="00791D96">
        <w:rPr>
          <w:lang w:val="en-GB"/>
        </w:rPr>
        <w:t>utilised</w:t>
      </w:r>
      <w:r w:rsidRPr="00B222F2">
        <w:rPr>
          <w:lang w:val="en-GB"/>
        </w:rPr>
        <w:t xml:space="preserve"> the planned change model in 2019 to implement the change. M&amp;S undertook rigorous consultations with the Ocado Group to establish the rules and protocols that would govern the venture.</w:t>
      </w:r>
    </w:p>
    <w:p w14:paraId="515A6302" w14:textId="77777777" w:rsidR="00192A6C" w:rsidRPr="00B222F2" w:rsidRDefault="00192A6C" w:rsidP="00192A6C">
      <w:pPr>
        <w:spacing w:line="480" w:lineRule="auto"/>
        <w:ind w:firstLine="720"/>
        <w:rPr>
          <w:lang w:val="en-GB"/>
        </w:rPr>
      </w:pPr>
      <w:r>
        <w:rPr>
          <w:lang w:val="en-GB"/>
        </w:rPr>
        <w:t>Before</w:t>
      </w:r>
      <w:r w:rsidRPr="00B222F2">
        <w:rPr>
          <w:lang w:val="en-GB"/>
        </w:rPr>
        <w:t xml:space="preserve"> M&amp;S make this acquisition, the company lacked significant eCommerce capabilities, while customers were moving towards online shopping. As a result, M&amp;S identified a potential acquisition that could translate to increased capabilities and the possibility of </w:t>
      </w:r>
      <w:r>
        <w:rPr>
          <w:lang w:val="en-GB"/>
        </w:rPr>
        <w:t>growing</w:t>
      </w:r>
      <w:r w:rsidRPr="00B222F2">
        <w:rPr>
          <w:lang w:val="en-GB"/>
        </w:rPr>
        <w:t xml:space="preserve"> market share. M&amp;S has experience in acquisitions from the past and was able to make an informed decision before signing this deal. The </w:t>
      </w:r>
      <w:r>
        <w:rPr>
          <w:lang w:val="en-GB"/>
        </w:rPr>
        <w:t>company's</w:t>
      </w:r>
      <w:r w:rsidRPr="00B222F2">
        <w:rPr>
          <w:lang w:val="en-GB"/>
        </w:rPr>
        <w:t xml:space="preserve"> commitment to meet emerging customer needs motivates it to pursue the expensive deal to compete effectively with other retailers in the food industry. Through an extensive process of stakeholder buy-in, M&amp;S was able to convince shareholders that the venture was a worthwhile investment. The move signifies M&amp;S capability to respond to changes in the business environment. </w:t>
      </w:r>
    </w:p>
    <w:p w14:paraId="13951939" w14:textId="77777777" w:rsidR="00192A6C" w:rsidRPr="00B222F2" w:rsidRDefault="00192A6C" w:rsidP="00192A6C">
      <w:pPr>
        <w:spacing w:line="480" w:lineRule="auto"/>
        <w:ind w:firstLine="720"/>
        <w:rPr>
          <w:lang w:val="en-GB"/>
        </w:rPr>
      </w:pPr>
      <w:r w:rsidRPr="00B222F2">
        <w:rPr>
          <w:lang w:val="en-GB"/>
        </w:rPr>
        <w:t xml:space="preserve">The formation of Ocado Retail represents a significant change for M&amp;S, which heightens its capacity to offer a diverse range of products on an online platform. With this new platform, the company is set for a significant increase in sales when online shopping has </w:t>
      </w:r>
      <w:r w:rsidRPr="00B222F2">
        <w:rPr>
          <w:lang w:val="en-GB"/>
        </w:rPr>
        <w:lastRenderedPageBreak/>
        <w:t xml:space="preserve">become a leading trend. </w:t>
      </w:r>
      <w:r>
        <w:rPr>
          <w:lang w:val="en-GB"/>
        </w:rPr>
        <w:t>In addition, the</w:t>
      </w:r>
      <w:r w:rsidRPr="00B222F2">
        <w:rPr>
          <w:lang w:val="en-GB"/>
        </w:rPr>
        <w:t xml:space="preserve"> operational change involving the acquisition signifies a response to changing market conditions as M&amp;S seeks to achieve higher levels of profitability while maintaining its competitive position. </w:t>
      </w:r>
    </w:p>
    <w:p w14:paraId="59F55CD9" w14:textId="77777777" w:rsidR="00192A6C" w:rsidRPr="00B222F2" w:rsidRDefault="00192A6C" w:rsidP="00192A6C">
      <w:pPr>
        <w:spacing w:line="480" w:lineRule="auto"/>
        <w:ind w:firstLine="720"/>
        <w:rPr>
          <w:lang w:val="en-GB"/>
        </w:rPr>
      </w:pPr>
    </w:p>
    <w:p w14:paraId="34F7D310" w14:textId="77777777" w:rsidR="00192A6C" w:rsidRPr="00B222F2" w:rsidRDefault="00192A6C" w:rsidP="00192A6C">
      <w:pPr>
        <w:spacing w:line="480" w:lineRule="auto"/>
        <w:ind w:firstLine="720"/>
        <w:rPr>
          <w:lang w:val="en-GB"/>
        </w:rPr>
      </w:pPr>
      <w:r w:rsidRPr="00B222F2">
        <w:rPr>
          <w:lang w:val="en-GB"/>
        </w:rPr>
        <w:t xml:space="preserve">In August 2020, the full implementation of the venture led to full-time operations on </w:t>
      </w:r>
      <w:r>
        <w:rPr>
          <w:lang w:val="en-GB"/>
        </w:rPr>
        <w:t>1 September</w:t>
      </w:r>
      <w:r w:rsidRPr="00B222F2">
        <w:rPr>
          <w:lang w:val="en-GB"/>
        </w:rPr>
        <w:t xml:space="preserve"> 2020. A critical view of the implementation of the change process demonstrates the role of leadership in facilitating change by promoting the support of different stakeholders and allocating resources for the implementation process. Additionally, the culture of M&amp;S proves an essential element that determined the implementation of the acquisition and its current operations. Ocado Retail demonstrates the efforts of M&amp;S to meet customer needs and expand market share in the food industry.</w:t>
      </w:r>
    </w:p>
    <w:p w14:paraId="2268EBAD" w14:textId="77777777" w:rsidR="00192A6C" w:rsidRPr="00B222F2" w:rsidRDefault="00192A6C" w:rsidP="00192A6C">
      <w:pPr>
        <w:spacing w:line="480" w:lineRule="auto"/>
        <w:ind w:firstLine="720"/>
        <w:rPr>
          <w:lang w:val="en-GB"/>
        </w:rPr>
      </w:pPr>
      <w:r w:rsidRPr="00B222F2">
        <w:rPr>
          <w:lang w:val="en-GB"/>
        </w:rPr>
        <w:t xml:space="preserve">Many customers have embraced online shopping, a factor that compelled M&amp;S to acquire 50% of the Ocado Group and transfer a considerable percentage of its business to the online platform. </w:t>
      </w:r>
    </w:p>
    <w:p w14:paraId="2E25FDAD" w14:textId="77777777" w:rsidR="00192A6C" w:rsidRPr="00B222F2" w:rsidRDefault="00192A6C" w:rsidP="00192A6C">
      <w:pPr>
        <w:spacing w:line="480" w:lineRule="auto"/>
        <w:ind w:firstLine="720"/>
        <w:rPr>
          <w:lang w:val="en-GB"/>
        </w:rPr>
      </w:pPr>
      <w:r w:rsidRPr="00B222F2">
        <w:rPr>
          <w:lang w:val="en-GB"/>
        </w:rPr>
        <w:t xml:space="preserve">M&amp;S relied on </w:t>
      </w:r>
      <w:r>
        <w:rPr>
          <w:lang w:val="en-GB"/>
        </w:rPr>
        <w:t>Lewin's</w:t>
      </w:r>
      <w:r w:rsidRPr="00B222F2">
        <w:rPr>
          <w:lang w:val="en-GB"/>
        </w:rPr>
        <w:t xml:space="preserve"> change model, which provided a critical guide to the implementation. </w:t>
      </w:r>
    </w:p>
    <w:p w14:paraId="0281A7AC" w14:textId="5A7226E2" w:rsidR="00192A6C" w:rsidRPr="00B222F2" w:rsidRDefault="00192A6C" w:rsidP="00192A6C">
      <w:pPr>
        <w:spacing w:line="480" w:lineRule="auto"/>
        <w:ind w:firstLine="720"/>
        <w:rPr>
          <w:lang w:val="en-GB"/>
        </w:rPr>
      </w:pPr>
      <w:r w:rsidRPr="00B222F2">
        <w:rPr>
          <w:lang w:val="en-GB"/>
        </w:rPr>
        <w:t xml:space="preserve">The leaders played a critical role in facilitating the change by allocating resources and persuasion of different stakeholders. The leaders also embarked on aligning all the systems to support the joint venture. The company culture was a critical determinant in the implementation of change, and the long-held values of meeting customer expectations created a favourable environment for the adoption of change. Change </w:t>
      </w:r>
      <w:r w:rsidR="00791D96">
        <w:rPr>
          <w:lang w:val="en-GB"/>
        </w:rPr>
        <w:t>agents</w:t>
      </w:r>
      <w:r w:rsidRPr="00B222F2">
        <w:rPr>
          <w:lang w:val="en-GB"/>
        </w:rPr>
        <w:t xml:space="preserve"> within the </w:t>
      </w:r>
      <w:r w:rsidR="00791D96">
        <w:rPr>
          <w:lang w:val="en-GB"/>
        </w:rPr>
        <w:t>organisation</w:t>
      </w:r>
      <w:r w:rsidRPr="00B222F2">
        <w:rPr>
          <w:lang w:val="en-GB"/>
        </w:rPr>
        <w:t xml:space="preserve"> advocated for the change process and designed effective systems for the implementation process.</w:t>
      </w:r>
    </w:p>
    <w:p w14:paraId="09A8E141" w14:textId="77777777" w:rsidR="00192A6C" w:rsidRPr="00FA608F" w:rsidRDefault="00192A6C" w:rsidP="001C18C1">
      <w:pPr>
        <w:shd w:val="clear" w:color="auto" w:fill="FFFFFF"/>
        <w:spacing w:line="480" w:lineRule="auto"/>
        <w:contextualSpacing/>
        <w:jc w:val="center"/>
        <w:rPr>
          <w:lang w:val="en-AU"/>
        </w:rPr>
      </w:pPr>
    </w:p>
    <w:p w14:paraId="0B6EE540" w14:textId="77777777" w:rsidR="00FA608F" w:rsidRPr="00FA608F" w:rsidRDefault="00FA608F" w:rsidP="001C18C1">
      <w:pPr>
        <w:shd w:val="clear" w:color="auto" w:fill="FFFFFF"/>
        <w:tabs>
          <w:tab w:val="left" w:pos="1875"/>
        </w:tabs>
        <w:spacing w:line="480" w:lineRule="auto"/>
        <w:contextualSpacing/>
        <w:jc w:val="center"/>
        <w:rPr>
          <w:lang w:val="en-AU"/>
        </w:rPr>
      </w:pPr>
    </w:p>
    <w:p w14:paraId="385D6F10" w14:textId="77777777" w:rsidR="00FA608F" w:rsidRPr="00FA608F" w:rsidRDefault="00FA608F" w:rsidP="001C18C1">
      <w:pPr>
        <w:shd w:val="clear" w:color="auto" w:fill="FFFFFF"/>
        <w:tabs>
          <w:tab w:val="left" w:pos="1875"/>
        </w:tabs>
        <w:spacing w:line="480" w:lineRule="auto"/>
        <w:contextualSpacing/>
        <w:jc w:val="center"/>
        <w:rPr>
          <w:lang w:val="en-AU"/>
        </w:rPr>
      </w:pPr>
    </w:p>
    <w:p w14:paraId="737A9618" w14:textId="77777777" w:rsidR="00FA608F" w:rsidRPr="00FA608F" w:rsidRDefault="00FA608F" w:rsidP="001C18C1">
      <w:pPr>
        <w:shd w:val="clear" w:color="auto" w:fill="FFFFFF"/>
        <w:tabs>
          <w:tab w:val="left" w:pos="1875"/>
        </w:tabs>
        <w:spacing w:line="480" w:lineRule="auto"/>
        <w:contextualSpacing/>
        <w:jc w:val="center"/>
        <w:rPr>
          <w:lang w:val="en-AU"/>
        </w:rPr>
      </w:pPr>
    </w:p>
    <w:p w14:paraId="40DD1C64" w14:textId="77777777" w:rsidR="00FA608F" w:rsidRPr="00FA608F" w:rsidRDefault="00FA608F" w:rsidP="00CC4A1B">
      <w:pPr>
        <w:shd w:val="clear" w:color="auto" w:fill="FFFFFF"/>
        <w:tabs>
          <w:tab w:val="left" w:pos="1875"/>
        </w:tabs>
        <w:spacing w:line="480" w:lineRule="auto"/>
        <w:ind w:left="-1440"/>
        <w:contextualSpacing/>
        <w:jc w:val="center"/>
        <w:rPr>
          <w:lang w:val="en-AU"/>
        </w:rPr>
      </w:pPr>
    </w:p>
    <w:sdt>
      <w:sdtPr>
        <w:rPr>
          <w:rFonts w:ascii="Times New Roman" w:eastAsiaTheme="minorHAnsi" w:hAnsi="Times New Roman" w:cs="Times New Roman"/>
          <w:color w:val="auto"/>
          <w:sz w:val="24"/>
          <w:szCs w:val="24"/>
        </w:rPr>
        <w:id w:val="-541972653"/>
        <w:docPartObj>
          <w:docPartGallery w:val="Table of Contents"/>
          <w:docPartUnique/>
        </w:docPartObj>
      </w:sdtPr>
      <w:sdtEndPr>
        <w:rPr>
          <w:b/>
          <w:bCs/>
          <w:noProof/>
        </w:rPr>
      </w:sdtEndPr>
      <w:sdtContent>
        <w:p w14:paraId="3E4B92DD" w14:textId="6C5F23FD" w:rsidR="00FA608F" w:rsidRPr="00FA608F" w:rsidRDefault="00FA608F" w:rsidP="001C18C1">
          <w:pPr>
            <w:pStyle w:val="TOCHeading"/>
            <w:spacing w:line="480" w:lineRule="auto"/>
            <w:jc w:val="center"/>
            <w:rPr>
              <w:rFonts w:ascii="Times New Roman" w:hAnsi="Times New Roman" w:cs="Times New Roman"/>
              <w:color w:val="auto"/>
            </w:rPr>
          </w:pPr>
          <w:r w:rsidRPr="00FA608F">
            <w:rPr>
              <w:rFonts w:ascii="Times New Roman" w:hAnsi="Times New Roman" w:cs="Times New Roman"/>
              <w:color w:val="auto"/>
            </w:rPr>
            <w:t>Table of Contents</w:t>
          </w:r>
        </w:p>
        <w:p w14:paraId="142A19A6" w14:textId="022F150B" w:rsidR="00705238" w:rsidRDefault="00FA608F">
          <w:pPr>
            <w:pStyle w:val="TOC1"/>
            <w:tabs>
              <w:tab w:val="right" w:leader="dot" w:pos="9016"/>
            </w:tabs>
            <w:rPr>
              <w:rFonts w:asciiTheme="minorHAnsi" w:eastAsiaTheme="minorEastAsia" w:hAnsiTheme="minorHAnsi" w:cstheme="minorBidi"/>
              <w:noProof/>
              <w:lang w:val="en-GB" w:eastAsia="en-GB"/>
            </w:rPr>
          </w:pPr>
          <w:r w:rsidRPr="00FA608F">
            <w:fldChar w:fldCharType="begin"/>
          </w:r>
          <w:r w:rsidRPr="00FA608F">
            <w:instrText xml:space="preserve"> TOC \o "1-3" \h \z \u </w:instrText>
          </w:r>
          <w:r w:rsidRPr="00FA608F">
            <w:fldChar w:fldCharType="separate"/>
          </w:r>
          <w:hyperlink w:anchor="_Toc75437505" w:history="1">
            <w:r w:rsidR="00705238" w:rsidRPr="00E26CF1">
              <w:rPr>
                <w:rStyle w:val="Hyperlink"/>
                <w:noProof/>
                <w:lang w:val="en-GB"/>
              </w:rPr>
              <w:t>Executive Summary</w:t>
            </w:r>
            <w:r w:rsidR="00705238">
              <w:rPr>
                <w:noProof/>
                <w:webHidden/>
              </w:rPr>
              <w:tab/>
            </w:r>
            <w:r w:rsidR="00705238">
              <w:rPr>
                <w:noProof/>
                <w:webHidden/>
              </w:rPr>
              <w:fldChar w:fldCharType="begin"/>
            </w:r>
            <w:r w:rsidR="00705238">
              <w:rPr>
                <w:noProof/>
                <w:webHidden/>
              </w:rPr>
              <w:instrText xml:space="preserve"> PAGEREF _Toc75437505 \h </w:instrText>
            </w:r>
            <w:r w:rsidR="00705238">
              <w:rPr>
                <w:noProof/>
                <w:webHidden/>
              </w:rPr>
            </w:r>
            <w:r w:rsidR="00705238">
              <w:rPr>
                <w:noProof/>
                <w:webHidden/>
              </w:rPr>
              <w:fldChar w:fldCharType="separate"/>
            </w:r>
            <w:r w:rsidR="00705238">
              <w:rPr>
                <w:noProof/>
                <w:webHidden/>
              </w:rPr>
              <w:t>2</w:t>
            </w:r>
            <w:r w:rsidR="00705238">
              <w:rPr>
                <w:noProof/>
                <w:webHidden/>
              </w:rPr>
              <w:fldChar w:fldCharType="end"/>
            </w:r>
          </w:hyperlink>
        </w:p>
        <w:p w14:paraId="2E26C10F" w14:textId="411A4A0D" w:rsidR="00705238" w:rsidRDefault="00705238">
          <w:pPr>
            <w:pStyle w:val="TOC1"/>
            <w:tabs>
              <w:tab w:val="left" w:pos="720"/>
              <w:tab w:val="right" w:leader="dot" w:pos="9016"/>
            </w:tabs>
            <w:rPr>
              <w:rFonts w:asciiTheme="minorHAnsi" w:eastAsiaTheme="minorEastAsia" w:hAnsiTheme="minorHAnsi" w:cstheme="minorBidi"/>
              <w:noProof/>
              <w:lang w:val="en-GB" w:eastAsia="en-GB"/>
            </w:rPr>
          </w:pPr>
          <w:hyperlink w:anchor="_Toc75437506" w:history="1">
            <w:r w:rsidRPr="00E26CF1">
              <w:rPr>
                <w:rStyle w:val="Hyperlink"/>
                <w:noProof/>
                <w:lang w:val="en-GB"/>
              </w:rPr>
              <w:t>1.0</w:t>
            </w:r>
            <w:r>
              <w:rPr>
                <w:rFonts w:asciiTheme="minorHAnsi" w:eastAsiaTheme="minorEastAsia" w:hAnsiTheme="minorHAnsi" w:cstheme="minorBidi"/>
                <w:noProof/>
                <w:lang w:val="en-GB" w:eastAsia="en-GB"/>
              </w:rPr>
              <w:tab/>
            </w:r>
            <w:r w:rsidRPr="00E26CF1">
              <w:rPr>
                <w:rStyle w:val="Hyperlink"/>
                <w:noProof/>
                <w:lang w:val="en-GB"/>
              </w:rPr>
              <w:t>Introduction</w:t>
            </w:r>
            <w:r>
              <w:rPr>
                <w:noProof/>
                <w:webHidden/>
              </w:rPr>
              <w:tab/>
            </w:r>
            <w:r>
              <w:rPr>
                <w:noProof/>
                <w:webHidden/>
              </w:rPr>
              <w:fldChar w:fldCharType="begin"/>
            </w:r>
            <w:r>
              <w:rPr>
                <w:noProof/>
                <w:webHidden/>
              </w:rPr>
              <w:instrText xml:space="preserve"> PAGEREF _Toc75437506 \h </w:instrText>
            </w:r>
            <w:r>
              <w:rPr>
                <w:noProof/>
                <w:webHidden/>
              </w:rPr>
            </w:r>
            <w:r>
              <w:rPr>
                <w:noProof/>
                <w:webHidden/>
              </w:rPr>
              <w:fldChar w:fldCharType="separate"/>
            </w:r>
            <w:r>
              <w:rPr>
                <w:noProof/>
                <w:webHidden/>
              </w:rPr>
              <w:t>5</w:t>
            </w:r>
            <w:r>
              <w:rPr>
                <w:noProof/>
                <w:webHidden/>
              </w:rPr>
              <w:fldChar w:fldCharType="end"/>
            </w:r>
          </w:hyperlink>
        </w:p>
        <w:p w14:paraId="1FC933EE" w14:textId="595280B5"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07" w:history="1">
            <w:r w:rsidRPr="00E26CF1">
              <w:rPr>
                <w:rStyle w:val="Hyperlink"/>
                <w:noProof/>
                <w:lang w:val="en-GB"/>
              </w:rPr>
              <w:t>2.1 Background to Organisation/Area of Change</w:t>
            </w:r>
            <w:r>
              <w:rPr>
                <w:noProof/>
                <w:webHidden/>
              </w:rPr>
              <w:tab/>
            </w:r>
            <w:r>
              <w:rPr>
                <w:noProof/>
                <w:webHidden/>
              </w:rPr>
              <w:fldChar w:fldCharType="begin"/>
            </w:r>
            <w:r>
              <w:rPr>
                <w:noProof/>
                <w:webHidden/>
              </w:rPr>
              <w:instrText xml:space="preserve"> PAGEREF _Toc75437507 \h </w:instrText>
            </w:r>
            <w:r>
              <w:rPr>
                <w:noProof/>
                <w:webHidden/>
              </w:rPr>
            </w:r>
            <w:r>
              <w:rPr>
                <w:noProof/>
                <w:webHidden/>
              </w:rPr>
              <w:fldChar w:fldCharType="separate"/>
            </w:r>
            <w:r>
              <w:rPr>
                <w:noProof/>
                <w:webHidden/>
              </w:rPr>
              <w:t>5</w:t>
            </w:r>
            <w:r>
              <w:rPr>
                <w:noProof/>
                <w:webHidden/>
              </w:rPr>
              <w:fldChar w:fldCharType="end"/>
            </w:r>
          </w:hyperlink>
        </w:p>
        <w:p w14:paraId="04D9FAA2" w14:textId="68A83277"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08" w:history="1">
            <w:r w:rsidRPr="00E26CF1">
              <w:rPr>
                <w:rStyle w:val="Hyperlink"/>
                <w:noProof/>
                <w:lang w:val="en-GB"/>
              </w:rPr>
              <w:t>2.2 Reason for the Stated Change</w:t>
            </w:r>
            <w:r>
              <w:rPr>
                <w:noProof/>
                <w:webHidden/>
              </w:rPr>
              <w:tab/>
            </w:r>
            <w:r>
              <w:rPr>
                <w:noProof/>
                <w:webHidden/>
              </w:rPr>
              <w:fldChar w:fldCharType="begin"/>
            </w:r>
            <w:r>
              <w:rPr>
                <w:noProof/>
                <w:webHidden/>
              </w:rPr>
              <w:instrText xml:space="preserve"> PAGEREF _Toc75437508 \h </w:instrText>
            </w:r>
            <w:r>
              <w:rPr>
                <w:noProof/>
                <w:webHidden/>
              </w:rPr>
            </w:r>
            <w:r>
              <w:rPr>
                <w:noProof/>
                <w:webHidden/>
              </w:rPr>
              <w:fldChar w:fldCharType="separate"/>
            </w:r>
            <w:r>
              <w:rPr>
                <w:noProof/>
                <w:webHidden/>
              </w:rPr>
              <w:t>8</w:t>
            </w:r>
            <w:r>
              <w:rPr>
                <w:noProof/>
                <w:webHidden/>
              </w:rPr>
              <w:fldChar w:fldCharType="end"/>
            </w:r>
          </w:hyperlink>
        </w:p>
        <w:p w14:paraId="3970C76C" w14:textId="1D615B33"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09" w:history="1">
            <w:r w:rsidRPr="00E26CF1">
              <w:rPr>
                <w:rStyle w:val="Hyperlink"/>
                <w:noProof/>
                <w:lang w:val="en-GB"/>
              </w:rPr>
              <w:t>2.3 Leadership-Management of Complex Areas</w:t>
            </w:r>
            <w:r>
              <w:rPr>
                <w:noProof/>
                <w:webHidden/>
              </w:rPr>
              <w:tab/>
            </w:r>
            <w:r>
              <w:rPr>
                <w:noProof/>
                <w:webHidden/>
              </w:rPr>
              <w:fldChar w:fldCharType="begin"/>
            </w:r>
            <w:r>
              <w:rPr>
                <w:noProof/>
                <w:webHidden/>
              </w:rPr>
              <w:instrText xml:space="preserve"> PAGEREF _Toc75437509 \h </w:instrText>
            </w:r>
            <w:r>
              <w:rPr>
                <w:noProof/>
                <w:webHidden/>
              </w:rPr>
            </w:r>
            <w:r>
              <w:rPr>
                <w:noProof/>
                <w:webHidden/>
              </w:rPr>
              <w:fldChar w:fldCharType="separate"/>
            </w:r>
            <w:r>
              <w:rPr>
                <w:noProof/>
                <w:webHidden/>
              </w:rPr>
              <w:t>13</w:t>
            </w:r>
            <w:r>
              <w:rPr>
                <w:noProof/>
                <w:webHidden/>
              </w:rPr>
              <w:fldChar w:fldCharType="end"/>
            </w:r>
          </w:hyperlink>
        </w:p>
        <w:p w14:paraId="369F3CA9" w14:textId="7D5DA99C"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10" w:history="1">
            <w:r w:rsidRPr="00E26CF1">
              <w:rPr>
                <w:rStyle w:val="Hyperlink"/>
                <w:noProof/>
                <w:lang w:val="en-GB"/>
              </w:rPr>
              <w:t>2.4 Change Agents</w:t>
            </w:r>
            <w:r>
              <w:rPr>
                <w:noProof/>
                <w:webHidden/>
              </w:rPr>
              <w:tab/>
            </w:r>
            <w:r>
              <w:rPr>
                <w:noProof/>
                <w:webHidden/>
              </w:rPr>
              <w:fldChar w:fldCharType="begin"/>
            </w:r>
            <w:r>
              <w:rPr>
                <w:noProof/>
                <w:webHidden/>
              </w:rPr>
              <w:instrText xml:space="preserve"> PAGEREF _Toc75437510 \h </w:instrText>
            </w:r>
            <w:r>
              <w:rPr>
                <w:noProof/>
                <w:webHidden/>
              </w:rPr>
            </w:r>
            <w:r>
              <w:rPr>
                <w:noProof/>
                <w:webHidden/>
              </w:rPr>
              <w:fldChar w:fldCharType="separate"/>
            </w:r>
            <w:r>
              <w:rPr>
                <w:noProof/>
                <w:webHidden/>
              </w:rPr>
              <w:t>16</w:t>
            </w:r>
            <w:r>
              <w:rPr>
                <w:noProof/>
                <w:webHidden/>
              </w:rPr>
              <w:fldChar w:fldCharType="end"/>
            </w:r>
          </w:hyperlink>
        </w:p>
        <w:p w14:paraId="15E6E707" w14:textId="72861DA9"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11" w:history="1">
            <w:r w:rsidRPr="00E26CF1">
              <w:rPr>
                <w:rStyle w:val="Hyperlink"/>
                <w:noProof/>
                <w:lang w:val="en-GB"/>
              </w:rPr>
              <w:t>2.5 Impact of Culture on the Implementation of Change</w:t>
            </w:r>
            <w:r>
              <w:rPr>
                <w:noProof/>
                <w:webHidden/>
              </w:rPr>
              <w:tab/>
            </w:r>
            <w:r>
              <w:rPr>
                <w:noProof/>
                <w:webHidden/>
              </w:rPr>
              <w:fldChar w:fldCharType="begin"/>
            </w:r>
            <w:r>
              <w:rPr>
                <w:noProof/>
                <w:webHidden/>
              </w:rPr>
              <w:instrText xml:space="preserve"> PAGEREF _Toc75437511 \h </w:instrText>
            </w:r>
            <w:r>
              <w:rPr>
                <w:noProof/>
                <w:webHidden/>
              </w:rPr>
            </w:r>
            <w:r>
              <w:rPr>
                <w:noProof/>
                <w:webHidden/>
              </w:rPr>
              <w:fldChar w:fldCharType="separate"/>
            </w:r>
            <w:r>
              <w:rPr>
                <w:noProof/>
                <w:webHidden/>
              </w:rPr>
              <w:t>18</w:t>
            </w:r>
            <w:r>
              <w:rPr>
                <w:noProof/>
                <w:webHidden/>
              </w:rPr>
              <w:fldChar w:fldCharType="end"/>
            </w:r>
          </w:hyperlink>
        </w:p>
        <w:p w14:paraId="5639C3E5" w14:textId="27827EA9" w:rsidR="00705238" w:rsidRDefault="00705238">
          <w:pPr>
            <w:pStyle w:val="TOC1"/>
            <w:tabs>
              <w:tab w:val="right" w:leader="dot" w:pos="9016"/>
            </w:tabs>
            <w:rPr>
              <w:rFonts w:asciiTheme="minorHAnsi" w:eastAsiaTheme="minorEastAsia" w:hAnsiTheme="minorHAnsi" w:cstheme="minorBidi"/>
              <w:noProof/>
              <w:lang w:val="en-GB" w:eastAsia="en-GB"/>
            </w:rPr>
          </w:pPr>
          <w:hyperlink w:anchor="_Toc75437512" w:history="1">
            <w:r w:rsidRPr="00E26CF1">
              <w:rPr>
                <w:rStyle w:val="Hyperlink"/>
                <w:noProof/>
                <w:lang w:val="en-GB"/>
              </w:rPr>
              <w:t>3.0 Conclusion</w:t>
            </w:r>
            <w:r>
              <w:rPr>
                <w:noProof/>
                <w:webHidden/>
              </w:rPr>
              <w:tab/>
            </w:r>
            <w:r>
              <w:rPr>
                <w:noProof/>
                <w:webHidden/>
              </w:rPr>
              <w:fldChar w:fldCharType="begin"/>
            </w:r>
            <w:r>
              <w:rPr>
                <w:noProof/>
                <w:webHidden/>
              </w:rPr>
              <w:instrText xml:space="preserve"> PAGEREF _Toc75437512 \h </w:instrText>
            </w:r>
            <w:r>
              <w:rPr>
                <w:noProof/>
                <w:webHidden/>
              </w:rPr>
            </w:r>
            <w:r>
              <w:rPr>
                <w:noProof/>
                <w:webHidden/>
              </w:rPr>
              <w:fldChar w:fldCharType="separate"/>
            </w:r>
            <w:r>
              <w:rPr>
                <w:noProof/>
                <w:webHidden/>
              </w:rPr>
              <w:t>20</w:t>
            </w:r>
            <w:r>
              <w:rPr>
                <w:noProof/>
                <w:webHidden/>
              </w:rPr>
              <w:fldChar w:fldCharType="end"/>
            </w:r>
          </w:hyperlink>
        </w:p>
        <w:p w14:paraId="011D058E" w14:textId="6E92E154" w:rsidR="00705238" w:rsidRDefault="00705238">
          <w:pPr>
            <w:pStyle w:val="TOC1"/>
            <w:tabs>
              <w:tab w:val="right" w:leader="dot" w:pos="9016"/>
            </w:tabs>
            <w:rPr>
              <w:rFonts w:asciiTheme="minorHAnsi" w:eastAsiaTheme="minorEastAsia" w:hAnsiTheme="minorHAnsi" w:cstheme="minorBidi"/>
              <w:noProof/>
              <w:lang w:val="en-GB" w:eastAsia="en-GB"/>
            </w:rPr>
          </w:pPr>
          <w:hyperlink w:anchor="_Toc75437513" w:history="1">
            <w:r w:rsidRPr="00E26CF1">
              <w:rPr>
                <w:rStyle w:val="Hyperlink"/>
                <w:noProof/>
                <w:lang w:val="en-GB"/>
              </w:rPr>
              <w:t>References</w:t>
            </w:r>
            <w:r>
              <w:rPr>
                <w:noProof/>
                <w:webHidden/>
              </w:rPr>
              <w:tab/>
            </w:r>
            <w:r>
              <w:rPr>
                <w:noProof/>
                <w:webHidden/>
              </w:rPr>
              <w:fldChar w:fldCharType="begin"/>
            </w:r>
            <w:r>
              <w:rPr>
                <w:noProof/>
                <w:webHidden/>
              </w:rPr>
              <w:instrText xml:space="preserve"> PAGEREF _Toc75437513 \h </w:instrText>
            </w:r>
            <w:r>
              <w:rPr>
                <w:noProof/>
                <w:webHidden/>
              </w:rPr>
            </w:r>
            <w:r>
              <w:rPr>
                <w:noProof/>
                <w:webHidden/>
              </w:rPr>
              <w:fldChar w:fldCharType="separate"/>
            </w:r>
            <w:r>
              <w:rPr>
                <w:noProof/>
                <w:webHidden/>
              </w:rPr>
              <w:t>22</w:t>
            </w:r>
            <w:r>
              <w:rPr>
                <w:noProof/>
                <w:webHidden/>
              </w:rPr>
              <w:fldChar w:fldCharType="end"/>
            </w:r>
          </w:hyperlink>
        </w:p>
        <w:p w14:paraId="516AD880" w14:textId="3F8E5C9C" w:rsidR="00705238" w:rsidRDefault="00705238">
          <w:pPr>
            <w:pStyle w:val="TOC1"/>
            <w:tabs>
              <w:tab w:val="right" w:leader="dot" w:pos="9016"/>
            </w:tabs>
            <w:rPr>
              <w:rFonts w:asciiTheme="minorHAnsi" w:eastAsiaTheme="minorEastAsia" w:hAnsiTheme="minorHAnsi" w:cstheme="minorBidi"/>
              <w:noProof/>
              <w:lang w:val="en-GB" w:eastAsia="en-GB"/>
            </w:rPr>
          </w:pPr>
          <w:hyperlink w:anchor="_Toc75437514" w:history="1">
            <w:r w:rsidRPr="00E26CF1">
              <w:rPr>
                <w:rStyle w:val="Hyperlink"/>
                <w:noProof/>
                <w:lang w:val="en-GB"/>
              </w:rPr>
              <w:t>Appendices</w:t>
            </w:r>
            <w:r>
              <w:rPr>
                <w:noProof/>
                <w:webHidden/>
              </w:rPr>
              <w:tab/>
            </w:r>
            <w:r>
              <w:rPr>
                <w:noProof/>
                <w:webHidden/>
              </w:rPr>
              <w:fldChar w:fldCharType="begin"/>
            </w:r>
            <w:r>
              <w:rPr>
                <w:noProof/>
                <w:webHidden/>
              </w:rPr>
              <w:instrText xml:space="preserve"> PAGEREF _Toc75437514 \h </w:instrText>
            </w:r>
            <w:r>
              <w:rPr>
                <w:noProof/>
                <w:webHidden/>
              </w:rPr>
            </w:r>
            <w:r>
              <w:rPr>
                <w:noProof/>
                <w:webHidden/>
              </w:rPr>
              <w:fldChar w:fldCharType="separate"/>
            </w:r>
            <w:r>
              <w:rPr>
                <w:noProof/>
                <w:webHidden/>
              </w:rPr>
              <w:t>27</w:t>
            </w:r>
            <w:r>
              <w:rPr>
                <w:noProof/>
                <w:webHidden/>
              </w:rPr>
              <w:fldChar w:fldCharType="end"/>
            </w:r>
          </w:hyperlink>
        </w:p>
        <w:p w14:paraId="0B007E05" w14:textId="50452549"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15" w:history="1">
            <w:r w:rsidRPr="00E26CF1">
              <w:rPr>
                <w:rStyle w:val="Hyperlink"/>
                <w:noProof/>
                <w:lang w:val="en-GB"/>
              </w:rPr>
              <w:t>SWOT Analysis</w:t>
            </w:r>
            <w:r>
              <w:rPr>
                <w:noProof/>
                <w:webHidden/>
              </w:rPr>
              <w:tab/>
            </w:r>
            <w:r>
              <w:rPr>
                <w:noProof/>
                <w:webHidden/>
              </w:rPr>
              <w:fldChar w:fldCharType="begin"/>
            </w:r>
            <w:r>
              <w:rPr>
                <w:noProof/>
                <w:webHidden/>
              </w:rPr>
              <w:instrText xml:space="preserve"> PAGEREF _Toc75437515 \h </w:instrText>
            </w:r>
            <w:r>
              <w:rPr>
                <w:noProof/>
                <w:webHidden/>
              </w:rPr>
            </w:r>
            <w:r>
              <w:rPr>
                <w:noProof/>
                <w:webHidden/>
              </w:rPr>
              <w:fldChar w:fldCharType="separate"/>
            </w:r>
            <w:r>
              <w:rPr>
                <w:noProof/>
                <w:webHidden/>
              </w:rPr>
              <w:t>27</w:t>
            </w:r>
            <w:r>
              <w:rPr>
                <w:noProof/>
                <w:webHidden/>
              </w:rPr>
              <w:fldChar w:fldCharType="end"/>
            </w:r>
          </w:hyperlink>
        </w:p>
        <w:p w14:paraId="2CEF4AC0" w14:textId="6253EDF1" w:rsidR="00705238" w:rsidRDefault="00705238">
          <w:pPr>
            <w:pStyle w:val="TOC2"/>
            <w:tabs>
              <w:tab w:val="right" w:leader="dot" w:pos="9016"/>
            </w:tabs>
            <w:rPr>
              <w:rFonts w:asciiTheme="minorHAnsi" w:eastAsiaTheme="minorEastAsia" w:hAnsiTheme="minorHAnsi" w:cstheme="minorBidi"/>
              <w:noProof/>
              <w:lang w:val="en-GB" w:eastAsia="en-GB"/>
            </w:rPr>
          </w:pPr>
          <w:hyperlink w:anchor="_Toc75437516" w:history="1">
            <w:r w:rsidRPr="00E26CF1">
              <w:rPr>
                <w:rStyle w:val="Hyperlink"/>
                <w:noProof/>
                <w:lang w:val="en-GB"/>
              </w:rPr>
              <w:t>PESTLE Analysis</w:t>
            </w:r>
            <w:r>
              <w:rPr>
                <w:noProof/>
                <w:webHidden/>
              </w:rPr>
              <w:tab/>
            </w:r>
            <w:r>
              <w:rPr>
                <w:noProof/>
                <w:webHidden/>
              </w:rPr>
              <w:fldChar w:fldCharType="begin"/>
            </w:r>
            <w:r>
              <w:rPr>
                <w:noProof/>
                <w:webHidden/>
              </w:rPr>
              <w:instrText xml:space="preserve"> PAGEREF _Toc75437516 \h </w:instrText>
            </w:r>
            <w:r>
              <w:rPr>
                <w:noProof/>
                <w:webHidden/>
              </w:rPr>
            </w:r>
            <w:r>
              <w:rPr>
                <w:noProof/>
                <w:webHidden/>
              </w:rPr>
              <w:fldChar w:fldCharType="separate"/>
            </w:r>
            <w:r>
              <w:rPr>
                <w:noProof/>
                <w:webHidden/>
              </w:rPr>
              <w:t>28</w:t>
            </w:r>
            <w:r>
              <w:rPr>
                <w:noProof/>
                <w:webHidden/>
              </w:rPr>
              <w:fldChar w:fldCharType="end"/>
            </w:r>
          </w:hyperlink>
        </w:p>
        <w:p w14:paraId="744E080A" w14:textId="731385C8" w:rsidR="00FA608F" w:rsidRPr="00FA608F" w:rsidRDefault="00FA608F" w:rsidP="001C18C1">
          <w:pPr>
            <w:spacing w:line="480" w:lineRule="auto"/>
          </w:pPr>
          <w:r w:rsidRPr="00FA608F">
            <w:rPr>
              <w:b/>
              <w:bCs/>
              <w:noProof/>
            </w:rPr>
            <w:fldChar w:fldCharType="end"/>
          </w:r>
        </w:p>
      </w:sdtContent>
    </w:sdt>
    <w:p w14:paraId="27AB2743" w14:textId="77777777" w:rsidR="00FA608F" w:rsidRPr="00FA608F" w:rsidRDefault="00FA608F" w:rsidP="001C18C1">
      <w:pPr>
        <w:spacing w:line="480" w:lineRule="auto"/>
        <w:rPr>
          <w:rFonts w:eastAsiaTheme="majorEastAsia"/>
          <w:b/>
          <w:szCs w:val="32"/>
          <w:lang w:val="en-GB"/>
        </w:rPr>
      </w:pPr>
    </w:p>
    <w:p w14:paraId="7E77B800" w14:textId="77777777" w:rsidR="00FA608F" w:rsidRDefault="00FA608F" w:rsidP="001C18C1">
      <w:pPr>
        <w:spacing w:line="480" w:lineRule="auto"/>
        <w:rPr>
          <w:rFonts w:eastAsiaTheme="majorEastAsia"/>
          <w:b/>
          <w:szCs w:val="32"/>
          <w:lang w:val="en-GB"/>
        </w:rPr>
      </w:pPr>
      <w:r>
        <w:rPr>
          <w:lang w:val="en-GB"/>
        </w:rPr>
        <w:br w:type="page"/>
      </w:r>
    </w:p>
    <w:p w14:paraId="1BCE4977" w14:textId="77777777" w:rsidR="00192A6C" w:rsidRPr="00B222F2" w:rsidRDefault="00192A6C" w:rsidP="00192A6C">
      <w:pPr>
        <w:pStyle w:val="Heading1"/>
        <w:numPr>
          <w:ilvl w:val="0"/>
          <w:numId w:val="3"/>
        </w:numPr>
        <w:spacing w:line="480" w:lineRule="auto"/>
        <w:rPr>
          <w:rFonts w:cs="Times New Roman"/>
          <w:lang w:val="en-GB"/>
        </w:rPr>
      </w:pPr>
      <w:bookmarkStart w:id="1" w:name="_Toc75435240"/>
      <w:bookmarkStart w:id="2" w:name="_Toc75437506"/>
      <w:r w:rsidRPr="00B222F2">
        <w:rPr>
          <w:rFonts w:cs="Times New Roman"/>
          <w:lang w:val="en-GB"/>
        </w:rPr>
        <w:lastRenderedPageBreak/>
        <w:t>Introduction</w:t>
      </w:r>
      <w:bookmarkEnd w:id="1"/>
      <w:bookmarkEnd w:id="2"/>
    </w:p>
    <w:p w14:paraId="53E52A41" w14:textId="77777777" w:rsidR="00192A6C" w:rsidRPr="00B222F2" w:rsidRDefault="00192A6C" w:rsidP="00192A6C">
      <w:pPr>
        <w:spacing w:line="480" w:lineRule="auto"/>
        <w:ind w:firstLine="720"/>
        <w:rPr>
          <w:lang w:val="en-GB"/>
        </w:rPr>
      </w:pPr>
      <w:r w:rsidRPr="00B222F2">
        <w:rPr>
          <w:lang w:val="en-GB"/>
        </w:rPr>
        <w:t xml:space="preserve">This report aims to describe a joint venture between </w:t>
      </w:r>
      <w:r>
        <w:rPr>
          <w:lang w:val="en-GB"/>
        </w:rPr>
        <w:t xml:space="preserve">M &amp; </w:t>
      </w:r>
      <w:r w:rsidRPr="00B222F2">
        <w:rPr>
          <w:lang w:val="en-GB"/>
        </w:rPr>
        <w:t xml:space="preserve">M&amp;S and the Ocado Group in 2020. </w:t>
      </w:r>
      <w:r>
        <w:rPr>
          <w:lang w:val="en-GB"/>
        </w:rPr>
        <w:t>In addition, the</w:t>
      </w:r>
      <w:r w:rsidRPr="00B222F2">
        <w:rPr>
          <w:lang w:val="en-GB"/>
        </w:rPr>
        <w:t xml:space="preserve"> </w:t>
      </w:r>
      <w:r>
        <w:rPr>
          <w:lang w:val="en-GB"/>
        </w:rPr>
        <w:t>information</w:t>
      </w:r>
      <w:r w:rsidRPr="00B222F2">
        <w:rPr>
          <w:lang w:val="en-GB"/>
        </w:rPr>
        <w:t xml:space="preserve"> will highlight the reasons that obligated the companies to consider the venture, the impact of leadership, and culture during the implementation process. </w:t>
      </w:r>
    </w:p>
    <w:p w14:paraId="1992D928" w14:textId="77777777" w:rsidR="00192A6C" w:rsidRPr="00B222F2" w:rsidRDefault="00192A6C" w:rsidP="00192A6C">
      <w:pPr>
        <w:spacing w:line="480" w:lineRule="auto"/>
        <w:ind w:firstLine="720"/>
        <w:rPr>
          <w:lang w:val="en-GB"/>
        </w:rPr>
      </w:pPr>
      <w:r w:rsidRPr="00B222F2">
        <w:rPr>
          <w:lang w:val="en-GB"/>
        </w:rPr>
        <w:t xml:space="preserve">The report will examine the role of leaders at M&amp;S as change agents and their responsibility to facilitate the adoption of change, the launch of Ocado Retail operations and the establishment of the protocols governing the acquisition. The finance director from M&amp;S requested this report on </w:t>
      </w:r>
      <w:r>
        <w:rPr>
          <w:lang w:val="en-GB"/>
        </w:rPr>
        <w:t>15 April</w:t>
      </w:r>
      <w:r w:rsidRPr="00B222F2">
        <w:rPr>
          <w:lang w:val="en-GB"/>
        </w:rPr>
        <w:t xml:space="preserve"> 2021. The marketing department has compiled the report that will be completed and presented to the finance director by </w:t>
      </w:r>
      <w:r>
        <w:rPr>
          <w:lang w:val="en-GB"/>
        </w:rPr>
        <w:t>25 June</w:t>
      </w:r>
      <w:r w:rsidRPr="00B222F2">
        <w:rPr>
          <w:lang w:val="en-GB"/>
        </w:rPr>
        <w:t xml:space="preserve"> 2021. </w:t>
      </w:r>
    </w:p>
    <w:p w14:paraId="31A18955" w14:textId="77777777" w:rsidR="00192A6C" w:rsidRPr="00B222F2" w:rsidRDefault="00192A6C" w:rsidP="00192A6C">
      <w:pPr>
        <w:pStyle w:val="Heading2"/>
        <w:spacing w:line="480" w:lineRule="auto"/>
        <w:rPr>
          <w:rFonts w:cs="Times New Roman"/>
          <w:lang w:val="en-GB"/>
        </w:rPr>
      </w:pPr>
      <w:bookmarkStart w:id="3" w:name="_Toc75435241"/>
      <w:bookmarkStart w:id="4" w:name="_Toc75437507"/>
      <w:r w:rsidRPr="00B222F2">
        <w:rPr>
          <w:rFonts w:cs="Times New Roman"/>
          <w:lang w:val="en-GB"/>
        </w:rPr>
        <w:t>2.1 Background to Organisation/Area of Change</w:t>
      </w:r>
      <w:bookmarkEnd w:id="3"/>
      <w:bookmarkEnd w:id="4"/>
      <w:r w:rsidRPr="00B222F2">
        <w:rPr>
          <w:rFonts w:cs="Times New Roman"/>
          <w:lang w:val="en-GB"/>
        </w:rPr>
        <w:t xml:space="preserve"> </w:t>
      </w:r>
    </w:p>
    <w:p w14:paraId="1D1E4564" w14:textId="5C5D3D71" w:rsidR="00192A6C" w:rsidRPr="00B222F2" w:rsidRDefault="00192A6C" w:rsidP="00192A6C">
      <w:pPr>
        <w:spacing w:line="480" w:lineRule="auto"/>
        <w:ind w:firstLine="720"/>
        <w:rPr>
          <w:lang w:val="en-GB"/>
        </w:rPr>
      </w:pPr>
      <w:r w:rsidRPr="00B222F2">
        <w:rPr>
          <w:lang w:val="en-GB"/>
        </w:rPr>
        <w:t>Marks &amp; Spencer (</w:t>
      </w:r>
      <w:r>
        <w:rPr>
          <w:lang w:val="en-GB"/>
        </w:rPr>
        <w:t xml:space="preserve">M &amp; </w:t>
      </w:r>
      <w:r w:rsidRPr="00B222F2">
        <w:rPr>
          <w:lang w:val="en-GB"/>
        </w:rPr>
        <w:t xml:space="preserve">M&amp;S) is a British multinational retailer headquartered in London </w:t>
      </w:r>
      <w:r w:rsidR="00791D96">
        <w:rPr>
          <w:lang w:val="en-GB"/>
        </w:rPr>
        <w:t>specialising</w:t>
      </w:r>
      <w:r w:rsidRPr="00B222F2">
        <w:rPr>
          <w:lang w:val="en-GB"/>
        </w:rPr>
        <w:t xml:space="preserve"> in clothing, home products, and food products. M&amp;S focuses on delivering quality products to its customers across the globe </w:t>
      </w:r>
      <w:r w:rsidRPr="00B222F2">
        <w:rPr>
          <w:lang w:val="en-GB"/>
        </w:rPr>
        <w:fldChar w:fldCharType="begin" w:fldLock="1"/>
      </w:r>
      <w:r w:rsidRPr="00B222F2">
        <w:rPr>
          <w:lang w:val="en-GB"/>
        </w:rPr>
        <w:instrText>ADDIN CSL_CITATION {"citationItems":[{"id":"ITEM-1","itemData":{"DOI":"10.1002/9780470753699.ch11","ISBN":"9780470028025","author":[{"dropping-particle":"","family":"Stafford","given":"James","non-dropping-particle":"","parse-names":false,"suffix":""}],"container-title":"Smart Packaging Technologies for Fast Moving Consumer Goods","id":"ITEM-1","issued":{"date-parts":[["2008","4","11"]]},"page":"197-210","publisher":"John Wiley &amp; Sons, Ltd","title":"How Marks and Spencer is Using RFID to Improve Customer Service and Business Efficiency: A Case Study","type":"chapter"},"uris":["http://www.mendeley.com/documents/?uuid=854ad0be-31be-3eed-9e2b-252f3edd7a33"]}],"mendeley":{"formattedCitation":"(Stafford, 2008)","plainTextFormattedCitation":"(Stafford, 2008)","previouslyFormattedCitation":"(Stafford, 2008)"},"properties":{"noteIndex":0},"schema":"https://github.com/citation-style-language/schema/raw/master/csl-citation.json"}</w:instrText>
      </w:r>
      <w:r w:rsidRPr="00B222F2">
        <w:rPr>
          <w:lang w:val="en-GB"/>
        </w:rPr>
        <w:fldChar w:fldCharType="separate"/>
      </w:r>
      <w:r w:rsidRPr="00B222F2">
        <w:rPr>
          <w:noProof/>
          <w:lang w:val="en-GB"/>
        </w:rPr>
        <w:t>(Stafford, 2008)</w:t>
      </w:r>
      <w:r w:rsidRPr="00B222F2">
        <w:rPr>
          <w:lang w:val="en-GB"/>
        </w:rPr>
        <w:fldChar w:fldCharType="end"/>
      </w:r>
      <w:r w:rsidRPr="00B222F2">
        <w:rPr>
          <w:lang w:val="en-GB"/>
        </w:rPr>
        <w:t xml:space="preserve">. Over the years, the company has established 1400 stores in 57 different countries and operates more than 50 international websites. The provision of food products is one of the company premium </w:t>
      </w:r>
      <w:r>
        <w:rPr>
          <w:lang w:val="en-GB"/>
        </w:rPr>
        <w:t>segments</w:t>
      </w:r>
      <w:r w:rsidRPr="00B222F2">
        <w:rPr>
          <w:lang w:val="en-GB"/>
        </w:rPr>
        <w:t xml:space="preserve">, with many customers </w:t>
      </w:r>
      <w:r w:rsidR="00791D96">
        <w:rPr>
          <w:lang w:val="en-GB"/>
        </w:rPr>
        <w:t>recognising</w:t>
      </w:r>
      <w:r w:rsidRPr="00B222F2">
        <w:rPr>
          <w:lang w:val="en-GB"/>
        </w:rPr>
        <w:t xml:space="preserve"> the </w:t>
      </w:r>
      <w:r>
        <w:rPr>
          <w:lang w:val="en-GB"/>
        </w:rPr>
        <w:t>food business supplies' quality of food</w:t>
      </w:r>
      <w:r w:rsidRPr="00B222F2">
        <w:rPr>
          <w:lang w:val="en-GB"/>
        </w:rPr>
        <w:t xml:space="preserve">. Through innovation, M&amp;S has ensured that it delivers fresh product ranges to meet customer needs. Despite the competition in the market, M&amp;S remains relentless in the provision of quality food products. M&amp;S has been keen to implement changes in its food business in response to the seismic </w:t>
      </w:r>
      <w:r>
        <w:rPr>
          <w:lang w:val="en-GB"/>
        </w:rPr>
        <w:t>shifts</w:t>
      </w:r>
      <w:r w:rsidRPr="00B222F2">
        <w:rPr>
          <w:lang w:val="en-GB"/>
        </w:rPr>
        <w:t xml:space="preserve"> in the British food market </w:t>
      </w:r>
      <w:r w:rsidRPr="00B222F2">
        <w:rPr>
          <w:lang w:val="en-GB"/>
        </w:rPr>
        <w:fldChar w:fldCharType="begin" w:fldLock="1"/>
      </w:r>
      <w:r w:rsidRPr="00B222F2">
        <w:rPr>
          <w:lang w:val="en-GB"/>
        </w:rPr>
        <w:instrText>ADDIN CSL_CITATION {"citationItems":[{"id":"ITEM-1","itemData":{"DOI":"10.1108/S2043-9059(2014)0000006026","ISBN":"9781783507955","ISSN":"20439067","abstract":"Purpose-The translation of corporate social responsibility (CSR) values in customer awareness and engagement with the CSR values with the corporate brand is a key challenge for UK retailers. This chapter examines the incorporation of CSR in the core brand discourse of Marks &amp; Spencer (M&amp;S), focusing on the interrelationship between CSR reporting and brand heritage. Design/methodology/approach-Using Fairclough's (1989) method of critical discourse analysis, this chapter reports on the key discourses around CSR to emerge from annual reports of M&amp;S in the period from the 1940s to 2010s.Findings-Findings identify how messages relating to CSR are shaped and presented to stakeholders, noting the textual patterns that emerge in the M&amp;S discourse. Patterns included a substantial reliance on relational values, the strategic adoption of expressive values toward specific groups (employees, suppliers), and textual cues such as metaphor and overwording as a means to draw out links to M&amp;S brand heritage. Research implications-The chapter highlights how we, as academics, need to consider both (a) the evolution of CSR reporting and how this reflects brand messages over time and (b) how CSR reporting is becoming integral in brand positioning for UK retailer brands. Practical limitations-In dealing with archival materials, it is necessary to be selective and this can limit the range of textual patterns that might be articulated in the discourse analysis. Originality/value-Limited research to date has examined the integration of CSR and brand heritage in organizational discourses. This study offers an in-depth examination of how this integration of CSR messages in brand communication has evolved for M&amp;S-one of the United Kingdom's foremost retail brands. Copyright © 2014 by Emerald Group Publishing Limited.","author":[{"dropping-particle":"","family":"Gill","given":"Deviraj","non-dropping-particle":"","parse-names":false,"suffix":""},{"dropping-particle":"","family":"Broderick","given":"Anne","non-dropping-particle":"","parse-names":false,"suffix":""}],"container-title":"Critical Studies on Corporate Responsibility, Governance and Sustainability","id":"ITEM-1","issued":{"date-parts":[["2014"]]},"page":"179-199","publisher":"Emerald Group Publishing Ltd.","title":"Brand heritage and CSR credentials: A discourse analysis of m&amp;s reports","type":"article-journal","volume":"6"},"uris":["http://www.mendeley.com/documents/?uuid=72f59756-a911-3300-bc5c-5af9108fce20"]}],"mendeley":{"formattedCitation":"(Gill and Broderick, 2014)","plainTextFormattedCitation":"(Gill and Broderick, 2014)","previouslyFormattedCitation":"(Gill and Broderick, 2014)"},"properties":{"noteIndex":0},"schema":"https://github.com/citation-style-language/schema/raw/master/csl-citation.json"}</w:instrText>
      </w:r>
      <w:r w:rsidRPr="00B222F2">
        <w:rPr>
          <w:lang w:val="en-GB"/>
        </w:rPr>
        <w:fldChar w:fldCharType="separate"/>
      </w:r>
      <w:r w:rsidRPr="00B222F2">
        <w:rPr>
          <w:noProof/>
          <w:lang w:val="en-GB"/>
        </w:rPr>
        <w:t>(Gill and Broderick, 2014)</w:t>
      </w:r>
      <w:r w:rsidRPr="00B222F2">
        <w:rPr>
          <w:lang w:val="en-GB"/>
        </w:rPr>
        <w:fldChar w:fldCharType="end"/>
      </w:r>
      <w:r w:rsidRPr="00B222F2">
        <w:rPr>
          <w:lang w:val="en-GB"/>
        </w:rPr>
        <w:t xml:space="preserve">. Specifically, emerging customer shopping habits and the preference for convenience and health have been some of the driving factors compelling M&amp;S to push for change and increase its market share in the food market. In 2020, M&amp;S pursued one of the significant changes implemented in august and formed a £750 million deal with Ocado Group. </w:t>
      </w:r>
    </w:p>
    <w:p w14:paraId="2D58DA0E" w14:textId="109C2239" w:rsidR="00192A6C" w:rsidRPr="00B222F2" w:rsidRDefault="00192A6C" w:rsidP="00192A6C">
      <w:pPr>
        <w:spacing w:line="480" w:lineRule="auto"/>
        <w:ind w:firstLine="720"/>
        <w:rPr>
          <w:lang w:val="en-GB"/>
        </w:rPr>
      </w:pPr>
      <w:r w:rsidRPr="00B222F2">
        <w:rPr>
          <w:lang w:val="en-GB"/>
        </w:rPr>
        <w:lastRenderedPageBreak/>
        <w:t xml:space="preserve">Ocado Group represents a </w:t>
      </w:r>
      <w:proofErr w:type="gramStart"/>
      <w:r w:rsidR="00791D96">
        <w:rPr>
          <w:lang w:val="en-GB"/>
        </w:rPr>
        <w:t>publicly-traded</w:t>
      </w:r>
      <w:proofErr w:type="gramEnd"/>
      <w:r w:rsidRPr="00B222F2">
        <w:rPr>
          <w:lang w:val="en-GB"/>
        </w:rPr>
        <w:t xml:space="preserve"> company found in 2000 that has become a leader in fostering online shopping by enhancing the convenience of customers. For more than two decades, the Ocado Group has demonstrated its expertise in meeting customer needs through its proprietary end-to-end software systems and physical fulfilment assets that help the company deliver products to customers </w:t>
      </w:r>
      <w:r w:rsidRPr="00B222F2">
        <w:rPr>
          <w:lang w:val="en-GB"/>
        </w:rPr>
        <w:fldChar w:fldCharType="begin" w:fldLock="1"/>
      </w:r>
      <w:r w:rsidRPr="00B222F2">
        <w:rPr>
          <w:lang w:val="en-GB"/>
        </w:rPr>
        <w:instrText>ADDIN CSL_CITATION {"citationItems":[{"id":"ITEM-1","itemData":{"DOI":"10.1002/9780470753699.ch11","ISBN":"9780470028025","author":[{"dropping-particle":"","family":"Stafford","given":"James","non-dropping-particle":"","parse-names":false,"suffix":""}],"container-title":"Smart Packaging Technologies for Fast Moving Consumer Goods","id":"ITEM-1","issued":{"date-parts":[["2008","4","11"]]},"page":"197-210","publisher":"John Wiley &amp; Sons, Ltd","title":"How Marks and Spencer is Using RFID to Improve Customer Service and Business Efficiency: A Case Study","type":"chapter"},"uris":["http://www.mendeley.com/documents/?uuid=854ad0be-31be-3eed-9e2b-252f3edd7a33"]}],"mendeley":{"formattedCitation":"(Stafford, 2008)","plainTextFormattedCitation":"(Stafford, 2008)","previouslyFormattedCitation":"(Stafford, 2008)"},"properties":{"noteIndex":0},"schema":"https://github.com/citation-style-language/schema/raw/master/csl-citation.json"}</w:instrText>
      </w:r>
      <w:r w:rsidRPr="00B222F2">
        <w:rPr>
          <w:lang w:val="en-GB"/>
        </w:rPr>
        <w:fldChar w:fldCharType="separate"/>
      </w:r>
      <w:r w:rsidRPr="00B222F2">
        <w:rPr>
          <w:noProof/>
          <w:lang w:val="en-GB"/>
        </w:rPr>
        <w:t>(Stafford, 2008)</w:t>
      </w:r>
      <w:r w:rsidRPr="00B222F2">
        <w:rPr>
          <w:lang w:val="en-GB"/>
        </w:rPr>
        <w:fldChar w:fldCharType="end"/>
      </w:r>
      <w:r w:rsidRPr="00B222F2">
        <w:rPr>
          <w:lang w:val="en-GB"/>
        </w:rPr>
        <w:t>. For these two decades, the Ocado Group had transformed online grocery shopping by providing custom-designed solutions to enhance flexibility, productivity and increase profit margins for different grocery retailers. Through the company</w:t>
      </w:r>
      <w:r>
        <w:rPr>
          <w:lang w:val="en-GB"/>
        </w:rPr>
        <w:t xml:space="preserve"> </w:t>
      </w:r>
      <w:r w:rsidRPr="00B222F2">
        <w:rPr>
          <w:lang w:val="en-GB"/>
        </w:rPr>
        <w:t xml:space="preserve">technology and engineering expertise, it has developed effective ways of </w:t>
      </w:r>
      <w:r w:rsidR="00791D96">
        <w:rPr>
          <w:lang w:val="en-GB"/>
        </w:rPr>
        <w:t>maximising</w:t>
      </w:r>
      <w:r w:rsidRPr="00B222F2">
        <w:rPr>
          <w:lang w:val="en-GB"/>
        </w:rPr>
        <w:t xml:space="preserve"> efficiency in the delivery process of grocery products </w:t>
      </w:r>
      <w:r w:rsidRPr="00B222F2">
        <w:rPr>
          <w:lang w:val="en-GB"/>
        </w:rPr>
        <w:fldChar w:fldCharType="begin" w:fldLock="1"/>
      </w:r>
      <w:r w:rsidRPr="00B222F2">
        <w:rPr>
          <w:lang w:val="en-GB"/>
        </w:rPr>
        <w:instrText>ADDIN CSL_CITATION {"citationItems":[{"id":"ITEM-1","itemData":{"DOI":"10.3846/145","ISSN":"2029-2341","abstract":"The article describes the most common motives for companies’ decision to participate in mergers and acquisitions’ transactions. It underlines the importance of the growth factor, whereas the following factors – namely, synergy, diversification and so on – just support the growth motive. Since mergers and acquisitions involve two different parties – the buyer and the seller – the examples of reasons from both perspectives are provided too.","author":[{"dropping-particle":"","family":"Duksaitė","given":"Eglė","non-dropping-particle":"","parse-names":false,"suffix":""},{"dropping-particle":"","family":"Tamošiūnienė","given":"Rima","non-dropping-particle":"","parse-names":false,"suffix":""}],"container-title":"Mokslas - Lietuvos ateitis","id":"ITEM-1","issue":"3","issued":{"date-parts":[["2011","4","11"]]},"page":"21-25","publisher":"Vilnius Gediminas Technical University","title":"Why Companies Decide to Participate in Mergers and Acquisition Transactions","type":"article-journal","volume":"1"},"uris":["http://www.mendeley.com/documents/?uuid=dfc66e04-8076-3a86-8089-2c8f7fd43a96"]}],"mendeley":{"formattedCitation":"(Duksaitė and Tamošiūnienė, 2011)","plainTextFormattedCitation":"(Duksaitė and Tamošiūnienė, 2011)","previouslyFormattedCitation":"(Duksaitė and Tamošiūnienė, 2011)"},"properties":{"noteIndex":0},"schema":"https://github.com/citation-style-language/schema/raw/master/csl-citation.json"}</w:instrText>
      </w:r>
      <w:r w:rsidRPr="00B222F2">
        <w:rPr>
          <w:lang w:val="en-GB"/>
        </w:rPr>
        <w:fldChar w:fldCharType="separate"/>
      </w:r>
      <w:r w:rsidRPr="00B222F2">
        <w:rPr>
          <w:noProof/>
          <w:lang w:val="en-GB"/>
        </w:rPr>
        <w:t>(Duksaitė and Tamošiūnienė, 2011)</w:t>
      </w:r>
      <w:r w:rsidRPr="00B222F2">
        <w:rPr>
          <w:lang w:val="en-GB"/>
        </w:rPr>
        <w:fldChar w:fldCharType="end"/>
      </w:r>
      <w:r w:rsidRPr="00B222F2">
        <w:rPr>
          <w:lang w:val="en-GB"/>
        </w:rPr>
        <w:t xml:space="preserve">. </w:t>
      </w:r>
      <w:r>
        <w:rPr>
          <w:lang w:val="en-GB"/>
        </w:rPr>
        <w:t>As a result, customers</w:t>
      </w:r>
      <w:r w:rsidRPr="00B222F2">
        <w:rPr>
          <w:lang w:val="en-GB"/>
        </w:rPr>
        <w:t xml:space="preserve"> can shop confidently </w:t>
      </w:r>
      <w:r>
        <w:rPr>
          <w:lang w:val="en-GB"/>
        </w:rPr>
        <w:t>to ensure</w:t>
      </w:r>
      <w:r w:rsidRPr="00B222F2">
        <w:rPr>
          <w:lang w:val="en-GB"/>
        </w:rPr>
        <w:t xml:space="preserve"> that the Ocado Group will conveniently deliver products. As a result, the Ocado Group has significantly transformed online grocery shopping experiences by providing a credible and trusted solution in delivering products. M&amp;S was fully cognisant of the emerging trends in the </w:t>
      </w:r>
      <w:r>
        <w:rPr>
          <w:lang w:val="en-GB"/>
        </w:rPr>
        <w:t>entire</w:t>
      </w:r>
      <w:r w:rsidRPr="00B222F2">
        <w:rPr>
          <w:lang w:val="en-GB"/>
        </w:rPr>
        <w:t xml:space="preserve"> market, with an increasing number of customers registering a preference for online shopping. </w:t>
      </w:r>
      <w:r>
        <w:rPr>
          <w:lang w:val="en-GB"/>
        </w:rPr>
        <w:t xml:space="preserve">In addition, </w:t>
      </w:r>
      <w:r w:rsidRPr="00B222F2">
        <w:rPr>
          <w:lang w:val="en-GB"/>
        </w:rPr>
        <w:t xml:space="preserve">M&amp;S has customers in different locations that prefer the convenience of delivery services as soon as they make an order </w:t>
      </w:r>
      <w:r w:rsidRPr="00B222F2">
        <w:rPr>
          <w:lang w:val="en-GB"/>
        </w:rPr>
        <w:fldChar w:fldCharType="begin" w:fldLock="1"/>
      </w:r>
      <w:r w:rsidRPr="00B222F2">
        <w:rPr>
          <w:lang w:val="en-GB"/>
        </w:rPr>
        <w:instrText>ADDIN CSL_CITATION {"citationItems":[{"id":"ITEM-1","itemData":{"DOI":"10.1108/S2043-9059(2014)0000006026","ISBN":"9781783507955","ISSN":"20439067","abstract":"Purpose-The translation of corporate social responsibility (CSR) values in customer awareness and engagement with the CSR values with the corporate brand is a key challenge for UK retailers. This chapter examines the incorporation of CSR in the core brand discourse of Marks &amp; Spencer (M&amp;S), focusing on the interrelationship between CSR reporting and brand heritage. Design/methodology/approach-Using Fairclough's (1989) method of critical discourse analysis, this chapter reports on the key discourses around CSR to emerge from annual reports of M&amp;S in the period from the 1940s to 2010s.Findings-Findings identify how messages relating to CSR are shaped and presented to stakeholders, noting the textual patterns that emerge in the M&amp;S discourse. Patterns included a substantial reliance on relational values, the strategic adoption of expressive values toward specific groups (employees, suppliers), and textual cues such as metaphor and overwording as a means to draw out links to M&amp;S brand heritage. Research implications-The chapter highlights how we, as academics, need to consider both (a) the evolution of CSR reporting and how this reflects brand messages over time and (b) how CSR reporting is becoming integral in brand positioning for UK retailer brands. Practical limitations-In dealing with archival materials, it is necessary to be selective and this can limit the range of textual patterns that might be articulated in the discourse analysis. Originality/value-Limited research to date has examined the integration of CSR and brand heritage in organizational discourses. This study offers an in-depth examination of how this integration of CSR messages in brand communication has evolved for M&amp;S-one of the United Kingdom's foremost retail brands. Copyright © 2014 by Emerald Group Publishing Limited.","author":[{"dropping-particle":"","family":"Gill","given":"Deviraj","non-dropping-particle":"","parse-names":false,"suffix":""},{"dropping-particle":"","family":"Broderick","given":"Anne","non-dropping-particle":"","parse-names":false,"suffix":""}],"container-title":"Critical Studies on Corporate Responsibility, Governance and Sustainability","id":"ITEM-1","issued":{"date-parts":[["2014"]]},"page":"179-199","publisher":"Emerald Group Publishing Ltd.","title":"Brand heritage and CSR credentials: A discourse analysis of m&amp;s reports","type":"article-journal","volume":"6"},"uris":["http://www.mendeley.com/documents/?uuid=72f59756-a911-3300-bc5c-5af9108fce20"]}],"mendeley":{"formattedCitation":"(Gill and Broderick, 2014)","plainTextFormattedCitation":"(Gill and Broderick, 2014)","previouslyFormattedCitation":"(Gill and Broderick, 2014)"},"properties":{"noteIndex":0},"schema":"https://github.com/citation-style-language/schema/raw/master/csl-citation.json"}</w:instrText>
      </w:r>
      <w:r w:rsidRPr="00B222F2">
        <w:rPr>
          <w:lang w:val="en-GB"/>
        </w:rPr>
        <w:fldChar w:fldCharType="separate"/>
      </w:r>
      <w:r w:rsidRPr="00B222F2">
        <w:rPr>
          <w:noProof/>
          <w:lang w:val="en-GB"/>
        </w:rPr>
        <w:t>(Gill and Broderick, 2014)</w:t>
      </w:r>
      <w:r w:rsidRPr="00B222F2">
        <w:rPr>
          <w:lang w:val="en-GB"/>
        </w:rPr>
        <w:fldChar w:fldCharType="end"/>
      </w:r>
      <w:r w:rsidRPr="00B222F2">
        <w:rPr>
          <w:lang w:val="en-GB"/>
        </w:rPr>
        <w:t>. For these customers, the effective delivery of food products is a unique value that the retailer can add to their lives. In response to this need, M&amp;S pursued a significant deal with the Ocado Group by purchasing 50% of Ocado</w:t>
      </w:r>
      <w:r>
        <w:rPr>
          <w:lang w:val="en-GB"/>
        </w:rPr>
        <w:t xml:space="preserve"> </w:t>
      </w:r>
      <w:r w:rsidRPr="00B222F2">
        <w:rPr>
          <w:lang w:val="en-GB"/>
        </w:rPr>
        <w:t xml:space="preserve">shares and creating a partnership, Ocado Retail, which </w:t>
      </w:r>
      <w:r>
        <w:rPr>
          <w:lang w:val="en-GB"/>
        </w:rPr>
        <w:t>makes</w:t>
      </w:r>
      <w:r w:rsidRPr="00B222F2">
        <w:rPr>
          <w:lang w:val="en-GB"/>
        </w:rPr>
        <w:t xml:space="preserve"> a platform for online shoppers to order M&amp;S food products and enjoy the flowless delivery services by Ocado. </w:t>
      </w:r>
    </w:p>
    <w:p w14:paraId="44B224ED" w14:textId="329ADD0B" w:rsidR="00192A6C" w:rsidRDefault="00192A6C" w:rsidP="00192A6C">
      <w:pPr>
        <w:spacing w:line="480" w:lineRule="auto"/>
        <w:ind w:firstLine="720"/>
        <w:rPr>
          <w:lang w:val="en-GB"/>
        </w:rPr>
      </w:pPr>
      <w:r w:rsidRPr="00B222F2">
        <w:rPr>
          <w:lang w:val="en-GB"/>
        </w:rPr>
        <w:t xml:space="preserve">The purpose of Ocado retail, the partnership that the two companies established, was to take advantage of the emerging trends of grocery shoppers and customers interested in different food products delivered at their doorstep. The formation of the partnership represented one of the highly strategic changes that allowed M&amp;S to create a new platform </w:t>
      </w:r>
      <w:r w:rsidRPr="00B222F2">
        <w:rPr>
          <w:lang w:val="en-GB"/>
        </w:rPr>
        <w:lastRenderedPageBreak/>
        <w:t xml:space="preserve">for the home delivery of its food and grocery through </w:t>
      </w:r>
      <w:r>
        <w:rPr>
          <w:lang w:val="en-GB"/>
        </w:rPr>
        <w:t>Ocado's</w:t>
      </w:r>
      <w:r w:rsidRPr="00B222F2">
        <w:rPr>
          <w:lang w:val="en-GB"/>
        </w:rPr>
        <w:t xml:space="preserve"> technology and well-established logistics expertise </w:t>
      </w:r>
      <w:r w:rsidRPr="00B222F2">
        <w:rPr>
          <w:lang w:val="en-GB"/>
        </w:rPr>
        <w:fldChar w:fldCharType="begin" w:fldLock="1"/>
      </w:r>
      <w:r w:rsidRPr="00B222F2">
        <w:rPr>
          <w:lang w:val="en-GB"/>
        </w:rPr>
        <w:instrText>ADDIN CSL_CITATION {"citationItems":[{"id":"ITEM-1","itemData":{"DOI":"10.1002/9780470753699.ch11","ISBN":"9780470028025","author":[{"dropping-particle":"","family":"Stafford","given":"James","non-dropping-particle":"","parse-names":false,"suffix":""}],"container-title":"Smart Packaging Technologies for Fast Moving Consumer Goods","id":"ITEM-1","issued":{"date-parts":[["2008","4","11"]]},"page":"197-210","publisher":"John Wiley &amp; Sons, Ltd","title":"How Marks and Spencer is Using RFID to Improve Customer Service and Business Efficiency: A Case Study","type":"chapter"},"uris":["http://www.mendeley.com/documents/?uuid=854ad0be-31be-3eed-9e2b-252f3edd7a33"]}],"mendeley":{"formattedCitation":"(Stafford, 2008)","plainTextFormattedCitation":"(Stafford, 2008)","previouslyFormattedCitation":"(Stafford, 2008)"},"properties":{"noteIndex":0},"schema":"https://github.com/citation-style-language/schema/raw/master/csl-citation.json"}</w:instrText>
      </w:r>
      <w:r w:rsidRPr="00B222F2">
        <w:rPr>
          <w:lang w:val="en-GB"/>
        </w:rPr>
        <w:fldChar w:fldCharType="separate"/>
      </w:r>
      <w:r w:rsidRPr="00B222F2">
        <w:rPr>
          <w:noProof/>
          <w:lang w:val="en-GB"/>
        </w:rPr>
        <w:t>(Stafford, 2008)</w:t>
      </w:r>
      <w:r w:rsidRPr="00B222F2">
        <w:rPr>
          <w:lang w:val="en-GB"/>
        </w:rPr>
        <w:fldChar w:fldCharType="end"/>
      </w:r>
      <w:r w:rsidRPr="00B222F2">
        <w:rPr>
          <w:lang w:val="en-GB"/>
        </w:rPr>
        <w:t xml:space="preserve">. Notably, the deal between M&amp;S and Ocado involved M&amp;S purchasing a 50% stake of </w:t>
      </w:r>
      <w:r>
        <w:rPr>
          <w:lang w:val="en-GB"/>
        </w:rPr>
        <w:t>Ocado's</w:t>
      </w:r>
      <w:r w:rsidRPr="00B222F2">
        <w:rPr>
          <w:lang w:val="en-GB"/>
        </w:rPr>
        <w:t xml:space="preserve"> retail arm, which translates to the supply of groceries to Ocado. Similarly, the deal allows M&amp;S to </w:t>
      </w:r>
      <w:r w:rsidR="00791D96">
        <w:rPr>
          <w:lang w:val="en-GB"/>
        </w:rPr>
        <w:t>utilise</w:t>
      </w:r>
      <w:r w:rsidRPr="00B222F2">
        <w:rPr>
          <w:lang w:val="en-GB"/>
        </w:rPr>
        <w:t xml:space="preserve"> </w:t>
      </w:r>
      <w:r>
        <w:rPr>
          <w:lang w:val="en-GB"/>
        </w:rPr>
        <w:t>Ocado's</w:t>
      </w:r>
      <w:r w:rsidRPr="00B222F2">
        <w:rPr>
          <w:lang w:val="en-GB"/>
        </w:rPr>
        <w:t xml:space="preserve"> unique capabilities in delivery logistics. The 50-50 share deal that led to the formation of Ocado retail translates to shared responsibility in the execution of transactions while allowing M&amp;S to enjoy an increased market share in the grocery industry. Specifically, the deal matured during the Covid-19 pandemic, a time when M&amp;S stores were no longer operational due to the Covid-19 restrictions. Despite the condition brought about by the pandemic, M&amp;S kept its promise to deliver 6000 product lines to Ocado in the form of ready meals, fresh produce, and groceries. By </w:t>
      </w:r>
      <w:r>
        <w:rPr>
          <w:lang w:val="en-GB"/>
        </w:rPr>
        <w:t>1 September</w:t>
      </w:r>
      <w:r w:rsidRPr="00B222F2">
        <w:rPr>
          <w:lang w:val="en-GB"/>
        </w:rPr>
        <w:t xml:space="preserve"> 2020, 5000 of these product lines were available for orders in the </w:t>
      </w:r>
      <w:r w:rsidR="00791D96">
        <w:rPr>
          <w:lang w:val="en-GB"/>
        </w:rPr>
        <w:t>realisation</w:t>
      </w:r>
      <w:r w:rsidRPr="00B222F2">
        <w:rPr>
          <w:lang w:val="en-GB"/>
        </w:rPr>
        <w:t xml:space="preserve"> of the M&amp;S-Ocado partnership. The two companies paid closer attention to the supply chain logistics and product databases to ensure that about 6000 food products were available for customers. Per the partnership rules, customers have the privilege of ordering M&amp;S products through the Ocado platform and enjoying more than 50,000 products on Ocado </w:t>
      </w:r>
      <w:r>
        <w:rPr>
          <w:lang w:val="en-GB"/>
        </w:rPr>
        <w:t>Retail's</w:t>
      </w:r>
      <w:r w:rsidRPr="00B222F2">
        <w:rPr>
          <w:lang w:val="en-GB"/>
        </w:rPr>
        <w:t xml:space="preserve"> range of products. </w:t>
      </w:r>
    </w:p>
    <w:p w14:paraId="013F69C6" w14:textId="77777777" w:rsidR="00192A6C" w:rsidRDefault="00192A6C" w:rsidP="00192A6C">
      <w:pPr>
        <w:spacing w:line="480" w:lineRule="auto"/>
        <w:ind w:firstLine="720"/>
        <w:rPr>
          <w:lang w:val="en-GB"/>
        </w:rPr>
      </w:pPr>
    </w:p>
    <w:p w14:paraId="78C983F4" w14:textId="77777777" w:rsidR="00192A6C" w:rsidRDefault="00192A6C" w:rsidP="00192A6C">
      <w:pPr>
        <w:spacing w:line="480" w:lineRule="auto"/>
        <w:ind w:firstLine="720"/>
        <w:rPr>
          <w:lang w:val="en-GB"/>
        </w:rPr>
      </w:pPr>
    </w:p>
    <w:p w14:paraId="65D81C3A" w14:textId="77777777" w:rsidR="00192A6C" w:rsidRDefault="00192A6C" w:rsidP="00192A6C">
      <w:pPr>
        <w:spacing w:line="480" w:lineRule="auto"/>
        <w:ind w:firstLine="720"/>
        <w:rPr>
          <w:lang w:val="en-GB"/>
        </w:rPr>
      </w:pPr>
    </w:p>
    <w:p w14:paraId="2EBFDABA" w14:textId="77777777" w:rsidR="00192A6C" w:rsidRDefault="00192A6C" w:rsidP="00192A6C">
      <w:pPr>
        <w:spacing w:line="480" w:lineRule="auto"/>
        <w:ind w:firstLine="720"/>
        <w:rPr>
          <w:lang w:val="en-GB"/>
        </w:rPr>
      </w:pPr>
    </w:p>
    <w:p w14:paraId="1136DC80" w14:textId="77777777" w:rsidR="00192A6C" w:rsidRDefault="00192A6C" w:rsidP="00192A6C">
      <w:pPr>
        <w:spacing w:line="480" w:lineRule="auto"/>
        <w:ind w:firstLine="720"/>
        <w:rPr>
          <w:lang w:val="en-GB"/>
        </w:rPr>
      </w:pPr>
    </w:p>
    <w:p w14:paraId="00B5E68E" w14:textId="77777777" w:rsidR="00192A6C" w:rsidRDefault="00192A6C" w:rsidP="00192A6C">
      <w:pPr>
        <w:spacing w:line="480" w:lineRule="auto"/>
        <w:ind w:firstLine="720"/>
        <w:rPr>
          <w:lang w:val="en-GB"/>
        </w:rPr>
      </w:pPr>
    </w:p>
    <w:p w14:paraId="5D5A9712" w14:textId="77777777" w:rsidR="00192A6C" w:rsidRPr="00B222F2" w:rsidRDefault="00192A6C" w:rsidP="00192A6C">
      <w:pPr>
        <w:spacing w:line="480" w:lineRule="auto"/>
        <w:ind w:firstLine="720"/>
        <w:rPr>
          <w:lang w:val="en-GB"/>
        </w:rPr>
      </w:pPr>
    </w:p>
    <w:p w14:paraId="7762844C" w14:textId="77777777" w:rsidR="00192A6C" w:rsidRPr="00B222F2" w:rsidRDefault="00192A6C" w:rsidP="00192A6C">
      <w:pPr>
        <w:pStyle w:val="Heading2"/>
        <w:spacing w:line="480" w:lineRule="auto"/>
        <w:rPr>
          <w:rFonts w:cs="Times New Roman"/>
          <w:lang w:val="en-GB"/>
        </w:rPr>
      </w:pPr>
      <w:bookmarkStart w:id="5" w:name="_Toc75435242"/>
      <w:bookmarkStart w:id="6" w:name="_Toc75437508"/>
      <w:r w:rsidRPr="00B222F2">
        <w:rPr>
          <w:rFonts w:cs="Times New Roman"/>
          <w:lang w:val="en-GB"/>
        </w:rPr>
        <w:lastRenderedPageBreak/>
        <w:t>2.2 Reason for the Stated Change</w:t>
      </w:r>
      <w:bookmarkEnd w:id="5"/>
      <w:bookmarkEnd w:id="6"/>
    </w:p>
    <w:p w14:paraId="197A5F75" w14:textId="7C319369" w:rsidR="00192A6C" w:rsidRPr="00B222F2" w:rsidRDefault="00192A6C" w:rsidP="00192A6C">
      <w:pPr>
        <w:spacing w:line="480" w:lineRule="auto"/>
        <w:ind w:firstLine="720"/>
        <w:rPr>
          <w:lang w:val="en-GB"/>
        </w:rPr>
      </w:pPr>
      <w:r w:rsidRPr="00B222F2">
        <w:rPr>
          <w:lang w:val="en-GB"/>
        </w:rPr>
        <w:t xml:space="preserve">M&amp;S decided to acquire 50% of Ocado Group. The conclusion of the acquisition allowed the company to form a 50-50 joint venture with Ocado Group. Companies choose to make such acquisitions to achieve specific strategic goals </w:t>
      </w:r>
      <w:r w:rsidRPr="00B222F2">
        <w:rPr>
          <w:lang w:val="en-GB"/>
        </w:rPr>
        <w:fldChar w:fldCharType="begin" w:fldLock="1"/>
      </w:r>
      <w:r w:rsidRPr="00B222F2">
        <w:rPr>
          <w:lang w:val="en-GB"/>
        </w:rPr>
        <w:instrText>ADDIN CSL_CITATION {"citationItems":[{"id":"ITEM-1","itemData":{"DOI":"10.1016/s2212-5671(13)00075-0","ISSN":"22125671","abstract":"The present study attempts to investigate whether differences in the quality of firm level corporate governance influence short-term performance of acquiring firms for a sample of companies by creating a corporate governance index. The study is based on a survey of sample of 155 companies having completed mergers and acquisitions deals announced during January 2003 to December 2008. We document a positive relationship between corporate governance score and short-term abnormal returns by constructing broad corporate governance Index (CGI) for Indian public listed companies. We use a broad, multifactor corporate governance score, which is based on the responses to objective survey questions supplemented with interviews of senior management, directors, CFOs, board members, company secretaries, compliance officers, and investor relation officers. The questionnaire is designed on the basis of major standard qualities relevant to measure the corporate governance. The present study concludes that companies with higher rank for corporate governance score have better short-term performance which is revealed from positive and higher abnormal returns during the event windows.","author":[{"dropping-particle":"","family":"Rani","given":"Neelam","non-dropping-particle":"","parse-names":false,"suffix":""},{"dropping-particle":"","family":"Yadav","given":"Surendra S.","non-dropping-particle":"","parse-names":false,"suffix":""},{"dropping-particle":"","family":"Jain","given":"P.K.","non-dropping-particle":"","parse-names":false,"suffix":""}],"container-title":"Procedia Economics and Finance","id":"ITEM-1","issued":{"date-parts":[["2013"]]},"page":"637-646","publisher":"Elsevier BV","title":"Impact of Corporate Governance Score on Abnormal Returns of Mergers and Acquisitions","type":"article-journal","volume":"5"},"uris":["http://www.mendeley.com/documents/?uuid=1e8ce968-4c17-3c77-b002-2f57f20406b8"]}],"mendeley":{"formattedCitation":"(Rani, Yadav and Jain, 2013)","plainTextFormattedCitation":"(Rani, Yadav and Jain, 2013)","previouslyFormattedCitation":"(Rani, Yadav and Jain, 2013)"},"properties":{"noteIndex":0},"schema":"https://github.com/citation-style-language/schema/raw/master/csl-citation.json"}</w:instrText>
      </w:r>
      <w:r w:rsidRPr="00B222F2">
        <w:rPr>
          <w:lang w:val="en-GB"/>
        </w:rPr>
        <w:fldChar w:fldCharType="separate"/>
      </w:r>
      <w:r w:rsidRPr="00B222F2">
        <w:rPr>
          <w:noProof/>
          <w:lang w:val="en-GB"/>
        </w:rPr>
        <w:t>(Rani, Yadav and Jain, 2013)</w:t>
      </w:r>
      <w:r w:rsidRPr="00B222F2">
        <w:rPr>
          <w:lang w:val="en-GB"/>
        </w:rPr>
        <w:fldChar w:fldCharType="end"/>
      </w:r>
      <w:r w:rsidRPr="00B222F2">
        <w:rPr>
          <w:lang w:val="en-GB"/>
        </w:rPr>
        <w:t xml:space="preserve">. For M&amp;S, the costly </w:t>
      </w:r>
      <w:r>
        <w:rPr>
          <w:lang w:val="en-GB"/>
        </w:rPr>
        <w:t>investment</w:t>
      </w:r>
      <w:r w:rsidRPr="00B222F2">
        <w:rPr>
          <w:lang w:val="en-GB"/>
        </w:rPr>
        <w:t xml:space="preserve"> represented an effort for the company to re-invent itself, increase market share, and gain access to new resources and capabilities </w:t>
      </w:r>
      <w:r w:rsidRPr="00B222F2">
        <w:rPr>
          <w:lang w:val="en-GB"/>
        </w:rPr>
        <w:fldChar w:fldCharType="begin" w:fldLock="1"/>
      </w:r>
      <w:r w:rsidRPr="00B222F2">
        <w:rPr>
          <w:lang w:val="en-GB"/>
        </w:rPr>
        <w:instrText>ADDIN CSL_CITATION {"citationItems":[{"id":"ITEM-1","itemData":{"DOI":"10.1080/09585192.2014.985330","ISSN":"14664399","abstract":"Communication is generally viewed as a critical component in mergers and acquisitions (M&amp;A) performance, yet surprisingly little research has examined the link between different communication approaches and M&amp;A outcomes. This paper provides a systematic empirical study to evaluate the link between communication approaches and M&amp;As outcome. Specifically, a typology is created to examine interaction between the process and content of communication and M&amp;A outcomes, in terms of employee commitment to merged organization strategy and M&amp;A survival. Using data drawn from a single clearly defined M&amp;A wave in the Nigerian banking sector, different communication practices are related to M&amp;A outcomes. The findings are the first to show the effects of communications practices in African M&amp;A and answer the calls for extending M&amp;A research beyond western developed countries. They confirm the importance of communication practices in M&amp;A, extend earlier findings on the importance of post-acquisition integration communication in US and European contexts and show the importance of communicating throughout the whole M&amp;A process.","author":[{"dropping-particle":"","family":"Angwin","given":"Duncan N.","non-dropping-particle":"","parse-names":false,"suffix":""},{"dropping-particle":"","family":"Mellahi","given":"Kamel","non-dropping-particle":"","parse-names":false,"suffix":""},{"dropping-particle":"","family":"Gomes","given":"Emanuel","non-dropping-particle":"","parse-names":false,"suffix":""},{"dropping-particle":"","family":"Peter","given":"Emmanuel","non-dropping-particle":"","parse-names":false,"suffix":""}],"container-title":"International Journal of Human Resource Management","id":"ITEM-1","issue":"20","issued":{"date-parts":[["2016","11","12"]]},"page":"2370-2397","publisher":"Routledge","title":"How communication approaches impact mergers and acquisitions outcomes","type":"article-journal","volume":"27"},"uris":["http://www.mendeley.com/documents/?uuid=befc0daf-3f6b-3abd-8db7-70fd181fb99f"]}],"mendeley":{"formattedCitation":"(Angwin &lt;i&gt;et al.&lt;/i&gt;, 2016)","plainTextFormattedCitation":"(Angwin et al., 2016)","previouslyFormattedCitation":"(Angwin &lt;i&gt;et al.&lt;/i&gt;, 2016)"},"properties":{"noteIndex":0},"schema":"https://github.com/citation-style-language/schema/raw/master/csl-citation.json"}</w:instrText>
      </w:r>
      <w:r w:rsidRPr="00B222F2">
        <w:rPr>
          <w:lang w:val="en-GB"/>
        </w:rPr>
        <w:fldChar w:fldCharType="separate"/>
      </w:r>
      <w:r w:rsidRPr="00B222F2">
        <w:rPr>
          <w:noProof/>
          <w:lang w:val="en-GB"/>
        </w:rPr>
        <w:t xml:space="preserve">(Angwin </w:t>
      </w:r>
      <w:r w:rsidRPr="00B222F2">
        <w:rPr>
          <w:i/>
          <w:noProof/>
          <w:lang w:val="en-GB"/>
        </w:rPr>
        <w:t>et al.</w:t>
      </w:r>
      <w:r w:rsidRPr="00B222F2">
        <w:rPr>
          <w:noProof/>
          <w:lang w:val="en-GB"/>
        </w:rPr>
        <w:t>, 2016)</w:t>
      </w:r>
      <w:r w:rsidRPr="00B222F2">
        <w:rPr>
          <w:lang w:val="en-GB"/>
        </w:rPr>
        <w:fldChar w:fldCharType="end"/>
      </w:r>
      <w:r w:rsidRPr="00B222F2">
        <w:rPr>
          <w:lang w:val="en-GB"/>
        </w:rPr>
        <w:t xml:space="preserve">. The acquisition can foster a level of integration between two entities, </w:t>
      </w:r>
      <w:r w:rsidR="00791D96">
        <w:rPr>
          <w:lang w:val="en-GB"/>
        </w:rPr>
        <w:t>emphasising</w:t>
      </w:r>
      <w:r w:rsidRPr="00B222F2">
        <w:rPr>
          <w:lang w:val="en-GB"/>
        </w:rPr>
        <w:t xml:space="preserve"> achieving synergy, diversification, and a reaction from other players in the industry </w:t>
      </w:r>
      <w:r w:rsidRPr="00B222F2">
        <w:rPr>
          <w:lang w:val="en-GB"/>
        </w:rPr>
        <w:fldChar w:fldCharType="begin" w:fldLock="1"/>
      </w:r>
      <w:r w:rsidRPr="00B222F2">
        <w:rPr>
          <w:lang w:val="en-GB"/>
        </w:rPr>
        <w:instrText>ADDIN CSL_CITATION {"citationItems":[{"id":"ITEM-1","itemData":{"DOI":"10.1080/1331677X.2018.1429296","ISSN":"1331677X","abstract":"Using data about the US banking industry, the study investigates how the support disclosed by funds in corporate meetings influences the success of the completion of mergers and acquisitions (M&amp;A). The methodological approach relies on the use of instrumental variables with the generalised method of moments (GMM). The results indicate that the voting support exercises a negative influence over the success of M&amp;A, validating the probable presence of agency-driven behaviour in explaining M&amp;A completion, and indicating that low governance and activism inspires independent behaviour of managers, proceeding against the wishes, position or interests of shareholders. Considering that voting performance has been reported as a proxy for reputational harm, the results provide some understanding about how the success in M&amp;A in the US banking industry may be related to reputational consequences infiltrated through voting decisions.","author":[{"dropping-particle":"","family":"Vizcaíno-González","given":"Marcos","non-dropping-particle":"","parse-names":false,"suffix":""},{"dropping-particle":"","family":"Navío-Marco","given":"Julio","non-dropping-particle":"","parse-names":false,"suffix":""}],"container-title":"Economic Research-Ekonomska Istrazivanja ","id":"ITEM-1","issue":"1","issued":{"date-parts":[["2018","1","1"]]},"page":"228-239","publisher":"Taylor and Francis Ltd.","title":"Influence of shareholders’ support over mergers and acquisitions in US banks","type":"article-journal","volume":"31"},"uris":["http://www.mendeley.com/documents/?uuid=57ecf497-780d-3e18-8042-7294e4878edf"]}],"mendeley":{"formattedCitation":"(Vizcaíno-González and Navío-Marco, 2018)","plainTextFormattedCitation":"(Vizcaíno-González and Navío-Marco, 2018)","previouslyFormattedCitation":"(Vizcaíno-González and Navío-Marco, 2018)"},"properties":{"noteIndex":0},"schema":"https://github.com/citation-style-language/schema/raw/master/csl-citation.json"}</w:instrText>
      </w:r>
      <w:r w:rsidRPr="00B222F2">
        <w:rPr>
          <w:lang w:val="en-GB"/>
        </w:rPr>
        <w:fldChar w:fldCharType="separate"/>
      </w:r>
      <w:r w:rsidRPr="00B222F2">
        <w:rPr>
          <w:noProof/>
          <w:lang w:val="en-GB"/>
        </w:rPr>
        <w:t>(Vizcaíno-González and Navío-Marco, 2018)</w:t>
      </w:r>
      <w:r w:rsidRPr="00B222F2">
        <w:rPr>
          <w:lang w:val="en-GB"/>
        </w:rPr>
        <w:fldChar w:fldCharType="end"/>
      </w:r>
      <w:r w:rsidRPr="00B222F2">
        <w:rPr>
          <w:lang w:val="en-GB"/>
        </w:rPr>
        <w:t xml:space="preserve">. In the context of synergy, it is apparent that an acquisition translates to combined benefits that surpass the current advantages of each firm in the industry. Pursuing an acquisition leads to integrating multiple systems to generate a higher market standing and better prospects in the future </w:t>
      </w:r>
      <w:r w:rsidRPr="00B222F2">
        <w:rPr>
          <w:lang w:val="en-GB"/>
        </w:rPr>
        <w:fldChar w:fldCharType="begin" w:fldLock="1"/>
      </w:r>
      <w:r w:rsidRPr="00B222F2">
        <w:rPr>
          <w:lang w:val="en-GB"/>
        </w:rPr>
        <w:instrText>ADDIN CSL_CITATION {"citationItems":[{"id":"ITEM-1","itemData":{"DOI":"10.1016/j.ribaf.2015.09.024","ISSN":"02755319","abstract":"The study looks at mergers and acquisitions (M&amp;As) in ASEAN countries and examines the post-M&amp;A performance using data from 2001 to 2012. The industry-adjusted operating performance tends to decline in the 3 years following an M&amp;A. Yet, the results suggest that M&amp;As completed during the financial crisis are more profitable than those implemented before and/or after the crisis. We argue that this is mainly due to the synergies created between the firms' resources during the crisis which augur well for firms' economic performance. We find that, during the crisis, certain characteristics of the firms like the relative size of the target, cross-border nature of deals, acquirer's cash reserves and friendly nature of deals are important determinants of long-term post-M&amp;A operating performance. However, for M&amp;As during the crisis, there appears to be no relationship between performance and firms' characteristics linked to M&amp;A activity such as payment method, industry relatedness and percentage of target's share acquired.","author":[{"dropping-particle":"","family":"Rao-Nicholson","given":"Rekha","non-dropping-particle":"","parse-names":false,"suffix":""},{"dropping-particle":"","family":"Salaber","given":"Julie","non-dropping-particle":"","parse-names":false,"suffix":""},{"dropping-particle":"","family":"Cao","given":"Tuan Hiep","non-dropping-particle":"","parse-names":false,"suffix":""}],"container-title":"Research in International Business and Finance","id":"ITEM-1","issued":{"date-parts":[["2016","1","1"]]},"page":"373-387","publisher":"Elsevier Ltd","title":"Long-term performance of mergers and acquisitions in ASEAN countries","type":"article-journal","volume":"36"},"uris":["http://www.mendeley.com/documents/?uuid=0ef78712-43db-357e-b78d-6bf44b79bb57"]}],"mendeley":{"formattedCitation":"(Rao-Nicholson, Salaber and Cao, 2016)","plainTextFormattedCitation":"(Rao-Nicholson, Salaber and Cao, 2016)","previouslyFormattedCitation":"(Rao-Nicholson, Salaber and Cao, 2016)"},"properties":{"noteIndex":0},"schema":"https://github.com/citation-style-language/schema/raw/master/csl-citation.json"}</w:instrText>
      </w:r>
      <w:r w:rsidRPr="00B222F2">
        <w:rPr>
          <w:lang w:val="en-GB"/>
        </w:rPr>
        <w:fldChar w:fldCharType="separate"/>
      </w:r>
      <w:r w:rsidRPr="00B222F2">
        <w:rPr>
          <w:noProof/>
          <w:lang w:val="en-GB"/>
        </w:rPr>
        <w:t>(Rao-Nicholson, Salaber and Cao, 2016)</w:t>
      </w:r>
      <w:r w:rsidRPr="00B222F2">
        <w:rPr>
          <w:lang w:val="en-GB"/>
        </w:rPr>
        <w:fldChar w:fldCharType="end"/>
      </w:r>
      <w:r w:rsidRPr="00B222F2">
        <w:rPr>
          <w:lang w:val="en-GB"/>
        </w:rPr>
        <w:t xml:space="preserve">. The </w:t>
      </w:r>
      <w:r w:rsidR="00791D96">
        <w:rPr>
          <w:lang w:val="en-GB"/>
        </w:rPr>
        <w:t>purchase</w:t>
      </w:r>
      <w:r w:rsidRPr="00B222F2">
        <w:rPr>
          <w:lang w:val="en-GB"/>
        </w:rPr>
        <w:t xml:space="preserve"> of 50% of Ocado Group by M&amp;S has the potential to trigger a form of diversification, allowing the company to venture into a new area without much risk. Companies pursue acquisitions with the core objective of </w:t>
      </w:r>
      <w:r>
        <w:rPr>
          <w:lang w:val="en-GB"/>
        </w:rPr>
        <w:t>provoking</w:t>
      </w:r>
      <w:r w:rsidRPr="00B222F2">
        <w:rPr>
          <w:lang w:val="en-GB"/>
        </w:rPr>
        <w:t xml:space="preserve"> a reaction from other players in the industry </w:t>
      </w:r>
      <w:r w:rsidRPr="00B222F2">
        <w:rPr>
          <w:lang w:val="en-GB"/>
        </w:rPr>
        <w:fldChar w:fldCharType="begin" w:fldLock="1"/>
      </w:r>
      <w:r w:rsidRPr="00B222F2">
        <w:rPr>
          <w:lang w:val="en-GB"/>
        </w:rPr>
        <w:instrText>ADDIN CSL_CITATION {"citationItems":[{"id":"ITEM-1","itemData":{"DOI":"10.1016/j.jbankfin.2009.03.012","ISSN":"03784266","abstract":"We find that corporate governance characteristics of acquiring firms (board ownership, board size, and block-holder control) have an economically and statistically significant impact on operating performance changes following mergers. We also show that dispersion of intra-board ownership stakes is an important but heretofore overlooked factor when judging the influence of ownership on the outcomes of corporate choices. Finally, we present evidence that suggests the market sometimes under- or overreacts to merger news when initially revaluing merger partners but corrects any miscalculation following the consummation of the merger. © 2009 Elsevier B.V. All rights reserved.","author":[{"dropping-particle":"","family":"Carline","given":"Nicholas F.","non-dropping-particle":"","parse-names":false,"suffix":""},{"dropping-particle":"","family":"Linn","given":"Scott C.","non-dropping-particle":"","parse-names":false,"suffix":""},{"dropping-particle":"","family":"Yadav","given":"Pradeep K.","non-dropping-particle":"","parse-names":false,"suffix":""}],"container-title":"Journal of Banking and Finance","id":"ITEM-1","issue":"10","issued":{"date-parts":[["2009","10"]]},"page":"1829-1841","title":"Operating performance changes associated with corporate mergers and the role of corporate governance","type":"article-journal","volume":"33"},"uris":["http://www.mendeley.com/documents/?uuid=f6eb0d76-d4da-3d70-b2bf-8341a45b4cf7"]}],"mendeley":{"formattedCitation":"(Carline, Linn and Yadav, 2009)","plainTextFormattedCitation":"(Carline, Linn and Yadav, 2009)","previouslyFormattedCitation":"(Carline, Linn and Yadav, 2009)"},"properties":{"noteIndex":0},"schema":"https://github.com/citation-style-language/schema/raw/master/csl-citation.json"}</w:instrText>
      </w:r>
      <w:r w:rsidRPr="00B222F2">
        <w:rPr>
          <w:lang w:val="en-GB"/>
        </w:rPr>
        <w:fldChar w:fldCharType="separate"/>
      </w:r>
      <w:r w:rsidRPr="00B222F2">
        <w:rPr>
          <w:noProof/>
          <w:lang w:val="en-GB"/>
        </w:rPr>
        <w:t>(Carline, Linn and Yadav, 2009)</w:t>
      </w:r>
      <w:r w:rsidRPr="00B222F2">
        <w:rPr>
          <w:lang w:val="en-GB"/>
        </w:rPr>
        <w:fldChar w:fldCharType="end"/>
      </w:r>
      <w:r w:rsidRPr="00B222F2">
        <w:rPr>
          <w:lang w:val="en-GB"/>
        </w:rPr>
        <w:t xml:space="preserve">. The </w:t>
      </w:r>
      <w:r w:rsidR="00791D96">
        <w:rPr>
          <w:lang w:val="en-GB"/>
        </w:rPr>
        <w:t>aim</w:t>
      </w:r>
      <w:r w:rsidRPr="00B222F2">
        <w:rPr>
          <w:lang w:val="en-GB"/>
        </w:rPr>
        <w:t xml:space="preserve"> of such a reaction is that it is likely to create a shift in overall market share. </w:t>
      </w:r>
    </w:p>
    <w:p w14:paraId="06ACCB1F" w14:textId="77777777" w:rsidR="00192A6C" w:rsidRPr="00B222F2" w:rsidRDefault="00192A6C" w:rsidP="00192A6C">
      <w:pPr>
        <w:spacing w:line="480" w:lineRule="auto"/>
        <w:ind w:firstLine="720"/>
        <w:rPr>
          <w:lang w:val="en-GB"/>
        </w:rPr>
      </w:pPr>
      <w:r w:rsidRPr="00B222F2">
        <w:rPr>
          <w:lang w:val="en-GB"/>
        </w:rPr>
        <w:t xml:space="preserve">The decision to establish the partnership between M&amp;S and Ocado was because of a critical analysis of the environment and strategic choices. Both companies operate in </w:t>
      </w:r>
      <w:r>
        <w:rPr>
          <w:lang w:val="en-GB"/>
        </w:rPr>
        <w:t>a highly</w:t>
      </w:r>
      <w:r w:rsidRPr="00B222F2">
        <w:rPr>
          <w:lang w:val="en-GB"/>
        </w:rPr>
        <w:t xml:space="preserve"> dynamic environment that is subject to significant changes affecting the levels of profitability </w:t>
      </w:r>
      <w:r w:rsidRPr="00B222F2">
        <w:rPr>
          <w:lang w:val="en-GB"/>
        </w:rPr>
        <w:fldChar w:fldCharType="begin" w:fldLock="1"/>
      </w:r>
      <w:r w:rsidRPr="00B222F2">
        <w:rPr>
          <w:lang w:val="en-GB"/>
        </w:rPr>
        <w:instrText>ADDIN CSL_CITATION {"citationItems":[{"id":"ITEM-1","itemData":{"DOI":"10.2753/REE1540-496X4904S301","ISSN":"1540496X","abstract":"This study examines whether from the late fifth to the peak of the recent sixth acquisition wave, acquiring firms in emerging economies created operating performance following transactions. The authors analyze whether the degree of threat from corporate governance and the legal environment influences value creation. Based on ninety-eight merger and acquisition deals from 1998 to 2006, this paper concludes that emerging market acquirers typically have good operating performance before transactions occur, but that the average adjusted operating performance over a three-year period following a merger transaction shows little improvement. In addition, the square relationship that exists between postacquisition performance and the level of ownership concentration provides evidence to support both the incentive and the tunneling effects of large shareholders. Furthermore, there is no significant difference in performance improvement related to the legal framework of the acquirers' home countries, but the legal quality of target nations does have an impact on acquisition performance. Finally, our results on firm-specific governance mechanisms complicate the usefulness of audit committees on company boards but support the crucial role of independent directors. The results for country-specific legal systems confirm that a secure legal environment can help curb the practice of using ownership to extract private benefits and lead to better performance by emerging market acquirers, although legal enforcement from public institutions that is too strong reduces value.© 2013 M.E.","author":[{"dropping-particle":"","family":"Yen","given":"Tze Yu","non-dropping-particle":"","parse-names":false,"suffix":""},{"dropping-particle":"","family":"Chou","given":"Shuching","non-dropping-particle":"","parse-names":false,"suffix":""},{"dropping-particle":"","family":"André","given":"Paul","non-dropping-particle":"","parse-names":false,"suffix":""}],"container-title":"Emerging Markets Finance and Trade","id":"ITEM-1","issue":"SUPPL.3","issued":{"date-parts":[["2013","7","1"]]},"page":"5-19","title":"Operating performance of emerging market acquirers: Corporate governance issues","type":"paper-conference","volume":"49"},"uris":["http://www.mendeley.com/documents/?uuid=0178b0b5-b52f-34b2-8063-7ab4404dd8ef"]},{"id":"ITEM-2","itemData":{"DOI":"10.1016/j.emj.2014.09.001","ISSN":"02632373","abstract":"We investigate whether and how major shareholders influence M&amp;A wealth effects for listed acquirers in Europe. To that end, we examine 342 intra-European takeovers of listed target firms announced between 1997 and 2007. We find that family-controlled acquiring firms on average engage in deals with substantially larger value creation, particularly in Continental Europe. However, this positive family effect disappears in industry-diversifying acquisitions, consistent with the idea that those family-controlled firms may also pursue corporate diversification through M&amp;As in order to diversify the family wealth. Moreover, family owners across Europe cannot curb low-value acquisitions driven by managerial overconfidence. We relate this finding to the strong connections of family owners with management in family-controlled firms. Next, large institutional shareholders all over Europe are associated with the lowest-value deals, but they are able to limit the negative effects of managerial overconfidence. As to the division of M&amp;A gains, we find that regardless of their identity, large acquirer shareholders tend to put their firm in a weaker negotiation position. Lastly, we find no robust support for the idea that major owners are less likely to pursue private benefits through M&amp;As in countries with stronger investor protection.","author":[{"dropping-particle":"","family":"Craninckx","given":"Katrien","non-dropping-particle":"","parse-names":false,"suffix":""},{"dropping-particle":"","family":"Huyghebaert","given":"Nancy","non-dropping-particle":"","parse-names":false,"suffix":""}],"container-title":"European Management Journal","id":"ITEM-2","issue":"2","issued":{"date-parts":[["2015"]]},"page":"116-131","publisher":"Elsevier Ltd","title":"Large shareholders and value creation through corporate acquisitions in Europe. The identity of the controlling shareholder matters","type":"article-journal","volume":"33"},"uris":["http://www.mendeley.com/documents/?uuid=9919c542-a86a-3488-87c4-3954584f0a5f"]}],"mendeley":{"formattedCitation":"(Yen, Chou and André, 2013; Craninckx and Huyghebaert, 2015)","plainTextFormattedCitation":"(Yen, Chou and André, 2013; Craninckx and Huyghebaert, 2015)","previouslyFormattedCitation":"(Yen, Chou and André, 2013; Craninckx and Huyghebaert, 2015)"},"properties":{"noteIndex":0},"schema":"https://github.com/citation-style-language/schema/raw/master/csl-citation.json"}</w:instrText>
      </w:r>
      <w:r w:rsidRPr="00B222F2">
        <w:rPr>
          <w:lang w:val="en-GB"/>
        </w:rPr>
        <w:fldChar w:fldCharType="separate"/>
      </w:r>
      <w:r w:rsidRPr="00B222F2">
        <w:rPr>
          <w:noProof/>
          <w:lang w:val="en-GB"/>
        </w:rPr>
        <w:t>(Yen, Chou and André, 2013; Craninckx and Huyghebaert, 2015)</w:t>
      </w:r>
      <w:r w:rsidRPr="00B222F2">
        <w:rPr>
          <w:lang w:val="en-GB"/>
        </w:rPr>
        <w:fldChar w:fldCharType="end"/>
      </w:r>
      <w:r w:rsidRPr="00B222F2">
        <w:rPr>
          <w:lang w:val="en-GB"/>
        </w:rPr>
        <w:t xml:space="preserve">. Moreover, different market forces highlighted the need for the formation of the partnership to maintain the </w:t>
      </w:r>
      <w:r>
        <w:rPr>
          <w:lang w:val="en-GB"/>
        </w:rPr>
        <w:t>M&amp;S'</w:t>
      </w:r>
      <w:r w:rsidRPr="00B222F2">
        <w:rPr>
          <w:lang w:val="en-GB"/>
        </w:rPr>
        <w:t xml:space="preserve"> position in the food market. Specifically, the external environment scan demonstrated that economic, sociocultural factors and technological factors </w:t>
      </w:r>
      <w:r>
        <w:rPr>
          <w:lang w:val="en-GB"/>
        </w:rPr>
        <w:t>significantly impact</w:t>
      </w:r>
      <w:r w:rsidRPr="00B222F2">
        <w:rPr>
          <w:lang w:val="en-GB"/>
        </w:rPr>
        <w:t xml:space="preserve"> the business models that the company adopts </w:t>
      </w:r>
      <w:r w:rsidRPr="00B222F2">
        <w:rPr>
          <w:lang w:val="en-GB"/>
        </w:rPr>
        <w:fldChar w:fldCharType="begin" w:fldLock="1"/>
      </w:r>
      <w:r w:rsidRPr="00B222F2">
        <w:rPr>
          <w:lang w:val="en-GB"/>
        </w:rPr>
        <w:instrText>ADDIN CSL_CITATION {"citationItems":[{"id":"ITEM-1","itemData":{"DOI":"10.1016/j.jbankfin.2009.02.004","ISSN":"03784266","abstract":"In this paper, we investigate the long-term stock return performance of Canadian acquiring firms in the post-event period by using 1300 M&amp;A events in the 1993-2002 period. We use both event-time and calendar-time approaches and conduct robustness tests for benchmarks, methodological choices, statistical techniques and other related factors such as payment methods. We also assess the role of governance variables. Contrary to stylized facts reported in US studies, neither do we find negative abnormal long-term abnormal stock market returns once we account for methodological discrepancies nor do we find negative long-term operating performance in the post-acquisition periods for the acquirer following an acquisition event. We also find that the Canadian market reacts positively to acquisition announcements but corrects for this reaction within a short period of time. Overall we find that Canadian acquisitions do not show value destruction or overpayment. © 2009 Elsevier B.V. All rights reserved.","author":[{"dropping-particle":"","family":"Dutta","given":"Shantanu","non-dropping-particle":"","parse-names":false,"suffix":""},{"dropping-particle":"","family":"Jog","given":"Vijay","non-dropping-particle":"","parse-names":false,"suffix":""}],"container-title":"Journal of Banking and Finance","id":"ITEM-1","issue":"8","issued":{"date-parts":[["2009","8"]]},"page":"1400-1412","title":"The long-term performance of acquiring firms: A re-examination of an anomaly","type":"article-journal","volume":"33"},"uris":["http://www.mendeley.com/documents/?uuid=6261e5da-54b3-342f-82bc-85f02eea48d2"]}],"mendeley":{"formattedCitation":"(Dutta and Jog, 2009)","plainTextFormattedCitation":"(Dutta and Jog, 2009)","previouslyFormattedCitation":"(Dutta and Jog, 2009)"},"properties":{"noteIndex":0},"schema":"https://github.com/citation-style-language/schema/raw/master/csl-citation.json"}</w:instrText>
      </w:r>
      <w:r w:rsidRPr="00B222F2">
        <w:rPr>
          <w:lang w:val="en-GB"/>
        </w:rPr>
        <w:fldChar w:fldCharType="separate"/>
      </w:r>
      <w:r w:rsidRPr="00B222F2">
        <w:rPr>
          <w:noProof/>
          <w:lang w:val="en-GB"/>
        </w:rPr>
        <w:t>(Dutta and Jog, 2009)</w:t>
      </w:r>
      <w:r w:rsidRPr="00B222F2">
        <w:rPr>
          <w:lang w:val="en-GB"/>
        </w:rPr>
        <w:fldChar w:fldCharType="end"/>
      </w:r>
      <w:r w:rsidRPr="00B222F2">
        <w:rPr>
          <w:lang w:val="en-GB"/>
        </w:rPr>
        <w:t>. Economic factors during the Covid-</w:t>
      </w:r>
      <w:r w:rsidRPr="00B222F2">
        <w:rPr>
          <w:lang w:val="en-GB"/>
        </w:rPr>
        <w:lastRenderedPageBreak/>
        <w:t xml:space="preserve">19 pandemic were extremely unfavourable due to the recession that emerged as businesses closed. The Covid-19 regulations compelled </w:t>
      </w:r>
      <w:r>
        <w:rPr>
          <w:lang w:val="en-GB"/>
        </w:rPr>
        <w:t>companies</w:t>
      </w:r>
      <w:r w:rsidRPr="00B222F2">
        <w:rPr>
          <w:lang w:val="en-GB"/>
        </w:rPr>
        <w:t xml:space="preserve"> to cease their operations, with many opting to serve customers online. The social distancing rules only meant that customers would no longer visit M&amp;S stores and enjoy their favourite meals. Before the pandemic, an emerging preference for online shopping had become apparent among the United Kingdom customers. The pandemic made it mandatory for customers to reconsider online shopping as the most effective approach to gaining access to different goods. </w:t>
      </w:r>
    </w:p>
    <w:p w14:paraId="2DF91FE8" w14:textId="35462E28" w:rsidR="00192A6C" w:rsidRPr="00B222F2" w:rsidRDefault="00192A6C" w:rsidP="00192A6C">
      <w:pPr>
        <w:spacing w:line="480" w:lineRule="auto"/>
        <w:ind w:firstLine="720"/>
        <w:rPr>
          <w:lang w:val="en-GB"/>
        </w:rPr>
      </w:pPr>
      <w:r w:rsidRPr="00B222F2">
        <w:rPr>
          <w:lang w:val="en-GB"/>
        </w:rPr>
        <w:t xml:space="preserve">M&amp;S needed technological expertise as well as a diverse range of tools that allow customers to place their orders online and receive their products within the specified times to fulfil these orders. Based on the external environment scan, it was apparent that M&amp;S needed to embrace changes that would lead to meeting customer needs during the pandemic. In the context of Ocado Group, its radically distinctive deliveries proved to be an opportunity that M&amp;S </w:t>
      </w:r>
      <w:r w:rsidR="00791D96">
        <w:rPr>
          <w:lang w:val="en-GB"/>
        </w:rPr>
        <w:t>recognised</w:t>
      </w:r>
      <w:r w:rsidRPr="00B222F2">
        <w:rPr>
          <w:lang w:val="en-GB"/>
        </w:rPr>
        <w:t xml:space="preserve">. Moreover, M&amp;S needed to gain a competitive edge over other players in the food market with excellent logistics in meeting customer needs through timely deliveries </w:t>
      </w:r>
      <w:r w:rsidRPr="00B222F2">
        <w:rPr>
          <w:lang w:val="en-GB"/>
        </w:rPr>
        <w:fldChar w:fldCharType="begin" w:fldLock="1"/>
      </w:r>
      <w:r w:rsidRPr="00B222F2">
        <w:rPr>
          <w:lang w:val="en-GB"/>
        </w:rPr>
        <w:instrText>ADDIN CSL_CITATION {"citationItems":[{"id":"ITEM-1","itemData":{"DOI":"10.1109/ICMIT.2010.5492916","ISBN":"9781424465675","abstract":"In order to know how the motive of acquisition influences on its performance, multi-Dimensional analysis and regression analysis are used to analyze the sort of motives and relation between motives and long-term performance. Research indicates performance of acquirers in pre-acquisition and post-acquisition increases remarkably based on synergy motive, acquisitions based on agency motive do not create value in long term, acquirers with high ROE and ROA is more possibly based on synergy motive than those based on agency motive. © 2010 IEEE.","author":[{"dropping-particle":"","family":"Liu","given":"Hongjiu","non-dropping-particle":"","parse-names":false,"suffix":""},{"dropping-particle":"","family":"Hu","given":"Yanrong","non-dropping-particle":"","parse-names":false,"suffix":""},{"dropping-particle":"","family":"Ma","given":"Weimin","non-dropping-particle":"","parse-names":false,"suffix":""}],"container-title":"5th IEEE International Conference on Management of Innovation and Technology, ICMIT2010","id":"ITEM-1","issued":{"date-parts":[["2010"]]},"page":"1194-1197","title":"Empirical analysis of performance in acquisitions based on different motives","type":"paper-conference"},"uris":["http://www.mendeley.com/documents/?uuid=f7e15696-0e1a-32dc-92a9-73e025abe92e"]},{"id":"ITEM-2","itemData":{"DOI":"10.1080/23311975.2020.1791445","ISSN":"23311975","abstract":"This study aims to examine the long-term performance of post-Mergers and Acquisitions (M&amp;A) based on the motive’s category. This study also examines whether the governance at firm-level and country-level affects the relationship between motives and long-term performance of M&amp;A. This study uses a sample of 301 completed M&amp;A transactions of Asian companies in 11 countries from 2002 to 2012 and analyses the data using the cross-sectional moderated regression method. This study measures and categorizes M&amp;A motives into synergy and agency categories using two alternate ways, which first using the stock market reaction data of acquirer and target at the M&amp;A announcement period estimated by applying an event study methodology, and the second using the combination of the stock market reaction data and some accounting variables through logistic regression analysis. This study finds that synergy-motivated M&amp;A results in significantly higher long-term performance post-M&amp;A than agency-motivated M&amp;A. It also proves that the positive effect of M&amp;A motives on the long-term performance post-M&amp;A is significantly higher when companies have better firm-level governance quality, but a similar result cannot be proved for country-level governance. This study provides a cross-country M&amp;A study in the Asian region that has an essential role in global M&amp;A activity in recent years. Considering the possibility of changes in company structure and environment post-M&amp;A, this study contributes to provides an insight related to the role of the governance quality post-M&amp;A as a monitoring tool in the realization of M&amp;A predicted gain that can improve M&amp;A performance.","author":[{"dropping-particle":"","family":"Rani","given":"Puspita","non-dropping-particle":"","parse-names":false,"suffix":""},{"dropping-particle":"","family":"Shauki","given":"Elvia R.","non-dropping-particle":"","parse-names":false,"suffix":""},{"dropping-particle":"","family":"Darminto","given":"Darminto","non-dropping-particle":"","parse-names":false,"suffix":""},{"dropping-particle":"","family":"Prijadi","given":"Ruslan","non-dropping-particle":"","parse-names":false,"suffix":""}],"container-title":"Cogent Business and Management","id":"ITEM-2","issue":"1","issued":{"date-parts":[["2020","1","1"]]},"publisher":"Cogent OA","title":"Motives, governance, and long-term performance of mergers and acquisitions in Asia","type":"article-journal","volume":"7"},"uris":["http://www.mendeley.com/documents/?uuid=5291f61b-4172-3ea9-bfe0-3da4153bfffe"]}],"mendeley":{"formattedCitation":"(Liu, Hu and Ma, 2010; Rani &lt;i&gt;et al.&lt;/i&gt;, 2020)","plainTextFormattedCitation":"(Liu, Hu and Ma, 2010; Rani et al., 2020)","previouslyFormattedCitation":"(Liu, Hu and Ma, 2010; Rani &lt;i&gt;et al.&lt;/i&gt;, 2020)"},"properties":{"noteIndex":0},"schema":"https://github.com/citation-style-language/schema/raw/master/csl-citation.json"}</w:instrText>
      </w:r>
      <w:r w:rsidRPr="00B222F2">
        <w:rPr>
          <w:lang w:val="en-GB"/>
        </w:rPr>
        <w:fldChar w:fldCharType="separate"/>
      </w:r>
      <w:r w:rsidRPr="00B222F2">
        <w:rPr>
          <w:noProof/>
          <w:lang w:val="en-GB"/>
        </w:rPr>
        <w:t xml:space="preserve">(Liu, Hu and Ma, 2010; Rani </w:t>
      </w:r>
      <w:r w:rsidRPr="00B222F2">
        <w:rPr>
          <w:i/>
          <w:noProof/>
          <w:lang w:val="en-GB"/>
        </w:rPr>
        <w:t>et al.</w:t>
      </w:r>
      <w:r w:rsidRPr="00B222F2">
        <w:rPr>
          <w:noProof/>
          <w:lang w:val="en-GB"/>
        </w:rPr>
        <w:t>, 2020)</w:t>
      </w:r>
      <w:r w:rsidRPr="00B222F2">
        <w:rPr>
          <w:lang w:val="en-GB"/>
        </w:rPr>
        <w:fldChar w:fldCharType="end"/>
      </w:r>
      <w:r w:rsidRPr="00B222F2">
        <w:rPr>
          <w:lang w:val="en-GB"/>
        </w:rPr>
        <w:t>. For a long time, M&amp;S had exhibited limited capabilities in delivery logistics. For this reason, serving customers on online platforms would mandate M&amp;S to identify the potential solutions to take advantage</w:t>
      </w:r>
      <w:r>
        <w:rPr>
          <w:lang w:val="en-GB"/>
        </w:rPr>
        <w:t xml:space="preserve"> of</w:t>
      </w:r>
      <w:r w:rsidRPr="00B222F2">
        <w:rPr>
          <w:lang w:val="en-GB"/>
        </w:rPr>
        <w:t xml:space="preserve">. </w:t>
      </w:r>
    </w:p>
    <w:p w14:paraId="4949D13C" w14:textId="14F1109E" w:rsidR="00192A6C" w:rsidRPr="00B222F2" w:rsidRDefault="00192A6C" w:rsidP="00192A6C">
      <w:pPr>
        <w:spacing w:line="480" w:lineRule="auto"/>
        <w:ind w:firstLine="720"/>
        <w:rPr>
          <w:lang w:val="en-GB"/>
        </w:rPr>
      </w:pPr>
      <w:r w:rsidRPr="00B222F2">
        <w:rPr>
          <w:lang w:val="en-GB"/>
        </w:rPr>
        <w:t xml:space="preserve"> To expand its market share, M&amp;S focused on enhancing the delivery logistics to meet customer needs </w:t>
      </w:r>
      <w:r w:rsidRPr="00B222F2">
        <w:rPr>
          <w:lang w:val="en-GB"/>
        </w:rPr>
        <w:fldChar w:fldCharType="begin" w:fldLock="1"/>
      </w:r>
      <w:r w:rsidRPr="00B222F2">
        <w:rPr>
          <w:lang w:val="en-GB"/>
        </w:rPr>
        <w:instrText>ADDIN CSL_CITATION {"citationItems":[{"id":"ITEM-1","itemData":{"DOI":"10.1002/tie.21967","ISSN":"15206874","abstract":"Research on merger and acquisition (M&amp;A) outcome often focuses on tangible financial results and the reaction of stock markets. This research attempts to provide a more accurate assessment of M&amp;A performance by linking tangible as well as intangible M&amp;A motives to outcome assessment. The theoretical framework is based on evaluation theory. We analyze four case studies of international M&amp;As conducted by European companies. The findings indicate that M&amp;A outcome can be more accurately measured by aligning it with the motives defined by the acquiring firms. They suggest that M&amp;A outcome assessment should be considered as a process covering both premerger and postmerger stages.","author":[{"dropping-particle":"","family":"Hassan","given":"Ibne","non-dropping-particle":"","parse-names":false,"suffix":""},{"dropping-particle":"","family":"Ghauri","given":"Pervez N.","non-dropping-particle":"","parse-names":false,"suffix":""},{"dropping-particle":"","family":"Mayrhofer","given":"Ulrike","non-dropping-particle":"","parse-names":false,"suffix":""}],"container-title":"Thunderbird International Business Review","id":"ITEM-1","issue":"4","issued":{"date-parts":[["2018","7","1"]]},"page":"709-718","publisher":"Wiley-Liss Inc.","title":"Merger and acquisition motives and outcome assessment","type":"article-journal","volume":"60"},"uris":["http://www.mendeley.com/documents/?uuid=b07c3ff8-dae4-3172-9514-3dcbe99e98d4"]}],"mendeley":{"formattedCitation":"(Hassan, Ghauri and Mayrhofer, 2018)","plainTextFormattedCitation":"(Hassan, Ghauri and Mayrhofer, 2018)","previouslyFormattedCitation":"(Hassan, Ghauri and Mayrhofer, 2018)"},"properties":{"noteIndex":0},"schema":"https://github.com/citation-style-language/schema/raw/master/csl-citation.json"}</w:instrText>
      </w:r>
      <w:r w:rsidRPr="00B222F2">
        <w:rPr>
          <w:lang w:val="en-GB"/>
        </w:rPr>
        <w:fldChar w:fldCharType="separate"/>
      </w:r>
      <w:r w:rsidRPr="00B222F2">
        <w:rPr>
          <w:noProof/>
          <w:lang w:val="en-GB"/>
        </w:rPr>
        <w:t>(Hassan, Ghauri and Mayrhofer, 2018)</w:t>
      </w:r>
      <w:r w:rsidRPr="00B222F2">
        <w:rPr>
          <w:lang w:val="en-GB"/>
        </w:rPr>
        <w:fldChar w:fldCharType="end"/>
      </w:r>
      <w:r w:rsidRPr="00B222F2">
        <w:rPr>
          <w:lang w:val="en-GB"/>
        </w:rPr>
        <w:t xml:space="preserve">. Since the company lacked these capabilities, it opted for a partnership with Ocado Group that provided a unique delivery system that customers can trust. M&amp;S pursued an operational change in the form of an acquisition. Acquisitions represent </w:t>
      </w:r>
      <w:r>
        <w:rPr>
          <w:lang w:val="en-GB"/>
        </w:rPr>
        <w:t>essential</w:t>
      </w:r>
      <w:r w:rsidRPr="00B222F2">
        <w:rPr>
          <w:lang w:val="en-GB"/>
        </w:rPr>
        <w:t xml:space="preserve"> operational changes that foster the capabilities of an </w:t>
      </w:r>
      <w:r w:rsidR="00791D96">
        <w:rPr>
          <w:lang w:val="en-GB"/>
        </w:rPr>
        <w:t>organisation</w:t>
      </w:r>
      <w:r w:rsidRPr="00B222F2">
        <w:rPr>
          <w:lang w:val="en-GB"/>
        </w:rPr>
        <w:t xml:space="preserve"> to compete effectively in the market. For </w:t>
      </w:r>
      <w:r>
        <w:rPr>
          <w:lang w:val="en-GB"/>
        </w:rPr>
        <w:t xml:space="preserve">M &amp; </w:t>
      </w:r>
      <w:r w:rsidRPr="00B222F2">
        <w:rPr>
          <w:lang w:val="en-GB"/>
        </w:rPr>
        <w:t xml:space="preserve">M&amp;S, the acquisition translated to </w:t>
      </w:r>
      <w:r>
        <w:rPr>
          <w:lang w:val="en-GB"/>
        </w:rPr>
        <w:t>a productive</w:t>
      </w:r>
      <w:r w:rsidRPr="00B222F2">
        <w:rPr>
          <w:lang w:val="en-GB"/>
        </w:rPr>
        <w:t xml:space="preserve"> way of enhancing its technological abilities and allowing the company to make its food products available </w:t>
      </w:r>
      <w:r>
        <w:rPr>
          <w:lang w:val="en-GB"/>
        </w:rPr>
        <w:t>online</w:t>
      </w:r>
      <w:r w:rsidRPr="00B222F2">
        <w:rPr>
          <w:lang w:val="en-GB"/>
        </w:rPr>
        <w:t xml:space="preserve">. </w:t>
      </w:r>
      <w:r w:rsidR="00791D96">
        <w:rPr>
          <w:lang w:val="en-GB"/>
        </w:rPr>
        <w:t>Organisations</w:t>
      </w:r>
      <w:r w:rsidRPr="00B222F2">
        <w:rPr>
          <w:lang w:val="en-GB"/>
        </w:rPr>
        <w:t xml:space="preserve"> focus on acquisitions in a </w:t>
      </w:r>
      <w:r w:rsidRPr="00B222F2">
        <w:rPr>
          <w:lang w:val="en-GB"/>
        </w:rPr>
        <w:lastRenderedPageBreak/>
        <w:t xml:space="preserve">bid to </w:t>
      </w:r>
      <w:r>
        <w:rPr>
          <w:lang w:val="en-GB"/>
        </w:rPr>
        <w:t>improve</w:t>
      </w:r>
      <w:r w:rsidRPr="00B222F2">
        <w:rPr>
          <w:lang w:val="en-GB"/>
        </w:rPr>
        <w:t xml:space="preserve"> their ability to increase market share and meet different customer needs, as is the case with M&amp;S. The decision to opt for an acquisition is a strategic approach </w:t>
      </w:r>
      <w:r>
        <w:rPr>
          <w:lang w:val="en-GB"/>
        </w:rPr>
        <w:t>to</w:t>
      </w:r>
      <w:r w:rsidRPr="00B222F2">
        <w:rPr>
          <w:lang w:val="en-GB"/>
        </w:rPr>
        <w:t xml:space="preserve"> </w:t>
      </w:r>
      <w:r>
        <w:rPr>
          <w:lang w:val="en-GB"/>
        </w:rPr>
        <w:t>expanding</w:t>
      </w:r>
      <w:r w:rsidRPr="00B222F2">
        <w:rPr>
          <w:lang w:val="en-GB"/>
        </w:rPr>
        <w:t xml:space="preserve"> a company </w:t>
      </w:r>
      <w:r>
        <w:rPr>
          <w:lang w:val="en-GB"/>
        </w:rPr>
        <w:t>able</w:t>
      </w:r>
      <w:r w:rsidRPr="00B222F2">
        <w:rPr>
          <w:lang w:val="en-GB"/>
        </w:rPr>
        <w:t xml:space="preserve"> to meet customer needs. Businesses respond differently to changes in the highly competitive environment. Business acquisition is one of the responses that allows a company to adjust its competitive position and gain an advantage in the industry. M&amp;S demonstrated a significant ability to select an acquisition that will translate to increased capabilities. Ocado Retail represents a highly viable partnership that requires effective management and operations to increase market share and profitability.</w:t>
      </w:r>
    </w:p>
    <w:p w14:paraId="2FECCF5A" w14:textId="7F173F68" w:rsidR="00192A6C" w:rsidRDefault="00192A6C" w:rsidP="00192A6C">
      <w:pPr>
        <w:spacing w:line="480" w:lineRule="auto"/>
        <w:ind w:firstLine="720"/>
        <w:rPr>
          <w:lang w:val="en-GB"/>
        </w:rPr>
      </w:pPr>
      <w:r>
        <w:rPr>
          <w:lang w:val="en-GB"/>
        </w:rPr>
        <w:t>Lewin's</w:t>
      </w:r>
      <w:r w:rsidRPr="00B222F2">
        <w:rPr>
          <w:lang w:val="en-GB"/>
        </w:rPr>
        <w:t xml:space="preserve"> Change Model is one </w:t>
      </w:r>
      <w:r>
        <w:rPr>
          <w:lang w:val="en-GB"/>
        </w:rPr>
        <w:t>framework that pushes</w:t>
      </w:r>
      <w:r w:rsidRPr="00B222F2">
        <w:rPr>
          <w:lang w:val="en-GB"/>
        </w:rPr>
        <w:t xml:space="preserve"> </w:t>
      </w:r>
      <w:r w:rsidR="00791D96">
        <w:rPr>
          <w:lang w:val="en-GB"/>
        </w:rPr>
        <w:t>organisations</w:t>
      </w:r>
      <w:r w:rsidRPr="00B222F2">
        <w:rPr>
          <w:lang w:val="en-GB"/>
        </w:rPr>
        <w:t xml:space="preserve"> to implement change successfully </w:t>
      </w:r>
      <w:r w:rsidRPr="00B222F2">
        <w:rPr>
          <w:lang w:val="en-GB"/>
        </w:rPr>
        <w:fldChar w:fldCharType="begin" w:fldLock="1"/>
      </w:r>
      <w:r w:rsidRPr="00B222F2">
        <w:rPr>
          <w:lang w:val="en-GB"/>
        </w:rPr>
        <w:instrText>ADDIN CSL_CITATION {"citationItems":[{"id":"ITEM-1","itemData":{"DOI":"10.1177/0021886319892685","ISSN":"15526879","abstract":"At the time of his death in 1947, Kurt Lewin was seen as one of the foremost psychologists of his day. He is now best known for his three-step model of change. However, this has been criticized for its “simplicity,” and it has even been suggested that Lewin “never developed such a model,” yet this ignores its links to the rest of Lewin’s work. Surprisingly, there appears to have been no rigorous attempt to understand the connection between Lewin’s early work on field theory and his later work on social and organizational change. In addressing this gap in the Lewin literature, this article will not only show that the three-step model of change is far from being simplistic but also that it was a well-thought-out approach to change based on his development of field theory. The main difference between the two is one of nomenclature rather than substance.","author":[{"dropping-particle":"","family":"Burnes","given":"Bernard","non-dropping-particle":"","parse-names":false,"suffix":""}],"container-title":"Journal of Applied Behavioral Science","id":"ITEM-1","issue":"1","issued":{"date-parts":[["2020","3","1"]]},"page":"32-59","publisher":"SAGE Publications Inc.","title":"The Origins of Lewin’s Three-Step Model of Change","type":"article-journal","volume":"56"},"uris":["http://www.mendeley.com/documents/?uuid=1f5cea9c-fee5-3e19-b474-cfe3e025124a"]}],"mendeley":{"formattedCitation":"(Burnes, 2020)","plainTextFormattedCitation":"(Burnes, 2020)","previouslyFormattedCitation":"(Burnes, 2020)"},"properties":{"noteIndex":0},"schema":"https://github.com/citation-style-language/schema/raw/master/csl-citation.json"}</w:instrText>
      </w:r>
      <w:r w:rsidRPr="00B222F2">
        <w:rPr>
          <w:lang w:val="en-GB"/>
        </w:rPr>
        <w:fldChar w:fldCharType="separate"/>
      </w:r>
      <w:r w:rsidRPr="00B222F2">
        <w:rPr>
          <w:noProof/>
          <w:lang w:val="en-GB"/>
        </w:rPr>
        <w:t>(Burnes, 2020)</w:t>
      </w:r>
      <w:r w:rsidRPr="00B222F2">
        <w:rPr>
          <w:lang w:val="en-GB"/>
        </w:rPr>
        <w:fldChar w:fldCharType="end"/>
      </w:r>
      <w:r w:rsidRPr="00B222F2">
        <w:rPr>
          <w:lang w:val="en-GB"/>
        </w:rPr>
        <w:t xml:space="preserve">. </w:t>
      </w:r>
      <w:r>
        <w:rPr>
          <w:lang w:val="en-GB"/>
        </w:rPr>
        <w:t>Lewin's</w:t>
      </w:r>
      <w:r w:rsidRPr="00B222F2">
        <w:rPr>
          <w:lang w:val="en-GB"/>
        </w:rPr>
        <w:t xml:space="preserve"> Change Model comprises three stages: unfreezing, the change implementation process, and refreezing </w:t>
      </w:r>
      <w:r w:rsidRPr="00B222F2">
        <w:rPr>
          <w:lang w:val="en-GB"/>
        </w:rPr>
        <w:fldChar w:fldCharType="begin" w:fldLock="1"/>
      </w:r>
      <w:r w:rsidRPr="00B222F2">
        <w:rPr>
          <w:lang w:val="en-GB"/>
        </w:rPr>
        <w:instrText>ADDIN CSL_CITATION {"citationItems":[{"id":"ITEM-1","itemData":{"DOI":"10.1016/j.jik.2016.07.002","ISSN":"2444569X","abstract":"Change is crucial for organizations in growing, highly competitive business environments. Theories of change describe the effectiveness with which organizations are able to modify their strategies, processes, and structures. The action research model, the positive model, and Lewin's change model indicate the stages of organizational change. This study examined the three stages of Lewin's model: unfreezing, movement, and refreezing. Although this model establishes general steps, additional information must be considered to adapt these steps to specific situations. This article presents a critical review of change theories for different stages of organizational change. In this critical review, change management offers a constructive framework for managing organizational change throughout different stages of the process. This review has theoretical and practical implications, which are discussed in this article. Immunity to change is also discussed.","author":[{"dropping-particle":"","family":"Hussain","given":"Syed Talib","non-dropping-particle":"","parse-names":false,"suffix":""},{"dropping-particle":"","family":"Lei","given":"Shen","non-dropping-particle":"","parse-names":false,"suffix":""},{"dropping-particle":"","family":"Akram","given":"Tayyaba","non-dropping-particle":"","parse-names":false,"suffix":""},{"dropping-particle":"","family":"Haider","given":"Muhammad Jamal","non-dropping-particle":"","parse-names":false,"suffix":""},{"dropping-particle":"","family":"Hussain","given":"Syed Hadi","non-dropping-particle":"","parse-names":false,"suffix":""},{"dropping-particle":"","family":"Ali","given":"Muhammad","non-dropping-particle":"","parse-names":false,"suffix":""}],"container-title":"Journal of Innovation and Knowledge","id":"ITEM-1","issue":"3","issued":{"date-parts":[["2018","9","1"]]},"page":"123-127","publisher":"Elsevier B.V.","title":"Kurt Lewin's change model: A critical review of the role of leadership and employee involvement in organizational change","type":"article-journal","volume":"3"},"uris":["http://www.mendeley.com/documents/?uuid=4a7c1d2d-af96-39b9-80fd-2df6b8511b70"]}],"mendeley":{"formattedCitation":"(Hussain &lt;i&gt;et al.&lt;/i&gt;, 2018)","plainTextFormattedCitation":"(Hussain et al., 2018)","previouslyFormattedCitation":"(Hussain &lt;i&gt;et al.&lt;/i&gt;, 2018)"},"properties":{"noteIndex":0},"schema":"https://github.com/citation-style-language/schema/raw/master/csl-citation.json"}</w:instrText>
      </w:r>
      <w:r w:rsidRPr="00B222F2">
        <w:rPr>
          <w:lang w:val="en-GB"/>
        </w:rPr>
        <w:fldChar w:fldCharType="separate"/>
      </w:r>
      <w:r w:rsidRPr="00B222F2">
        <w:rPr>
          <w:noProof/>
          <w:lang w:val="en-GB"/>
        </w:rPr>
        <w:t xml:space="preserve">(Hussain </w:t>
      </w:r>
      <w:r w:rsidRPr="00B222F2">
        <w:rPr>
          <w:i/>
          <w:noProof/>
          <w:lang w:val="en-GB"/>
        </w:rPr>
        <w:t>et al.</w:t>
      </w:r>
      <w:r w:rsidRPr="00B222F2">
        <w:rPr>
          <w:noProof/>
          <w:lang w:val="en-GB"/>
        </w:rPr>
        <w:t>, 2018)</w:t>
      </w:r>
      <w:r w:rsidRPr="00B222F2">
        <w:rPr>
          <w:lang w:val="en-GB"/>
        </w:rPr>
        <w:fldChar w:fldCharType="end"/>
      </w:r>
      <w:r w:rsidRPr="00B222F2">
        <w:rPr>
          <w:lang w:val="en-GB"/>
        </w:rPr>
        <w:t xml:space="preserve">. The unfreezing stage helps </w:t>
      </w:r>
      <w:r w:rsidR="00791D96">
        <w:rPr>
          <w:lang w:val="en-GB"/>
        </w:rPr>
        <w:t>organisations</w:t>
      </w:r>
      <w:r w:rsidRPr="00B222F2">
        <w:rPr>
          <w:lang w:val="en-GB"/>
        </w:rPr>
        <w:t xml:space="preserve"> prepare for the change process by addressing resistance to change and identifying the key drivers to the change process. The unfreezing stage allows leaders to communicate with employees regarding the purpose of change. The unfreezing stage also pays attention to some of the concerns employees may exhibit in </w:t>
      </w:r>
      <w:r>
        <w:rPr>
          <w:lang w:val="en-GB"/>
        </w:rPr>
        <w:t>pursuing</w:t>
      </w:r>
      <w:r w:rsidRPr="00B222F2">
        <w:rPr>
          <w:lang w:val="en-GB"/>
        </w:rPr>
        <w:t xml:space="preserve"> change </w:t>
      </w:r>
      <w:r w:rsidRPr="00B222F2">
        <w:rPr>
          <w:lang w:val="en-GB"/>
        </w:rPr>
        <w:fldChar w:fldCharType="begin" w:fldLock="1"/>
      </w:r>
      <w:r w:rsidRPr="00B222F2">
        <w:rPr>
          <w:lang w:val="en-GB"/>
        </w:rPr>
        <w:instrText>ADDIN CSL_CITATION {"citationItems":[{"id":"ITEM-1","itemData":{"DOI":"10.1080/14697017.2017.1299370","ISSN":"14791811","abstract":"Kurt Lewin has been regarded as the father of planned change. His classical three-step model though has provided the basis for different models of change, yet has been criticized for its linearity, unsuitability for continuous change and inability to incorporate leader–follower relationship dynamics. This study has responded to various criticisms by introducing new three-step model as a replica of the three-step model while integrating it with the theory of planned behaviour. For leader–follower relationship dynamics, this study tested the impact of well-needed authentic leadership on employee perceptions during change. Following positivistic approach and deductive reasoning, this study used causal design to collect primary data through Questionnaire survey based on simple random sampling technique. The data were collected from 258 employees of three public sector hospitals of Pakistan undergoing restructuring and analysed through structural equation modelling using AMOS. The results suggest that for successful implementation of planned change, authentic leaders need to create employees’ readiness for change (unfreezing) that will in turn develop their commitment to change (moving) and behavioural support for change (refreezing). This is the first study regarding the role of authentic leadership in the context of change. The findings will help change leaders to undertake better employee-accepted change initiatives by following Lewin’s model as a tool that is still relevant to the organizational change.","author":[{"dropping-particle":"","family":"Bakari","given":"Haroon","non-dropping-particle":"","parse-names":false,"suffix":""},{"dropping-particle":"","family":"Hunjra","given":"Ahmed Imran","non-dropping-particle":"","parse-names":false,"suffix":""},{"dropping-particle":"","family":"Niazi","given":"Ghulam Shabbir Khan","non-dropping-particle":"","parse-names":false,"suffix":""}],"container-title":"Journal of Change Management","id":"ITEM-1","issue":"2","issued":{"date-parts":[["2017","4","3"]]},"page":"155-187","publisher":"Routledge","title":"How Does Authentic Leadership Influence Planned Organizational Change? The Role of Employees’ Perceptions: Integration of Theory of Planned Behavior and Lewin's Three Step Model","type":"article-journal","volume":"17"},"uris":["http://www.mendeley.com/documents/?uuid=b3449e1d-c1a6-3e04-b965-483cf81f853f"]}],"mendeley":{"formattedCitation":"(Bakari, Hunjra and Niazi, 2017)","plainTextFormattedCitation":"(Bakari, Hunjra and Niazi, 2017)","previouslyFormattedCitation":"(Bakari, Hunjra and Niazi, 2017)"},"properties":{"noteIndex":0},"schema":"https://github.com/citation-style-language/schema/raw/master/csl-citation.json"}</w:instrText>
      </w:r>
      <w:r w:rsidRPr="00B222F2">
        <w:rPr>
          <w:lang w:val="en-GB"/>
        </w:rPr>
        <w:fldChar w:fldCharType="separate"/>
      </w:r>
      <w:r w:rsidRPr="00B222F2">
        <w:rPr>
          <w:noProof/>
          <w:lang w:val="en-GB"/>
        </w:rPr>
        <w:t>(Bakari, Hunjra and Niazi, 2017)</w:t>
      </w:r>
      <w:r w:rsidRPr="00B222F2">
        <w:rPr>
          <w:lang w:val="en-GB"/>
        </w:rPr>
        <w:fldChar w:fldCharType="end"/>
      </w:r>
      <w:r w:rsidRPr="00B222F2">
        <w:rPr>
          <w:lang w:val="en-GB"/>
        </w:rPr>
        <w:t xml:space="preserve">. Addressing these concerns sets the right environment for the change process and ensures that employees willingly </w:t>
      </w:r>
      <w:r>
        <w:rPr>
          <w:lang w:val="en-GB"/>
        </w:rPr>
        <w:t>implement</w:t>
      </w:r>
      <w:r w:rsidRPr="00B222F2">
        <w:rPr>
          <w:lang w:val="en-GB"/>
        </w:rPr>
        <w:t xml:space="preserve"> change. Successful unfreezing also helps the company </w:t>
      </w:r>
      <w:r w:rsidR="00791D96">
        <w:rPr>
          <w:lang w:val="en-GB"/>
        </w:rPr>
        <w:t>recognise</w:t>
      </w:r>
      <w:r w:rsidRPr="00B222F2">
        <w:rPr>
          <w:lang w:val="en-GB"/>
        </w:rPr>
        <w:t xml:space="preserve"> the implications of change and the potential setbacks.</w:t>
      </w:r>
    </w:p>
    <w:p w14:paraId="2ADB8065" w14:textId="1CD53DDB" w:rsidR="00192A6C" w:rsidRPr="00B222F2" w:rsidRDefault="00192A6C" w:rsidP="00192A6C">
      <w:pPr>
        <w:spacing w:line="480" w:lineRule="auto"/>
        <w:ind w:firstLine="720"/>
        <w:rPr>
          <w:lang w:val="en-GB"/>
        </w:rPr>
      </w:pPr>
      <w:r w:rsidRPr="00B222F2">
        <w:rPr>
          <w:lang w:val="en-GB"/>
        </w:rPr>
        <w:t>In some cases, unfreezing may involve employee training before the implementation of the change process</w:t>
      </w:r>
      <w:r>
        <w:rPr>
          <w:lang w:val="en-GB"/>
        </w:rPr>
        <w:t>. In</w:t>
      </w:r>
      <w:r w:rsidRPr="00B222F2">
        <w:rPr>
          <w:lang w:val="en-GB"/>
        </w:rPr>
        <w:t xml:space="preserve"> the context of M&amp;S, refreezing involved communication with different stakeholders and employees regarding the planned change</w:t>
      </w:r>
      <w:r>
        <w:rPr>
          <w:lang w:val="en-GB"/>
        </w:rPr>
        <w:t>s</w:t>
      </w:r>
      <w:r w:rsidRPr="00B222F2">
        <w:rPr>
          <w:lang w:val="en-GB"/>
        </w:rPr>
        <w:t xml:space="preserve">. The communication focused on highlighting the expected benefits of the change process. Since 2019, M&amp;S and Ocado Group had been in consultation regarding a potential acquisition. During these months of negotiations, both companies prepared for the change process by engaging stakeholders </w:t>
      </w:r>
      <w:r w:rsidRPr="00B222F2">
        <w:rPr>
          <w:lang w:val="en-GB"/>
        </w:rPr>
        <w:lastRenderedPageBreak/>
        <w:t xml:space="preserve">and acquiring their rapport and dealing with emerging resistance. The second stage involves the specific approach selected to foster positive outcomes in an </w:t>
      </w:r>
      <w:r w:rsidR="00791D96">
        <w:rPr>
          <w:lang w:val="en-GB"/>
        </w:rPr>
        <w:t>organisation</w:t>
      </w:r>
      <w:r w:rsidRPr="00B222F2">
        <w:rPr>
          <w:lang w:val="en-GB"/>
        </w:rPr>
        <w:t xml:space="preserve">. In this case, the signing of the deal and the beginning of the formal operations under Ocado retail served as the change process. After the negotiations, the two companies </w:t>
      </w:r>
      <w:r>
        <w:rPr>
          <w:lang w:val="en-GB"/>
        </w:rPr>
        <w:t>placed</w:t>
      </w:r>
      <w:r w:rsidRPr="00B222F2">
        <w:rPr>
          <w:lang w:val="en-GB"/>
        </w:rPr>
        <w:t xml:space="preserve"> procedures, rules and appointed staff members to work for Ocado Retail. On </w:t>
      </w:r>
      <w:r>
        <w:rPr>
          <w:lang w:val="en-GB"/>
        </w:rPr>
        <w:t>1 September</w:t>
      </w:r>
      <w:r w:rsidRPr="00B222F2">
        <w:rPr>
          <w:lang w:val="en-GB"/>
        </w:rPr>
        <w:t xml:space="preserve"> 2020, the joint venture became operational, which involved </w:t>
      </w:r>
      <w:r>
        <w:rPr>
          <w:lang w:val="en-GB"/>
        </w:rPr>
        <w:t>collaborative</w:t>
      </w:r>
      <w:r w:rsidRPr="00B222F2">
        <w:rPr>
          <w:lang w:val="en-GB"/>
        </w:rPr>
        <w:t xml:space="preserve"> efforts from M&amp;S and Ocado Group per the established protocols. The refreezing stage helps to promote long-term outcomes by integrating the change into existing policies. The refreezing process also helps modify the implemented change </w:t>
      </w:r>
      <w:r>
        <w:rPr>
          <w:lang w:val="en-GB"/>
        </w:rPr>
        <w:t>to enhance</w:t>
      </w:r>
      <w:r w:rsidRPr="00B222F2">
        <w:rPr>
          <w:lang w:val="en-GB"/>
        </w:rPr>
        <w:t xml:space="preserve"> the </w:t>
      </w:r>
      <w:r w:rsidR="00791D96">
        <w:rPr>
          <w:lang w:val="en-GB"/>
        </w:rPr>
        <w:t>realisation</w:t>
      </w:r>
      <w:r w:rsidRPr="00B222F2">
        <w:rPr>
          <w:lang w:val="en-GB"/>
        </w:rPr>
        <w:t xml:space="preserve"> of long-term goals </w:t>
      </w:r>
      <w:r w:rsidRPr="00B222F2">
        <w:rPr>
          <w:lang w:val="en-GB"/>
        </w:rPr>
        <w:fldChar w:fldCharType="begin" w:fldLock="1"/>
      </w:r>
      <w:r w:rsidRPr="00B222F2">
        <w:rPr>
          <w:lang w:val="en-GB"/>
        </w:rPr>
        <w:instrText>ADDIN CSL_CITATION {"citationItems":[{"id":"ITEM-1","itemData":{"DOI":"10.1177/0018726715577707","ISSN":"1741282X","abstract":"Kurt Lewin’s ‘changing as three steps’ (unfreezing → changing → refreezing) is regarded by many as the classic or fundamental approach to managing change. Lewin has been criticized by scholars for over-simplifying the change process and has been defended by others against such charges. However, what has remained unquestioned is the model’s foundational significance. It is sometimes traced (if it is traced at all) to the first article ever published in Human Relations. Based on a comparison of what Lewin wrote about changing as three steps with how this is presented in later works, we argue that he never developed such a model and it took form after his death. We investigate how and why ‘changing as three steps’ came to be understood as the foundation of the fledgling subfield of change management and to influence change theory and practice to this day, and how questioning this supposed foundation can encourage innovation.","author":[{"dropping-particle":"","family":"Cummings","given":"Stephen","non-dropping-particle":"","parse-names":false,"suffix":""},{"dropping-particle":"","family":"Bridgman","given":"Todd","non-dropping-particle":"","parse-names":false,"suffix":""},{"dropping-particle":"","family":"Brown","given":"Kenneth G.","non-dropping-particle":"","parse-names":false,"suffix":""}],"container-title":"Human Relations","id":"ITEM-1","issue":"1","issued":{"date-parts":[["2016","1","1"]]},"page":"33-60","publisher":"SAGE Publications Ltd","title":"Unfreezing change as three steps: Rethinking Kurt Lewin’s legacy for change management","type":"article-journal","volume":"69"},"uris":["http://www.mendeley.com/documents/?uuid=d9495c80-2bbc-3673-8fad-f25f00861280"]}],"mendeley":{"formattedCitation":"(Cummings, Bridgman and Brown, 2016)","plainTextFormattedCitation":"(Cummings, Bridgman and Brown, 2016)","previouslyFormattedCitation":"(Cummings, Bridgman and Brown, 2016)"},"properties":{"noteIndex":0},"schema":"https://github.com/citation-style-language/schema/raw/master/csl-citation.json"}</w:instrText>
      </w:r>
      <w:r w:rsidRPr="00B222F2">
        <w:rPr>
          <w:lang w:val="en-GB"/>
        </w:rPr>
        <w:fldChar w:fldCharType="separate"/>
      </w:r>
      <w:r w:rsidRPr="00B222F2">
        <w:rPr>
          <w:noProof/>
          <w:lang w:val="en-GB"/>
        </w:rPr>
        <w:t>(Cummings, Bridgman and Brown, 2016)</w:t>
      </w:r>
      <w:r w:rsidRPr="00B222F2">
        <w:rPr>
          <w:lang w:val="en-GB"/>
        </w:rPr>
        <w:fldChar w:fldCharType="end"/>
      </w:r>
      <w:r w:rsidRPr="00B222F2">
        <w:rPr>
          <w:lang w:val="en-GB"/>
        </w:rPr>
        <w:t xml:space="preserve">. For M&amp;S, refreezing involved the establishment and reinforcement of policies and protocols governing Ocado retail. Currently, the two </w:t>
      </w:r>
      <w:r>
        <w:rPr>
          <w:lang w:val="en-GB"/>
        </w:rPr>
        <w:t>companies'</w:t>
      </w:r>
      <w:r w:rsidRPr="00B222F2">
        <w:rPr>
          <w:lang w:val="en-GB"/>
        </w:rPr>
        <w:t xml:space="preserve"> focus is to reinforce the change by ensuring that company policies establish the mechanisms governing the operation of Ocado Retail. </w:t>
      </w:r>
      <w:r>
        <w:rPr>
          <w:lang w:val="en-GB"/>
        </w:rPr>
        <w:t>In addition, the</w:t>
      </w:r>
      <w:r w:rsidRPr="00B222F2">
        <w:rPr>
          <w:lang w:val="en-GB"/>
        </w:rPr>
        <w:t xml:space="preserve"> companies are working towards the implementation of modifications to reinforce the </w:t>
      </w:r>
      <w:r>
        <w:rPr>
          <w:lang w:val="en-GB"/>
        </w:rPr>
        <w:t>"</w:t>
      </w:r>
      <w:r w:rsidRPr="00B222F2">
        <w:rPr>
          <w:lang w:val="en-GB"/>
        </w:rPr>
        <w:t>One Business</w:t>
      </w:r>
      <w:r>
        <w:rPr>
          <w:lang w:val="en-GB"/>
        </w:rPr>
        <w:t>"</w:t>
      </w:r>
      <w:r w:rsidRPr="00B222F2">
        <w:rPr>
          <w:lang w:val="en-GB"/>
        </w:rPr>
        <w:t xml:space="preserve"> concept. In this context, the </w:t>
      </w:r>
      <w:r>
        <w:rPr>
          <w:lang w:val="en-GB"/>
        </w:rPr>
        <w:t>"</w:t>
      </w:r>
      <w:r w:rsidRPr="00B222F2">
        <w:rPr>
          <w:lang w:val="en-GB"/>
        </w:rPr>
        <w:t>One Business</w:t>
      </w:r>
      <w:r>
        <w:rPr>
          <w:lang w:val="en-GB"/>
        </w:rPr>
        <w:t>"</w:t>
      </w:r>
      <w:r w:rsidRPr="00B222F2">
        <w:rPr>
          <w:lang w:val="en-GB"/>
        </w:rPr>
        <w:t xml:space="preserve"> denotes the successful merging of operations to specific goals of Ocado Retail. </w:t>
      </w:r>
      <w:r w:rsidR="00791D96">
        <w:rPr>
          <w:lang w:val="en-GB"/>
        </w:rPr>
        <w:t>Organisations</w:t>
      </w:r>
      <w:r w:rsidRPr="00B222F2">
        <w:rPr>
          <w:lang w:val="en-GB"/>
        </w:rPr>
        <w:t xml:space="preserve"> must figure out the three stages of implementing change and understand the impact of the model on guiding the change process.</w:t>
      </w:r>
    </w:p>
    <w:p w14:paraId="41D96E38" w14:textId="708B7A34" w:rsidR="00192A6C" w:rsidRPr="00B222F2" w:rsidRDefault="00192A6C" w:rsidP="00192A6C">
      <w:pPr>
        <w:spacing w:line="480" w:lineRule="auto"/>
        <w:ind w:firstLine="720"/>
        <w:rPr>
          <w:lang w:val="en-GB"/>
        </w:rPr>
      </w:pPr>
      <w:r w:rsidRPr="00B222F2">
        <w:rPr>
          <w:lang w:val="en-GB"/>
        </w:rPr>
        <w:t xml:space="preserve">The use of a change management model presents multiple benefits to </w:t>
      </w:r>
      <w:r w:rsidR="00791D96">
        <w:rPr>
          <w:lang w:val="en-GB"/>
        </w:rPr>
        <w:t>organisations</w:t>
      </w:r>
      <w:r w:rsidRPr="00B222F2">
        <w:rPr>
          <w:lang w:val="en-GB"/>
        </w:rPr>
        <w:t xml:space="preserve"> that seek to implement successful change. The change model gives the </w:t>
      </w:r>
      <w:r w:rsidR="00791D96">
        <w:rPr>
          <w:lang w:val="en-GB"/>
        </w:rPr>
        <w:t>organisation</w:t>
      </w:r>
      <w:r w:rsidRPr="00B222F2">
        <w:rPr>
          <w:lang w:val="en-GB"/>
        </w:rPr>
        <w:t xml:space="preserve"> a proper guideline for preparing and </w:t>
      </w:r>
      <w:r w:rsidR="00791D96">
        <w:rPr>
          <w:lang w:val="en-GB"/>
        </w:rPr>
        <w:t>normalising</w:t>
      </w:r>
      <w:r w:rsidRPr="00B222F2">
        <w:rPr>
          <w:lang w:val="en-GB"/>
        </w:rPr>
        <w:t xml:space="preserve"> the change process while making it more manageable </w:t>
      </w:r>
      <w:r w:rsidRPr="00B222F2">
        <w:rPr>
          <w:lang w:val="en-GB"/>
        </w:rPr>
        <w:fldChar w:fldCharType="begin" w:fldLock="1"/>
      </w:r>
      <w:r w:rsidRPr="00B222F2">
        <w:rPr>
          <w:lang w:val="en-GB"/>
        </w:rPr>
        <w:instrText>ADDIN CSL_CITATION {"citationItems":[{"id":"ITEM-1","itemData":{"DOI":"10.1177/0018726715577707","ISSN":"1741282X","abstract":"Kurt Lewin’s ‘changing as three steps’ (unfreezing → changing → refreezing) is regarded by many as the classic or fundamental approach to managing change. Lewin has been criticized by scholars for over-simplifying the change process and has been defended by others against such charges. However, what has remained unquestioned is the model’s foundational significance. It is sometimes traced (if it is traced at all) to the first article ever published in Human Relations. Based on a comparison of what Lewin wrote about changing as three steps with how this is presented in later works, we argue that he never developed such a model and it took form after his death. We investigate how and why ‘changing as three steps’ came to be understood as the foundation of the fledgling subfield of change management and to influence change theory and practice to this day, and how questioning this supposed foundation can encourage innovation.","author":[{"dropping-particle":"","family":"Cummings","given":"Stephen","non-dropping-particle":"","parse-names":false,"suffix":""},{"dropping-particle":"","family":"Bridgman","given":"Todd","non-dropping-particle":"","parse-names":false,"suffix":""},{"dropping-particle":"","family":"Brown","given":"Kenneth G.","non-dropping-particle":"","parse-names":false,"suffix":""}],"container-title":"Human Relations","id":"ITEM-1","issue":"1","issued":{"date-parts":[["2016","1","1"]]},"page":"33-60","publisher":"SAGE Publications Ltd","title":"Unfreezing change as three steps: Rethinking Kurt Lewin’s legacy for change management","type":"article-journal","volume":"69"},"uris":["http://www.mendeley.com/documents/?uuid=d9495c80-2bbc-3673-8fad-f25f00861280"]},{"id":"ITEM-2","itemData":{"DOI":"10.1080/14697017.2017.1299370","ISSN":"14791811","abstract":"Kurt Lewin has been regarded as the father of planned change. His classical three-step model though has provided the basis for different models of change, yet has been criticized for its linearity, unsuitability for continuous change and inability to incorporate leader–follower relationship dynamics. This study has responded to various criticisms by introducing new three-step model as a replica of the three-step model while integrating it with the theory of planned behaviour. For leader–follower relationship dynamics, this study tested the impact of well-needed authentic leadership on employee perceptions during change. Following positivistic approach and deductive reasoning, this study used causal design to collect primary data through Questionnaire survey based on simple random sampling technique. The data were collected from 258 employees of three public sector hospitals of Pakistan undergoing restructuring and analysed through structural equation modelling using AMOS. The results suggest that for successful implementation of planned change, authentic leaders need to create employees’ readiness for change (unfreezing) that will in turn develop their commitment to change (moving) and behavioural support for change (refreezing). This is the first study regarding the role of authentic leadership in the context of change. The findings will help change leaders to undertake better employee-accepted change initiatives by following Lewin’s model as a tool that is still relevant to the organizational change.","author":[{"dropping-particle":"","family":"Bakari","given":"Haroon","non-dropping-particle":"","parse-names":false,"suffix":""},{"dropping-particle":"","family":"Hunjra","given":"Ahmed Imran","non-dropping-particle":"","parse-names":false,"suffix":""},{"dropping-particle":"","family":"Niazi","given":"Ghulam Shabbir Khan","non-dropping-particle":"","parse-names":false,"suffix":""}],"container-title":"Journal of Change Management","id":"ITEM-2","issue":"2","issued":{"date-parts":[["2017","4","3"]]},"page":"155-187","publisher":"Routledge","title":"How Does Authentic Leadership Influence Planned Organizational Change? The Role of Employees’ Perceptions: Integration of Theory of Planned Behavior and Lewin's Three Step Model","type":"article-journal","volume":"17"},"uris":["http://www.mendeley.com/documents/?uuid=b3449e1d-c1a6-3e04-b965-483cf81f853f"]}],"mendeley":{"formattedCitation":"(Cummings, Bridgman and Brown, 2016; Bakari, Hunjra and Niazi, 2017)","plainTextFormattedCitation":"(Cummings, Bridgman and Brown, 2016; Bakari, Hunjra and Niazi, 2017)","previouslyFormattedCitation":"(Cummings, Bridgman and Brown, 2016; Bakari, Hunjra and Niazi, 2017)"},"properties":{"noteIndex":0},"schema":"https://github.com/citation-style-language/schema/raw/master/csl-citation.json"}</w:instrText>
      </w:r>
      <w:r w:rsidRPr="00B222F2">
        <w:rPr>
          <w:lang w:val="en-GB"/>
        </w:rPr>
        <w:fldChar w:fldCharType="separate"/>
      </w:r>
      <w:r w:rsidRPr="00B222F2">
        <w:rPr>
          <w:noProof/>
          <w:lang w:val="en-GB"/>
        </w:rPr>
        <w:t>(Cummings, Bridgman and Brown, 2016; Bakari, Hunjra and Niazi, 2017)</w:t>
      </w:r>
      <w:r w:rsidRPr="00B222F2">
        <w:rPr>
          <w:lang w:val="en-GB"/>
        </w:rPr>
        <w:fldChar w:fldCharType="end"/>
      </w:r>
      <w:r w:rsidRPr="00B222F2">
        <w:rPr>
          <w:lang w:val="en-GB"/>
        </w:rPr>
        <w:t xml:space="preserve">. Additionally, a change model also helps measure different criteria that determine the effectiveness of implementing change. The change model helps estimate the budget required, the overall time needed, the rate of adopting change, and professional efficacy during the implementation of change. A change model also fosters accountability and enhances confidence regarding the </w:t>
      </w:r>
      <w:r w:rsidRPr="00B222F2">
        <w:rPr>
          <w:lang w:val="en-GB"/>
        </w:rPr>
        <w:lastRenderedPageBreak/>
        <w:t xml:space="preserve">entire change process </w:t>
      </w:r>
      <w:r w:rsidRPr="00B222F2">
        <w:rPr>
          <w:lang w:val="en-GB"/>
        </w:rPr>
        <w:fldChar w:fldCharType="begin" w:fldLock="1"/>
      </w:r>
      <w:r w:rsidRPr="00B222F2">
        <w:rPr>
          <w:lang w:val="en-GB"/>
        </w:rPr>
        <w:instrText>ADDIN CSL_CITATION {"citationItems":[{"id":"ITEM-1","itemData":{"DOI":"10.1016/j.jik.2016.07.002","ISSN":"2444569X","abstract":"Change is crucial for organizations in growing, highly competitive business environments. Theories of change describe the effectiveness with which organizations are able to modify their strategies, processes, and structures. The action research model, the positive model, and Lewin's change model indicate the stages of organizational change. This study examined the three stages of Lewin's model: unfreezing, movement, and refreezing. Although this model establishes general steps, additional information must be considered to adapt these steps to specific situations. This article presents a critical review of change theories for different stages of organizational change. In this critical review, change management offers a constructive framework for managing organizational change throughout different stages of the process. This review has theoretical and practical implications, which are discussed in this article. Immunity to change is also discussed.","author":[{"dropping-particle":"","family":"Hussain","given":"Syed Talib","non-dropping-particle":"","parse-names":false,"suffix":""},{"dropping-particle":"","family":"Lei","given":"Shen","non-dropping-particle":"","parse-names":false,"suffix":""},{"dropping-particle":"","family":"Akram","given":"Tayyaba","non-dropping-particle":"","parse-names":false,"suffix":""},{"dropping-particle":"","family":"Haider","given":"Muhammad Jamal","non-dropping-particle":"","parse-names":false,"suffix":""},{"dropping-particle":"","family":"Hussain","given":"Syed Hadi","non-dropping-particle":"","parse-names":false,"suffix":""},{"dropping-particle":"","family":"Ali","given":"Muhammad","non-dropping-particle":"","parse-names":false,"suffix":""}],"container-title":"Journal of Innovation and Knowledge","id":"ITEM-1","issue":"3","issued":{"date-parts":[["2018","9","1"]]},"page":"123-127","publisher":"Elsevier B.V.","title":"Kurt Lewin's change model: A critical review of the role of leadership and employee involvement in organizational change","type":"article-journal","volume":"3"},"uris":["http://www.mendeley.com/documents/?uuid=4a7c1d2d-af96-39b9-80fd-2df6b8511b70"]},{"id":"ITEM-2","itemData":{"DOI":"10.1177/0018726715577707","ISSN":"1741282X","abstract":"Kurt Lewin’s ‘changing as three steps’ (unfreezing → changing → refreezing) is regarded by many as the classic or fundamental approach to managing change. Lewin has been criticized by scholars for over-simplifying the change process and has been defended by others against such charges. However, what has remained unquestioned is the model’s foundational significance. It is sometimes traced (if it is traced at all) to the first article ever published in Human Relations. Based on a comparison of what Lewin wrote about changing as three steps with how this is presented in later works, we argue that he never developed such a model and it took form after his death. We investigate how and why ‘changing as three steps’ came to be understood as the foundation of the fledgling subfield of change management and to influence change theory and practice to this day, and how questioning this supposed foundation can encourage innovation.","author":[{"dropping-particle":"","family":"Cummings","given":"Stephen","non-dropping-particle":"","parse-names":false,"suffix":""},{"dropping-particle":"","family":"Bridgman","given":"Todd","non-dropping-particle":"","parse-names":false,"suffix":""},{"dropping-particle":"","family":"Brown","given":"Kenneth G.","non-dropping-particle":"","parse-names":false,"suffix":""}],"container-title":"Human Relations","id":"ITEM-2","issue":"1","issued":{"date-parts":[["2016","1","1"]]},"page":"33-60","publisher":"SAGE Publications Ltd","title":"Unfreezing change as three steps: Rethinking Kurt Lewin’s legacy for change management","type":"article-journal","volume":"69"},"uris":["http://www.mendeley.com/documents/?uuid=d9495c80-2bbc-3673-8fad-f25f00861280"]}],"mendeley":{"formattedCitation":"(Cummings, Bridgman and Brown, 2016; Hussain &lt;i&gt;et al.&lt;/i&gt;, 2018)","plainTextFormattedCitation":"(Cummings, Bridgman and Brown, 2016; Hussain et al., 2018)","previouslyFormattedCitation":"(Cummings, Bridgman and Brown, 2016; Hussain &lt;i&gt;et al.&lt;/i&gt;, 2018)"},"properties":{"noteIndex":0},"schema":"https://github.com/citation-style-language/schema/raw/master/csl-citation.json"}</w:instrText>
      </w:r>
      <w:r w:rsidRPr="00B222F2">
        <w:rPr>
          <w:lang w:val="en-GB"/>
        </w:rPr>
        <w:fldChar w:fldCharType="separate"/>
      </w:r>
      <w:r w:rsidRPr="00B222F2">
        <w:rPr>
          <w:noProof/>
          <w:lang w:val="en-GB"/>
        </w:rPr>
        <w:t xml:space="preserve">(Cummings, Bridgman and Brown, 2016; Hussain </w:t>
      </w:r>
      <w:r w:rsidRPr="00B222F2">
        <w:rPr>
          <w:i/>
          <w:noProof/>
          <w:lang w:val="en-GB"/>
        </w:rPr>
        <w:t>et al.</w:t>
      </w:r>
      <w:r w:rsidRPr="00B222F2">
        <w:rPr>
          <w:noProof/>
          <w:lang w:val="en-GB"/>
        </w:rPr>
        <w:t>, 2018)</w:t>
      </w:r>
      <w:r w:rsidRPr="00B222F2">
        <w:rPr>
          <w:lang w:val="en-GB"/>
        </w:rPr>
        <w:fldChar w:fldCharType="end"/>
      </w:r>
      <w:r w:rsidRPr="00B222F2">
        <w:rPr>
          <w:lang w:val="en-GB"/>
        </w:rPr>
        <w:t xml:space="preserve">. The use of a change model helps address resistance and creates a platform for effective communication of change. The change model also helps implement a shared approach, which fosters effectiveness in the long term. </w:t>
      </w:r>
      <w:r>
        <w:rPr>
          <w:lang w:val="en-GB"/>
        </w:rPr>
        <w:t>Lewin's</w:t>
      </w:r>
      <w:r w:rsidRPr="00B222F2">
        <w:rPr>
          <w:lang w:val="en-GB"/>
        </w:rPr>
        <w:t xml:space="preserve"> change model played a vital role in implementing the planned change that M&amp;S adopted </w:t>
      </w:r>
      <w:r w:rsidRPr="00B222F2">
        <w:rPr>
          <w:lang w:val="en-GB"/>
        </w:rPr>
        <w:fldChar w:fldCharType="begin" w:fldLock="1"/>
      </w:r>
      <w:r w:rsidRPr="00B222F2">
        <w:rPr>
          <w:lang w:val="en-GB"/>
        </w:rPr>
        <w:instrText>ADDIN CSL_CITATION {"citationItems":[{"id":"ITEM-1","itemData":{"DOI":"10.1108/S0897-3016(2012)0000020004","ISBN":"9781780528069","ISSN":"08973016","abstract":"It has generally been assumed that effective leadership is a key to successful change. But, as some authors have noted, there is a dearth of empirical research regarding the impact of leadership on organization change. In this chapter, we review the empirical evidence from the past 20 years in an attempt to determine the impact of leadership on the conduct and outcomes of organizational change. Our conclusions indicate that the leadership of change is more complex than envisioned, involving multiple forms of leadership engaged in different approaches, behaviors, and activities, only some of which are effective. Copyright © 2012 by Emerald Group Publishing Limited.","author":[{"dropping-particle":"","family":"Ford","given":"Jeffrey D.","non-dropping-particle":"","parse-names":false,"suffix":""},{"dropping-particle":"","family":"Ford","given":"Laurie W.","non-dropping-particle":"","parse-names":false,"suffix":""}],"container-title":"Research in Organizational Change and Development","id":"ITEM-1","issued":{"date-parts":[["2012"]]},"page":"1-36","title":"The leadership of organization change: A view from recent empirical evidence","type":"article-journal","volume":"20"},"uris":["http://www.mendeley.com/documents/?uuid=e52fcbed-8cf9-3b9c-8313-4b732b6310a2"]}],"mendeley":{"formattedCitation":"(Ford and Ford, 2012)","plainTextFormattedCitation":"(Ford and Ford, 2012)","previouslyFormattedCitation":"(Ford and Ford, 2012)"},"properties":{"noteIndex":0},"schema":"https://github.com/citation-style-language/schema/raw/master/csl-citation.json"}</w:instrText>
      </w:r>
      <w:r w:rsidRPr="00B222F2">
        <w:rPr>
          <w:lang w:val="en-GB"/>
        </w:rPr>
        <w:fldChar w:fldCharType="separate"/>
      </w:r>
      <w:r w:rsidRPr="00B222F2">
        <w:rPr>
          <w:noProof/>
          <w:lang w:val="en-GB"/>
        </w:rPr>
        <w:t>(Ford and Ford, 2012)</w:t>
      </w:r>
      <w:r w:rsidRPr="00B222F2">
        <w:rPr>
          <w:lang w:val="en-GB"/>
        </w:rPr>
        <w:fldChar w:fldCharType="end"/>
      </w:r>
      <w:r w:rsidRPr="00B222F2">
        <w:rPr>
          <w:lang w:val="en-GB"/>
        </w:rPr>
        <w:t>.</w:t>
      </w:r>
    </w:p>
    <w:p w14:paraId="4D6637C7" w14:textId="269B8B8A" w:rsidR="00192A6C" w:rsidRDefault="00192A6C" w:rsidP="00192A6C">
      <w:pPr>
        <w:spacing w:line="480" w:lineRule="auto"/>
        <w:ind w:firstLine="720"/>
        <w:rPr>
          <w:lang w:val="en-GB"/>
        </w:rPr>
      </w:pPr>
      <w:r>
        <w:rPr>
          <w:lang w:val="en-GB"/>
        </w:rPr>
        <w:t xml:space="preserve"> </w:t>
      </w:r>
      <w:r w:rsidRPr="00B222F2">
        <w:rPr>
          <w:lang w:val="en-GB"/>
        </w:rPr>
        <w:t xml:space="preserve">M&amp;S created a new platform </w:t>
      </w:r>
      <w:r>
        <w:rPr>
          <w:lang w:val="en-GB"/>
        </w:rPr>
        <w:t>for</w:t>
      </w:r>
      <w:r w:rsidRPr="00B222F2">
        <w:rPr>
          <w:lang w:val="en-GB"/>
        </w:rPr>
        <w:t xml:space="preserve"> ensuring that its customers could access its full products on the Ocado retail platform, </w:t>
      </w:r>
      <w:r>
        <w:rPr>
          <w:lang w:val="en-GB"/>
        </w:rPr>
        <w:t>which increased its profitability</w:t>
      </w:r>
      <w:r w:rsidRPr="00B222F2">
        <w:rPr>
          <w:lang w:val="en-GB"/>
        </w:rPr>
        <w:t xml:space="preserve">. </w:t>
      </w:r>
      <w:r>
        <w:rPr>
          <w:lang w:val="en-GB"/>
        </w:rPr>
        <w:t>After</w:t>
      </w:r>
      <w:r w:rsidRPr="00B222F2">
        <w:rPr>
          <w:lang w:val="en-GB"/>
        </w:rPr>
        <w:t xml:space="preserve"> </w:t>
      </w:r>
      <w:r w:rsidR="00791D96">
        <w:rPr>
          <w:lang w:val="en-GB"/>
        </w:rPr>
        <w:t>implementing</w:t>
      </w:r>
      <w:r w:rsidRPr="00B222F2">
        <w:rPr>
          <w:lang w:val="en-GB"/>
        </w:rPr>
        <w:t xml:space="preserve"> Ocado retail</w:t>
      </w:r>
      <w:r>
        <w:rPr>
          <w:lang w:val="en-GB"/>
        </w:rPr>
        <w:t>, the company's sales</w:t>
      </w:r>
      <w:r w:rsidRPr="00B222F2">
        <w:rPr>
          <w:lang w:val="en-GB"/>
        </w:rPr>
        <w:t xml:space="preserve"> demonstrated the real potential and new capabilities that it had gained. </w:t>
      </w:r>
    </w:p>
    <w:p w14:paraId="6576BA89" w14:textId="77777777" w:rsidR="00192A6C" w:rsidRDefault="00192A6C" w:rsidP="00192A6C">
      <w:pPr>
        <w:spacing w:line="480" w:lineRule="auto"/>
        <w:ind w:firstLine="720"/>
        <w:rPr>
          <w:lang w:val="en-GB"/>
        </w:rPr>
      </w:pPr>
    </w:p>
    <w:p w14:paraId="16DF1388" w14:textId="77777777" w:rsidR="00192A6C" w:rsidRDefault="00192A6C" w:rsidP="00192A6C">
      <w:pPr>
        <w:spacing w:line="480" w:lineRule="auto"/>
        <w:ind w:firstLine="720"/>
        <w:rPr>
          <w:lang w:val="en-GB"/>
        </w:rPr>
      </w:pPr>
    </w:p>
    <w:p w14:paraId="06FD0241" w14:textId="77777777" w:rsidR="00192A6C" w:rsidRDefault="00192A6C" w:rsidP="00192A6C">
      <w:pPr>
        <w:spacing w:line="480" w:lineRule="auto"/>
        <w:ind w:firstLine="720"/>
        <w:rPr>
          <w:lang w:val="en-GB"/>
        </w:rPr>
      </w:pPr>
    </w:p>
    <w:p w14:paraId="334C33C8" w14:textId="77777777" w:rsidR="00192A6C" w:rsidRDefault="00192A6C" w:rsidP="00192A6C">
      <w:pPr>
        <w:spacing w:line="480" w:lineRule="auto"/>
        <w:ind w:firstLine="720"/>
        <w:rPr>
          <w:lang w:val="en-GB"/>
        </w:rPr>
      </w:pPr>
    </w:p>
    <w:p w14:paraId="0D6B5407" w14:textId="77777777" w:rsidR="00192A6C" w:rsidRDefault="00192A6C" w:rsidP="00192A6C">
      <w:pPr>
        <w:spacing w:line="480" w:lineRule="auto"/>
        <w:ind w:firstLine="720"/>
        <w:rPr>
          <w:lang w:val="en-GB"/>
        </w:rPr>
      </w:pPr>
    </w:p>
    <w:p w14:paraId="6983583F" w14:textId="77777777" w:rsidR="00192A6C" w:rsidRDefault="00192A6C" w:rsidP="00192A6C">
      <w:pPr>
        <w:spacing w:line="480" w:lineRule="auto"/>
        <w:ind w:firstLine="720"/>
        <w:rPr>
          <w:lang w:val="en-GB"/>
        </w:rPr>
      </w:pPr>
    </w:p>
    <w:p w14:paraId="6EDD6291" w14:textId="77777777" w:rsidR="00192A6C" w:rsidRDefault="00192A6C" w:rsidP="00192A6C">
      <w:pPr>
        <w:spacing w:line="480" w:lineRule="auto"/>
        <w:ind w:firstLine="720"/>
        <w:rPr>
          <w:lang w:val="en-GB"/>
        </w:rPr>
      </w:pPr>
    </w:p>
    <w:p w14:paraId="3E1B5447" w14:textId="77777777" w:rsidR="00192A6C" w:rsidRDefault="00192A6C" w:rsidP="00192A6C">
      <w:pPr>
        <w:spacing w:line="480" w:lineRule="auto"/>
        <w:ind w:firstLine="720"/>
        <w:rPr>
          <w:lang w:val="en-GB"/>
        </w:rPr>
      </w:pPr>
    </w:p>
    <w:p w14:paraId="397D0E85" w14:textId="77777777" w:rsidR="00192A6C" w:rsidRDefault="00192A6C" w:rsidP="00192A6C">
      <w:pPr>
        <w:spacing w:line="480" w:lineRule="auto"/>
        <w:ind w:firstLine="720"/>
        <w:rPr>
          <w:lang w:val="en-GB"/>
        </w:rPr>
      </w:pPr>
    </w:p>
    <w:p w14:paraId="0DA2DF48" w14:textId="7EBDE7B4" w:rsidR="00192A6C" w:rsidRDefault="00192A6C" w:rsidP="00192A6C">
      <w:pPr>
        <w:spacing w:line="480" w:lineRule="auto"/>
        <w:ind w:firstLine="720"/>
        <w:rPr>
          <w:lang w:val="en-GB"/>
        </w:rPr>
      </w:pPr>
    </w:p>
    <w:p w14:paraId="566EDBD3" w14:textId="77777777" w:rsidR="00705238" w:rsidRDefault="00705238" w:rsidP="00192A6C">
      <w:pPr>
        <w:spacing w:line="480" w:lineRule="auto"/>
        <w:ind w:firstLine="720"/>
        <w:rPr>
          <w:lang w:val="en-GB"/>
        </w:rPr>
      </w:pPr>
    </w:p>
    <w:p w14:paraId="3C5C9444" w14:textId="77777777" w:rsidR="00192A6C" w:rsidRDefault="00192A6C" w:rsidP="00192A6C">
      <w:pPr>
        <w:spacing w:line="480" w:lineRule="auto"/>
        <w:ind w:firstLine="720"/>
        <w:rPr>
          <w:lang w:val="en-GB"/>
        </w:rPr>
      </w:pPr>
    </w:p>
    <w:p w14:paraId="46B0B6A4" w14:textId="77777777" w:rsidR="00192A6C" w:rsidRDefault="00192A6C" w:rsidP="00192A6C">
      <w:pPr>
        <w:spacing w:line="480" w:lineRule="auto"/>
        <w:ind w:firstLine="720"/>
        <w:rPr>
          <w:lang w:val="en-GB"/>
        </w:rPr>
      </w:pPr>
    </w:p>
    <w:p w14:paraId="045B856D" w14:textId="77777777" w:rsidR="00192A6C" w:rsidRPr="00B222F2" w:rsidRDefault="00192A6C" w:rsidP="00192A6C">
      <w:pPr>
        <w:spacing w:line="480" w:lineRule="auto"/>
        <w:ind w:firstLine="720"/>
        <w:rPr>
          <w:lang w:val="en-GB"/>
        </w:rPr>
      </w:pPr>
    </w:p>
    <w:p w14:paraId="461A63E4" w14:textId="77777777" w:rsidR="00192A6C" w:rsidRPr="00B222F2" w:rsidRDefault="00192A6C" w:rsidP="00192A6C">
      <w:pPr>
        <w:pStyle w:val="Heading2"/>
        <w:spacing w:line="480" w:lineRule="auto"/>
        <w:rPr>
          <w:rFonts w:cs="Times New Roman"/>
          <w:lang w:val="en-GB"/>
        </w:rPr>
      </w:pPr>
      <w:bookmarkStart w:id="7" w:name="_Toc75435243"/>
      <w:bookmarkStart w:id="8" w:name="_Toc75437509"/>
      <w:r w:rsidRPr="00B222F2">
        <w:rPr>
          <w:rFonts w:cs="Times New Roman"/>
          <w:lang w:val="en-GB"/>
        </w:rPr>
        <w:lastRenderedPageBreak/>
        <w:t>2.3 Leadership-Management of Complex Areas</w:t>
      </w:r>
      <w:bookmarkEnd w:id="7"/>
      <w:bookmarkEnd w:id="8"/>
    </w:p>
    <w:p w14:paraId="7D76EBA1" w14:textId="7B19B2D4" w:rsidR="00192A6C" w:rsidRPr="00B222F2" w:rsidRDefault="00192A6C" w:rsidP="00192A6C">
      <w:pPr>
        <w:spacing w:line="480" w:lineRule="auto"/>
        <w:ind w:firstLine="720"/>
        <w:rPr>
          <w:lang w:val="en-GB"/>
        </w:rPr>
      </w:pPr>
      <w:r w:rsidRPr="00DC36C4">
        <w:rPr>
          <w:lang w:val="en-GB"/>
        </w:rPr>
        <w:t xml:space="preserve">Leaders are crucial in the process of </w:t>
      </w:r>
      <w:r>
        <w:rPr>
          <w:lang w:val="en-GB"/>
        </w:rPr>
        <w:t>change-facilitation</w:t>
      </w:r>
      <w:r w:rsidRPr="00B222F2">
        <w:rPr>
          <w:lang w:val="en-GB"/>
        </w:rPr>
        <w:t xml:space="preserve">. Specifically, they highlight the urgency for change and bring different stakeholders </w:t>
      </w:r>
      <w:r>
        <w:rPr>
          <w:lang w:val="en-GB"/>
        </w:rPr>
        <w:t>on board</w:t>
      </w:r>
      <w:r w:rsidRPr="00B222F2">
        <w:rPr>
          <w:lang w:val="en-GB"/>
        </w:rPr>
        <w:t xml:space="preserve"> to achieve the desired outcomes. The facilitation of change involves identifying the right resources invested towards achieving a more excellent vision. For this reason, the leader must be the leading change agent who is relentless in ensuring that change takes place </w:t>
      </w:r>
      <w:r w:rsidRPr="00B222F2">
        <w:rPr>
          <w:lang w:val="en-GB"/>
        </w:rPr>
        <w:fldChar w:fldCharType="begin" w:fldLock="1"/>
      </w:r>
      <w:r w:rsidRPr="00B222F2">
        <w:rPr>
          <w:lang w:val="en-GB"/>
        </w:rPr>
        <w:instrText>ADDIN CSL_CITATION {"citationItems":[{"id":"ITEM-1","itemData":{"DOI":"10.1080/13678868.2020.1732732","ISSN":"14698374","abstract":"The purpose of this article is to present the perspective of leadership in today’s organizational context. The article briefly discusses different steps a leader needs to take in the leadership journey aligned to organizational success. These are building a unifying vision, developing a strategy, getting great people on board, focusing on results, innovating for the future and leading yourself. The article reinforces the fundamental elements of leadership but aligns the leadership with the organization which has a purpose, strategy, people, and stakeholders and ensuring the element of leadership success with organizational success.","author":[{"dropping-particle":"V.","family":"Shet","given":"Sateesh","non-dropping-particle":"","parse-names":false,"suffix":""}],"container-title":"Human Resource Development International","id":"ITEM-1","issue":"2","issued":{"date-parts":[["2021"]]},"page":"234-239","publisher":"Routledge","title":"Leadership: making an impact, inspiring organization, and getting to the next level","type":"article-journal","volume":"24"},"uris":["http://www.mendeley.com/documents/?uuid=90afcb6f-c301-3da2-8419-25f8fb6573de"]}],"mendeley":{"formattedCitation":"(Shet, 2021)","plainTextFormattedCitation":"(Shet, 2021)","previouslyFormattedCitation":"(Shet, 2021)"},"properties":{"noteIndex":0},"schema":"https://github.com/citation-style-language/schema/raw/master/csl-citation.json"}</w:instrText>
      </w:r>
      <w:r w:rsidRPr="00B222F2">
        <w:rPr>
          <w:lang w:val="en-GB"/>
        </w:rPr>
        <w:fldChar w:fldCharType="separate"/>
      </w:r>
      <w:r w:rsidRPr="00B222F2">
        <w:rPr>
          <w:noProof/>
          <w:lang w:val="en-GB"/>
        </w:rPr>
        <w:t>(Shet, 2021)</w:t>
      </w:r>
      <w:r w:rsidRPr="00B222F2">
        <w:rPr>
          <w:lang w:val="en-GB"/>
        </w:rPr>
        <w:fldChar w:fldCharType="end"/>
      </w:r>
      <w:r w:rsidRPr="00B222F2">
        <w:rPr>
          <w:lang w:val="en-GB"/>
        </w:rPr>
        <w:t xml:space="preserve">. Leaders are responsible for making critical decisions that are likely to influence the implementation of change </w:t>
      </w:r>
      <w:r w:rsidRPr="00B222F2">
        <w:rPr>
          <w:lang w:val="en-GB"/>
        </w:rPr>
        <w:fldChar w:fldCharType="begin" w:fldLock="1"/>
      </w:r>
      <w:r w:rsidRPr="00B222F2">
        <w:rPr>
          <w:lang w:val="en-GB"/>
        </w:rPr>
        <w:instrText>ADDIN CSL_CITATION {"citationItems":[{"id":"ITEM-1","itemData":{"DOI":"10.1111/1467-8551.12275","ISSN":"14678551","abstract":"Studies on the effects of transformational leadership on employee innovative behaviour have yielded mixed results. The authors argue that one possible explanation for these mixed findings is that researchers have assumed a linear relationship between these constructs. In contrast, they suggest that the relationship between transformational leadership and innovative behaviour is non-linear. Specifically, the authors argue that the positive effects of transformational leadership on innovative behaviour will be stronger at low and high levels of transformational leadership. Moreover, they examine whether the relationship between transformational leadership and innovative behaviour is mediated by knowledge sharing within and between teams. The authors undertake a constructive replication by testing these hypothesized relationships in two studies: (1) a multi-actor team-level study conducted in the USA, and (2) a longitudinal employee-level study of teachers in the Netherlands. Results of both studies reveal that knowledge sharing mediates the relationship between transformational leadership and innovative behaviour, and that the indirect relationship is curvilinear. The authors link these findings to leader substitution theory, proposing that employees turn to their peers and other parties when there is an absence of effective leadership.","author":[{"dropping-particle":"","family":"Bednall","given":"Timothy C.","non-dropping-particle":"","parse-names":false,"suffix":""},{"dropping-particle":"","family":"E. Rafferty","given":"Alannah","non-dropping-particle":"","parse-names":false,"suffix":""},{"dropping-particle":"","family":"Shipton","given":"Helen","non-dropping-particle":"","parse-names":false,"suffix":""},{"dropping-particle":"","family":"Sanders","given":"Karin","non-dropping-particle":"","parse-names":false,"suffix":""},{"dropping-particle":"","family":"J. Jackson","given":"Chris","non-dropping-particle":"","parse-names":false,"suffix":""}],"container-title":"British Journal of Management","id":"ITEM-1","issue":"4","issued":{"date-parts":[["2018","10","1"]]},"page":"796-816","publisher":"Blackwell Publishing Ltd","title":"Innovative Behaviour: How Much Transformational Leadership Do You Need?","type":"article-journal","volume":"29"},"uris":["http://www.mendeley.com/documents/?uuid=a463805d-58d9-3cb6-8d91-cef371b823bc"]}],"mendeley":{"formattedCitation":"(Bednall &lt;i&gt;et al.&lt;/i&gt;, 2018)","plainTextFormattedCitation":"(Bednall et al., 2018)","previouslyFormattedCitation":"(Bednall &lt;i&gt;et al.&lt;/i&gt;, 2018)"},"properties":{"noteIndex":0},"schema":"https://github.com/citation-style-language/schema/raw/master/csl-citation.json"}</w:instrText>
      </w:r>
      <w:r w:rsidRPr="00B222F2">
        <w:rPr>
          <w:lang w:val="en-GB"/>
        </w:rPr>
        <w:fldChar w:fldCharType="separate"/>
      </w:r>
      <w:r w:rsidRPr="00B222F2">
        <w:rPr>
          <w:noProof/>
          <w:lang w:val="en-GB"/>
        </w:rPr>
        <w:t xml:space="preserve">(Bednall </w:t>
      </w:r>
      <w:r w:rsidRPr="00B222F2">
        <w:rPr>
          <w:i/>
          <w:noProof/>
          <w:lang w:val="en-GB"/>
        </w:rPr>
        <w:t>et al.</w:t>
      </w:r>
      <w:r w:rsidRPr="00B222F2">
        <w:rPr>
          <w:noProof/>
          <w:lang w:val="en-GB"/>
        </w:rPr>
        <w:t>, 2018)</w:t>
      </w:r>
      <w:r w:rsidRPr="00B222F2">
        <w:rPr>
          <w:lang w:val="en-GB"/>
        </w:rPr>
        <w:fldChar w:fldCharType="end"/>
      </w:r>
      <w:r w:rsidRPr="00B222F2">
        <w:rPr>
          <w:lang w:val="en-GB"/>
        </w:rPr>
        <w:t xml:space="preserve">. For instance, leaders can control resources and give them the platform to determine whether the </w:t>
      </w:r>
      <w:r w:rsidR="00791D96">
        <w:rPr>
          <w:lang w:val="en-GB"/>
        </w:rPr>
        <w:t>organisation</w:t>
      </w:r>
      <w:r w:rsidRPr="00B222F2">
        <w:rPr>
          <w:lang w:val="en-GB"/>
        </w:rPr>
        <w:t xml:space="preserve"> will set aside the required resources to support the change process. Leaders also play a role in communicating crucial messages regarding the change process </w:t>
      </w:r>
      <w:r w:rsidRPr="00B222F2">
        <w:rPr>
          <w:lang w:val="en-GB"/>
        </w:rPr>
        <w:fldChar w:fldCharType="begin" w:fldLock="1"/>
      </w:r>
      <w:r w:rsidRPr="00B222F2">
        <w:rPr>
          <w:lang w:val="en-GB"/>
        </w:rPr>
        <w:instrText>ADDIN CSL_CITATION {"citationItems":[{"id":"ITEM-1","itemData":{"DOI":"10.1002/sres.2551","ISSN":"10991743","abstract":"This paper offers new theoretical contributions and practical knowledge to existing leadership theories. Through a detailed study of the major corporation SoftBank, a Japanese company achieving business innovation at a global level in recent years, and insights gained on the leadership for organizational adaptability of practitioners driving strategic innovation, this paper presents a framework for ‘holistic leadership’ with a fractal nature as a complex adaptive system. In the three ‘practice layers’ of the ‘formal organizational layer’, ‘psychological boundary layer (adaptive space)’ and the ‘informal organizational layer’, practitioners (in the three management layers of top management, middle management and staff) dynamically use ‘centralized leadership’, ‘dialectical leadership’ and ‘distributed leadership’ and combine them depending on the situation, to achieve a balance between various contradictory elements such as the ‘tug-of-war between efficiency and creativity’, and demonstrate organizational adaptability. Through an in-depth case study, this paper illustrates that holistic leadership in modern companies is a source of business innovation. © 2018 John Wiley &amp; Sons, Ltd.","author":[{"dropping-particle":"","family":"Kodama","given":"Mitsuru","non-dropping-particle":"","parse-names":false,"suffix":""}],"container-title":"Systems Research and Behavioral Science","id":"ITEM-1","issue":"4","issued":{"date-parts":[["2019","7","1"]]},"page":"365-394","publisher":"John Wiley and Sons Ltd","title":"Business Innovation Through Holistic Leadership-Developing Organizational Adaptability","type":"article-journal","volume":"36"},"uris":["http://www.mendeley.com/documents/?uuid=e16ca926-ff62-3e92-bd54-4674dfda173c"]}],"mendeley":{"formattedCitation":"(Kodama, 2019)","plainTextFormattedCitation":"(Kodama, 2019)","previouslyFormattedCitation":"(Kodama, 2019)"},"properties":{"noteIndex":0},"schema":"https://github.com/citation-style-language/schema/raw/master/csl-citation.json"}</w:instrText>
      </w:r>
      <w:r w:rsidRPr="00B222F2">
        <w:rPr>
          <w:lang w:val="en-GB"/>
        </w:rPr>
        <w:fldChar w:fldCharType="separate"/>
      </w:r>
      <w:r w:rsidRPr="00B222F2">
        <w:rPr>
          <w:noProof/>
          <w:lang w:val="en-GB"/>
        </w:rPr>
        <w:t>(Kodama, 2019)</w:t>
      </w:r>
      <w:r w:rsidRPr="00B222F2">
        <w:rPr>
          <w:lang w:val="en-GB"/>
        </w:rPr>
        <w:fldChar w:fldCharType="end"/>
      </w:r>
      <w:r w:rsidRPr="00B222F2">
        <w:rPr>
          <w:lang w:val="en-GB"/>
        </w:rPr>
        <w:t xml:space="preserve">. Their emphasis on the need for change and their regular updates regarding the change process determines the level of change that an </w:t>
      </w:r>
      <w:r w:rsidR="00791D96">
        <w:rPr>
          <w:lang w:val="en-GB"/>
        </w:rPr>
        <w:t>organisation</w:t>
      </w:r>
      <w:r w:rsidRPr="00B222F2">
        <w:rPr>
          <w:lang w:val="en-GB"/>
        </w:rPr>
        <w:t xml:space="preserve"> can embrace. </w:t>
      </w:r>
      <w:r>
        <w:rPr>
          <w:lang w:val="en-GB"/>
        </w:rPr>
        <w:t>Finally, leaders</w:t>
      </w:r>
      <w:r w:rsidRPr="00B222F2">
        <w:rPr>
          <w:lang w:val="en-GB"/>
        </w:rPr>
        <w:t xml:space="preserve"> are responsible for engaging followers to foster commitment and passion towards the change process.</w:t>
      </w:r>
    </w:p>
    <w:p w14:paraId="563A7C78" w14:textId="78CE69BA" w:rsidR="00192A6C" w:rsidRPr="00B222F2" w:rsidRDefault="00192A6C" w:rsidP="00192A6C">
      <w:pPr>
        <w:spacing w:line="480" w:lineRule="auto"/>
        <w:ind w:firstLine="720"/>
        <w:rPr>
          <w:lang w:val="en-GB"/>
        </w:rPr>
      </w:pPr>
      <w:r w:rsidRPr="00B222F2">
        <w:rPr>
          <w:lang w:val="en-GB"/>
        </w:rPr>
        <w:t xml:space="preserve">The formation of the joint venture between M&amp;S and Ocado Group required a vital role of leaders in determining the strategic goals of the acquisition and establishing the financial worth of the deal. M&amp;S leaders </w:t>
      </w:r>
      <w:r w:rsidR="00791D96">
        <w:rPr>
          <w:lang w:val="en-GB"/>
        </w:rPr>
        <w:t>recognised</w:t>
      </w:r>
      <w:r w:rsidRPr="00B222F2">
        <w:rPr>
          <w:lang w:val="en-GB"/>
        </w:rPr>
        <w:t xml:space="preserve"> the strategic value of the joint venture because it is likely to create better opportunities for the two companies. </w:t>
      </w:r>
      <w:r w:rsidRPr="000B0880">
        <w:rPr>
          <w:lang w:val="en-GB"/>
        </w:rPr>
        <w:t>M&amp;S's CEO stated that the company needs to build an online platform for customers to place purchases and get delivery.</w:t>
      </w:r>
      <w:r w:rsidRPr="00B222F2">
        <w:rPr>
          <w:lang w:val="en-GB"/>
        </w:rPr>
        <w:t xml:space="preserve"> In his view, the investment represented a fully aligned joint venture empowering the company to expand its food strategy by allowing customers to make online purchases. In this context, the most complex area that required the involvement of leaders was the determination of the viability of the acquisition, its level of profitability, scalability, and overall sustainability. M&amp;S leaders took charge of critically </w:t>
      </w:r>
      <w:r w:rsidR="00791D96">
        <w:rPr>
          <w:lang w:val="en-GB"/>
        </w:rPr>
        <w:t>analysing</w:t>
      </w:r>
      <w:r w:rsidRPr="00B222F2">
        <w:rPr>
          <w:lang w:val="en-GB"/>
        </w:rPr>
        <w:t xml:space="preserve"> the prospects of the merger before allocating resources to complete the deal </w:t>
      </w:r>
      <w:r w:rsidRPr="00B222F2">
        <w:rPr>
          <w:lang w:val="en-GB"/>
        </w:rPr>
        <w:fldChar w:fldCharType="begin" w:fldLock="1"/>
      </w:r>
      <w:r w:rsidRPr="00B222F2">
        <w:rPr>
          <w:lang w:val="en-GB"/>
        </w:rPr>
        <w:instrText>ADDIN CSL_CITATION {"citationItems":[{"id":"ITEM-1","itemData":{"DOI":"10.1080/02642069.2017.1405938","ISSN":"17439507","abstract":"Due to the high failure rate of the merger and acquisition (M&amp;A) strategy, this study raises the question of whether there is a difference between the types of M&amp;A in relation to M&amp;A success. The study presents a research model to examine how each of the types of M&amp;As–horizontal, vertical and conglomerate–separately affect M&amp;A success. The study compares between the industry sector and the services sector. The results show that horizontal M&amp;As lead to integration success and synergy success in the industry sector, but in the services sector, it leads to a failure of the integration stage, and in the both sectors it hinders the profitability. Vertical M&amp;As lead to a success only in relation to synergy in the services sector, while conglomerate M&amp;As lead to integration success and synergy success in the both sectors, but without success in relation to the profitability in the both sectors.","author":[{"dropping-particle":"","family":"Rozen-Bakher","given":"Ziva","non-dropping-particle":"","parse-names":false,"suffix":""}],"container-title":"Service Industries Journal","id":"ITEM-1","issue":"7-8","issued":{"date-parts":[["2018","6","11"]]},"page":"492-518","publisher":"Routledge","title":"Comparison of merger and acquisition (M&amp;A) success in horizontal, vertical and conglomerate M&amp;As: industry sector vs. services sector","type":"article-journal","volume":"38"},"uris":["http://www.mendeley.com/documents/?uuid=54acd44b-3afc-3765-8404-329b8ce8c199"]}],"mendeley":{"formattedCitation":"(Rozen-Bakher, 2018)","plainTextFormattedCitation":"(Rozen-Bakher, 2018)","previouslyFormattedCitation":"(Rozen-Bakher, 2018)"},"properties":{"noteIndex":0},"schema":"https://github.com/citation-style-language/schema/raw/master/csl-citation.json"}</w:instrText>
      </w:r>
      <w:r w:rsidRPr="00B222F2">
        <w:rPr>
          <w:lang w:val="en-GB"/>
        </w:rPr>
        <w:fldChar w:fldCharType="separate"/>
      </w:r>
      <w:r w:rsidRPr="00B222F2">
        <w:rPr>
          <w:noProof/>
          <w:lang w:val="en-GB"/>
        </w:rPr>
        <w:t>(Rozen-Bakher, 2018)</w:t>
      </w:r>
      <w:r w:rsidRPr="00B222F2">
        <w:rPr>
          <w:lang w:val="en-GB"/>
        </w:rPr>
        <w:fldChar w:fldCharType="end"/>
      </w:r>
      <w:r w:rsidRPr="00B222F2">
        <w:rPr>
          <w:lang w:val="en-GB"/>
        </w:rPr>
        <w:t xml:space="preserve">. The </w:t>
      </w:r>
      <w:r w:rsidRPr="00B222F2">
        <w:rPr>
          <w:lang w:val="en-GB"/>
        </w:rPr>
        <w:lastRenderedPageBreak/>
        <w:t xml:space="preserve">acquisition cost M&amp;S more than £750 million. The </w:t>
      </w:r>
      <w:r>
        <w:rPr>
          <w:lang w:val="en-GB"/>
        </w:rPr>
        <w:t>deal's</w:t>
      </w:r>
      <w:r w:rsidRPr="00B222F2">
        <w:rPr>
          <w:lang w:val="en-GB"/>
        </w:rPr>
        <w:t xml:space="preserve"> cost </w:t>
      </w:r>
      <w:r>
        <w:rPr>
          <w:lang w:val="en-GB"/>
        </w:rPr>
        <w:t>demonstrates</w:t>
      </w:r>
      <w:r w:rsidRPr="00B222F2">
        <w:rPr>
          <w:lang w:val="en-GB"/>
        </w:rPr>
        <w:t xml:space="preserve"> the need for the leaders to make an informed decision regarding its overall viability and benefits in the long term. Leaders have an essential responsibility in determining the future course of an </w:t>
      </w:r>
      <w:r w:rsidR="00791D96">
        <w:rPr>
          <w:lang w:val="en-GB"/>
        </w:rPr>
        <w:t>organisation</w:t>
      </w:r>
      <w:r w:rsidRPr="00B222F2">
        <w:rPr>
          <w:lang w:val="en-GB"/>
        </w:rPr>
        <w:t xml:space="preserve">. The process of strategy development plays </w:t>
      </w:r>
      <w:r>
        <w:rPr>
          <w:lang w:val="en-GB"/>
        </w:rPr>
        <w:t>a critical role in</w:t>
      </w:r>
      <w:r w:rsidRPr="00B222F2">
        <w:rPr>
          <w:lang w:val="en-GB"/>
        </w:rPr>
        <w:t xml:space="preserve"> ensuring that a company determines the direction that business will take. In this context, the chief executive officer and his team exhibited awareness that the food business at M&amp;S needed a new direction. The leaders needed to conduct the necessary projections and determine whether the deal would translate to desirable outcomes in a specified period to facilitate this change </w:t>
      </w:r>
      <w:r w:rsidRPr="00B222F2">
        <w:rPr>
          <w:lang w:val="en-GB"/>
        </w:rPr>
        <w:fldChar w:fldCharType="begin" w:fldLock="1"/>
      </w:r>
      <w:r w:rsidRPr="00B222F2">
        <w:rPr>
          <w:lang w:val="en-GB"/>
        </w:rPr>
        <w:instrText>ADDIN CSL_CITATION {"citationItems":[{"id":"ITEM-1","itemData":{"DOI":"10.1016/j.jbusres.2011.03.005","ISSN":"01482963","abstract":"This study analyzes the influences of transformational leadership on organizational performance through the dynamic capabilities of organizational learning and innovation. Although these indirect interrelations are very important for improving organizational performance, previous research has not usually explored them. The study confirms these influences empirically, basing the analysis on a sample of 168 Spanish firms. The results reveal that (1) transformational leadership influences organizational performance positively through organizational learning and innovation; (2) organizational learning influences organizational performance positively, both directly and indirectly through organizational innovation; (3) organizational innovation influences organizational performance positively. © 2011 Elsevier Inc.","author":[{"dropping-particle":"","family":"García-Morales","given":"Víctor Jesús","non-dropping-particle":"","parse-names":false,"suffix":""},{"dropping-particle":"","family":"Jiménez-Barrionuevo","given":"María Magdalena","non-dropping-particle":"","parse-names":false,"suffix":""},{"dropping-particle":"","family":"Gutiérrez-Gutiérrez","given":"Leopoldo","non-dropping-particle":"","parse-names":false,"suffix":""}],"container-title":"Journal of Business Research","id":"ITEM-1","issue":"7","issued":{"date-parts":[["2012","7"]]},"page":"1040-1050","title":"Transformational leadership influence on organizational performance through organizational learning and innovation","type":"article-journal","volume":"65"},"uris":["http://www.mendeley.com/documents/?uuid=ed996c85-788d-3b6d-ae87-526302d100f4"]}],"mendeley":{"formattedCitation":"(García-Morales, Jiménez-Barrionuevo and Gutiérrez-Gutiérrez, 2012)","plainTextFormattedCitation":"(García-Morales, Jiménez-Barrionuevo and Gutiérrez-Gutiérrez, 2012)","previouslyFormattedCitation":"(García-Morales, Jiménez-Barrionuevo and Gutiérrez-Gutiérrez, 2012)"},"properties":{"noteIndex":0},"schema":"https://github.com/citation-style-language/schema/raw/master/csl-citation.json"}</w:instrText>
      </w:r>
      <w:r w:rsidRPr="00B222F2">
        <w:rPr>
          <w:lang w:val="en-GB"/>
        </w:rPr>
        <w:fldChar w:fldCharType="separate"/>
      </w:r>
      <w:r w:rsidRPr="00B222F2">
        <w:rPr>
          <w:noProof/>
          <w:lang w:val="en-GB"/>
        </w:rPr>
        <w:t>(García-Morales, Jiménez-Barrionuevo and Gutiérrez-Gutiérrez, 2012)</w:t>
      </w:r>
      <w:r w:rsidRPr="00B222F2">
        <w:rPr>
          <w:lang w:val="en-GB"/>
        </w:rPr>
        <w:fldChar w:fldCharType="end"/>
      </w:r>
      <w:r w:rsidRPr="00B222F2">
        <w:rPr>
          <w:lang w:val="en-GB"/>
        </w:rPr>
        <w:t xml:space="preserve">. For M&amp;S, the joint venture is likely to meet the agreed targets in about four years, extending the deferred element of £187.5 million and interest accumulated over the years. The chief executive officer believes that funding this investment represents a transformational step in shaping the future of the M&amp;S food business. Specifically, the leadership role in allocating funding that transfers a third of the business online and addressing other complex areas served as a </w:t>
      </w:r>
      <w:r>
        <w:rPr>
          <w:lang w:val="en-GB"/>
        </w:rPr>
        <w:t>critical</w:t>
      </w:r>
      <w:r w:rsidRPr="00B222F2">
        <w:rPr>
          <w:lang w:val="en-GB"/>
        </w:rPr>
        <w:t xml:space="preserve"> contribution to the change process </w:t>
      </w:r>
      <w:r w:rsidRPr="00B222F2">
        <w:rPr>
          <w:lang w:val="en-GB"/>
        </w:rPr>
        <w:fldChar w:fldCharType="begin" w:fldLock="1"/>
      </w:r>
      <w:r w:rsidRPr="00B222F2">
        <w:rPr>
          <w:lang w:val="en-GB"/>
        </w:rPr>
        <w:instrText>ADDIN CSL_CITATION {"citationItems":[{"id":"ITEM-1","itemData":{"DOI":"10.1080/14697017.2018.1447006","ISSN":"14791811","abstract":"Employees’ reactions to organizational change are affected by transformational leaders, who foster employees’ readiness for and commitment to change and motivate them to act in support of the change. However, just how transformational leadership affects employees remains unclear. To address this gap in knowledge, the present study analyses work engagement and the perceived consequences of a change (valence) as motivational mechanisms that explain the influence of transformational leaders on employees’ behaviour during change. The study engaged 328 employees who were experiencing organizational change to complete a survey and used structural equation modelling for data analysis. Results show that work engagement and valence function as mediators in the relationship between transformational leadership and employee behaviour during change, so two motivational mechanisms are identified that shed light on the leadership process. Transformational leadership increases employees’ work engagement and perceptions of attractive change consequences, subsequently evoking employee behaviour in support of change. In doing so, the study expands the research on the role of transformational leadership during organizational change and helps to sensitize managers about how they can positively influence employees in the course of organizational change.","author":[{"dropping-particle":"","family":"Faupel","given":"Stefanie","non-dropping-particle":"","parse-names":false,"suffix":""},{"dropping-particle":"","family":"Süß","given":"Stefan","non-dropping-particle":"","parse-names":false,"suffix":""}],"container-title":"Journal of Change Management","id":"ITEM-1","issue":"3","issued":{"date-parts":[["2019","7","3"]]},"page":"145-166","publisher":"Routledge","title":"The Effect of Transformational Leadership on Employees During Organizational Change–An Empirical Analysis","type":"article-journal","volume":"19"},"uris":["http://www.mendeley.com/documents/?uuid=4c3ec6ba-3bf2-3b33-9fda-f7c528e15091"]}],"mendeley":{"formattedCitation":"(Faupel and Süß, 2019)","plainTextFormattedCitation":"(Faupel and Süß, 2019)","previouslyFormattedCitation":"(Faupel and Süß, 2019)"},"properties":{"noteIndex":0},"schema":"https://github.com/citation-style-language/schema/raw/master/csl-citation.json"}</w:instrText>
      </w:r>
      <w:r w:rsidRPr="00B222F2">
        <w:rPr>
          <w:lang w:val="en-GB"/>
        </w:rPr>
        <w:fldChar w:fldCharType="separate"/>
      </w:r>
      <w:r w:rsidRPr="00B222F2">
        <w:rPr>
          <w:noProof/>
          <w:lang w:val="en-GB"/>
        </w:rPr>
        <w:t>(Faupel and Süß, 2019)</w:t>
      </w:r>
      <w:r w:rsidRPr="00B222F2">
        <w:rPr>
          <w:lang w:val="en-GB"/>
        </w:rPr>
        <w:fldChar w:fldCharType="end"/>
      </w:r>
      <w:r w:rsidRPr="00B222F2">
        <w:rPr>
          <w:lang w:val="en-GB"/>
        </w:rPr>
        <w:t xml:space="preserve">. Since 2019, M&amp;S embarked on </w:t>
      </w:r>
      <w:r>
        <w:rPr>
          <w:lang w:val="en-GB"/>
        </w:rPr>
        <w:t>crucial</w:t>
      </w:r>
      <w:r w:rsidRPr="00B222F2">
        <w:rPr>
          <w:lang w:val="en-GB"/>
        </w:rPr>
        <w:t xml:space="preserve"> consideration of the projections of the potential sustained feasibility after the acquisition. The leaders </w:t>
      </w:r>
      <w:r>
        <w:rPr>
          <w:lang w:val="en-GB"/>
        </w:rPr>
        <w:t>launched</w:t>
      </w:r>
      <w:r w:rsidRPr="00B222F2">
        <w:rPr>
          <w:lang w:val="en-GB"/>
        </w:rPr>
        <w:t xml:space="preserve"> an informed decision-making model to demonstrate the logic behind the real cost of the deal. </w:t>
      </w:r>
    </w:p>
    <w:p w14:paraId="1CC5E089" w14:textId="16E66C17" w:rsidR="00192A6C" w:rsidRPr="00B222F2" w:rsidRDefault="00192A6C" w:rsidP="00192A6C">
      <w:pPr>
        <w:spacing w:line="480" w:lineRule="auto"/>
        <w:ind w:firstLine="720"/>
        <w:rPr>
          <w:lang w:val="en-GB"/>
        </w:rPr>
      </w:pPr>
      <w:r w:rsidRPr="00B222F2">
        <w:rPr>
          <w:lang w:val="en-GB"/>
        </w:rPr>
        <w:t xml:space="preserve">During the implementation of change, leaders must play a critical role in managing all complex areas such as people, finances, culture, stakeholders, and knowledge management. On the other hand, the leaders must establish an enabling positive culture that supports the change </w:t>
      </w:r>
      <w:r w:rsidR="00791D96">
        <w:rPr>
          <w:lang w:val="en-GB"/>
        </w:rPr>
        <w:t>with</w:t>
      </w:r>
      <w:r w:rsidRPr="00B222F2">
        <w:rPr>
          <w:lang w:val="en-GB"/>
        </w:rPr>
        <w:t xml:space="preserve"> its foundation on </w:t>
      </w:r>
      <w:r>
        <w:rPr>
          <w:lang w:val="en-GB"/>
        </w:rPr>
        <w:t>its</w:t>
      </w:r>
      <w:r w:rsidRPr="00B222F2">
        <w:rPr>
          <w:lang w:val="en-GB"/>
        </w:rPr>
        <w:t xml:space="preserve"> mission and vision of developing unique products. Precisely, the leaders of M&amp;S have aligned all the </w:t>
      </w:r>
      <w:r w:rsidR="00791D96">
        <w:rPr>
          <w:lang w:val="en-GB"/>
        </w:rPr>
        <w:t>organisation</w:t>
      </w:r>
      <w:r w:rsidRPr="00B222F2">
        <w:rPr>
          <w:lang w:val="en-GB"/>
        </w:rPr>
        <w:t xml:space="preserve"> systems to support change. Leaders must ensure that all the systems in an </w:t>
      </w:r>
      <w:r w:rsidR="00791D96">
        <w:rPr>
          <w:lang w:val="en-GB"/>
        </w:rPr>
        <w:t>organisation</w:t>
      </w:r>
      <w:r w:rsidRPr="00B222F2">
        <w:rPr>
          <w:lang w:val="en-GB"/>
        </w:rPr>
        <w:t xml:space="preserve"> work in favour of the change process </w:t>
      </w:r>
      <w:r w:rsidRPr="00B222F2">
        <w:rPr>
          <w:lang w:val="en-GB"/>
        </w:rPr>
        <w:fldChar w:fldCharType="begin" w:fldLock="1"/>
      </w:r>
      <w:r w:rsidRPr="00B222F2">
        <w:rPr>
          <w:lang w:val="en-GB"/>
        </w:rPr>
        <w:instrText>ADDIN CSL_CITATION {"citationItems":[{"id":"ITEM-1","itemData":{"DOI":"10.1016/j.sbspro.2012.09.1215","ISSN":"1877-0428","abstract":"This paper presents the findings of a study which examined the relationship between innovation, transformational leadership and organizational performance. Further, the study determined the influence of innovation and transformational leadership on organizational performance. Finally the study examined the most important factor that influences organizational performance. Data in the study was collected from a sample of 150 managerial staff in Malaysian logistics companies. The obtained data were analyzed using SPSS Version18. The study found that transformational leadership and innovation were related to organizational performance. Both transformational leadership and innovation were found to be the significant influence to organizational performance. This shows that transformational leadership and innovation have significantly enhanced the organizational performance in Malaysian logistics companies. This study also revealed that charisma aspect of transformational leadership and product or service in innovation emerged as the most important factors that influence performance of organization. Findings, implications and recommendations for future research from this study are discussed.","author":[{"dropping-particle":"","family":"Samad","given":"Sarminah","non-dropping-particle":"","parse-names":false,"suffix":""}],"container-title":"Procedia-Social and Behavioral Sciences","id":"ITEM-1","issued":{"date-parts":[["2012"]]},"page":"486-493","title":"The Influence of Innovation and Transformational Leadership on Organizational Performance","type":"article-journal","volume":"57"},"uris":["http://www.mendeley.com/documents/?uuid=4aa0cbf5-7cfe-32a1-a447-f370aeea95a4"]}],"mendeley":{"formattedCitation":"(Samad, 2012)","plainTextFormattedCitation":"(Samad, 2012)","previouslyFormattedCitation":"(Samad, 2012)"},"properties":{"noteIndex":0},"schema":"https://github.com/citation-style-language/schema/raw/master/csl-citation.json"}</w:instrText>
      </w:r>
      <w:r w:rsidRPr="00B222F2">
        <w:rPr>
          <w:lang w:val="en-GB"/>
        </w:rPr>
        <w:fldChar w:fldCharType="separate"/>
      </w:r>
      <w:r w:rsidRPr="00B222F2">
        <w:rPr>
          <w:noProof/>
          <w:lang w:val="en-GB"/>
        </w:rPr>
        <w:t>(Samad, 2012)</w:t>
      </w:r>
      <w:r w:rsidRPr="00B222F2">
        <w:rPr>
          <w:lang w:val="en-GB"/>
        </w:rPr>
        <w:fldChar w:fldCharType="end"/>
      </w:r>
      <w:r w:rsidRPr="00B222F2">
        <w:rPr>
          <w:lang w:val="en-GB"/>
        </w:rPr>
        <w:t xml:space="preserve">. As a result, their commitment to align </w:t>
      </w:r>
      <w:r w:rsidR="00791D96">
        <w:rPr>
          <w:lang w:val="en-GB"/>
        </w:rPr>
        <w:t>organisational</w:t>
      </w:r>
      <w:r w:rsidRPr="00B222F2">
        <w:rPr>
          <w:lang w:val="en-GB"/>
        </w:rPr>
        <w:t xml:space="preserve"> </w:t>
      </w:r>
      <w:r w:rsidR="00791D96">
        <w:rPr>
          <w:lang w:val="en-GB"/>
        </w:rPr>
        <w:t>strategies</w:t>
      </w:r>
      <w:r w:rsidRPr="00B222F2">
        <w:rPr>
          <w:lang w:val="en-GB"/>
        </w:rPr>
        <w:t xml:space="preserve"> to </w:t>
      </w:r>
      <w:r w:rsidRPr="00B222F2">
        <w:rPr>
          <w:lang w:val="en-GB"/>
        </w:rPr>
        <w:lastRenderedPageBreak/>
        <w:t xml:space="preserve">meet specific goals empowers them to achieve desirable </w:t>
      </w:r>
      <w:r>
        <w:rPr>
          <w:lang w:val="en-GB"/>
        </w:rPr>
        <w:t>change processes</w:t>
      </w:r>
      <w:r w:rsidRPr="00B222F2">
        <w:rPr>
          <w:lang w:val="en-GB"/>
        </w:rPr>
        <w:t xml:space="preserve">. The leadership embarks on a rigorous process of empowering positive change by involving all the stakeholders in the change process. The leaders at M&amp;S involve stakeholders in key decision-making processes as </w:t>
      </w:r>
      <w:r>
        <w:rPr>
          <w:lang w:val="en-GB"/>
        </w:rPr>
        <w:t>a fundamental</w:t>
      </w:r>
      <w:r w:rsidRPr="00B222F2">
        <w:rPr>
          <w:lang w:val="en-GB"/>
        </w:rPr>
        <w:t xml:space="preserve"> approach for building rapport and creating a favourable environment for change. Unfortunately, gaining the rapport of stakeholders regarding the acquisition was not an easy venture for the leaders. </w:t>
      </w:r>
      <w:r>
        <w:rPr>
          <w:lang w:val="en-GB"/>
        </w:rPr>
        <w:t>Remarkably</w:t>
      </w:r>
      <w:r w:rsidRPr="00B222F2">
        <w:rPr>
          <w:lang w:val="en-GB"/>
        </w:rPr>
        <w:t xml:space="preserve">, the leaders focused on persuading all the shareholders to support the acquisition, </w:t>
      </w:r>
      <w:r w:rsidR="00791D96">
        <w:rPr>
          <w:lang w:val="en-GB"/>
        </w:rPr>
        <w:t>emphasising</w:t>
      </w:r>
      <w:r w:rsidRPr="00B222F2">
        <w:rPr>
          <w:lang w:val="en-GB"/>
        </w:rPr>
        <w:t xml:space="preserve"> its potential benefits in the long term. Some of the shareholders considered the deal too expensive and a complete waste of </w:t>
      </w:r>
      <w:r>
        <w:rPr>
          <w:lang w:val="en-GB"/>
        </w:rPr>
        <w:t>shareholders'</w:t>
      </w:r>
      <w:r w:rsidRPr="00B222F2">
        <w:rPr>
          <w:lang w:val="en-GB"/>
        </w:rPr>
        <w:t xml:space="preserve"> money. However, the leaders of M&amp;S expressed determination that the </w:t>
      </w:r>
      <w:r>
        <w:rPr>
          <w:lang w:val="en-GB"/>
        </w:rPr>
        <w:t>agreement</w:t>
      </w:r>
      <w:r w:rsidRPr="00B222F2">
        <w:rPr>
          <w:lang w:val="en-GB"/>
        </w:rPr>
        <w:t xml:space="preserve"> represented a potentially profitable venture that would place the company on top of other businesses that offer different food products. Operating online </w:t>
      </w:r>
      <w:r>
        <w:rPr>
          <w:lang w:val="en-GB"/>
        </w:rPr>
        <w:t>means</w:t>
      </w:r>
      <w:r w:rsidRPr="00B222F2">
        <w:rPr>
          <w:lang w:val="en-GB"/>
        </w:rPr>
        <w:t xml:space="preserve"> a strategic approach of increasing visibility and ensuring that consumers can access the products from different places. During this process, the </w:t>
      </w:r>
      <w:r>
        <w:rPr>
          <w:lang w:val="en-GB"/>
        </w:rPr>
        <w:t>stakeholder's</w:t>
      </w:r>
      <w:r w:rsidRPr="00B222F2">
        <w:rPr>
          <w:lang w:val="en-GB"/>
        </w:rPr>
        <w:t xml:space="preserve"> buy-in required the </w:t>
      </w:r>
      <w:r>
        <w:rPr>
          <w:lang w:val="en-GB"/>
        </w:rPr>
        <w:t>leaders'</w:t>
      </w:r>
      <w:r w:rsidRPr="00B222F2">
        <w:rPr>
          <w:lang w:val="en-GB"/>
        </w:rPr>
        <w:t xml:space="preserve"> intervention to demonstrate that the deal represented a potentially feasible and profitable venture, which is likely to achieve the target outcomes in about four years. The leaders are fully cognisant of the need to pursue change to foster market strength and maintain the leading position in the industry.</w:t>
      </w:r>
    </w:p>
    <w:p w14:paraId="6E43B28C" w14:textId="2B35B298" w:rsidR="00192A6C" w:rsidRPr="00B222F2" w:rsidRDefault="00192A6C" w:rsidP="00192A6C">
      <w:pPr>
        <w:spacing w:line="480" w:lineRule="auto"/>
        <w:ind w:firstLine="720"/>
        <w:rPr>
          <w:lang w:val="en-GB"/>
        </w:rPr>
      </w:pPr>
      <w:r w:rsidRPr="00B222F2">
        <w:rPr>
          <w:lang w:val="en-GB"/>
        </w:rPr>
        <w:t xml:space="preserve">Leaders must align </w:t>
      </w:r>
      <w:r w:rsidR="00791D96">
        <w:rPr>
          <w:lang w:val="en-GB"/>
        </w:rPr>
        <w:t>organisational</w:t>
      </w:r>
      <w:r w:rsidRPr="00B222F2">
        <w:rPr>
          <w:lang w:val="en-GB"/>
        </w:rPr>
        <w:t xml:space="preserve"> systems to facilitate successful change </w:t>
      </w:r>
      <w:r w:rsidRPr="00B222F2">
        <w:rPr>
          <w:lang w:val="en-GB"/>
        </w:rPr>
        <w:fldChar w:fldCharType="begin" w:fldLock="1"/>
      </w:r>
      <w:r w:rsidRPr="00B222F2">
        <w:rPr>
          <w:lang w:val="en-GB"/>
        </w:rPr>
        <w:instrText>ADDIN CSL_CITATION {"citationItems":[{"id":"ITEM-1","itemData":{"DOI":"10.1016/j.leaqua.2010.03.007","ISSN":"10489843","abstract":"This paper bridges the leadership and organizational change literatures by exploring the relationship between managers' leadership competencies (namely, their effectiveness at person-oriented and task-oriented behaviors) and the likelihood that they will emphasize the different activities involved in planned organizational change implementation (namely, communicating the need for change, mobilizing others to support the change, and evaluating the change implementation). We examine this relationship using data from 89 clinical managers at the United Kingdom National Health Service who implemented change projects between 2003 and 2004. Our results lend overall support to the proposed theory. This finding suggests that treating planned organizational change as a generic phenomenon might mask important idiosyncrasies associated both with the different activities involved in the change implementation process and with the unique functions that leadership competencies might play in the execution of these activities. © 2010 Elsevier Inc.","author":[{"dropping-particle":"","family":"Battilana","given":"Julie","non-dropping-particle":"","parse-names":false,"suffix":""},{"dropping-particle":"","family":"Gilmartin","given":"Mattia","non-dropping-particle":"","parse-names":false,"suffix":""},{"dropping-particle":"","family":"Sengul","given":"Metin","non-dropping-particle":"","parse-names":false,"suffix":""},{"dropping-particle":"","family":"Pache","given":"Anne Claire","non-dropping-particle":"","parse-names":false,"suffix":""},{"dropping-particle":"","family":"Alexander","given":"Jeffrey A.","non-dropping-particle":"","parse-names":false,"suffix":""}],"container-title":"Leadership Quarterly","id":"ITEM-1","issue":"3","issued":{"date-parts":[["2010","6"]]},"page":"422-438","title":"Leadership competencies for implementing planned organizational change","type":"article-journal","volume":"21"},"uris":["http://www.mendeley.com/documents/?uuid=1aba2093-10b3-311c-ab14-54fcdea14318"]}],"mendeley":{"formattedCitation":"(Battilana &lt;i&gt;et al.&lt;/i&gt;, 2010)","plainTextFormattedCitation":"(Battilana et al., 2010)","previouslyFormattedCitation":"(Battilana &lt;i&gt;et al.&lt;/i&gt;, 2010)"},"properties":{"noteIndex":0},"schema":"https://github.com/citation-style-language/schema/raw/master/csl-citation.json"}</w:instrText>
      </w:r>
      <w:r w:rsidRPr="00B222F2">
        <w:rPr>
          <w:lang w:val="en-GB"/>
        </w:rPr>
        <w:fldChar w:fldCharType="separate"/>
      </w:r>
      <w:r w:rsidRPr="00B222F2">
        <w:rPr>
          <w:noProof/>
          <w:lang w:val="en-GB"/>
        </w:rPr>
        <w:t xml:space="preserve">(Battilana </w:t>
      </w:r>
      <w:r w:rsidRPr="00B222F2">
        <w:rPr>
          <w:i/>
          <w:noProof/>
          <w:lang w:val="en-GB"/>
        </w:rPr>
        <w:t>et al.</w:t>
      </w:r>
      <w:r w:rsidRPr="00B222F2">
        <w:rPr>
          <w:noProof/>
          <w:lang w:val="en-GB"/>
        </w:rPr>
        <w:t>, 2010)</w:t>
      </w:r>
      <w:r w:rsidRPr="00B222F2">
        <w:rPr>
          <w:lang w:val="en-GB"/>
        </w:rPr>
        <w:fldChar w:fldCharType="end"/>
      </w:r>
      <w:r w:rsidRPr="00B222F2">
        <w:rPr>
          <w:lang w:val="en-GB"/>
        </w:rPr>
        <w:t xml:space="preserve">. In the context of M&amp;S, the acquisition of 50% of Ocado Group translates to an evident need for developing a </w:t>
      </w:r>
      <w:r>
        <w:rPr>
          <w:lang w:val="en-GB"/>
        </w:rPr>
        <w:t>"</w:t>
      </w:r>
      <w:r w:rsidRPr="00B222F2">
        <w:rPr>
          <w:lang w:val="en-GB"/>
        </w:rPr>
        <w:t>one business mentality</w:t>
      </w:r>
      <w:r>
        <w:rPr>
          <w:lang w:val="en-GB"/>
        </w:rPr>
        <w:t>"</w:t>
      </w:r>
      <w:r w:rsidRPr="00B222F2">
        <w:rPr>
          <w:lang w:val="en-GB"/>
        </w:rPr>
        <w:t xml:space="preserve">. The leaders have been responsible for tailoring </w:t>
      </w:r>
      <w:r>
        <w:rPr>
          <w:lang w:val="en-GB"/>
        </w:rPr>
        <w:t>standard</w:t>
      </w:r>
      <w:r w:rsidRPr="00B222F2">
        <w:rPr>
          <w:lang w:val="en-GB"/>
        </w:rPr>
        <w:t xml:space="preserve"> operating procedures, business plan, and shared talent as </w:t>
      </w:r>
      <w:r>
        <w:rPr>
          <w:lang w:val="en-GB"/>
        </w:rPr>
        <w:t>productive</w:t>
      </w:r>
      <w:r w:rsidRPr="00B222F2">
        <w:rPr>
          <w:lang w:val="en-GB"/>
        </w:rPr>
        <w:t xml:space="preserve"> ways of facilitating the joint </w:t>
      </w:r>
      <w:r>
        <w:rPr>
          <w:lang w:val="en-GB"/>
        </w:rPr>
        <w:t>venture's</w:t>
      </w:r>
      <w:r w:rsidRPr="00B222F2">
        <w:rPr>
          <w:lang w:val="en-GB"/>
        </w:rPr>
        <w:t xml:space="preserve"> success. Negotiating the procedures to govern the joint venture and establishing boundaries for both </w:t>
      </w:r>
      <w:r w:rsidR="00791D96">
        <w:rPr>
          <w:lang w:val="en-GB"/>
        </w:rPr>
        <w:t>organisations</w:t>
      </w:r>
      <w:r w:rsidRPr="00B222F2">
        <w:rPr>
          <w:lang w:val="en-GB"/>
        </w:rPr>
        <w:t xml:space="preserve"> is an essential element in fostering the </w:t>
      </w:r>
      <w:r>
        <w:rPr>
          <w:lang w:val="en-GB"/>
        </w:rPr>
        <w:t>acquisition's</w:t>
      </w:r>
      <w:r w:rsidRPr="00B222F2">
        <w:rPr>
          <w:lang w:val="en-GB"/>
        </w:rPr>
        <w:t xml:space="preserve"> success </w:t>
      </w:r>
      <w:r w:rsidRPr="00B222F2">
        <w:rPr>
          <w:lang w:val="en-GB"/>
        </w:rPr>
        <w:fldChar w:fldCharType="begin" w:fldLock="1"/>
      </w:r>
      <w:r w:rsidRPr="00B222F2">
        <w:rPr>
          <w:lang w:val="en-GB"/>
        </w:rPr>
        <w:instrText>ADDIN CSL_CITATION {"citationItems":[{"id":"ITEM-1","itemData":{"DOI":"10.1080/14697017.2020.1716459","ISSN":"14791811","abstract":"MAD statement The intention of this annual editorial is to Make A Difference (MAD) through outlining suggestions to where we need to direct future organizational change and leadership discourse, research and practitioner efforts. Engaging in immensely important fields of study and practice, we have a responsibility to assist the sustainable development of organizations and the wider society. Much good work is undertaken in support of the further development of both theory and practice. However, I do observe in my role as editor-in-chief a sustained tendency amongst both scholars and practitioners of being stuck in a quagmire peddling a dominant orthodoxy that is somewhat lacking in progress, initiative and imagination (it still sells articles, books, courses and seminars though …). Becoming unstuck through reframing the challenges faced is required for our work to stay relevant, and it takes real and conscious effort to make this happen. Or blood, toil, tears and sweat as Churchill would put it.","author":[{"dropping-particle":"","family":"By","given":"Rune Todnem","non-dropping-particle":"","parse-names":false,"suffix":""}],"container-title":"Journal of Change Management","id":"ITEM-1","issue":"1","issued":{"date-parts":[["2020","1","2"]]},"page":"1-6","publisher":"Routledge","title":"Organizational Change and Leadership: Out of the Quagmire","type":"article","volume":"20"},"uris":["http://www.mendeley.com/documents/?uuid=28372da1-7c5d-3f7e-9c5f-f33a50fb6c9b"]}],"mendeley":{"formattedCitation":"(By, 2020)","plainTextFormattedCitation":"(By, 2020)","previouslyFormattedCitation":"(By, 2020)"},"properties":{"noteIndex":0},"schema":"https://github.com/citation-style-language/schema/raw/master/csl-citation.json"}</w:instrText>
      </w:r>
      <w:r w:rsidRPr="00B222F2">
        <w:rPr>
          <w:lang w:val="en-GB"/>
        </w:rPr>
        <w:fldChar w:fldCharType="separate"/>
      </w:r>
      <w:r w:rsidRPr="00B222F2">
        <w:rPr>
          <w:noProof/>
          <w:lang w:val="en-GB"/>
        </w:rPr>
        <w:t>(By, 2020)</w:t>
      </w:r>
      <w:r w:rsidRPr="00B222F2">
        <w:rPr>
          <w:lang w:val="en-GB"/>
        </w:rPr>
        <w:fldChar w:fldCharType="end"/>
      </w:r>
      <w:r w:rsidRPr="00B222F2">
        <w:rPr>
          <w:lang w:val="en-GB"/>
        </w:rPr>
        <w:t xml:space="preserve">. The leaders at M&amp;S demonstrated a remarkable commitment in support of the venture. </w:t>
      </w:r>
    </w:p>
    <w:p w14:paraId="36258957" w14:textId="77777777" w:rsidR="00192A6C" w:rsidRPr="00B222F2" w:rsidRDefault="00192A6C" w:rsidP="00192A6C">
      <w:pPr>
        <w:pStyle w:val="Heading2"/>
        <w:spacing w:line="480" w:lineRule="auto"/>
        <w:rPr>
          <w:rFonts w:cs="Times New Roman"/>
          <w:lang w:val="en-GB"/>
        </w:rPr>
      </w:pPr>
      <w:bookmarkStart w:id="9" w:name="_Toc75435244"/>
      <w:bookmarkStart w:id="10" w:name="_Toc75437510"/>
      <w:r w:rsidRPr="00B222F2">
        <w:rPr>
          <w:rFonts w:cs="Times New Roman"/>
          <w:lang w:val="en-GB"/>
        </w:rPr>
        <w:lastRenderedPageBreak/>
        <w:t>2.4 Change Agents</w:t>
      </w:r>
      <w:bookmarkEnd w:id="9"/>
      <w:bookmarkEnd w:id="10"/>
    </w:p>
    <w:p w14:paraId="59129869" w14:textId="5A7469E7" w:rsidR="00192A6C" w:rsidRPr="00B222F2" w:rsidRDefault="00192A6C" w:rsidP="00192A6C">
      <w:pPr>
        <w:spacing w:line="480" w:lineRule="auto"/>
        <w:ind w:firstLine="720"/>
        <w:rPr>
          <w:lang w:val="en-GB"/>
        </w:rPr>
      </w:pPr>
      <w:r w:rsidRPr="00B222F2">
        <w:rPr>
          <w:lang w:val="en-GB"/>
        </w:rPr>
        <w:t xml:space="preserve">Change agents play a critical role during the implementation of change. Change agents exhibit unique capabilities </w:t>
      </w:r>
      <w:r w:rsidR="00791D96">
        <w:rPr>
          <w:lang w:val="en-GB"/>
        </w:rPr>
        <w:t>to identify</w:t>
      </w:r>
      <w:r w:rsidRPr="00B222F2">
        <w:rPr>
          <w:lang w:val="en-GB"/>
        </w:rPr>
        <w:t xml:space="preserve"> the need for change and </w:t>
      </w:r>
      <w:r w:rsidR="00791D96">
        <w:rPr>
          <w:lang w:val="en-GB"/>
        </w:rPr>
        <w:t>investigate</w:t>
      </w:r>
      <w:r w:rsidRPr="00B222F2">
        <w:rPr>
          <w:lang w:val="en-GB"/>
        </w:rPr>
        <w:t xml:space="preserve"> the potential obstacles that can hinder change </w:t>
      </w:r>
      <w:r w:rsidRPr="00B222F2">
        <w:rPr>
          <w:lang w:val="en-GB"/>
        </w:rPr>
        <w:fldChar w:fldCharType="begin" w:fldLock="1"/>
      </w:r>
      <w:r w:rsidRPr="00B222F2">
        <w:rPr>
          <w:lang w:val="en-GB"/>
        </w:rPr>
        <w:instrText>ADDIN CSL_CITATION {"citationItems":[{"id":"ITEM-1","itemData":{"DOI":"10.1080/14697017.2017.1378696","ISSN":"14791811","abstract":"This longitudinal field study adds to research on organizational change implementation by examining two facets of change agents’ motivation as predictors of organizational change. To explain effects, this article examines change agents’ experience of meaningful project work and their organizational identification as underlying mechanisms. Change agents were 51 university teachers who implemented change initiatives in teaching climate. They completed questionnaires before and after project implementation, with a time lag of one year. As predicted, results from hierarchical regression and bootstrapping analyses showed an indirect effect of intrinsic motivation on change agents’ project-related perceived task performance through the experience of meaning. Moreover, there was an indirect effect of motivation to benefit others on change in teaching climate through organizational identification. Results highlight the role of different facets of change agents’ motivation in successfully implementing change and provide insights for the design of change programmes in organizations.","author":[{"dropping-particle":"","family":"Specht","given":"Julia","non-dropping-particle":"","parse-names":false,"suffix":""},{"dropping-particle":"","family":"Kuonath","given":"Angela","non-dropping-particle":"","parse-names":false,"suffix":""},{"dropping-particle":"","family":"Pachler","given":"Daniela","non-dropping-particle":"","parse-names":false,"suffix":""},{"dropping-particle":"","family":"Weisweiler","given":"Silke","non-dropping-particle":"","parse-names":false,"suffix":""},{"dropping-particle":"","family":"Frey","given":"Dieter","non-dropping-particle":"","parse-names":false,"suffix":""}],"container-title":"Journal of Change Management","id":"ITEM-1","issue":"3","issued":{"date-parts":[["2018","7","3"]]},"page":"198-217","publisher":"Routledge","title":"How Change Agents’ Motivation Facilitates Organizational Change: Pathways Through Meaning and Organizational Identification","type":"article-journal","volume":"18"},"uris":["http://www.mendeley.com/documents/?uuid=946ce12e-fb79-39f1-8913-4fd31cc38e85"]}],"mendeley":{"formattedCitation":"(Specht &lt;i&gt;et al.&lt;/i&gt;, 2018)","plainTextFormattedCitation":"(Specht et al., 2018)","previouslyFormattedCitation":"(Specht &lt;i&gt;et al.&lt;/i&gt;, 2018)"},"properties":{"noteIndex":0},"schema":"https://github.com/citation-style-language/schema/raw/master/csl-citation.json"}</w:instrText>
      </w:r>
      <w:r w:rsidRPr="00B222F2">
        <w:rPr>
          <w:lang w:val="en-GB"/>
        </w:rPr>
        <w:fldChar w:fldCharType="separate"/>
      </w:r>
      <w:r w:rsidRPr="00B222F2">
        <w:rPr>
          <w:noProof/>
          <w:lang w:val="en-GB"/>
        </w:rPr>
        <w:t xml:space="preserve">(Specht </w:t>
      </w:r>
      <w:r w:rsidRPr="00B222F2">
        <w:rPr>
          <w:i/>
          <w:noProof/>
          <w:lang w:val="en-GB"/>
        </w:rPr>
        <w:t>et al.</w:t>
      </w:r>
      <w:r w:rsidRPr="00B222F2">
        <w:rPr>
          <w:noProof/>
          <w:lang w:val="en-GB"/>
        </w:rPr>
        <w:t>, 2018)</w:t>
      </w:r>
      <w:r w:rsidRPr="00B222F2">
        <w:rPr>
          <w:lang w:val="en-GB"/>
        </w:rPr>
        <w:fldChar w:fldCharType="end"/>
      </w:r>
      <w:r w:rsidRPr="00B222F2">
        <w:rPr>
          <w:lang w:val="en-GB"/>
        </w:rPr>
        <w:t xml:space="preserve">. Due to their highly analytical ability, they can investigate </w:t>
      </w:r>
      <w:r w:rsidR="00791D96">
        <w:rPr>
          <w:lang w:val="en-GB"/>
        </w:rPr>
        <w:t>organisational</w:t>
      </w:r>
      <w:r w:rsidRPr="00B222F2">
        <w:rPr>
          <w:lang w:val="en-GB"/>
        </w:rPr>
        <w:t xml:space="preserve"> systems and identify the leading barriers to the change process. Additionally, change agents serve as advocates of the change process. They embark on actively campaigning for change and </w:t>
      </w:r>
      <w:r w:rsidR="00791D96">
        <w:rPr>
          <w:lang w:val="en-GB"/>
        </w:rPr>
        <w:t>emphasising</w:t>
      </w:r>
      <w:r w:rsidRPr="00B222F2">
        <w:rPr>
          <w:lang w:val="en-GB"/>
        </w:rPr>
        <w:t xml:space="preserve"> the urgency for change. They remain persistent as they move the change agenda forward. Through their advocacy, it is possible to set up the change process and initiate all the processes associated with change. Change agents work towards eliminating resistance to change and creating a favourable environment to support the change process </w:t>
      </w:r>
      <w:r w:rsidRPr="00B222F2">
        <w:rPr>
          <w:lang w:val="en-GB"/>
        </w:rPr>
        <w:fldChar w:fldCharType="begin" w:fldLock="1"/>
      </w:r>
      <w:r w:rsidRPr="00B222F2">
        <w:rPr>
          <w:lang w:val="en-GB"/>
        </w:rPr>
        <w:instrText>ADDIN CSL_CITATION {"citationItems":[{"id":"ITEM-1","itemData":{"DOI":"10.1080/14697017.2016.1237534","ISSN":"14791811","abstract":"Organizational change is a system-wide process that begins at the individual level. Individuals who act as catalysts for change are often referred to as “change agents” and are lower level employees rather than designated leaders. In the current study Conservation of Resources Theory (COR) is utilized to construct a conditional process model of key resources and change agent influence. Specifically, this model tests the direct effects of General Cognitive Ability (GCA), Five Factor Model (FFM) personality facets, and Psychological Capital (PsyCap) – as well as the mediating role of PsyCap – on simulated change agent performance. Results suggest PsyCap positively correlates with performance, and, mediates the relationship between GCA and performance. Related narrow FFM facets moderate both stages of the mediation. These findings provide theoretical implication for COR as well as practical implications for human resource development interventions geared towards identification and development of change agents.","author":[{"dropping-particle":"","family":"Monnot","given":"Matthew J.","non-dropping-particle":"","parse-names":false,"suffix":""}],"container-title":"Journal of Change Management","id":"ITEM-1","issue":"3","issued":{"date-parts":[["2017","9","30"]]},"page":"268-295","publisher":"Routledge","title":"Organizational change agent influence: A conditional process model of key individual psychological resources","type":"article-journal","volume":"17"},"uris":["http://www.mendeley.com/documents/?uuid=9336e69a-d473-3594-9c97-f05e90319e9f"]}],"mendeley":{"formattedCitation":"(Monnot, 2017)","plainTextFormattedCitation":"(Monnot, 2017)","previouslyFormattedCitation":"(Monnot, 2017)"},"properties":{"noteIndex":0},"schema":"https://github.com/citation-style-language/schema/raw/master/csl-citation.json"}</w:instrText>
      </w:r>
      <w:r w:rsidRPr="00B222F2">
        <w:rPr>
          <w:lang w:val="en-GB"/>
        </w:rPr>
        <w:fldChar w:fldCharType="separate"/>
      </w:r>
      <w:r w:rsidRPr="00B222F2">
        <w:rPr>
          <w:noProof/>
          <w:lang w:val="en-GB"/>
        </w:rPr>
        <w:t>(Monnot, 2017)</w:t>
      </w:r>
      <w:r w:rsidRPr="00B222F2">
        <w:rPr>
          <w:lang w:val="en-GB"/>
        </w:rPr>
        <w:fldChar w:fldCharType="end"/>
      </w:r>
      <w:r w:rsidRPr="00B222F2">
        <w:rPr>
          <w:lang w:val="en-GB"/>
        </w:rPr>
        <w:t xml:space="preserve">. Over time, change agents take the time to review the commitment of other individuals to the change process and encourage them to believe in the positive outcomes of change. Their facilitation role leads to the design of systems and the initiation of processes needed throughout the change process. </w:t>
      </w:r>
    </w:p>
    <w:p w14:paraId="396DCAC3" w14:textId="57AF711C" w:rsidR="00192A6C" w:rsidRDefault="00192A6C" w:rsidP="00192A6C">
      <w:pPr>
        <w:spacing w:line="480" w:lineRule="auto"/>
        <w:ind w:firstLine="720"/>
        <w:rPr>
          <w:lang w:val="en-GB"/>
        </w:rPr>
      </w:pPr>
      <w:r w:rsidRPr="00B222F2">
        <w:rPr>
          <w:lang w:val="en-GB"/>
        </w:rPr>
        <w:t xml:space="preserve">Change agents may also serve as mediators between different stakeholders as they lobby for the change process. The change agents manage the change process by paying close attention to holding people accountable and ensuring that the </w:t>
      </w:r>
      <w:r w:rsidR="00791D96">
        <w:rPr>
          <w:lang w:val="en-GB"/>
        </w:rPr>
        <w:t>organisation</w:t>
      </w:r>
      <w:r w:rsidRPr="00B222F2">
        <w:rPr>
          <w:lang w:val="en-GB"/>
        </w:rPr>
        <w:t xml:space="preserve"> takes suitable measures to foster change </w:t>
      </w:r>
      <w:r w:rsidRPr="00B222F2">
        <w:rPr>
          <w:lang w:val="en-GB"/>
        </w:rPr>
        <w:fldChar w:fldCharType="begin" w:fldLock="1"/>
      </w:r>
      <w:r w:rsidRPr="00B222F2">
        <w:rPr>
          <w:lang w:val="en-GB"/>
        </w:rPr>
        <w:instrText>ADDIN CSL_CITATION {"citationItems":[{"id":"ITEM-1","itemData":{"DOI":"10.1080/14697010701779173","ISSN":"1469-7017","abstract":"In the new organizational environment, when business and even political leaders declare their dedication to change, it is a very important need for organizations to recruit and select people capable not only to bring or initiate but, also, handle change effectively. However, only a few attempts have been made to identify the personality profile of a person, able to fulfill the requirements of this position. The current study tries to shed light on this issue by examining if dispositional characteristics and competencies are related to attitudes to change, adopting an experimental business game scenario simulating a real business change context. Participants completed self-report questionnaires assessing their dispositional traits whereas their performance and change management skills were assessed by independent observers. Results displayed that resilient employees consider themselves as more ready to accept and apply change, as opposed to change-related skills which seemed to predict only task performance and not acceptance of change. The study concludes with a discussion of the findings, managerial implications and possible limitations. [ABSTRACT FROM AUTHOR] Copyright of Journal of Change Management is the property of Routledge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Nikolaou","given":"Ioannis","non-dropping-particle":"","parse-names":false,"suffix":""},{"dropping-particle":"","family":"Gouras","given":"Athanasios","non-dropping-particle":"","parse-names":false,"suffix":""},{"dropping-particle":"","family":"Vakola","given":"Maria","non-dropping-particle":"","parse-names":false,"suffix":""},{"dropping-particle":"","family":"Bourantas","given":"Dimitris","non-dropping-particle":"","parse-names":false,"suffix":""}],"container-title":"Journal of Change Management","id":"ITEM-1","issue":"3-4","issued":{"date-parts":[["2007","9"]]},"page":"291-313","publisher":"Informa UK Limited","title":"Selecting Change Agents: Exploring Traits and Skills in a Simulated Environment","type":"article-journal","volume":"7"},"uris":["http://www.mendeley.com/documents/?uuid=d0c1fef1-54fc-3caa-a37a-e7fe29e18295"]}],"mendeley":{"formattedCitation":"(Nikolaou &lt;i&gt;et al.&lt;/i&gt;, 2007)","plainTextFormattedCitation":"(Nikolaou et al., 2007)","previouslyFormattedCitation":"(Nikolaou &lt;i&gt;et al.&lt;/i&gt;, 2007)"},"properties":{"noteIndex":0},"schema":"https://github.com/citation-style-language/schema/raw/master/csl-citation.json"}</w:instrText>
      </w:r>
      <w:r w:rsidRPr="00B222F2">
        <w:rPr>
          <w:lang w:val="en-GB"/>
        </w:rPr>
        <w:fldChar w:fldCharType="separate"/>
      </w:r>
      <w:r w:rsidRPr="00B222F2">
        <w:rPr>
          <w:noProof/>
          <w:lang w:val="en-GB"/>
        </w:rPr>
        <w:t xml:space="preserve">(Nikolaou </w:t>
      </w:r>
      <w:r w:rsidRPr="00B222F2">
        <w:rPr>
          <w:i/>
          <w:noProof/>
          <w:lang w:val="en-GB"/>
        </w:rPr>
        <w:t>et al.</w:t>
      </w:r>
      <w:r w:rsidRPr="00B222F2">
        <w:rPr>
          <w:noProof/>
          <w:lang w:val="en-GB"/>
        </w:rPr>
        <w:t>, 2007)</w:t>
      </w:r>
      <w:r w:rsidRPr="00B222F2">
        <w:rPr>
          <w:lang w:val="en-GB"/>
        </w:rPr>
        <w:fldChar w:fldCharType="end"/>
      </w:r>
      <w:r w:rsidRPr="00B222F2">
        <w:rPr>
          <w:lang w:val="en-GB"/>
        </w:rPr>
        <w:t xml:space="preserve">. Change agents serve as catalysts of the change process and play an active role in the implementation process. Ensuring that change agents remain motivated is one of the effective ways of fostering success in the implementation of change. The </w:t>
      </w:r>
      <w:r w:rsidR="00791D96">
        <w:rPr>
          <w:lang w:val="en-GB"/>
        </w:rPr>
        <w:t>method</w:t>
      </w:r>
      <w:r w:rsidRPr="00B222F2">
        <w:rPr>
          <w:lang w:val="en-GB"/>
        </w:rPr>
        <w:t xml:space="preserve"> of fostering change through change agents ensure that the </w:t>
      </w:r>
      <w:r w:rsidR="00791D96">
        <w:rPr>
          <w:lang w:val="en-GB"/>
        </w:rPr>
        <w:t>organisation</w:t>
      </w:r>
      <w:r w:rsidRPr="00B222F2">
        <w:rPr>
          <w:lang w:val="en-GB"/>
        </w:rPr>
        <w:t xml:space="preserve"> can achieve the expected outcomes </w:t>
      </w:r>
      <w:r w:rsidRPr="00B222F2">
        <w:rPr>
          <w:lang w:val="en-GB"/>
        </w:rPr>
        <w:fldChar w:fldCharType="begin" w:fldLock="1"/>
      </w:r>
      <w:r w:rsidRPr="00B222F2">
        <w:rPr>
          <w:lang w:val="en-GB"/>
        </w:rPr>
        <w:instrText>ADDIN CSL_CITATION {"citationItems":[{"id":"ITEM-1","itemData":{"DOI":"10.1080/14697010701779173","ISSN":"1469-7017","abstract":"In the new organizational environment, when business and even political leaders declare their dedication to change, it is a very important need for organizations to recruit and select people capable not only to bring or initiate but, also, handle change effectively. However, only a few attempts have been made to identify the personality profile of a person, able to fulfill the requirements of this position. The current study tries to shed light on this issue by examining if dispositional characteristics and competencies are related to attitudes to change, adopting an experimental business game scenario simulating a real business change context. Participants completed self-report questionnaires assessing their dispositional traits whereas their performance and change management skills were assessed by independent observers. Results displayed that resilient employees consider themselves as more ready to accept and apply change, as opposed to change-related skills which seemed to predict only task performance and not acceptance of change. The study concludes with a discussion of the findings, managerial implications and possible limitations. [ABSTRACT FROM AUTHOR] Copyright of Journal of Change Management is the property of Routledge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Nikolaou","given":"Ioannis","non-dropping-particle":"","parse-names":false,"suffix":""},{"dropping-particle":"","family":"Gouras","given":"Athanasios","non-dropping-particle":"","parse-names":false,"suffix":""},{"dropping-particle":"","family":"Vakola","given":"Maria","non-dropping-particle":"","parse-names":false,"suffix":""},{"dropping-particle":"","family":"Bourantas","given":"Dimitris","non-dropping-particle":"","parse-names":false,"suffix":""}],"container-title":"Journal of Change Management","id":"ITEM-1","issue":"3-4","issued":{"date-parts":[["2007","9"]]},"page":"291-313","publisher":"Informa UK Limited","title":"Selecting Change Agents: Exploring Traits and Skills in a Simulated Environment","type":"article-journal","volume":"7"},"uris":["http://www.mendeley.com/documents/?uuid=d0c1fef1-54fc-3caa-a37a-e7fe29e18295"]}],"mendeley":{"formattedCitation":"(Nikolaou &lt;i&gt;et al.&lt;/i&gt;, 2007)","plainTextFormattedCitation":"(Nikolaou et al., 2007)","previouslyFormattedCitation":"(Nikolaou &lt;i&gt;et al.&lt;/i&gt;, 2007)"},"properties":{"noteIndex":0},"schema":"https://github.com/citation-style-language/schema/raw/master/csl-citation.json"}</w:instrText>
      </w:r>
      <w:r w:rsidRPr="00B222F2">
        <w:rPr>
          <w:lang w:val="en-GB"/>
        </w:rPr>
        <w:fldChar w:fldCharType="separate"/>
      </w:r>
      <w:r w:rsidRPr="00B222F2">
        <w:rPr>
          <w:noProof/>
          <w:lang w:val="en-GB"/>
        </w:rPr>
        <w:t xml:space="preserve">(Nikolaou </w:t>
      </w:r>
      <w:r w:rsidRPr="00B222F2">
        <w:rPr>
          <w:i/>
          <w:noProof/>
          <w:lang w:val="en-GB"/>
        </w:rPr>
        <w:t>et al.</w:t>
      </w:r>
      <w:r w:rsidRPr="00B222F2">
        <w:rPr>
          <w:noProof/>
          <w:lang w:val="en-GB"/>
        </w:rPr>
        <w:t>, 2007)</w:t>
      </w:r>
      <w:r w:rsidRPr="00B222F2">
        <w:rPr>
          <w:lang w:val="en-GB"/>
        </w:rPr>
        <w:fldChar w:fldCharType="end"/>
      </w:r>
      <w:r w:rsidRPr="00B222F2">
        <w:rPr>
          <w:lang w:val="en-GB"/>
        </w:rPr>
        <w:t xml:space="preserve">. The change agents must present desirable qualities that empower them to carry out their role </w:t>
      </w:r>
      <w:r w:rsidRPr="00B222F2">
        <w:rPr>
          <w:lang w:val="en-GB"/>
        </w:rPr>
        <w:fldChar w:fldCharType="begin" w:fldLock="1"/>
      </w:r>
      <w:r w:rsidRPr="00B222F2">
        <w:rPr>
          <w:lang w:val="en-GB"/>
        </w:rPr>
        <w:instrText>ADDIN CSL_CITATION {"citationItems":[{"id":"ITEM-1","itemData":{"DOI":"10.5465/annals.2016.0095","ISSN":"19416067","abstract":"Contemporary organizations often struggle to create meaningful, sustainable changes. At the same time, relevant organizational research lacks an easily accessible consensus on basic change management processes and principles. One consequence is practitioner reliance on popular change models that more often cite expert opinion as their foundation rather than scientific evidence. This article reviews both key tenets of widely used practitioner-oriented change models and findings from scholarly research on organizational change processes to develop an integrative summary of the available evidence of what is known, contested, untested, and underused in change management. It identifies ten evidence-based steps in managing planned organizational change along with implications for research and practice.","author":[{"dropping-particle":"","family":"Stouten","given":"Jeroen","non-dropping-particle":"","parse-names":false,"suffix":""},{"dropping-particle":"","family":"Rousseau","given":"Denise M.","non-dropping-particle":"","parse-names":false,"suffix":""},{"dropping-particle":"","family":"Cremer","given":"David","non-dropping-particle":"De","parse-names":false,"suffix":""}],"container-title":"Academy of Management Annals","id":"ITEM-1","issue":"2","issued":{"date-parts":[["2018","6","1"]]},"page":"752-788","publisher":"Academy of Management","title":"Successful organizational change: Integrating the management practice and scholarly literatures","type":"article-journal","volume":"12"},"uris":["http://www.mendeley.com/documents/?uuid=13247fbe-ee24-3bf8-8861-503daf64987b"]}],"mendeley":{"formattedCitation":"(Stouten, Rousseau and De Cremer, 2018)","plainTextFormattedCitation":"(Stouten, Rousseau and De Cremer, 2018)","previouslyFormattedCitation":"(Stouten, Rousseau and De Cremer, 2018)"},"properties":{"noteIndex":0},"schema":"https://github.com/citation-style-language/schema/raw/master/csl-citation.json"}</w:instrText>
      </w:r>
      <w:r w:rsidRPr="00B222F2">
        <w:rPr>
          <w:lang w:val="en-GB"/>
        </w:rPr>
        <w:fldChar w:fldCharType="separate"/>
      </w:r>
      <w:r w:rsidRPr="00B222F2">
        <w:rPr>
          <w:noProof/>
          <w:lang w:val="en-GB"/>
        </w:rPr>
        <w:t>(Stouten, Rousseau and De Cremer, 2018)</w:t>
      </w:r>
      <w:r w:rsidRPr="00B222F2">
        <w:rPr>
          <w:lang w:val="en-GB"/>
        </w:rPr>
        <w:fldChar w:fldCharType="end"/>
      </w:r>
      <w:r w:rsidRPr="00B222F2">
        <w:rPr>
          <w:lang w:val="en-GB"/>
        </w:rPr>
        <w:t xml:space="preserve">. In the context of M&amp;S, the change agents were internal, a factor that translated to a higher chance of success in facilitating change. The impact of these </w:t>
      </w:r>
      <w:r w:rsidRPr="00B222F2">
        <w:rPr>
          <w:lang w:val="en-GB"/>
        </w:rPr>
        <w:lastRenderedPageBreak/>
        <w:t xml:space="preserve">change agents on the implementation of change was of fundamental significance in establishing the joint venture. These change agents were leaders at M&amp;S, as they facilitated the change process by preparing the </w:t>
      </w:r>
      <w:r w:rsidR="00791D96">
        <w:rPr>
          <w:lang w:val="en-GB"/>
        </w:rPr>
        <w:t>organisation</w:t>
      </w:r>
      <w:r w:rsidRPr="00B222F2">
        <w:rPr>
          <w:lang w:val="en-GB"/>
        </w:rPr>
        <w:t xml:space="preserve"> for the acquisition, negotiating the deal, setting Ocado Retail, and establishing the protocols to govern Ocado Retail operations. </w:t>
      </w:r>
    </w:p>
    <w:p w14:paraId="440873C8" w14:textId="77777777" w:rsidR="00192A6C" w:rsidRDefault="00192A6C" w:rsidP="00192A6C">
      <w:pPr>
        <w:spacing w:line="480" w:lineRule="auto"/>
        <w:ind w:firstLine="720"/>
        <w:rPr>
          <w:lang w:val="en-GB"/>
        </w:rPr>
      </w:pPr>
    </w:p>
    <w:p w14:paraId="134E8A70" w14:textId="77777777" w:rsidR="00192A6C" w:rsidRDefault="00192A6C" w:rsidP="00192A6C">
      <w:pPr>
        <w:spacing w:line="480" w:lineRule="auto"/>
        <w:ind w:firstLine="720"/>
        <w:rPr>
          <w:lang w:val="en-GB"/>
        </w:rPr>
      </w:pPr>
    </w:p>
    <w:p w14:paraId="4721A8CE" w14:textId="77777777" w:rsidR="00192A6C" w:rsidRDefault="00192A6C" w:rsidP="00192A6C">
      <w:pPr>
        <w:spacing w:line="480" w:lineRule="auto"/>
        <w:ind w:firstLine="720"/>
        <w:rPr>
          <w:lang w:val="en-GB"/>
        </w:rPr>
      </w:pPr>
    </w:p>
    <w:p w14:paraId="7155B090" w14:textId="77777777" w:rsidR="00192A6C" w:rsidRDefault="00192A6C" w:rsidP="00192A6C">
      <w:pPr>
        <w:spacing w:line="480" w:lineRule="auto"/>
        <w:ind w:firstLine="720"/>
        <w:rPr>
          <w:lang w:val="en-GB"/>
        </w:rPr>
      </w:pPr>
    </w:p>
    <w:p w14:paraId="7F637A52" w14:textId="77777777" w:rsidR="00192A6C" w:rsidRDefault="00192A6C" w:rsidP="00192A6C">
      <w:pPr>
        <w:spacing w:line="480" w:lineRule="auto"/>
        <w:ind w:firstLine="720"/>
        <w:rPr>
          <w:lang w:val="en-GB"/>
        </w:rPr>
      </w:pPr>
    </w:p>
    <w:p w14:paraId="26589F4A" w14:textId="77777777" w:rsidR="00192A6C" w:rsidRDefault="00192A6C" w:rsidP="00192A6C">
      <w:pPr>
        <w:spacing w:line="480" w:lineRule="auto"/>
        <w:ind w:firstLine="720"/>
        <w:rPr>
          <w:lang w:val="en-GB"/>
        </w:rPr>
      </w:pPr>
    </w:p>
    <w:p w14:paraId="30E3AB55" w14:textId="77777777" w:rsidR="00192A6C" w:rsidRDefault="00192A6C" w:rsidP="00192A6C">
      <w:pPr>
        <w:spacing w:line="480" w:lineRule="auto"/>
        <w:ind w:firstLine="720"/>
        <w:rPr>
          <w:lang w:val="en-GB"/>
        </w:rPr>
      </w:pPr>
    </w:p>
    <w:p w14:paraId="2930A05D" w14:textId="77777777" w:rsidR="00192A6C" w:rsidRDefault="00192A6C" w:rsidP="00192A6C">
      <w:pPr>
        <w:spacing w:line="480" w:lineRule="auto"/>
        <w:ind w:firstLine="720"/>
        <w:rPr>
          <w:lang w:val="en-GB"/>
        </w:rPr>
      </w:pPr>
    </w:p>
    <w:p w14:paraId="4984EA60" w14:textId="77777777" w:rsidR="00192A6C" w:rsidRDefault="00192A6C" w:rsidP="00192A6C">
      <w:pPr>
        <w:spacing w:line="480" w:lineRule="auto"/>
        <w:ind w:firstLine="720"/>
        <w:rPr>
          <w:lang w:val="en-GB"/>
        </w:rPr>
      </w:pPr>
    </w:p>
    <w:p w14:paraId="0B202F82" w14:textId="77777777" w:rsidR="00192A6C" w:rsidRDefault="00192A6C" w:rsidP="00192A6C">
      <w:pPr>
        <w:spacing w:line="480" w:lineRule="auto"/>
        <w:ind w:firstLine="720"/>
        <w:rPr>
          <w:lang w:val="en-GB"/>
        </w:rPr>
      </w:pPr>
    </w:p>
    <w:p w14:paraId="6CCB3E67" w14:textId="77777777" w:rsidR="00192A6C" w:rsidRDefault="00192A6C" w:rsidP="00192A6C">
      <w:pPr>
        <w:spacing w:line="480" w:lineRule="auto"/>
        <w:ind w:firstLine="720"/>
        <w:rPr>
          <w:lang w:val="en-GB"/>
        </w:rPr>
      </w:pPr>
    </w:p>
    <w:p w14:paraId="4C25EDC1" w14:textId="77777777" w:rsidR="00192A6C" w:rsidRDefault="00192A6C" w:rsidP="00192A6C">
      <w:pPr>
        <w:spacing w:line="480" w:lineRule="auto"/>
        <w:ind w:firstLine="720"/>
        <w:rPr>
          <w:lang w:val="en-GB"/>
        </w:rPr>
      </w:pPr>
    </w:p>
    <w:p w14:paraId="661ED429" w14:textId="77777777" w:rsidR="00192A6C" w:rsidRDefault="00192A6C" w:rsidP="00192A6C">
      <w:pPr>
        <w:spacing w:line="480" w:lineRule="auto"/>
        <w:ind w:firstLine="720"/>
        <w:rPr>
          <w:lang w:val="en-GB"/>
        </w:rPr>
      </w:pPr>
    </w:p>
    <w:p w14:paraId="47BE1AEF" w14:textId="77777777" w:rsidR="00192A6C" w:rsidRDefault="00192A6C" w:rsidP="00192A6C">
      <w:pPr>
        <w:spacing w:line="480" w:lineRule="auto"/>
        <w:ind w:firstLine="720"/>
        <w:rPr>
          <w:lang w:val="en-GB"/>
        </w:rPr>
      </w:pPr>
    </w:p>
    <w:p w14:paraId="631C2E32" w14:textId="77777777" w:rsidR="00192A6C" w:rsidRDefault="00192A6C" w:rsidP="00192A6C">
      <w:pPr>
        <w:spacing w:line="480" w:lineRule="auto"/>
        <w:ind w:firstLine="720"/>
        <w:rPr>
          <w:lang w:val="en-GB"/>
        </w:rPr>
      </w:pPr>
    </w:p>
    <w:p w14:paraId="4B25192B" w14:textId="77777777" w:rsidR="00192A6C" w:rsidRDefault="00192A6C" w:rsidP="00192A6C">
      <w:pPr>
        <w:spacing w:line="480" w:lineRule="auto"/>
        <w:ind w:firstLine="720"/>
        <w:rPr>
          <w:lang w:val="en-GB"/>
        </w:rPr>
      </w:pPr>
    </w:p>
    <w:p w14:paraId="69435AC3" w14:textId="77777777" w:rsidR="00192A6C" w:rsidRDefault="00192A6C" w:rsidP="00192A6C">
      <w:pPr>
        <w:spacing w:line="480" w:lineRule="auto"/>
        <w:ind w:firstLine="720"/>
        <w:rPr>
          <w:lang w:val="en-GB"/>
        </w:rPr>
      </w:pPr>
    </w:p>
    <w:p w14:paraId="57FDEA5E" w14:textId="77777777" w:rsidR="00192A6C" w:rsidRDefault="00192A6C" w:rsidP="00192A6C">
      <w:pPr>
        <w:spacing w:line="480" w:lineRule="auto"/>
        <w:ind w:firstLine="720"/>
        <w:rPr>
          <w:lang w:val="en-GB"/>
        </w:rPr>
      </w:pPr>
    </w:p>
    <w:p w14:paraId="4314F7D5" w14:textId="77777777" w:rsidR="00192A6C" w:rsidRDefault="00192A6C" w:rsidP="00192A6C">
      <w:pPr>
        <w:spacing w:line="480" w:lineRule="auto"/>
        <w:ind w:firstLine="720"/>
        <w:rPr>
          <w:lang w:val="en-GB"/>
        </w:rPr>
      </w:pPr>
    </w:p>
    <w:p w14:paraId="16747E7F" w14:textId="77777777" w:rsidR="00192A6C" w:rsidRPr="00B222F2" w:rsidRDefault="00192A6C" w:rsidP="00192A6C">
      <w:pPr>
        <w:spacing w:line="480" w:lineRule="auto"/>
        <w:ind w:firstLine="720"/>
        <w:rPr>
          <w:lang w:val="en-GB"/>
        </w:rPr>
      </w:pPr>
    </w:p>
    <w:p w14:paraId="0E2598FE" w14:textId="77777777" w:rsidR="00192A6C" w:rsidRPr="00B222F2" w:rsidRDefault="00192A6C" w:rsidP="00192A6C">
      <w:pPr>
        <w:pStyle w:val="Heading2"/>
        <w:spacing w:line="480" w:lineRule="auto"/>
        <w:rPr>
          <w:rFonts w:cs="Times New Roman"/>
          <w:lang w:val="en-GB"/>
        </w:rPr>
      </w:pPr>
      <w:bookmarkStart w:id="11" w:name="_Toc75435245"/>
      <w:bookmarkStart w:id="12" w:name="_Toc75437511"/>
      <w:r w:rsidRPr="00B222F2">
        <w:rPr>
          <w:rFonts w:cs="Times New Roman"/>
          <w:lang w:val="en-GB"/>
        </w:rPr>
        <w:lastRenderedPageBreak/>
        <w:t>2.5 Impact of Culture on the Implementation of Change</w:t>
      </w:r>
      <w:bookmarkEnd w:id="11"/>
      <w:bookmarkEnd w:id="12"/>
    </w:p>
    <w:p w14:paraId="536B0D5B" w14:textId="2A7EC687" w:rsidR="00192A6C" w:rsidRPr="00B222F2" w:rsidRDefault="00791D96" w:rsidP="00192A6C">
      <w:pPr>
        <w:spacing w:line="480" w:lineRule="auto"/>
        <w:ind w:firstLine="720"/>
        <w:rPr>
          <w:lang w:val="en-GB"/>
        </w:rPr>
      </w:pPr>
      <w:r>
        <w:rPr>
          <w:lang w:val="en-GB"/>
        </w:rPr>
        <w:t>Organisational</w:t>
      </w:r>
      <w:r w:rsidR="00192A6C" w:rsidRPr="00B222F2">
        <w:rPr>
          <w:lang w:val="en-GB"/>
        </w:rPr>
        <w:t xml:space="preserve"> change denotes an important situational variable that plays an integral role in fostering implementing change. If the </w:t>
      </w:r>
      <w:r>
        <w:rPr>
          <w:lang w:val="en-GB"/>
        </w:rPr>
        <w:t>organisational</w:t>
      </w:r>
      <w:r w:rsidR="00192A6C" w:rsidRPr="00B222F2">
        <w:rPr>
          <w:lang w:val="en-GB"/>
        </w:rPr>
        <w:t xml:space="preserve"> culture favours the proposed change, it becomes easier to implement the change process. Different cultural influences have a significant impact on the implementation of change </w:t>
      </w:r>
      <w:r w:rsidR="00192A6C" w:rsidRPr="00B222F2">
        <w:rPr>
          <w:lang w:val="en-GB"/>
        </w:rPr>
        <w:fldChar w:fldCharType="begin" w:fldLock="1"/>
      </w:r>
      <w:r w:rsidR="00192A6C" w:rsidRPr="00B222F2">
        <w:rPr>
          <w:lang w:val="en-GB"/>
        </w:rPr>
        <w:instrText>ADDIN CSL_CITATION {"citationItems":[{"id":"ITEM-1","itemData":{"DOI":"10.1177/1548051809334197","ISSN":"19397089","abstract":"Change resides at the heart of leadership. Organizational culture is one of many situational variables that have emerged as pivotal in determining the success of leaders' efforts to implement change initiatives. This article introduces a process model of organizational change in cultural context (OC3 Model) derived from ethnographic analysis. The model delineates the differential impact of organizational culture at every stage of change implementation. Eight stages of cultural influence are identified and illustrated. Research propositions are stated to encourage refinement of the model. Theoretical and practical implications for leadership are explored; applications for resolving organizational immunity to change are discussed. © 2009 Baker College.","author":[{"dropping-particle":"","family":"Latta","given":"Gail F.","non-dropping-particle":"","parse-names":false,"suffix":""}],"container-title":"Journal of Leadership and Organizational Studies","id":"ITEM-1","issue":"1","issued":{"date-parts":[["2009","5","13"]]},"page":"19-37","publisher":"SAGE Publications Inc.","title":"A process model of organizational change in cultural context (OC3 model): The impact of organizational culture on leading change","type":"article-journal","volume":"16"},"uris":["http://www.mendeley.com/documents/?uuid=98caf809-729c-386c-b754-fba6aa23500e"]}],"mendeley":{"formattedCitation":"(Latta, 2009)","plainTextFormattedCitation":"(Latta, 2009)","previouslyFormattedCitation":"(Latta, 2009)"},"properties":{"noteIndex":0},"schema":"https://github.com/citation-style-language/schema/raw/master/csl-citation.json"}</w:instrText>
      </w:r>
      <w:r w:rsidR="00192A6C" w:rsidRPr="00B222F2">
        <w:rPr>
          <w:lang w:val="en-GB"/>
        </w:rPr>
        <w:fldChar w:fldCharType="separate"/>
      </w:r>
      <w:r w:rsidR="00192A6C" w:rsidRPr="00B222F2">
        <w:rPr>
          <w:noProof/>
          <w:lang w:val="en-GB"/>
        </w:rPr>
        <w:t>(Latta, 2009)</w:t>
      </w:r>
      <w:r w:rsidR="00192A6C" w:rsidRPr="00B222F2">
        <w:rPr>
          <w:lang w:val="en-GB"/>
        </w:rPr>
        <w:fldChar w:fldCharType="end"/>
      </w:r>
      <w:r w:rsidR="00192A6C" w:rsidRPr="00B222F2">
        <w:rPr>
          <w:lang w:val="en-GB"/>
        </w:rPr>
        <w:t xml:space="preserve">. The </w:t>
      </w:r>
      <w:r>
        <w:rPr>
          <w:lang w:val="en-GB"/>
        </w:rPr>
        <w:t>organisational</w:t>
      </w:r>
      <w:r w:rsidR="00192A6C" w:rsidRPr="00B222F2">
        <w:rPr>
          <w:lang w:val="en-GB"/>
        </w:rPr>
        <w:t xml:space="preserve"> culture determines the </w:t>
      </w:r>
      <w:r>
        <w:rPr>
          <w:lang w:val="en-GB"/>
        </w:rPr>
        <w:t>organisation's</w:t>
      </w:r>
      <w:r w:rsidR="00192A6C" w:rsidRPr="00B222F2">
        <w:rPr>
          <w:lang w:val="en-GB"/>
        </w:rPr>
        <w:t xml:space="preserve"> readiness for change and shapes the vision associated with the change process. Moreover, the culture determines the strategies used and the expected impact of the change process. The collateral effects of the change process are dependent on the </w:t>
      </w:r>
      <w:r>
        <w:rPr>
          <w:lang w:val="en-GB"/>
        </w:rPr>
        <w:t>organisational</w:t>
      </w:r>
      <w:r w:rsidR="00192A6C" w:rsidRPr="00B222F2">
        <w:rPr>
          <w:lang w:val="en-GB"/>
        </w:rPr>
        <w:t xml:space="preserve"> culture because it plays a mediating role during the change process. Each of these influences directly impacts the speed at which change occurs. In the long run, </w:t>
      </w:r>
      <w:r>
        <w:rPr>
          <w:lang w:val="en-GB"/>
        </w:rPr>
        <w:t>organisational</w:t>
      </w:r>
      <w:r w:rsidR="00192A6C" w:rsidRPr="00B222F2">
        <w:rPr>
          <w:lang w:val="en-GB"/>
        </w:rPr>
        <w:t xml:space="preserve"> culture determines the selected change agents and their ability to advocate for change. Undoubtedly, the change process is dependent on the unique culture of the </w:t>
      </w:r>
      <w:r>
        <w:rPr>
          <w:lang w:val="en-GB"/>
        </w:rPr>
        <w:t>organisation</w:t>
      </w:r>
      <w:r w:rsidR="00192A6C" w:rsidRPr="00B222F2">
        <w:rPr>
          <w:lang w:val="en-GB"/>
        </w:rPr>
        <w:t>.</w:t>
      </w:r>
    </w:p>
    <w:p w14:paraId="4CEC4808" w14:textId="77777777" w:rsidR="00192A6C" w:rsidRDefault="00192A6C" w:rsidP="00192A6C">
      <w:pPr>
        <w:spacing w:line="480" w:lineRule="auto"/>
        <w:ind w:firstLine="720"/>
        <w:rPr>
          <w:lang w:val="en-GB"/>
        </w:rPr>
      </w:pPr>
      <w:r w:rsidRPr="00B222F2">
        <w:rPr>
          <w:lang w:val="en-GB"/>
        </w:rPr>
        <w:t>The cultures of M&amp;S and Ocado Group are vital determinants of the success of the joint venture.</w:t>
      </w:r>
      <w:r w:rsidRPr="000B0880">
        <w:t xml:space="preserve"> </w:t>
      </w:r>
      <w:r w:rsidRPr="000B0880">
        <w:rPr>
          <w:lang w:val="en-GB"/>
        </w:rPr>
        <w:t>As a result, a critical examination is required</w:t>
      </w:r>
      <w:r w:rsidRPr="00B222F2">
        <w:rPr>
          <w:lang w:val="en-GB"/>
        </w:rPr>
        <w:t xml:space="preserve"> </w:t>
      </w:r>
      <w:r>
        <w:rPr>
          <w:lang w:val="en-GB"/>
        </w:rPr>
        <w:t xml:space="preserve">to </w:t>
      </w:r>
      <w:r w:rsidRPr="00B222F2">
        <w:rPr>
          <w:lang w:val="en-GB"/>
        </w:rPr>
        <w:t xml:space="preserve">the cultural implications provides an excellent platform for fostering the implementation of change. M&amp;S has a customer-driven culture, an aspect that influences decision-making processes. The company is likely to make decisions and pursue change that contributes to customer satisfaction. As a result, implementing change to improve customer experiences is </w:t>
      </w:r>
      <w:r>
        <w:rPr>
          <w:lang w:val="en-GB"/>
        </w:rPr>
        <w:t>expected</w:t>
      </w:r>
      <w:r w:rsidRPr="00B222F2">
        <w:rPr>
          <w:lang w:val="en-GB"/>
        </w:rPr>
        <w:t xml:space="preserve"> to be a successful venture.</w:t>
      </w:r>
    </w:p>
    <w:p w14:paraId="1F942AEF" w14:textId="77777777" w:rsidR="00192A6C" w:rsidRPr="00B222F2" w:rsidRDefault="00192A6C" w:rsidP="00192A6C">
      <w:pPr>
        <w:spacing w:line="480" w:lineRule="auto"/>
        <w:ind w:firstLine="720"/>
        <w:rPr>
          <w:lang w:val="en-GB"/>
        </w:rPr>
      </w:pPr>
      <w:r w:rsidRPr="00B222F2">
        <w:rPr>
          <w:lang w:val="en-GB"/>
        </w:rPr>
        <w:t xml:space="preserve">Moreover, the company has a distributive form of leadership that translates to frameworks that foster the input and feedback of employees. Before making decisions, leaders at M&amp;S engage in a consultative process to ensure that different stakeholders support the decision-making process. Each of these elements had an impact on the formation of the </w:t>
      </w:r>
      <w:r w:rsidRPr="00B222F2">
        <w:rPr>
          <w:lang w:val="en-GB"/>
        </w:rPr>
        <w:lastRenderedPageBreak/>
        <w:t xml:space="preserve">joint venture with Ocado Group. The leaders consulted with </w:t>
      </w:r>
      <w:r>
        <w:rPr>
          <w:lang w:val="en-GB"/>
        </w:rPr>
        <w:t>various</w:t>
      </w:r>
      <w:r w:rsidRPr="00B222F2">
        <w:rPr>
          <w:lang w:val="en-GB"/>
        </w:rPr>
        <w:t xml:space="preserve"> stakeholders and demonstrated how the change conforms to the </w:t>
      </w:r>
      <w:r>
        <w:rPr>
          <w:lang w:val="en-GB"/>
        </w:rPr>
        <w:t>company's</w:t>
      </w:r>
      <w:r w:rsidRPr="00B222F2">
        <w:rPr>
          <w:lang w:val="en-GB"/>
        </w:rPr>
        <w:t xml:space="preserve"> </w:t>
      </w:r>
      <w:r>
        <w:rPr>
          <w:lang w:val="en-GB"/>
        </w:rPr>
        <w:t>customer's</w:t>
      </w:r>
      <w:r w:rsidRPr="00B222F2">
        <w:rPr>
          <w:lang w:val="en-GB"/>
        </w:rPr>
        <w:t xml:space="preserve"> driven culture. </w:t>
      </w:r>
    </w:p>
    <w:p w14:paraId="123FC601" w14:textId="27640C0E" w:rsidR="00192A6C" w:rsidRDefault="00192A6C" w:rsidP="00192A6C">
      <w:pPr>
        <w:spacing w:line="480" w:lineRule="auto"/>
        <w:ind w:firstLine="720"/>
        <w:rPr>
          <w:lang w:val="en-GB"/>
        </w:rPr>
      </w:pPr>
      <w:r>
        <w:rPr>
          <w:noProof/>
          <w:lang w:val="en-GB"/>
        </w:rPr>
        <w:t>Handy's</w:t>
      </w:r>
      <w:r w:rsidRPr="00B222F2">
        <w:rPr>
          <w:lang w:val="en-GB"/>
        </w:rPr>
        <w:t xml:space="preserve"> cultural model helps understand the specific impact of the M&amp;S culture on the implementation of change. </w:t>
      </w:r>
      <w:r>
        <w:rPr>
          <w:noProof/>
          <w:lang w:val="en-GB"/>
        </w:rPr>
        <w:t>Handy's</w:t>
      </w:r>
      <w:r w:rsidRPr="00B222F2">
        <w:rPr>
          <w:lang w:val="en-GB"/>
        </w:rPr>
        <w:t xml:space="preserve"> model points to four components of culture: role culture, task culture, power culture, and person culture. From a critical view, M&amp;S belongs to the role culture component, which comprises multiple rules, procedures, formal roles, a high level of </w:t>
      </w:r>
      <w:r w:rsidR="00791D96">
        <w:rPr>
          <w:lang w:val="en-GB"/>
        </w:rPr>
        <w:t>formalisation</w:t>
      </w:r>
      <w:r w:rsidRPr="00B222F2">
        <w:rPr>
          <w:lang w:val="en-GB"/>
        </w:rPr>
        <w:t xml:space="preserve">, and the existence of a formal hierarchy. The </w:t>
      </w:r>
      <w:r w:rsidR="00791D96">
        <w:rPr>
          <w:lang w:val="en-GB"/>
        </w:rPr>
        <w:t>presence</w:t>
      </w:r>
      <w:r w:rsidRPr="00B222F2">
        <w:rPr>
          <w:lang w:val="en-GB"/>
        </w:rPr>
        <w:t xml:space="preserve"> of a hierarchy directly influences the process of implementing change due to the extensive consultative process. The hierarchical </w:t>
      </w:r>
      <w:r w:rsidR="00791D96">
        <w:rPr>
          <w:lang w:val="en-GB"/>
        </w:rPr>
        <w:t>organisational</w:t>
      </w:r>
      <w:r w:rsidRPr="00B222F2">
        <w:rPr>
          <w:lang w:val="en-GB"/>
        </w:rPr>
        <w:t xml:space="preserve"> structure at M&amp;S explains why it fits into the role culture component because it has a formal framework of decision-making processes and the provision of instructions regarding task completion. </w:t>
      </w:r>
    </w:p>
    <w:p w14:paraId="339BCA2A" w14:textId="77777777" w:rsidR="00192A6C" w:rsidRDefault="00192A6C" w:rsidP="00192A6C">
      <w:pPr>
        <w:spacing w:line="480" w:lineRule="auto"/>
        <w:ind w:firstLine="720"/>
        <w:rPr>
          <w:lang w:val="en-GB"/>
        </w:rPr>
      </w:pPr>
    </w:p>
    <w:p w14:paraId="7AA770C4" w14:textId="77777777" w:rsidR="00192A6C" w:rsidRDefault="00192A6C" w:rsidP="00192A6C">
      <w:pPr>
        <w:spacing w:line="480" w:lineRule="auto"/>
        <w:ind w:firstLine="720"/>
        <w:rPr>
          <w:lang w:val="en-GB"/>
        </w:rPr>
      </w:pPr>
    </w:p>
    <w:p w14:paraId="049E024C" w14:textId="77777777" w:rsidR="00192A6C" w:rsidRDefault="00192A6C" w:rsidP="00192A6C">
      <w:pPr>
        <w:spacing w:line="480" w:lineRule="auto"/>
        <w:ind w:firstLine="720"/>
        <w:rPr>
          <w:lang w:val="en-GB"/>
        </w:rPr>
      </w:pPr>
    </w:p>
    <w:p w14:paraId="3CCAD116" w14:textId="77777777" w:rsidR="00192A6C" w:rsidRDefault="00192A6C" w:rsidP="00192A6C">
      <w:pPr>
        <w:spacing w:line="480" w:lineRule="auto"/>
        <w:ind w:firstLine="720"/>
        <w:rPr>
          <w:lang w:val="en-GB"/>
        </w:rPr>
      </w:pPr>
    </w:p>
    <w:p w14:paraId="4BC40AAA" w14:textId="77777777" w:rsidR="00192A6C" w:rsidRDefault="00192A6C" w:rsidP="00192A6C">
      <w:pPr>
        <w:spacing w:line="480" w:lineRule="auto"/>
        <w:ind w:firstLine="720"/>
        <w:rPr>
          <w:lang w:val="en-GB"/>
        </w:rPr>
      </w:pPr>
    </w:p>
    <w:p w14:paraId="3AD9F526" w14:textId="77777777" w:rsidR="00192A6C" w:rsidRDefault="00192A6C" w:rsidP="00192A6C">
      <w:pPr>
        <w:spacing w:line="480" w:lineRule="auto"/>
        <w:ind w:firstLine="720"/>
        <w:rPr>
          <w:lang w:val="en-GB"/>
        </w:rPr>
      </w:pPr>
    </w:p>
    <w:p w14:paraId="569E8107" w14:textId="77777777" w:rsidR="00192A6C" w:rsidRDefault="00192A6C" w:rsidP="00192A6C">
      <w:pPr>
        <w:spacing w:line="480" w:lineRule="auto"/>
        <w:ind w:firstLine="720"/>
        <w:rPr>
          <w:lang w:val="en-GB"/>
        </w:rPr>
      </w:pPr>
    </w:p>
    <w:p w14:paraId="19C8DBA9" w14:textId="77777777" w:rsidR="00192A6C" w:rsidRDefault="00192A6C" w:rsidP="00192A6C">
      <w:pPr>
        <w:spacing w:line="480" w:lineRule="auto"/>
        <w:ind w:firstLine="720"/>
        <w:rPr>
          <w:lang w:val="en-GB"/>
        </w:rPr>
      </w:pPr>
    </w:p>
    <w:p w14:paraId="499FAE5F" w14:textId="77777777" w:rsidR="00192A6C" w:rsidRDefault="00192A6C" w:rsidP="00192A6C">
      <w:pPr>
        <w:spacing w:line="480" w:lineRule="auto"/>
        <w:ind w:firstLine="720"/>
        <w:rPr>
          <w:lang w:val="en-GB"/>
        </w:rPr>
      </w:pPr>
    </w:p>
    <w:p w14:paraId="0DF15366" w14:textId="77777777" w:rsidR="00192A6C" w:rsidRDefault="00192A6C" w:rsidP="00192A6C">
      <w:pPr>
        <w:spacing w:line="480" w:lineRule="auto"/>
        <w:ind w:firstLine="720"/>
        <w:rPr>
          <w:lang w:val="en-GB"/>
        </w:rPr>
      </w:pPr>
    </w:p>
    <w:p w14:paraId="7E191E35" w14:textId="77777777" w:rsidR="00192A6C" w:rsidRDefault="00192A6C" w:rsidP="00192A6C">
      <w:pPr>
        <w:spacing w:line="480" w:lineRule="auto"/>
        <w:ind w:firstLine="720"/>
        <w:rPr>
          <w:lang w:val="en-GB"/>
        </w:rPr>
      </w:pPr>
    </w:p>
    <w:p w14:paraId="24A8D343" w14:textId="77777777" w:rsidR="00192A6C" w:rsidRDefault="00192A6C" w:rsidP="00192A6C">
      <w:pPr>
        <w:spacing w:line="480" w:lineRule="auto"/>
        <w:ind w:firstLine="720"/>
        <w:rPr>
          <w:lang w:val="en-GB"/>
        </w:rPr>
      </w:pPr>
    </w:p>
    <w:p w14:paraId="7BBD7C7D" w14:textId="77777777" w:rsidR="00192A6C" w:rsidRPr="00B222F2" w:rsidRDefault="00192A6C" w:rsidP="00192A6C">
      <w:pPr>
        <w:spacing w:line="480" w:lineRule="auto"/>
        <w:ind w:firstLine="720"/>
        <w:rPr>
          <w:lang w:val="en-GB"/>
        </w:rPr>
      </w:pPr>
    </w:p>
    <w:p w14:paraId="2F5DCEBB" w14:textId="77777777" w:rsidR="00192A6C" w:rsidRPr="00B222F2" w:rsidRDefault="00192A6C" w:rsidP="00192A6C">
      <w:pPr>
        <w:pStyle w:val="Heading1"/>
        <w:spacing w:line="480" w:lineRule="auto"/>
        <w:rPr>
          <w:rFonts w:cs="Times New Roman"/>
          <w:lang w:val="en-GB"/>
        </w:rPr>
      </w:pPr>
      <w:bookmarkStart w:id="13" w:name="_Toc75435246"/>
      <w:bookmarkStart w:id="14" w:name="_Toc75437512"/>
      <w:r w:rsidRPr="00B222F2">
        <w:rPr>
          <w:rFonts w:cs="Times New Roman"/>
          <w:lang w:val="en-GB"/>
        </w:rPr>
        <w:lastRenderedPageBreak/>
        <w:t>3.0 Conclusion</w:t>
      </w:r>
      <w:bookmarkEnd w:id="13"/>
      <w:bookmarkEnd w:id="14"/>
    </w:p>
    <w:p w14:paraId="3CD0B792" w14:textId="63A951A7" w:rsidR="00192A6C" w:rsidRDefault="00192A6C" w:rsidP="00192A6C">
      <w:pPr>
        <w:spacing w:line="480" w:lineRule="auto"/>
        <w:ind w:firstLine="720"/>
        <w:rPr>
          <w:lang w:val="en-GB"/>
        </w:rPr>
      </w:pPr>
      <w:r w:rsidRPr="00B222F2">
        <w:rPr>
          <w:lang w:val="en-GB"/>
        </w:rPr>
        <w:t xml:space="preserve">M&amp;S implemented an acquisition of Ocado Group and gained a 50% stake in </w:t>
      </w:r>
      <w:r>
        <w:rPr>
          <w:lang w:val="en-GB"/>
        </w:rPr>
        <w:t>Ocado's</w:t>
      </w:r>
      <w:r w:rsidRPr="00B222F2">
        <w:rPr>
          <w:lang w:val="en-GB"/>
        </w:rPr>
        <w:t xml:space="preserve"> online business. In 2019, the company embarked on rigorous negotiations with Ocado Group before determining the economic value of the joint venture. The formation of Ocado Retail is a move that proves beneficial to both M&amp;S and Ocado. Both companies were in search of remarkable partners in their bid to increase market share and profitability. For M&amp;S, the acquisition allows the company to create an online platform that will likely translate to an increased market share for the M&amp;S food business. Through this joint venture, the company can have 6,000 product lines available on an online platform. The venture allows M&amp;S to enjoy the capabilities of Ocado Group in delivery logistics. The 50-50 joint venture translates to M&amp;S having a measure of control over </w:t>
      </w:r>
      <w:r>
        <w:rPr>
          <w:lang w:val="en-GB"/>
        </w:rPr>
        <w:t>Ocado's</w:t>
      </w:r>
      <w:r w:rsidRPr="00B222F2">
        <w:rPr>
          <w:lang w:val="en-GB"/>
        </w:rPr>
        <w:t xml:space="preserve"> delivery logistics and assets. The implementation of the joint venture served as an example of a planned change that took place per </w:t>
      </w:r>
      <w:r>
        <w:rPr>
          <w:lang w:val="en-GB"/>
        </w:rPr>
        <w:t>Lewin's</w:t>
      </w:r>
      <w:r w:rsidRPr="00B222F2">
        <w:rPr>
          <w:lang w:val="en-GB"/>
        </w:rPr>
        <w:t xml:space="preserve"> Change Model. Notably, M&amp;S undertook a critical evaluation of the economic feasibility of the venture before embarking on the implementation process. The company leaders played a </w:t>
      </w:r>
      <w:r w:rsidR="00791D96">
        <w:rPr>
          <w:lang w:val="en-GB"/>
        </w:rPr>
        <w:t>crucial</w:t>
      </w:r>
      <w:r w:rsidRPr="00B222F2">
        <w:rPr>
          <w:lang w:val="en-GB"/>
        </w:rPr>
        <w:t xml:space="preserve"> role in facilitating stakeholder buy-in and allocating resources to implement the change. The company also aligned different </w:t>
      </w:r>
      <w:r w:rsidR="00791D96">
        <w:rPr>
          <w:lang w:val="en-GB"/>
        </w:rPr>
        <w:t>organisational</w:t>
      </w:r>
      <w:r w:rsidRPr="00B222F2">
        <w:rPr>
          <w:lang w:val="en-GB"/>
        </w:rPr>
        <w:t xml:space="preserve"> systems to conform to the operations of the joint venture. The </w:t>
      </w:r>
      <w:r>
        <w:rPr>
          <w:lang w:val="en-GB"/>
        </w:rPr>
        <w:t>company's</w:t>
      </w:r>
      <w:r w:rsidRPr="00B222F2">
        <w:rPr>
          <w:lang w:val="en-GB"/>
        </w:rPr>
        <w:t xml:space="preserve"> culture supports customer-driven change, and the joint venture promises to deliver a new level of convenience for its customers interested in its food products. </w:t>
      </w:r>
    </w:p>
    <w:p w14:paraId="2E1F3B80" w14:textId="77777777" w:rsidR="00192A6C" w:rsidRDefault="00192A6C" w:rsidP="00192A6C">
      <w:pPr>
        <w:spacing w:line="480" w:lineRule="auto"/>
        <w:ind w:firstLine="720"/>
        <w:rPr>
          <w:lang w:val="en-GB"/>
        </w:rPr>
      </w:pPr>
    </w:p>
    <w:p w14:paraId="7F3A60B5" w14:textId="77777777" w:rsidR="00192A6C" w:rsidRDefault="00192A6C" w:rsidP="00192A6C">
      <w:pPr>
        <w:spacing w:line="480" w:lineRule="auto"/>
        <w:ind w:firstLine="720"/>
        <w:rPr>
          <w:lang w:val="en-GB"/>
        </w:rPr>
      </w:pPr>
    </w:p>
    <w:p w14:paraId="7D9CFD55" w14:textId="77777777" w:rsidR="00192A6C" w:rsidRDefault="00192A6C" w:rsidP="00192A6C">
      <w:pPr>
        <w:spacing w:line="480" w:lineRule="auto"/>
        <w:ind w:firstLine="720"/>
        <w:rPr>
          <w:lang w:val="en-GB"/>
        </w:rPr>
      </w:pPr>
    </w:p>
    <w:p w14:paraId="0AAF9035" w14:textId="77777777" w:rsidR="00192A6C" w:rsidRDefault="00192A6C" w:rsidP="00192A6C">
      <w:pPr>
        <w:spacing w:line="480" w:lineRule="auto"/>
        <w:ind w:firstLine="720"/>
        <w:rPr>
          <w:lang w:val="en-GB"/>
        </w:rPr>
      </w:pPr>
    </w:p>
    <w:p w14:paraId="0C3BEB24" w14:textId="77777777" w:rsidR="00192A6C" w:rsidRDefault="00192A6C" w:rsidP="00192A6C">
      <w:pPr>
        <w:spacing w:line="480" w:lineRule="auto"/>
        <w:ind w:firstLine="720"/>
        <w:rPr>
          <w:lang w:val="en-GB"/>
        </w:rPr>
      </w:pPr>
    </w:p>
    <w:p w14:paraId="71B88C28" w14:textId="77777777" w:rsidR="00192A6C" w:rsidRDefault="00192A6C" w:rsidP="00192A6C">
      <w:pPr>
        <w:spacing w:line="480" w:lineRule="auto"/>
        <w:ind w:firstLine="720"/>
        <w:rPr>
          <w:lang w:val="en-GB"/>
        </w:rPr>
      </w:pPr>
    </w:p>
    <w:p w14:paraId="5E1FAE76" w14:textId="7D223CDD" w:rsidR="00370C57" w:rsidRPr="00F24028" w:rsidRDefault="00370C57" w:rsidP="00F24028">
      <w:pPr>
        <w:spacing w:line="480" w:lineRule="auto"/>
        <w:ind w:firstLine="720"/>
        <w:jc w:val="center"/>
        <w:rPr>
          <w:b/>
          <w:bCs/>
          <w:lang w:val="en-GB"/>
        </w:rPr>
      </w:pPr>
      <w:r w:rsidRPr="00F24028">
        <w:rPr>
          <w:b/>
          <w:bCs/>
          <w:lang w:val="en-GB"/>
        </w:rPr>
        <w:lastRenderedPageBreak/>
        <w:t>4.0 Recommendations</w:t>
      </w:r>
    </w:p>
    <w:p w14:paraId="7B9F9B6C" w14:textId="43E8E7CF" w:rsidR="00670071" w:rsidRDefault="00180454" w:rsidP="001C18C1">
      <w:pPr>
        <w:spacing w:line="480" w:lineRule="auto"/>
        <w:rPr>
          <w:lang w:val="en-GB"/>
        </w:rPr>
      </w:pPr>
      <w:r w:rsidRPr="00B10A16">
        <w:rPr>
          <w:lang w:val="en-GB"/>
        </w:rPr>
        <w:t xml:space="preserve"> </w:t>
      </w:r>
    </w:p>
    <w:p w14:paraId="3717CF6C" w14:textId="408A14E3" w:rsidR="00192A6C" w:rsidRDefault="00192A6C" w:rsidP="001C18C1">
      <w:pPr>
        <w:spacing w:line="480" w:lineRule="auto"/>
        <w:rPr>
          <w:lang w:val="en-GB"/>
        </w:rPr>
      </w:pPr>
    </w:p>
    <w:p w14:paraId="0C502AED" w14:textId="39E60A84" w:rsidR="00192A6C" w:rsidRDefault="00192A6C" w:rsidP="001C18C1">
      <w:pPr>
        <w:spacing w:line="480" w:lineRule="auto"/>
        <w:rPr>
          <w:lang w:val="en-GB"/>
        </w:rPr>
      </w:pPr>
      <w:r>
        <w:rPr>
          <w:noProof/>
        </w:rPr>
        <w:drawing>
          <wp:inline distT="0" distB="0" distL="0" distR="0" wp14:anchorId="492E2F7D" wp14:editId="19EC2D37">
            <wp:extent cx="5731510" cy="6282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82690"/>
                    </a:xfrm>
                    <a:prstGeom prst="rect">
                      <a:avLst/>
                    </a:prstGeom>
                  </pic:spPr>
                </pic:pic>
              </a:graphicData>
            </a:graphic>
          </wp:inline>
        </w:drawing>
      </w:r>
    </w:p>
    <w:p w14:paraId="268E71D0" w14:textId="7423BDF5" w:rsidR="00192A6C" w:rsidRDefault="00192A6C" w:rsidP="001C18C1">
      <w:pPr>
        <w:spacing w:line="480" w:lineRule="auto"/>
        <w:rPr>
          <w:lang w:val="en-GB"/>
        </w:rPr>
      </w:pPr>
    </w:p>
    <w:p w14:paraId="1A3B623B" w14:textId="77777777" w:rsidR="00192A6C" w:rsidRPr="00B10A16" w:rsidRDefault="00192A6C" w:rsidP="001C18C1">
      <w:pPr>
        <w:spacing w:line="480" w:lineRule="auto"/>
        <w:rPr>
          <w:lang w:val="en-GB"/>
        </w:rPr>
      </w:pPr>
    </w:p>
    <w:p w14:paraId="17204D0F" w14:textId="5DA06A84" w:rsidR="00FA608F" w:rsidRPr="00FA608F" w:rsidRDefault="00FA608F" w:rsidP="001C18C1">
      <w:pPr>
        <w:pStyle w:val="Heading1"/>
        <w:spacing w:line="480" w:lineRule="auto"/>
        <w:rPr>
          <w:rFonts w:cs="Times New Roman"/>
          <w:lang w:val="en-GB"/>
        </w:rPr>
      </w:pPr>
      <w:bookmarkStart w:id="15" w:name="_Toc75437513"/>
      <w:r w:rsidRPr="00FA608F">
        <w:rPr>
          <w:rFonts w:cs="Times New Roman"/>
          <w:lang w:val="en-GB"/>
        </w:rPr>
        <w:lastRenderedPageBreak/>
        <w:t>References</w:t>
      </w:r>
      <w:bookmarkEnd w:id="15"/>
    </w:p>
    <w:p w14:paraId="5B88B506" w14:textId="38047A6D" w:rsidR="00FA608F" w:rsidRPr="00FA608F" w:rsidRDefault="00FA608F" w:rsidP="001C18C1">
      <w:pPr>
        <w:widowControl w:val="0"/>
        <w:autoSpaceDE w:val="0"/>
        <w:autoSpaceDN w:val="0"/>
        <w:adjustRightInd w:val="0"/>
        <w:spacing w:line="480" w:lineRule="auto"/>
        <w:ind w:left="720" w:hanging="720"/>
        <w:rPr>
          <w:noProof/>
        </w:rPr>
      </w:pPr>
      <w:r w:rsidRPr="00FA608F">
        <w:rPr>
          <w:lang w:val="en-GB"/>
        </w:rPr>
        <w:fldChar w:fldCharType="begin" w:fldLock="1"/>
      </w:r>
      <w:r w:rsidRPr="00FA608F">
        <w:rPr>
          <w:lang w:val="en-GB"/>
        </w:rPr>
        <w:instrText xml:space="preserve">ADDIN Mendeley Bibliography CSL_BIBLIOGRAPHY </w:instrText>
      </w:r>
      <w:r w:rsidRPr="00FA608F">
        <w:rPr>
          <w:lang w:val="en-GB"/>
        </w:rPr>
        <w:fldChar w:fldCharType="separate"/>
      </w:r>
      <w:r w:rsidRPr="00FA608F">
        <w:rPr>
          <w:noProof/>
        </w:rPr>
        <w:t xml:space="preserve">Angwin, D. N. </w:t>
      </w:r>
      <w:r w:rsidRPr="00FA608F">
        <w:rPr>
          <w:i/>
          <w:iCs/>
          <w:noProof/>
        </w:rPr>
        <w:t>et al.</w:t>
      </w:r>
      <w:r w:rsidRPr="00FA608F">
        <w:rPr>
          <w:noProof/>
        </w:rPr>
        <w:t xml:space="preserve"> (2016) ‘How communication approaches impact mergers and acquisitions outcomes’, </w:t>
      </w:r>
      <w:r w:rsidRPr="00FA608F">
        <w:rPr>
          <w:i/>
          <w:iCs/>
          <w:noProof/>
        </w:rPr>
        <w:t>International Journal of Human Resource Management</w:t>
      </w:r>
      <w:r w:rsidRPr="00FA608F">
        <w:rPr>
          <w:noProof/>
        </w:rPr>
        <w:t>, 27(20), pp. 2370–2397. doi: 10.1080/09585192.2014.985330.</w:t>
      </w:r>
    </w:p>
    <w:p w14:paraId="26959A1F"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Bakari, H., Hunjra, A. I. and Niazi, G. S. K. (2017) ‘How Does Authentic Leadership Influence Planned Organizational Change? The Role of Employees’ Perceptions: Integration of Theory of Planned Behavior and Lewin’s Three Step Model’, </w:t>
      </w:r>
      <w:r w:rsidRPr="00FA608F">
        <w:rPr>
          <w:i/>
          <w:iCs/>
          <w:noProof/>
        </w:rPr>
        <w:t>Journal of Change Management</w:t>
      </w:r>
      <w:r w:rsidRPr="00FA608F">
        <w:rPr>
          <w:noProof/>
        </w:rPr>
        <w:t>, 17(2), pp. 155–187. doi: 10.1080/14697017.2017.1299370.</w:t>
      </w:r>
    </w:p>
    <w:p w14:paraId="54466EA1" w14:textId="389F07C1"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Battilana, J. </w:t>
      </w:r>
      <w:r w:rsidRPr="00FA608F">
        <w:rPr>
          <w:i/>
          <w:iCs/>
          <w:noProof/>
        </w:rPr>
        <w:t>et al.</w:t>
      </w:r>
      <w:r w:rsidRPr="00FA608F">
        <w:rPr>
          <w:noProof/>
        </w:rPr>
        <w:t xml:space="preserve"> (2010) ‘Leadership competencies for implementing planned </w:t>
      </w:r>
      <w:r w:rsidR="00791D96">
        <w:rPr>
          <w:noProof/>
        </w:rPr>
        <w:t>organisational</w:t>
      </w:r>
      <w:r w:rsidRPr="00FA608F">
        <w:rPr>
          <w:noProof/>
        </w:rPr>
        <w:t xml:space="preserve"> change’, </w:t>
      </w:r>
      <w:r w:rsidRPr="00FA608F">
        <w:rPr>
          <w:i/>
          <w:iCs/>
          <w:noProof/>
        </w:rPr>
        <w:t>Leadership Quarterly</w:t>
      </w:r>
      <w:r w:rsidRPr="00FA608F">
        <w:rPr>
          <w:noProof/>
        </w:rPr>
        <w:t>, 21(3), pp. 422–438. doi: 10.1016/j.leaqua.2010.03.007.</w:t>
      </w:r>
    </w:p>
    <w:p w14:paraId="2D0EE863"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Bednall, T. C. </w:t>
      </w:r>
      <w:r w:rsidRPr="00FA608F">
        <w:rPr>
          <w:i/>
          <w:iCs/>
          <w:noProof/>
        </w:rPr>
        <w:t>et al.</w:t>
      </w:r>
      <w:r w:rsidRPr="00FA608F">
        <w:rPr>
          <w:noProof/>
        </w:rPr>
        <w:t xml:space="preserve"> (2018) ‘Innovative Behaviour: How Much Transformational Leadership Do You Need?’, </w:t>
      </w:r>
      <w:r w:rsidRPr="00FA608F">
        <w:rPr>
          <w:i/>
          <w:iCs/>
          <w:noProof/>
        </w:rPr>
        <w:t>British Journal of Management</w:t>
      </w:r>
      <w:r w:rsidRPr="00FA608F">
        <w:rPr>
          <w:noProof/>
        </w:rPr>
        <w:t>, 29(4), pp. 796–816. doi: 10.1111/1467-8551.12275.</w:t>
      </w:r>
    </w:p>
    <w:p w14:paraId="2FF5E5E6"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Burnes, B. (2020) ‘The Origins of Lewin’s Three-Step Model of Change’, </w:t>
      </w:r>
      <w:r w:rsidRPr="00FA608F">
        <w:rPr>
          <w:i/>
          <w:iCs/>
          <w:noProof/>
        </w:rPr>
        <w:t>Journal of Applied Behavioral Science</w:t>
      </w:r>
      <w:r w:rsidRPr="00FA608F">
        <w:rPr>
          <w:noProof/>
        </w:rPr>
        <w:t>, 56(1), pp. 32–59. doi: 10.1177/0021886319892685.</w:t>
      </w:r>
    </w:p>
    <w:p w14:paraId="07816A6C"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By, R. T. (2020) ‘Organizational Change and Leadership: Out of the Quagmire’, </w:t>
      </w:r>
      <w:r w:rsidRPr="00FA608F">
        <w:rPr>
          <w:i/>
          <w:iCs/>
          <w:noProof/>
        </w:rPr>
        <w:t>Journal of Change Management</w:t>
      </w:r>
      <w:r w:rsidRPr="00FA608F">
        <w:rPr>
          <w:noProof/>
        </w:rPr>
        <w:t>. Routledge, pp. 1–6. doi: 10.1080/14697017.2020.1716459.</w:t>
      </w:r>
    </w:p>
    <w:p w14:paraId="0ADC57C0"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Carline, N. F., Linn, S. C. and Yadav, P. K. (2009) ‘Operating performance changes associated with corporate mergers and the role of corporate governance’, </w:t>
      </w:r>
      <w:r w:rsidRPr="00FA608F">
        <w:rPr>
          <w:i/>
          <w:iCs/>
          <w:noProof/>
        </w:rPr>
        <w:t>Journal of Banking and Finance</w:t>
      </w:r>
      <w:r w:rsidRPr="00FA608F">
        <w:rPr>
          <w:noProof/>
        </w:rPr>
        <w:t>, 33(10), pp. 1829–1841. doi: 10.1016/j.jbankfin.2009.03.012.</w:t>
      </w:r>
    </w:p>
    <w:p w14:paraId="421F222A"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Craninckx, K. and Huyghebaert, N. (2015) ‘Large shareholders and value creation through corporate acquisitions in Europe. The identity of the controlling shareholder matters’, </w:t>
      </w:r>
      <w:r w:rsidRPr="00FA608F">
        <w:rPr>
          <w:i/>
          <w:iCs/>
          <w:noProof/>
        </w:rPr>
        <w:t>European Management Journal</w:t>
      </w:r>
      <w:r w:rsidRPr="00FA608F">
        <w:rPr>
          <w:noProof/>
        </w:rPr>
        <w:t>, 33(2), pp. 116–131. doi: 10.1016/j.emj.2014.09.001.</w:t>
      </w:r>
    </w:p>
    <w:p w14:paraId="3F6E6EB0"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Cummings, S., Bridgman, T. and Brown, K. G. (2016) ‘Unfreezing change as three steps: </w:t>
      </w:r>
      <w:r w:rsidRPr="00FA608F">
        <w:rPr>
          <w:noProof/>
        </w:rPr>
        <w:lastRenderedPageBreak/>
        <w:t xml:space="preserve">Rethinking Kurt Lewin’s legacy for change management’, </w:t>
      </w:r>
      <w:r w:rsidRPr="00FA608F">
        <w:rPr>
          <w:i/>
          <w:iCs/>
          <w:noProof/>
        </w:rPr>
        <w:t>Human Relations</w:t>
      </w:r>
      <w:r w:rsidRPr="00FA608F">
        <w:rPr>
          <w:noProof/>
        </w:rPr>
        <w:t>, 69(1), pp. 33–60. doi: 10.1177/0018726715577707.</w:t>
      </w:r>
    </w:p>
    <w:p w14:paraId="0A993014"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Duksaitė, E. and Tamošiūnienė, R. (2011) ‘Why Companies Decide to Participate in Mergers and Acquisition Transactions’, </w:t>
      </w:r>
      <w:r w:rsidRPr="00FA608F">
        <w:rPr>
          <w:i/>
          <w:iCs/>
          <w:noProof/>
        </w:rPr>
        <w:t>Mokslas - Lietuvos ateitis</w:t>
      </w:r>
      <w:r w:rsidRPr="00FA608F">
        <w:rPr>
          <w:noProof/>
        </w:rPr>
        <w:t>, 1(3), pp. 21–25. doi: 10.3846/145.</w:t>
      </w:r>
    </w:p>
    <w:p w14:paraId="31D63673"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Dutta, S. and Jog, V. (2009) ‘The long-term performance of acquiring firms: A re-examination of an anomaly’, </w:t>
      </w:r>
      <w:r w:rsidRPr="00FA608F">
        <w:rPr>
          <w:i/>
          <w:iCs/>
          <w:noProof/>
        </w:rPr>
        <w:t>Journal of Banking and Finance</w:t>
      </w:r>
      <w:r w:rsidRPr="00FA608F">
        <w:rPr>
          <w:noProof/>
        </w:rPr>
        <w:t>, 33(8), pp. 1400–1412. doi: 10.1016/j.jbankfin.2009.02.004.</w:t>
      </w:r>
    </w:p>
    <w:p w14:paraId="01F3A2B0"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Faupel, S. and Süß, S. (2019) ‘The Effect of Transformational Leadership on Employees During Organizational Change–An Empirical Analysis’, </w:t>
      </w:r>
      <w:r w:rsidRPr="00FA608F">
        <w:rPr>
          <w:i/>
          <w:iCs/>
          <w:noProof/>
        </w:rPr>
        <w:t>Journal of Change Management</w:t>
      </w:r>
      <w:r w:rsidRPr="00FA608F">
        <w:rPr>
          <w:noProof/>
        </w:rPr>
        <w:t>, 19(3), pp. 145–166. doi: 10.1080/14697017.2018.1447006.</w:t>
      </w:r>
    </w:p>
    <w:p w14:paraId="7AB4E34B" w14:textId="3F2B3A46"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Ford, J. D. and Ford, L. W. (2012) ‘The leadership of </w:t>
      </w:r>
      <w:r w:rsidR="00791D96">
        <w:rPr>
          <w:noProof/>
        </w:rPr>
        <w:t>organisation</w:t>
      </w:r>
      <w:r w:rsidRPr="00FA608F">
        <w:rPr>
          <w:noProof/>
        </w:rPr>
        <w:t xml:space="preserve"> change: A view from recent empirical evidence’, </w:t>
      </w:r>
      <w:r w:rsidRPr="00FA608F">
        <w:rPr>
          <w:i/>
          <w:iCs/>
          <w:noProof/>
        </w:rPr>
        <w:t>Research in Organizational Change and Development</w:t>
      </w:r>
      <w:r w:rsidRPr="00FA608F">
        <w:rPr>
          <w:noProof/>
        </w:rPr>
        <w:t>, 20, pp. 1–36. doi: 10.1108/S0897-3016(2012)0000020004.</w:t>
      </w:r>
    </w:p>
    <w:p w14:paraId="0880BEA5"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Ford, J., Ford, L. and Polin, B. (2021) ‘Leadership in the Implementation of Change: Functions, Sources, and Requisite Variety’, </w:t>
      </w:r>
      <w:r w:rsidRPr="00FA608F">
        <w:rPr>
          <w:i/>
          <w:iCs/>
          <w:noProof/>
        </w:rPr>
        <w:t>Journal of Change Management</w:t>
      </w:r>
      <w:r w:rsidRPr="00FA608F">
        <w:rPr>
          <w:noProof/>
        </w:rPr>
        <w:t>, 21(1), pp. 87–119. doi: 10.1080/14697017.2021.1861697.</w:t>
      </w:r>
    </w:p>
    <w:p w14:paraId="4E1E76DD"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García-Morales, V. J., Jiménez-Barrionuevo, M. M. and Gutiérrez-Gutiérrez, L. (2012) ‘Transformational leadership influence on organizational performance through organizational learning and innovation’, </w:t>
      </w:r>
      <w:r w:rsidRPr="00FA608F">
        <w:rPr>
          <w:i/>
          <w:iCs/>
          <w:noProof/>
        </w:rPr>
        <w:t>Journal of Business Research</w:t>
      </w:r>
      <w:r w:rsidRPr="00FA608F">
        <w:rPr>
          <w:noProof/>
        </w:rPr>
        <w:t>, 65(7), pp. 1040–1050. doi: 10.1016/j.jbusres.2011.03.005.</w:t>
      </w:r>
    </w:p>
    <w:p w14:paraId="01C2DB99"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Gill, D. and Broderick, A. (2014) ‘Brand heritage and CSR credentials: A discourse analysis of m&amp;s reports’, </w:t>
      </w:r>
      <w:r w:rsidRPr="00FA608F">
        <w:rPr>
          <w:i/>
          <w:iCs/>
          <w:noProof/>
        </w:rPr>
        <w:t>Critical Studies on Corporate Responsibility, Governance and Sustainability</w:t>
      </w:r>
      <w:r w:rsidRPr="00FA608F">
        <w:rPr>
          <w:noProof/>
        </w:rPr>
        <w:t>, 6, pp. 179–199. doi: 10.1108/S2043-9059(2014)0000006026.</w:t>
      </w:r>
    </w:p>
    <w:p w14:paraId="2B6F31DC"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Hassan, I., Ghauri, P. N. and Mayrhofer, U. (2018) ‘Merger and acquisition motives and </w:t>
      </w:r>
      <w:r w:rsidRPr="00FA608F">
        <w:rPr>
          <w:noProof/>
        </w:rPr>
        <w:lastRenderedPageBreak/>
        <w:t xml:space="preserve">outcome assessment’, </w:t>
      </w:r>
      <w:r w:rsidRPr="00FA608F">
        <w:rPr>
          <w:i/>
          <w:iCs/>
          <w:noProof/>
        </w:rPr>
        <w:t>Thunderbird International Business Review</w:t>
      </w:r>
      <w:r w:rsidRPr="00FA608F">
        <w:rPr>
          <w:noProof/>
        </w:rPr>
        <w:t>, 60(4), pp. 709–718. doi: 10.1002/tie.21967.</w:t>
      </w:r>
    </w:p>
    <w:p w14:paraId="63D87E05" w14:textId="3349A1B6"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Hussain, S. T. </w:t>
      </w:r>
      <w:r w:rsidRPr="00FA608F">
        <w:rPr>
          <w:i/>
          <w:iCs/>
          <w:noProof/>
        </w:rPr>
        <w:t>et al.</w:t>
      </w:r>
      <w:r w:rsidRPr="00FA608F">
        <w:rPr>
          <w:noProof/>
        </w:rPr>
        <w:t xml:space="preserve"> (2018) ‘Kurt Lewin’s change model: A critical review of the role of leadership and employee involvement in </w:t>
      </w:r>
      <w:r w:rsidR="00791D96">
        <w:rPr>
          <w:noProof/>
        </w:rPr>
        <w:t>organisational</w:t>
      </w:r>
      <w:r w:rsidRPr="00FA608F">
        <w:rPr>
          <w:noProof/>
        </w:rPr>
        <w:t xml:space="preserve"> change’, </w:t>
      </w:r>
      <w:r w:rsidRPr="00FA608F">
        <w:rPr>
          <w:i/>
          <w:iCs/>
          <w:noProof/>
        </w:rPr>
        <w:t>Journal of Innovation and Knowledge</w:t>
      </w:r>
      <w:r w:rsidRPr="00FA608F">
        <w:rPr>
          <w:noProof/>
        </w:rPr>
        <w:t>, 3(3), pp. 123–127. doi: 10.1016/j.jik.2016.07.002.</w:t>
      </w:r>
    </w:p>
    <w:p w14:paraId="03676009"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Kodama, M. (2019) ‘Business Innovation Through Holistic Leadership-Developing Organizational Adaptability’, </w:t>
      </w:r>
      <w:r w:rsidRPr="00FA608F">
        <w:rPr>
          <w:i/>
          <w:iCs/>
          <w:noProof/>
        </w:rPr>
        <w:t>Systems Research and Behavioral Science</w:t>
      </w:r>
      <w:r w:rsidRPr="00FA608F">
        <w:rPr>
          <w:noProof/>
        </w:rPr>
        <w:t>, 36(4), pp. 365–394. doi: 10.1002/sres.2551.</w:t>
      </w:r>
    </w:p>
    <w:p w14:paraId="2FDBE10F" w14:textId="28BFB463"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Latta, G. F. (2009) ‘A process model of </w:t>
      </w:r>
      <w:r w:rsidR="00791D96">
        <w:rPr>
          <w:noProof/>
        </w:rPr>
        <w:t>organisational</w:t>
      </w:r>
      <w:r w:rsidRPr="00FA608F">
        <w:rPr>
          <w:noProof/>
        </w:rPr>
        <w:t xml:space="preserve"> change in cultural context (OC3 model): The impact of </w:t>
      </w:r>
      <w:r w:rsidR="00791D96">
        <w:rPr>
          <w:noProof/>
        </w:rPr>
        <w:t>organisational</w:t>
      </w:r>
      <w:r w:rsidRPr="00FA608F">
        <w:rPr>
          <w:noProof/>
        </w:rPr>
        <w:t xml:space="preserve"> culture on leading change’, </w:t>
      </w:r>
      <w:r w:rsidRPr="00FA608F">
        <w:rPr>
          <w:i/>
          <w:iCs/>
          <w:noProof/>
        </w:rPr>
        <w:t>Journal of Leadership and Organizational Studies</w:t>
      </w:r>
      <w:r w:rsidRPr="00FA608F">
        <w:rPr>
          <w:noProof/>
        </w:rPr>
        <w:t>, 16(1), pp. 19–37. doi: 10.1177/1548051809334197.</w:t>
      </w:r>
    </w:p>
    <w:p w14:paraId="2155C13C"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Liu, H., Hu, Y. and Ma, W. (2010) ‘Empirical analysis of performance in acquisitions based on different motives’, in </w:t>
      </w:r>
      <w:r w:rsidRPr="00FA608F">
        <w:rPr>
          <w:i/>
          <w:iCs/>
          <w:noProof/>
        </w:rPr>
        <w:t>5th IEEE International Conference on Management of Innovation and Technology, ICMIT2010</w:t>
      </w:r>
      <w:r w:rsidRPr="00FA608F">
        <w:rPr>
          <w:noProof/>
        </w:rPr>
        <w:t>, pp. 1194–1197. doi: 10.1109/ICMIT.2010.5492916.</w:t>
      </w:r>
    </w:p>
    <w:p w14:paraId="71E2EAE4" w14:textId="60802FD2" w:rsidR="00FA608F" w:rsidRPr="00FA608F" w:rsidRDefault="00FA608F" w:rsidP="001C18C1">
      <w:pPr>
        <w:widowControl w:val="0"/>
        <w:autoSpaceDE w:val="0"/>
        <w:autoSpaceDN w:val="0"/>
        <w:adjustRightInd w:val="0"/>
        <w:spacing w:line="480" w:lineRule="auto"/>
        <w:ind w:left="720" w:hanging="720"/>
        <w:rPr>
          <w:noProof/>
        </w:rPr>
      </w:pPr>
      <w:r w:rsidRPr="00FA608F">
        <w:rPr>
          <w:noProof/>
        </w:rPr>
        <w:t>Monnot, M. J. (2017) ‘</w:t>
      </w:r>
      <w:r w:rsidR="00791D96">
        <w:rPr>
          <w:noProof/>
        </w:rPr>
        <w:t>Organisational</w:t>
      </w:r>
      <w:r w:rsidRPr="00FA608F">
        <w:rPr>
          <w:noProof/>
        </w:rPr>
        <w:t xml:space="preserve"> change agent influence: A conditional process model of key individual psychological resources’, </w:t>
      </w:r>
      <w:r w:rsidRPr="00FA608F">
        <w:rPr>
          <w:i/>
          <w:iCs/>
          <w:noProof/>
        </w:rPr>
        <w:t>Journal of Change Management</w:t>
      </w:r>
      <w:r w:rsidRPr="00FA608F">
        <w:rPr>
          <w:noProof/>
        </w:rPr>
        <w:t>, 17(3), pp. 268–295. doi: 10.1080/14697017.2016.1237534.</w:t>
      </w:r>
    </w:p>
    <w:p w14:paraId="295A33B3"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Nikolaou, I. </w:t>
      </w:r>
      <w:r w:rsidRPr="00FA608F">
        <w:rPr>
          <w:i/>
          <w:iCs/>
          <w:noProof/>
        </w:rPr>
        <w:t>et al.</w:t>
      </w:r>
      <w:r w:rsidRPr="00FA608F">
        <w:rPr>
          <w:noProof/>
        </w:rPr>
        <w:t xml:space="preserve"> (2007) ‘Selecting Change Agents: Exploring Traits and Skills in a Simulated Environment’, </w:t>
      </w:r>
      <w:r w:rsidRPr="00FA608F">
        <w:rPr>
          <w:i/>
          <w:iCs/>
          <w:noProof/>
        </w:rPr>
        <w:t>Journal of Change Management</w:t>
      </w:r>
      <w:r w:rsidRPr="00FA608F">
        <w:rPr>
          <w:noProof/>
        </w:rPr>
        <w:t>, 7(3–4), pp. 291–313. doi: 10.1080/14697010701779173.</w:t>
      </w:r>
    </w:p>
    <w:p w14:paraId="047E3212"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Rani, N., Yadav, S. S. and Jain, P. K. (2013) ‘Impact of Corporate Governance Score on Abnormal Returns of Mergers and Acquisitions’, </w:t>
      </w:r>
      <w:r w:rsidRPr="00FA608F">
        <w:rPr>
          <w:i/>
          <w:iCs/>
          <w:noProof/>
        </w:rPr>
        <w:t>Procedia Economics and Finance</w:t>
      </w:r>
      <w:r w:rsidRPr="00FA608F">
        <w:rPr>
          <w:noProof/>
        </w:rPr>
        <w:t>, 5, pp. 637–646. doi: 10.1016/s2212-5671(13)00075-0.</w:t>
      </w:r>
    </w:p>
    <w:p w14:paraId="7853A06C"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lastRenderedPageBreak/>
        <w:t xml:space="preserve">Rani, P. </w:t>
      </w:r>
      <w:r w:rsidRPr="00FA608F">
        <w:rPr>
          <w:i/>
          <w:iCs/>
          <w:noProof/>
        </w:rPr>
        <w:t>et al.</w:t>
      </w:r>
      <w:r w:rsidRPr="00FA608F">
        <w:rPr>
          <w:noProof/>
        </w:rPr>
        <w:t xml:space="preserve"> (2020) ‘Motives, governance, and long-term performance of mergers and acquisitions in Asia’, </w:t>
      </w:r>
      <w:r w:rsidRPr="00FA608F">
        <w:rPr>
          <w:i/>
          <w:iCs/>
          <w:noProof/>
        </w:rPr>
        <w:t>Cogent Business and Management</w:t>
      </w:r>
      <w:r w:rsidRPr="00FA608F">
        <w:rPr>
          <w:noProof/>
        </w:rPr>
        <w:t>, 7(1). doi: 10.1080/23311975.2020.1791445.</w:t>
      </w:r>
    </w:p>
    <w:p w14:paraId="3B3E3ECE"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Rao-Nicholson, R., Salaber, J. and Cao, T. H. (2016) ‘Long-term performance of mergers and acquisitions in ASEAN countries’, </w:t>
      </w:r>
      <w:r w:rsidRPr="00FA608F">
        <w:rPr>
          <w:i/>
          <w:iCs/>
          <w:noProof/>
        </w:rPr>
        <w:t>Research in International Business and Finance</w:t>
      </w:r>
      <w:r w:rsidRPr="00FA608F">
        <w:rPr>
          <w:noProof/>
        </w:rPr>
        <w:t>, 36, pp. 373–387. doi: 10.1016/j.ribaf.2015.09.024.</w:t>
      </w:r>
    </w:p>
    <w:p w14:paraId="5DFC2A25"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Rozen-Bakher, Z. (2018) ‘Comparison of merger and acquisition (M&amp;A) success in horizontal, vertical and conglomerate M&amp;As: industry sector vs. services sector’, </w:t>
      </w:r>
      <w:r w:rsidRPr="00FA608F">
        <w:rPr>
          <w:i/>
          <w:iCs/>
          <w:noProof/>
        </w:rPr>
        <w:t>Service Industries Journal</w:t>
      </w:r>
      <w:r w:rsidRPr="00FA608F">
        <w:rPr>
          <w:noProof/>
        </w:rPr>
        <w:t>, 38(7–8), pp. 492–518. doi: 10.1080/02642069.2017.1405938.</w:t>
      </w:r>
    </w:p>
    <w:p w14:paraId="2DE9A7F5" w14:textId="07BDA882"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Samad, S. (2012) ‘The Influence of Innovation and Transformational Leadership on </w:t>
      </w:r>
      <w:r w:rsidR="00791D96">
        <w:rPr>
          <w:noProof/>
        </w:rPr>
        <w:t>Organisational</w:t>
      </w:r>
      <w:r w:rsidRPr="00FA608F">
        <w:rPr>
          <w:noProof/>
        </w:rPr>
        <w:t xml:space="preserve"> Performance’, </w:t>
      </w:r>
      <w:r w:rsidRPr="00FA608F">
        <w:rPr>
          <w:i/>
          <w:iCs/>
          <w:noProof/>
        </w:rPr>
        <w:t>Procedia-Social and Behavioral Sciences</w:t>
      </w:r>
      <w:r w:rsidRPr="00FA608F">
        <w:rPr>
          <w:noProof/>
        </w:rPr>
        <w:t>, 57, pp. 486–493. doi: 10.1016/j.sbspro.2012.09.1215.</w:t>
      </w:r>
    </w:p>
    <w:p w14:paraId="77DD25A9" w14:textId="2CFC704E"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Shet, S. V. (2021) ‘Leadership: making an impact, inspiring </w:t>
      </w:r>
      <w:r w:rsidR="00791D96">
        <w:rPr>
          <w:noProof/>
        </w:rPr>
        <w:t>organisation</w:t>
      </w:r>
      <w:r w:rsidRPr="00FA608F">
        <w:rPr>
          <w:noProof/>
        </w:rPr>
        <w:t xml:space="preserve">, and getting to the next level’, </w:t>
      </w:r>
      <w:r w:rsidRPr="00FA608F">
        <w:rPr>
          <w:i/>
          <w:iCs/>
          <w:noProof/>
        </w:rPr>
        <w:t>Human Resource Development International</w:t>
      </w:r>
      <w:r w:rsidRPr="00FA608F">
        <w:rPr>
          <w:noProof/>
        </w:rPr>
        <w:t>, 24(2), pp. 234–239. doi: 10.1080/13678868.2020.1732732.</w:t>
      </w:r>
    </w:p>
    <w:p w14:paraId="79FAC56B"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Specht, J. </w:t>
      </w:r>
      <w:r w:rsidRPr="00FA608F">
        <w:rPr>
          <w:i/>
          <w:iCs/>
          <w:noProof/>
        </w:rPr>
        <w:t>et al.</w:t>
      </w:r>
      <w:r w:rsidRPr="00FA608F">
        <w:rPr>
          <w:noProof/>
        </w:rPr>
        <w:t xml:space="preserve"> (2018) ‘How Change Agents’ Motivation Facilitates Organizational Change: Pathways Through Meaning and Organizational Identification’, </w:t>
      </w:r>
      <w:r w:rsidRPr="00FA608F">
        <w:rPr>
          <w:i/>
          <w:iCs/>
          <w:noProof/>
        </w:rPr>
        <w:t>Journal of Change Management</w:t>
      </w:r>
      <w:r w:rsidRPr="00FA608F">
        <w:rPr>
          <w:noProof/>
        </w:rPr>
        <w:t>, 18(3), pp. 198–217. doi: 10.1080/14697017.2017.1378696.</w:t>
      </w:r>
    </w:p>
    <w:p w14:paraId="247491FC"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Stafford, J. (2008) ‘How Marks and Spencer is Using RFID to Improve Customer Service and Business Efficiency: A Case Study’, in </w:t>
      </w:r>
      <w:r w:rsidRPr="00FA608F">
        <w:rPr>
          <w:i/>
          <w:iCs/>
          <w:noProof/>
        </w:rPr>
        <w:t>Smart Packaging Technologies for Fast Moving Consumer Goods</w:t>
      </w:r>
      <w:r w:rsidRPr="00FA608F">
        <w:rPr>
          <w:noProof/>
        </w:rPr>
        <w:t>. John Wiley &amp; Sons, Ltd, pp. 197–210. doi: 10.1002/9780470753699.ch11.</w:t>
      </w:r>
    </w:p>
    <w:p w14:paraId="27112A9E" w14:textId="586361C2"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Stouten, J., Rousseau, D. M. and De Cremer, D. (2018) ‘Successful </w:t>
      </w:r>
      <w:r w:rsidR="00791D96">
        <w:rPr>
          <w:noProof/>
        </w:rPr>
        <w:t>organisational</w:t>
      </w:r>
      <w:r w:rsidRPr="00FA608F">
        <w:rPr>
          <w:noProof/>
        </w:rPr>
        <w:t xml:space="preserve"> change: Integrating the management practice and scholarly literatures’, </w:t>
      </w:r>
      <w:r w:rsidRPr="00FA608F">
        <w:rPr>
          <w:i/>
          <w:iCs/>
          <w:noProof/>
        </w:rPr>
        <w:t xml:space="preserve">Academy of </w:t>
      </w:r>
      <w:r w:rsidRPr="00FA608F">
        <w:rPr>
          <w:i/>
          <w:iCs/>
          <w:noProof/>
        </w:rPr>
        <w:lastRenderedPageBreak/>
        <w:t>Management Annals</w:t>
      </w:r>
      <w:r w:rsidRPr="00FA608F">
        <w:rPr>
          <w:noProof/>
        </w:rPr>
        <w:t>, 12(2), pp. 752–788. doi: 10.5465/annals.2016.0095.</w:t>
      </w:r>
    </w:p>
    <w:p w14:paraId="589CC078"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Vizcaíno-González, M. and Navío-Marco, J. (2018) ‘Influence of shareholders’ support over mergers and acquisitions in US banks’, </w:t>
      </w:r>
      <w:r w:rsidRPr="00FA608F">
        <w:rPr>
          <w:i/>
          <w:iCs/>
          <w:noProof/>
        </w:rPr>
        <w:t xml:space="preserve">Economic Research-Ekonomska Istrazivanja </w:t>
      </w:r>
      <w:r w:rsidRPr="00FA608F">
        <w:rPr>
          <w:noProof/>
        </w:rPr>
        <w:t>, 31(1), pp. 228–239. doi: 10.1080/1331677X.2018.1429296.</w:t>
      </w:r>
    </w:p>
    <w:p w14:paraId="1090A9F7" w14:textId="77777777" w:rsidR="00FA608F" w:rsidRPr="00FA608F" w:rsidRDefault="00FA608F" w:rsidP="001C18C1">
      <w:pPr>
        <w:widowControl w:val="0"/>
        <w:autoSpaceDE w:val="0"/>
        <w:autoSpaceDN w:val="0"/>
        <w:adjustRightInd w:val="0"/>
        <w:spacing w:line="480" w:lineRule="auto"/>
        <w:ind w:left="720" w:hanging="720"/>
        <w:rPr>
          <w:noProof/>
        </w:rPr>
      </w:pPr>
      <w:r w:rsidRPr="00FA608F">
        <w:rPr>
          <w:noProof/>
        </w:rPr>
        <w:t xml:space="preserve">Yen, T. Y., Chou, S. and André, P. (2013) ‘Operating performance of emerging market acquirers: Corporate governance issues’, in </w:t>
      </w:r>
      <w:r w:rsidRPr="00FA608F">
        <w:rPr>
          <w:i/>
          <w:iCs/>
          <w:noProof/>
        </w:rPr>
        <w:t>Emerging Markets Finance and Trade</w:t>
      </w:r>
      <w:r w:rsidRPr="00FA608F">
        <w:rPr>
          <w:noProof/>
        </w:rPr>
        <w:t>, pp. 5–19. doi: 10.2753/REE1540-496X4904S301.</w:t>
      </w:r>
    </w:p>
    <w:p w14:paraId="6E23400A" w14:textId="03E9B655" w:rsidR="00FA608F" w:rsidRPr="00FA608F" w:rsidRDefault="00FA608F" w:rsidP="001C18C1">
      <w:pPr>
        <w:spacing w:line="480" w:lineRule="auto"/>
        <w:rPr>
          <w:lang w:val="en-GB"/>
        </w:rPr>
      </w:pPr>
      <w:r w:rsidRPr="00FA608F">
        <w:rPr>
          <w:lang w:val="en-GB"/>
        </w:rPr>
        <w:fldChar w:fldCharType="end"/>
      </w:r>
    </w:p>
    <w:p w14:paraId="4F135BD6" w14:textId="77777777" w:rsidR="00FA608F" w:rsidRPr="00FA608F" w:rsidRDefault="00FA608F" w:rsidP="001C18C1">
      <w:pPr>
        <w:spacing w:line="480" w:lineRule="auto"/>
        <w:rPr>
          <w:rFonts w:eastAsiaTheme="majorEastAsia"/>
          <w:b/>
          <w:szCs w:val="32"/>
          <w:lang w:val="en-GB"/>
        </w:rPr>
      </w:pPr>
      <w:r w:rsidRPr="00FA608F">
        <w:rPr>
          <w:lang w:val="en-GB"/>
        </w:rPr>
        <w:br w:type="page"/>
      </w:r>
    </w:p>
    <w:p w14:paraId="7D4111E0" w14:textId="77777777" w:rsidR="00192A6C" w:rsidRPr="00B222F2" w:rsidRDefault="00192A6C" w:rsidP="00192A6C">
      <w:pPr>
        <w:pStyle w:val="Heading1"/>
        <w:spacing w:line="480" w:lineRule="auto"/>
        <w:rPr>
          <w:rFonts w:cs="Times New Roman"/>
          <w:lang w:val="en-GB"/>
        </w:rPr>
      </w:pPr>
      <w:bookmarkStart w:id="16" w:name="_Toc75435248"/>
      <w:bookmarkStart w:id="17" w:name="_Toc75437514"/>
      <w:r w:rsidRPr="00B222F2">
        <w:rPr>
          <w:rFonts w:cs="Times New Roman"/>
          <w:lang w:val="en-GB"/>
        </w:rPr>
        <w:lastRenderedPageBreak/>
        <w:t>Appendices</w:t>
      </w:r>
      <w:bookmarkEnd w:id="16"/>
      <w:bookmarkEnd w:id="17"/>
    </w:p>
    <w:p w14:paraId="4457A720" w14:textId="77777777" w:rsidR="00192A6C" w:rsidRPr="00B222F2" w:rsidRDefault="00192A6C" w:rsidP="00192A6C">
      <w:pPr>
        <w:pStyle w:val="Heading2"/>
        <w:spacing w:line="480" w:lineRule="auto"/>
        <w:rPr>
          <w:rFonts w:cs="Times New Roman"/>
          <w:lang w:val="en-GB"/>
        </w:rPr>
      </w:pPr>
      <w:bookmarkStart w:id="18" w:name="_Toc75435249"/>
      <w:bookmarkStart w:id="19" w:name="_Toc75437515"/>
      <w:r w:rsidRPr="00B222F2">
        <w:rPr>
          <w:rFonts w:cs="Times New Roman"/>
          <w:lang w:val="en-GB"/>
        </w:rPr>
        <w:t>SWOT Analysis</w:t>
      </w:r>
      <w:bookmarkEnd w:id="18"/>
      <w:bookmarkEnd w:id="19"/>
      <w:r w:rsidRPr="00B222F2">
        <w:rPr>
          <w:rFonts w:cs="Times New Roman"/>
          <w:lang w:val="en-GB"/>
        </w:rPr>
        <w:t xml:space="preserve"> </w:t>
      </w:r>
    </w:p>
    <w:p w14:paraId="71B34E10" w14:textId="77777777" w:rsidR="00192A6C" w:rsidRPr="00B222F2" w:rsidRDefault="00192A6C" w:rsidP="00192A6C">
      <w:pPr>
        <w:spacing w:line="480" w:lineRule="auto"/>
        <w:rPr>
          <w:lang w:val="en-GB"/>
        </w:rPr>
      </w:pPr>
      <w:r w:rsidRPr="00B222F2">
        <w:rPr>
          <w:noProof/>
          <w:lang w:val="en-GB"/>
        </w:rPr>
        <w:drawing>
          <wp:inline distT="0" distB="0" distL="0" distR="0" wp14:anchorId="7CD16870" wp14:editId="08A08E0C">
            <wp:extent cx="6200775" cy="6324600"/>
            <wp:effectExtent l="0" t="12700" r="952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6C6BB0B" w14:textId="77777777" w:rsidR="00192A6C" w:rsidRPr="00B222F2" w:rsidRDefault="00192A6C" w:rsidP="00192A6C">
      <w:pPr>
        <w:pStyle w:val="Heading2"/>
        <w:spacing w:line="480" w:lineRule="auto"/>
        <w:rPr>
          <w:rFonts w:cs="Times New Roman"/>
          <w:lang w:val="en-GB"/>
        </w:rPr>
      </w:pPr>
    </w:p>
    <w:p w14:paraId="110258F6" w14:textId="77777777" w:rsidR="00192A6C" w:rsidRPr="00B222F2" w:rsidRDefault="00192A6C" w:rsidP="00192A6C">
      <w:pPr>
        <w:rPr>
          <w:lang w:val="en-GB"/>
        </w:rPr>
      </w:pPr>
    </w:p>
    <w:p w14:paraId="221B7F2E" w14:textId="77777777" w:rsidR="00192A6C" w:rsidRPr="00B222F2" w:rsidRDefault="00192A6C" w:rsidP="00192A6C">
      <w:pPr>
        <w:rPr>
          <w:lang w:val="en-GB"/>
        </w:rPr>
      </w:pPr>
    </w:p>
    <w:p w14:paraId="13EAC8D4" w14:textId="77777777" w:rsidR="00192A6C" w:rsidRPr="00B222F2" w:rsidRDefault="00192A6C" w:rsidP="00192A6C">
      <w:pPr>
        <w:pStyle w:val="Heading2"/>
        <w:spacing w:line="480" w:lineRule="auto"/>
        <w:rPr>
          <w:rFonts w:cs="Times New Roman"/>
          <w:lang w:val="en-GB"/>
        </w:rPr>
      </w:pPr>
    </w:p>
    <w:p w14:paraId="31271A93" w14:textId="77777777" w:rsidR="00192A6C" w:rsidRPr="00B222F2" w:rsidRDefault="00192A6C" w:rsidP="00192A6C">
      <w:pPr>
        <w:pStyle w:val="Heading2"/>
        <w:spacing w:line="480" w:lineRule="auto"/>
        <w:rPr>
          <w:rFonts w:cs="Times New Roman"/>
          <w:lang w:val="en-GB"/>
        </w:rPr>
      </w:pPr>
      <w:bookmarkStart w:id="20" w:name="_Toc75435250"/>
      <w:bookmarkStart w:id="21" w:name="_Toc75437516"/>
      <w:r w:rsidRPr="00B222F2">
        <w:rPr>
          <w:rFonts w:cs="Times New Roman"/>
          <w:lang w:val="en-GB"/>
        </w:rPr>
        <w:t>PESTLE Analysis</w:t>
      </w:r>
      <w:bookmarkEnd w:id="20"/>
      <w:bookmarkEnd w:id="21"/>
    </w:p>
    <w:p w14:paraId="44333DA9" w14:textId="77777777" w:rsidR="00192A6C" w:rsidRPr="00B222F2" w:rsidRDefault="00192A6C" w:rsidP="00192A6C">
      <w:pPr>
        <w:spacing w:line="480" w:lineRule="auto"/>
        <w:rPr>
          <w:rFonts w:eastAsiaTheme="majorEastAsia"/>
          <w:b/>
          <w:szCs w:val="32"/>
          <w:lang w:val="en-GB"/>
        </w:rPr>
      </w:pPr>
    </w:p>
    <w:p w14:paraId="09B84523" w14:textId="77777777" w:rsidR="00192A6C" w:rsidRDefault="00192A6C" w:rsidP="001C18C1">
      <w:pPr>
        <w:pStyle w:val="Heading1"/>
        <w:spacing w:line="480" w:lineRule="auto"/>
        <w:rPr>
          <w:rFonts w:cs="Times New Roman"/>
          <w:lang w:val="en-GB"/>
        </w:rPr>
      </w:pPr>
    </w:p>
    <w:p w14:paraId="492A6384" w14:textId="520BFF73" w:rsidR="00CF12DA" w:rsidRPr="00FA608F" w:rsidRDefault="00192A6C" w:rsidP="001C18C1">
      <w:pPr>
        <w:spacing w:line="480" w:lineRule="auto"/>
        <w:rPr>
          <w:lang w:val="en-GB"/>
        </w:rPr>
      </w:pPr>
      <w:r w:rsidRPr="00B222F2">
        <w:rPr>
          <w:noProof/>
        </w:rPr>
        <w:drawing>
          <wp:inline distT="0" distB="0" distL="0" distR="0" wp14:anchorId="3153B000" wp14:editId="115CBE52">
            <wp:extent cx="5731510" cy="5868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868035"/>
                    </a:xfrm>
                    <a:prstGeom prst="rect">
                      <a:avLst/>
                    </a:prstGeom>
                  </pic:spPr>
                </pic:pic>
              </a:graphicData>
            </a:graphic>
          </wp:inline>
        </w:drawing>
      </w:r>
    </w:p>
    <w:sectPr w:rsidR="00CF12DA" w:rsidRPr="00FA608F" w:rsidSect="00733A8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A0CB0" w14:textId="77777777" w:rsidR="001F0A81" w:rsidRDefault="001F0A81" w:rsidP="00B81BD7">
      <w:r>
        <w:separator/>
      </w:r>
    </w:p>
  </w:endnote>
  <w:endnote w:type="continuationSeparator" w:id="0">
    <w:p w14:paraId="2512F5C8" w14:textId="77777777" w:rsidR="001F0A81" w:rsidRDefault="001F0A81" w:rsidP="00B81BD7">
      <w:r>
        <w:continuationSeparator/>
      </w:r>
    </w:p>
  </w:endnote>
  <w:endnote w:type="continuationNotice" w:id="1">
    <w:p w14:paraId="37B7E22D" w14:textId="77777777" w:rsidR="001F0A81" w:rsidRDefault="001F0A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38F0F" w14:textId="77777777" w:rsidR="001F0A81" w:rsidRDefault="001F0A81" w:rsidP="00B81BD7">
      <w:r>
        <w:separator/>
      </w:r>
    </w:p>
  </w:footnote>
  <w:footnote w:type="continuationSeparator" w:id="0">
    <w:p w14:paraId="0C4FC60E" w14:textId="77777777" w:rsidR="001F0A81" w:rsidRDefault="001F0A81" w:rsidP="00B81BD7">
      <w:r>
        <w:continuationSeparator/>
      </w:r>
    </w:p>
  </w:footnote>
  <w:footnote w:type="continuationNotice" w:id="1">
    <w:p w14:paraId="6A870466" w14:textId="77777777" w:rsidR="001F0A81" w:rsidRDefault="001F0A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D336B" w14:textId="6EE8C656" w:rsidR="001D75C6" w:rsidRDefault="001D75C6">
    <w:pPr>
      <w:pStyle w:val="Header"/>
      <w:jc w:val="right"/>
    </w:pPr>
    <w:r>
      <w:t xml:space="preserve">Change Management      </w:t>
    </w:r>
    <w:sdt>
      <w:sdtPr>
        <w:id w:val="-3683759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7D634FB" w14:textId="77777777" w:rsidR="001D75C6" w:rsidRDefault="001D7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6389F"/>
    <w:multiLevelType w:val="multilevel"/>
    <w:tmpl w:val="DC28A79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F035149"/>
    <w:multiLevelType w:val="hybridMultilevel"/>
    <w:tmpl w:val="F19CB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B02E70"/>
    <w:multiLevelType w:val="multilevel"/>
    <w:tmpl w:val="72B4FF7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3MDUzNDUzNzY2szRU0lEKTi0uzszPAykwNqgFADkp1bYtAAAA"/>
  </w:docVars>
  <w:rsids>
    <w:rsidRoot w:val="002C6A06"/>
    <w:rsid w:val="000023DB"/>
    <w:rsid w:val="000032E6"/>
    <w:rsid w:val="00003AED"/>
    <w:rsid w:val="0000687A"/>
    <w:rsid w:val="00012A4F"/>
    <w:rsid w:val="00013F2E"/>
    <w:rsid w:val="00016FE3"/>
    <w:rsid w:val="00020C5C"/>
    <w:rsid w:val="000219AD"/>
    <w:rsid w:val="00024C2D"/>
    <w:rsid w:val="00027E58"/>
    <w:rsid w:val="00030FB5"/>
    <w:rsid w:val="00031421"/>
    <w:rsid w:val="00031DA4"/>
    <w:rsid w:val="000405AD"/>
    <w:rsid w:val="00040CC3"/>
    <w:rsid w:val="00045E38"/>
    <w:rsid w:val="000532E4"/>
    <w:rsid w:val="000560DB"/>
    <w:rsid w:val="00056324"/>
    <w:rsid w:val="000566E9"/>
    <w:rsid w:val="00060871"/>
    <w:rsid w:val="00062ADC"/>
    <w:rsid w:val="00067A48"/>
    <w:rsid w:val="00075A58"/>
    <w:rsid w:val="00082A08"/>
    <w:rsid w:val="00087E3A"/>
    <w:rsid w:val="00094C9D"/>
    <w:rsid w:val="000965CE"/>
    <w:rsid w:val="00097AC0"/>
    <w:rsid w:val="000A085A"/>
    <w:rsid w:val="000A66C8"/>
    <w:rsid w:val="000A7A80"/>
    <w:rsid w:val="000B3219"/>
    <w:rsid w:val="000B5C57"/>
    <w:rsid w:val="000C6FD2"/>
    <w:rsid w:val="000D0BD8"/>
    <w:rsid w:val="000D55DB"/>
    <w:rsid w:val="000D7171"/>
    <w:rsid w:val="000D7ED5"/>
    <w:rsid w:val="000E147F"/>
    <w:rsid w:val="000E5181"/>
    <w:rsid w:val="000E57DE"/>
    <w:rsid w:val="000E581E"/>
    <w:rsid w:val="000E76EB"/>
    <w:rsid w:val="000F2721"/>
    <w:rsid w:val="000F273E"/>
    <w:rsid w:val="000F3FC6"/>
    <w:rsid w:val="000F4E35"/>
    <w:rsid w:val="000F54EC"/>
    <w:rsid w:val="0010226B"/>
    <w:rsid w:val="00102903"/>
    <w:rsid w:val="001037CD"/>
    <w:rsid w:val="00104F9B"/>
    <w:rsid w:val="001059BC"/>
    <w:rsid w:val="00110892"/>
    <w:rsid w:val="0011169F"/>
    <w:rsid w:val="00112DC7"/>
    <w:rsid w:val="00112FA9"/>
    <w:rsid w:val="00113653"/>
    <w:rsid w:val="00120C8D"/>
    <w:rsid w:val="00122DC6"/>
    <w:rsid w:val="001236B1"/>
    <w:rsid w:val="00126F4F"/>
    <w:rsid w:val="001274E8"/>
    <w:rsid w:val="00127EC5"/>
    <w:rsid w:val="001348C7"/>
    <w:rsid w:val="00134E42"/>
    <w:rsid w:val="00142E3A"/>
    <w:rsid w:val="00143EC1"/>
    <w:rsid w:val="001461D0"/>
    <w:rsid w:val="00146C53"/>
    <w:rsid w:val="0014791F"/>
    <w:rsid w:val="00152796"/>
    <w:rsid w:val="001545EC"/>
    <w:rsid w:val="001604C1"/>
    <w:rsid w:val="00161534"/>
    <w:rsid w:val="00162656"/>
    <w:rsid w:val="00166BB3"/>
    <w:rsid w:val="001672F7"/>
    <w:rsid w:val="001765EA"/>
    <w:rsid w:val="00180454"/>
    <w:rsid w:val="001810A2"/>
    <w:rsid w:val="001853D0"/>
    <w:rsid w:val="001875CB"/>
    <w:rsid w:val="00187C30"/>
    <w:rsid w:val="00192A6C"/>
    <w:rsid w:val="00194075"/>
    <w:rsid w:val="001A2376"/>
    <w:rsid w:val="001A2B7A"/>
    <w:rsid w:val="001A5B83"/>
    <w:rsid w:val="001A7D57"/>
    <w:rsid w:val="001B086B"/>
    <w:rsid w:val="001B289F"/>
    <w:rsid w:val="001B3A22"/>
    <w:rsid w:val="001B3AED"/>
    <w:rsid w:val="001B6763"/>
    <w:rsid w:val="001B6C5E"/>
    <w:rsid w:val="001C0B78"/>
    <w:rsid w:val="001C18C1"/>
    <w:rsid w:val="001C2507"/>
    <w:rsid w:val="001C2FCA"/>
    <w:rsid w:val="001C377E"/>
    <w:rsid w:val="001C5FA6"/>
    <w:rsid w:val="001D111B"/>
    <w:rsid w:val="001D5065"/>
    <w:rsid w:val="001D5BB3"/>
    <w:rsid w:val="001D75C6"/>
    <w:rsid w:val="001E750D"/>
    <w:rsid w:val="001F0A81"/>
    <w:rsid w:val="001F1071"/>
    <w:rsid w:val="001F40A6"/>
    <w:rsid w:val="001F45DE"/>
    <w:rsid w:val="00200676"/>
    <w:rsid w:val="00201F71"/>
    <w:rsid w:val="00202338"/>
    <w:rsid w:val="00203CF7"/>
    <w:rsid w:val="00205520"/>
    <w:rsid w:val="00205AC5"/>
    <w:rsid w:val="00207314"/>
    <w:rsid w:val="0021582A"/>
    <w:rsid w:val="00217131"/>
    <w:rsid w:val="002227CC"/>
    <w:rsid w:val="002234D9"/>
    <w:rsid w:val="00227485"/>
    <w:rsid w:val="002333B3"/>
    <w:rsid w:val="0024438E"/>
    <w:rsid w:val="00246F96"/>
    <w:rsid w:val="0024799E"/>
    <w:rsid w:val="00251F95"/>
    <w:rsid w:val="002527AD"/>
    <w:rsid w:val="00253E35"/>
    <w:rsid w:val="002544A8"/>
    <w:rsid w:val="002553D0"/>
    <w:rsid w:val="00256DA3"/>
    <w:rsid w:val="00261F4C"/>
    <w:rsid w:val="00262050"/>
    <w:rsid w:val="002666DA"/>
    <w:rsid w:val="002721C8"/>
    <w:rsid w:val="002764EF"/>
    <w:rsid w:val="00285EA9"/>
    <w:rsid w:val="00290394"/>
    <w:rsid w:val="00290F56"/>
    <w:rsid w:val="002947D6"/>
    <w:rsid w:val="002947ED"/>
    <w:rsid w:val="002963C0"/>
    <w:rsid w:val="002A1365"/>
    <w:rsid w:val="002A2D90"/>
    <w:rsid w:val="002A70A5"/>
    <w:rsid w:val="002B2DD8"/>
    <w:rsid w:val="002B4A7A"/>
    <w:rsid w:val="002B6961"/>
    <w:rsid w:val="002B7374"/>
    <w:rsid w:val="002C1051"/>
    <w:rsid w:val="002C1C9A"/>
    <w:rsid w:val="002C32A8"/>
    <w:rsid w:val="002C5398"/>
    <w:rsid w:val="002C5839"/>
    <w:rsid w:val="002C6A06"/>
    <w:rsid w:val="002D2390"/>
    <w:rsid w:val="002D51D7"/>
    <w:rsid w:val="002D7B9B"/>
    <w:rsid w:val="002F1C8C"/>
    <w:rsid w:val="002F69E3"/>
    <w:rsid w:val="00300855"/>
    <w:rsid w:val="00300BD5"/>
    <w:rsid w:val="00301102"/>
    <w:rsid w:val="00313E45"/>
    <w:rsid w:val="00314396"/>
    <w:rsid w:val="00321789"/>
    <w:rsid w:val="0032220A"/>
    <w:rsid w:val="003272D6"/>
    <w:rsid w:val="0033305D"/>
    <w:rsid w:val="00333060"/>
    <w:rsid w:val="00334A2C"/>
    <w:rsid w:val="003354BE"/>
    <w:rsid w:val="00340FAA"/>
    <w:rsid w:val="00341D04"/>
    <w:rsid w:val="00345E72"/>
    <w:rsid w:val="00346494"/>
    <w:rsid w:val="003503C8"/>
    <w:rsid w:val="00352479"/>
    <w:rsid w:val="00354A85"/>
    <w:rsid w:val="0036242D"/>
    <w:rsid w:val="0036616C"/>
    <w:rsid w:val="00366C25"/>
    <w:rsid w:val="00367774"/>
    <w:rsid w:val="00367D23"/>
    <w:rsid w:val="00370C57"/>
    <w:rsid w:val="00372B46"/>
    <w:rsid w:val="003766DF"/>
    <w:rsid w:val="003808A2"/>
    <w:rsid w:val="00380BC5"/>
    <w:rsid w:val="00381A1B"/>
    <w:rsid w:val="00382925"/>
    <w:rsid w:val="003850AC"/>
    <w:rsid w:val="00385A7E"/>
    <w:rsid w:val="003862BE"/>
    <w:rsid w:val="00387A85"/>
    <w:rsid w:val="0039032A"/>
    <w:rsid w:val="003908C9"/>
    <w:rsid w:val="00390A25"/>
    <w:rsid w:val="00397B18"/>
    <w:rsid w:val="003A350E"/>
    <w:rsid w:val="003A5D8D"/>
    <w:rsid w:val="003B26D0"/>
    <w:rsid w:val="003B30B7"/>
    <w:rsid w:val="003B340C"/>
    <w:rsid w:val="003B5AFC"/>
    <w:rsid w:val="003B5B37"/>
    <w:rsid w:val="003C1DC2"/>
    <w:rsid w:val="003C3B5C"/>
    <w:rsid w:val="003D464C"/>
    <w:rsid w:val="003E41AD"/>
    <w:rsid w:val="003E43E1"/>
    <w:rsid w:val="00405150"/>
    <w:rsid w:val="00405455"/>
    <w:rsid w:val="00411DCF"/>
    <w:rsid w:val="00417766"/>
    <w:rsid w:val="00420197"/>
    <w:rsid w:val="004205B5"/>
    <w:rsid w:val="004208FC"/>
    <w:rsid w:val="00424792"/>
    <w:rsid w:val="004302F2"/>
    <w:rsid w:val="004306C3"/>
    <w:rsid w:val="00431BED"/>
    <w:rsid w:val="00432A3A"/>
    <w:rsid w:val="00440958"/>
    <w:rsid w:val="004422E6"/>
    <w:rsid w:val="00442AB0"/>
    <w:rsid w:val="0044438F"/>
    <w:rsid w:val="00450D90"/>
    <w:rsid w:val="00451A5C"/>
    <w:rsid w:val="00454FCA"/>
    <w:rsid w:val="00457137"/>
    <w:rsid w:val="00460368"/>
    <w:rsid w:val="00485E72"/>
    <w:rsid w:val="004876F2"/>
    <w:rsid w:val="004948A7"/>
    <w:rsid w:val="0049568D"/>
    <w:rsid w:val="004A2BB1"/>
    <w:rsid w:val="004A7996"/>
    <w:rsid w:val="004B161F"/>
    <w:rsid w:val="004B2C37"/>
    <w:rsid w:val="004B2C75"/>
    <w:rsid w:val="004C4227"/>
    <w:rsid w:val="004D3F5B"/>
    <w:rsid w:val="004E1306"/>
    <w:rsid w:val="004E252C"/>
    <w:rsid w:val="004E474E"/>
    <w:rsid w:val="004E58E7"/>
    <w:rsid w:val="004F018A"/>
    <w:rsid w:val="004F4896"/>
    <w:rsid w:val="004F76E9"/>
    <w:rsid w:val="00500F4A"/>
    <w:rsid w:val="0050296B"/>
    <w:rsid w:val="0050315C"/>
    <w:rsid w:val="00503923"/>
    <w:rsid w:val="00505269"/>
    <w:rsid w:val="0051325C"/>
    <w:rsid w:val="005144FF"/>
    <w:rsid w:val="00521126"/>
    <w:rsid w:val="00527B0E"/>
    <w:rsid w:val="005377F3"/>
    <w:rsid w:val="00541425"/>
    <w:rsid w:val="00545DD9"/>
    <w:rsid w:val="00552A16"/>
    <w:rsid w:val="005546A9"/>
    <w:rsid w:val="00567D6A"/>
    <w:rsid w:val="005776DC"/>
    <w:rsid w:val="00582FB3"/>
    <w:rsid w:val="005831B9"/>
    <w:rsid w:val="00592230"/>
    <w:rsid w:val="005942BF"/>
    <w:rsid w:val="00596B77"/>
    <w:rsid w:val="005A0710"/>
    <w:rsid w:val="005A28A5"/>
    <w:rsid w:val="005A718D"/>
    <w:rsid w:val="005B08CF"/>
    <w:rsid w:val="005B0DCA"/>
    <w:rsid w:val="005B2265"/>
    <w:rsid w:val="005B38BF"/>
    <w:rsid w:val="005B4448"/>
    <w:rsid w:val="005B57A6"/>
    <w:rsid w:val="005B7A81"/>
    <w:rsid w:val="005C0EEA"/>
    <w:rsid w:val="005C3890"/>
    <w:rsid w:val="005C3D1E"/>
    <w:rsid w:val="005C563C"/>
    <w:rsid w:val="005D1D4E"/>
    <w:rsid w:val="005D2BF9"/>
    <w:rsid w:val="005D33BF"/>
    <w:rsid w:val="005D3723"/>
    <w:rsid w:val="005D3A29"/>
    <w:rsid w:val="005D79E1"/>
    <w:rsid w:val="005E04E1"/>
    <w:rsid w:val="005E358B"/>
    <w:rsid w:val="005E6573"/>
    <w:rsid w:val="005E6CF2"/>
    <w:rsid w:val="005F1521"/>
    <w:rsid w:val="005F1A8E"/>
    <w:rsid w:val="005F30D2"/>
    <w:rsid w:val="005F5646"/>
    <w:rsid w:val="005F63A3"/>
    <w:rsid w:val="00600163"/>
    <w:rsid w:val="0060102E"/>
    <w:rsid w:val="006031E1"/>
    <w:rsid w:val="00613A8C"/>
    <w:rsid w:val="00617A44"/>
    <w:rsid w:val="00620F68"/>
    <w:rsid w:val="0062650D"/>
    <w:rsid w:val="006266C9"/>
    <w:rsid w:val="006421CF"/>
    <w:rsid w:val="00642E1C"/>
    <w:rsid w:val="006442A9"/>
    <w:rsid w:val="0064489F"/>
    <w:rsid w:val="00650451"/>
    <w:rsid w:val="00656BF4"/>
    <w:rsid w:val="00664898"/>
    <w:rsid w:val="006665FC"/>
    <w:rsid w:val="00670071"/>
    <w:rsid w:val="00681B49"/>
    <w:rsid w:val="00685879"/>
    <w:rsid w:val="00687C0A"/>
    <w:rsid w:val="006930FE"/>
    <w:rsid w:val="006976A1"/>
    <w:rsid w:val="00697805"/>
    <w:rsid w:val="006A164A"/>
    <w:rsid w:val="006A2AFF"/>
    <w:rsid w:val="006A2F33"/>
    <w:rsid w:val="006A33B1"/>
    <w:rsid w:val="006A495D"/>
    <w:rsid w:val="006A6812"/>
    <w:rsid w:val="006A7DF0"/>
    <w:rsid w:val="006B5C82"/>
    <w:rsid w:val="006B7181"/>
    <w:rsid w:val="006B773A"/>
    <w:rsid w:val="006C555B"/>
    <w:rsid w:val="006C7F7D"/>
    <w:rsid w:val="006D123F"/>
    <w:rsid w:val="006D1552"/>
    <w:rsid w:val="006D540C"/>
    <w:rsid w:val="006E0117"/>
    <w:rsid w:val="006E571C"/>
    <w:rsid w:val="006E792F"/>
    <w:rsid w:val="006F228C"/>
    <w:rsid w:val="006F5DC3"/>
    <w:rsid w:val="007018C7"/>
    <w:rsid w:val="00705238"/>
    <w:rsid w:val="007140BB"/>
    <w:rsid w:val="00720118"/>
    <w:rsid w:val="00722C9A"/>
    <w:rsid w:val="00724193"/>
    <w:rsid w:val="00724249"/>
    <w:rsid w:val="00724D9B"/>
    <w:rsid w:val="00727AFC"/>
    <w:rsid w:val="00730823"/>
    <w:rsid w:val="00733A89"/>
    <w:rsid w:val="007373A8"/>
    <w:rsid w:val="00737E96"/>
    <w:rsid w:val="007407A4"/>
    <w:rsid w:val="00745B54"/>
    <w:rsid w:val="007508C5"/>
    <w:rsid w:val="0075216B"/>
    <w:rsid w:val="007522BD"/>
    <w:rsid w:val="00764404"/>
    <w:rsid w:val="00765506"/>
    <w:rsid w:val="00766F59"/>
    <w:rsid w:val="00770277"/>
    <w:rsid w:val="0077317A"/>
    <w:rsid w:val="0077564F"/>
    <w:rsid w:val="007764BB"/>
    <w:rsid w:val="007842FF"/>
    <w:rsid w:val="00791D96"/>
    <w:rsid w:val="00796E73"/>
    <w:rsid w:val="007A03E5"/>
    <w:rsid w:val="007A107E"/>
    <w:rsid w:val="007A5E51"/>
    <w:rsid w:val="007A7AE5"/>
    <w:rsid w:val="007B019D"/>
    <w:rsid w:val="007B5956"/>
    <w:rsid w:val="007C1ECA"/>
    <w:rsid w:val="007C2027"/>
    <w:rsid w:val="007C774A"/>
    <w:rsid w:val="007D1582"/>
    <w:rsid w:val="007D29D3"/>
    <w:rsid w:val="007E48B1"/>
    <w:rsid w:val="007F0BE1"/>
    <w:rsid w:val="007F0F48"/>
    <w:rsid w:val="007F0F79"/>
    <w:rsid w:val="007F51DF"/>
    <w:rsid w:val="007F57AB"/>
    <w:rsid w:val="008019C8"/>
    <w:rsid w:val="00801F76"/>
    <w:rsid w:val="00801FA0"/>
    <w:rsid w:val="008027DF"/>
    <w:rsid w:val="008029E5"/>
    <w:rsid w:val="00803DBC"/>
    <w:rsid w:val="0080769B"/>
    <w:rsid w:val="008079A8"/>
    <w:rsid w:val="00813B4F"/>
    <w:rsid w:val="008255DB"/>
    <w:rsid w:val="008311CA"/>
    <w:rsid w:val="00833DED"/>
    <w:rsid w:val="00835637"/>
    <w:rsid w:val="00836925"/>
    <w:rsid w:val="00840A0E"/>
    <w:rsid w:val="008421DE"/>
    <w:rsid w:val="00842842"/>
    <w:rsid w:val="00843CBD"/>
    <w:rsid w:val="0084401E"/>
    <w:rsid w:val="00845E8B"/>
    <w:rsid w:val="00845F0F"/>
    <w:rsid w:val="00857C74"/>
    <w:rsid w:val="00863D3C"/>
    <w:rsid w:val="0087195E"/>
    <w:rsid w:val="0087658B"/>
    <w:rsid w:val="0088164D"/>
    <w:rsid w:val="00882CB9"/>
    <w:rsid w:val="00883A23"/>
    <w:rsid w:val="008874B5"/>
    <w:rsid w:val="00892E02"/>
    <w:rsid w:val="00894E07"/>
    <w:rsid w:val="008A024E"/>
    <w:rsid w:val="008A12D0"/>
    <w:rsid w:val="008A597F"/>
    <w:rsid w:val="008B093C"/>
    <w:rsid w:val="008B0DD9"/>
    <w:rsid w:val="008B25A1"/>
    <w:rsid w:val="008B4FC0"/>
    <w:rsid w:val="008C21E5"/>
    <w:rsid w:val="008C2416"/>
    <w:rsid w:val="008C2554"/>
    <w:rsid w:val="008C28E2"/>
    <w:rsid w:val="008C401F"/>
    <w:rsid w:val="008C4CC1"/>
    <w:rsid w:val="008C75D7"/>
    <w:rsid w:val="008D0A2F"/>
    <w:rsid w:val="008D1C8D"/>
    <w:rsid w:val="008D3DA3"/>
    <w:rsid w:val="008D638C"/>
    <w:rsid w:val="008E01C7"/>
    <w:rsid w:val="008E06A0"/>
    <w:rsid w:val="008E1B9E"/>
    <w:rsid w:val="008E5A25"/>
    <w:rsid w:val="008E5A76"/>
    <w:rsid w:val="008E787C"/>
    <w:rsid w:val="008F0700"/>
    <w:rsid w:val="008F3535"/>
    <w:rsid w:val="008F4E3B"/>
    <w:rsid w:val="008F59EB"/>
    <w:rsid w:val="008F5EBD"/>
    <w:rsid w:val="0090309B"/>
    <w:rsid w:val="00906ACD"/>
    <w:rsid w:val="0091244A"/>
    <w:rsid w:val="009128DA"/>
    <w:rsid w:val="00914643"/>
    <w:rsid w:val="00916227"/>
    <w:rsid w:val="00921969"/>
    <w:rsid w:val="00923763"/>
    <w:rsid w:val="00934136"/>
    <w:rsid w:val="00935282"/>
    <w:rsid w:val="0094324A"/>
    <w:rsid w:val="009440A0"/>
    <w:rsid w:val="00945C45"/>
    <w:rsid w:val="00945EEB"/>
    <w:rsid w:val="0095090D"/>
    <w:rsid w:val="00950AA7"/>
    <w:rsid w:val="009532D3"/>
    <w:rsid w:val="009601B1"/>
    <w:rsid w:val="00966463"/>
    <w:rsid w:val="0097145F"/>
    <w:rsid w:val="00986C7D"/>
    <w:rsid w:val="0099527A"/>
    <w:rsid w:val="009A376A"/>
    <w:rsid w:val="009B0756"/>
    <w:rsid w:val="009B0EE0"/>
    <w:rsid w:val="009B243C"/>
    <w:rsid w:val="009B2D06"/>
    <w:rsid w:val="009B4A92"/>
    <w:rsid w:val="009B4E73"/>
    <w:rsid w:val="009B4E74"/>
    <w:rsid w:val="009B6A59"/>
    <w:rsid w:val="009C0B39"/>
    <w:rsid w:val="009C103E"/>
    <w:rsid w:val="009C27AE"/>
    <w:rsid w:val="009D11B4"/>
    <w:rsid w:val="009D6AC9"/>
    <w:rsid w:val="009E1269"/>
    <w:rsid w:val="009E6030"/>
    <w:rsid w:val="009E7B33"/>
    <w:rsid w:val="009F24A0"/>
    <w:rsid w:val="009F7EF1"/>
    <w:rsid w:val="00A01D84"/>
    <w:rsid w:val="00A021C6"/>
    <w:rsid w:val="00A04AD2"/>
    <w:rsid w:val="00A04D18"/>
    <w:rsid w:val="00A107B0"/>
    <w:rsid w:val="00A11412"/>
    <w:rsid w:val="00A12651"/>
    <w:rsid w:val="00A12A1B"/>
    <w:rsid w:val="00A17452"/>
    <w:rsid w:val="00A178AB"/>
    <w:rsid w:val="00A2044B"/>
    <w:rsid w:val="00A279C0"/>
    <w:rsid w:val="00A4002E"/>
    <w:rsid w:val="00A42825"/>
    <w:rsid w:val="00A439A3"/>
    <w:rsid w:val="00A4484F"/>
    <w:rsid w:val="00A4526A"/>
    <w:rsid w:val="00A45476"/>
    <w:rsid w:val="00A45FDA"/>
    <w:rsid w:val="00A461AD"/>
    <w:rsid w:val="00A54FD6"/>
    <w:rsid w:val="00A5648A"/>
    <w:rsid w:val="00A605F7"/>
    <w:rsid w:val="00A67D30"/>
    <w:rsid w:val="00A72540"/>
    <w:rsid w:val="00A72C3F"/>
    <w:rsid w:val="00A7477F"/>
    <w:rsid w:val="00A75CA9"/>
    <w:rsid w:val="00A76D03"/>
    <w:rsid w:val="00A80C5E"/>
    <w:rsid w:val="00A84761"/>
    <w:rsid w:val="00A906A6"/>
    <w:rsid w:val="00A95D15"/>
    <w:rsid w:val="00A96EDC"/>
    <w:rsid w:val="00AC029B"/>
    <w:rsid w:val="00AC1B9A"/>
    <w:rsid w:val="00AC3D53"/>
    <w:rsid w:val="00AC511F"/>
    <w:rsid w:val="00AC6460"/>
    <w:rsid w:val="00AD0AEA"/>
    <w:rsid w:val="00AD28F0"/>
    <w:rsid w:val="00AD5415"/>
    <w:rsid w:val="00AD6FF2"/>
    <w:rsid w:val="00AE1882"/>
    <w:rsid w:val="00AE5711"/>
    <w:rsid w:val="00AE6962"/>
    <w:rsid w:val="00AE7318"/>
    <w:rsid w:val="00AF4D9E"/>
    <w:rsid w:val="00AF7083"/>
    <w:rsid w:val="00B0056B"/>
    <w:rsid w:val="00B00D8A"/>
    <w:rsid w:val="00B0337A"/>
    <w:rsid w:val="00B10A16"/>
    <w:rsid w:val="00B14B87"/>
    <w:rsid w:val="00B229E0"/>
    <w:rsid w:val="00B253F9"/>
    <w:rsid w:val="00B26CC5"/>
    <w:rsid w:val="00B2724D"/>
    <w:rsid w:val="00B30C4D"/>
    <w:rsid w:val="00B31A67"/>
    <w:rsid w:val="00B32355"/>
    <w:rsid w:val="00B32ADD"/>
    <w:rsid w:val="00B37660"/>
    <w:rsid w:val="00B40483"/>
    <w:rsid w:val="00B4088C"/>
    <w:rsid w:val="00B44A0D"/>
    <w:rsid w:val="00B45347"/>
    <w:rsid w:val="00B46D6F"/>
    <w:rsid w:val="00B46D93"/>
    <w:rsid w:val="00B50781"/>
    <w:rsid w:val="00B5089C"/>
    <w:rsid w:val="00B51BAB"/>
    <w:rsid w:val="00B52956"/>
    <w:rsid w:val="00B5619F"/>
    <w:rsid w:val="00B63D80"/>
    <w:rsid w:val="00B73735"/>
    <w:rsid w:val="00B76938"/>
    <w:rsid w:val="00B777FB"/>
    <w:rsid w:val="00B80B51"/>
    <w:rsid w:val="00B81BD7"/>
    <w:rsid w:val="00B82378"/>
    <w:rsid w:val="00B9710D"/>
    <w:rsid w:val="00B97E4F"/>
    <w:rsid w:val="00BA3243"/>
    <w:rsid w:val="00BA36BE"/>
    <w:rsid w:val="00BA48A7"/>
    <w:rsid w:val="00BA53F6"/>
    <w:rsid w:val="00BB06C7"/>
    <w:rsid w:val="00BB5A62"/>
    <w:rsid w:val="00BB6C8A"/>
    <w:rsid w:val="00BC1F41"/>
    <w:rsid w:val="00BC73BE"/>
    <w:rsid w:val="00BD2486"/>
    <w:rsid w:val="00BD26FB"/>
    <w:rsid w:val="00BE1269"/>
    <w:rsid w:val="00BE1612"/>
    <w:rsid w:val="00BE18AB"/>
    <w:rsid w:val="00BE1AAE"/>
    <w:rsid w:val="00BE2266"/>
    <w:rsid w:val="00BE4987"/>
    <w:rsid w:val="00BE7C6E"/>
    <w:rsid w:val="00BF088B"/>
    <w:rsid w:val="00BF2159"/>
    <w:rsid w:val="00BF3CF6"/>
    <w:rsid w:val="00BF4932"/>
    <w:rsid w:val="00BF5786"/>
    <w:rsid w:val="00BF7590"/>
    <w:rsid w:val="00C0196F"/>
    <w:rsid w:val="00C044DF"/>
    <w:rsid w:val="00C06CB0"/>
    <w:rsid w:val="00C125CA"/>
    <w:rsid w:val="00C15157"/>
    <w:rsid w:val="00C1757F"/>
    <w:rsid w:val="00C260D1"/>
    <w:rsid w:val="00C260F3"/>
    <w:rsid w:val="00C26A54"/>
    <w:rsid w:val="00C30274"/>
    <w:rsid w:val="00C315CB"/>
    <w:rsid w:val="00C43003"/>
    <w:rsid w:val="00C442B0"/>
    <w:rsid w:val="00C462D4"/>
    <w:rsid w:val="00C46FC4"/>
    <w:rsid w:val="00C50A94"/>
    <w:rsid w:val="00C517DC"/>
    <w:rsid w:val="00C555F8"/>
    <w:rsid w:val="00C6388E"/>
    <w:rsid w:val="00C72A9B"/>
    <w:rsid w:val="00C76CD0"/>
    <w:rsid w:val="00C77BFB"/>
    <w:rsid w:val="00C86B2D"/>
    <w:rsid w:val="00C91344"/>
    <w:rsid w:val="00C917B8"/>
    <w:rsid w:val="00C935B8"/>
    <w:rsid w:val="00C9525D"/>
    <w:rsid w:val="00CA1A55"/>
    <w:rsid w:val="00CA2501"/>
    <w:rsid w:val="00CA78B7"/>
    <w:rsid w:val="00CB421D"/>
    <w:rsid w:val="00CB4333"/>
    <w:rsid w:val="00CC4734"/>
    <w:rsid w:val="00CC4A1B"/>
    <w:rsid w:val="00CD29A4"/>
    <w:rsid w:val="00CD4373"/>
    <w:rsid w:val="00CE1615"/>
    <w:rsid w:val="00CE58E9"/>
    <w:rsid w:val="00CE6F95"/>
    <w:rsid w:val="00CE774D"/>
    <w:rsid w:val="00CF12DA"/>
    <w:rsid w:val="00CF14A8"/>
    <w:rsid w:val="00CF4DF6"/>
    <w:rsid w:val="00CF6C4D"/>
    <w:rsid w:val="00D0395A"/>
    <w:rsid w:val="00D26728"/>
    <w:rsid w:val="00D426F7"/>
    <w:rsid w:val="00D42866"/>
    <w:rsid w:val="00D45C41"/>
    <w:rsid w:val="00D46C94"/>
    <w:rsid w:val="00D47746"/>
    <w:rsid w:val="00D52C26"/>
    <w:rsid w:val="00D66DBF"/>
    <w:rsid w:val="00D70EA2"/>
    <w:rsid w:val="00D71D0B"/>
    <w:rsid w:val="00D74ADC"/>
    <w:rsid w:val="00D75CE9"/>
    <w:rsid w:val="00D847DA"/>
    <w:rsid w:val="00D84EF1"/>
    <w:rsid w:val="00D85B20"/>
    <w:rsid w:val="00D85EB6"/>
    <w:rsid w:val="00D908BE"/>
    <w:rsid w:val="00DA1507"/>
    <w:rsid w:val="00DA26CD"/>
    <w:rsid w:val="00DA7456"/>
    <w:rsid w:val="00DB1290"/>
    <w:rsid w:val="00DB139C"/>
    <w:rsid w:val="00DB1FEC"/>
    <w:rsid w:val="00DB3415"/>
    <w:rsid w:val="00DB56FA"/>
    <w:rsid w:val="00DC2400"/>
    <w:rsid w:val="00DC3010"/>
    <w:rsid w:val="00DC3721"/>
    <w:rsid w:val="00DC4AB8"/>
    <w:rsid w:val="00DD1688"/>
    <w:rsid w:val="00DD1E4B"/>
    <w:rsid w:val="00DD22C2"/>
    <w:rsid w:val="00DD2AAF"/>
    <w:rsid w:val="00DD4C11"/>
    <w:rsid w:val="00DD6133"/>
    <w:rsid w:val="00DD7A88"/>
    <w:rsid w:val="00DE0D51"/>
    <w:rsid w:val="00DE1A69"/>
    <w:rsid w:val="00DE25EB"/>
    <w:rsid w:val="00DE2AD1"/>
    <w:rsid w:val="00DE3B3A"/>
    <w:rsid w:val="00DF3367"/>
    <w:rsid w:val="00DF3D64"/>
    <w:rsid w:val="00DF54BD"/>
    <w:rsid w:val="00DF6E19"/>
    <w:rsid w:val="00DF7098"/>
    <w:rsid w:val="00E008C8"/>
    <w:rsid w:val="00E07976"/>
    <w:rsid w:val="00E11B34"/>
    <w:rsid w:val="00E209AA"/>
    <w:rsid w:val="00E21C7A"/>
    <w:rsid w:val="00E30308"/>
    <w:rsid w:val="00E303A2"/>
    <w:rsid w:val="00E3141C"/>
    <w:rsid w:val="00E354EA"/>
    <w:rsid w:val="00E3586E"/>
    <w:rsid w:val="00E415CA"/>
    <w:rsid w:val="00E4564F"/>
    <w:rsid w:val="00E55FC6"/>
    <w:rsid w:val="00E602B2"/>
    <w:rsid w:val="00E60EBF"/>
    <w:rsid w:val="00E61954"/>
    <w:rsid w:val="00E6369E"/>
    <w:rsid w:val="00E71360"/>
    <w:rsid w:val="00E743B7"/>
    <w:rsid w:val="00E773FC"/>
    <w:rsid w:val="00E85C71"/>
    <w:rsid w:val="00E87F17"/>
    <w:rsid w:val="00E9670D"/>
    <w:rsid w:val="00EA70E1"/>
    <w:rsid w:val="00EB3444"/>
    <w:rsid w:val="00EB3499"/>
    <w:rsid w:val="00EB3A22"/>
    <w:rsid w:val="00EB3E3D"/>
    <w:rsid w:val="00EC0DCA"/>
    <w:rsid w:val="00EC5804"/>
    <w:rsid w:val="00ED0285"/>
    <w:rsid w:val="00ED2364"/>
    <w:rsid w:val="00ED3FCF"/>
    <w:rsid w:val="00ED71EF"/>
    <w:rsid w:val="00EE00FC"/>
    <w:rsid w:val="00EE0702"/>
    <w:rsid w:val="00EE0CB7"/>
    <w:rsid w:val="00EE14C5"/>
    <w:rsid w:val="00EE272C"/>
    <w:rsid w:val="00EF1A9B"/>
    <w:rsid w:val="00EF2E88"/>
    <w:rsid w:val="00EF4C49"/>
    <w:rsid w:val="00EF7927"/>
    <w:rsid w:val="00F01478"/>
    <w:rsid w:val="00F05BCD"/>
    <w:rsid w:val="00F21AE4"/>
    <w:rsid w:val="00F22F47"/>
    <w:rsid w:val="00F24028"/>
    <w:rsid w:val="00F27108"/>
    <w:rsid w:val="00F27173"/>
    <w:rsid w:val="00F32164"/>
    <w:rsid w:val="00F336F7"/>
    <w:rsid w:val="00F35187"/>
    <w:rsid w:val="00F35B32"/>
    <w:rsid w:val="00F375CD"/>
    <w:rsid w:val="00F4020A"/>
    <w:rsid w:val="00F45465"/>
    <w:rsid w:val="00F5071A"/>
    <w:rsid w:val="00F53A72"/>
    <w:rsid w:val="00F60398"/>
    <w:rsid w:val="00F6282B"/>
    <w:rsid w:val="00F646AA"/>
    <w:rsid w:val="00F716C1"/>
    <w:rsid w:val="00F72F3A"/>
    <w:rsid w:val="00F76E63"/>
    <w:rsid w:val="00F7713B"/>
    <w:rsid w:val="00F77D95"/>
    <w:rsid w:val="00F82803"/>
    <w:rsid w:val="00F8377A"/>
    <w:rsid w:val="00F86650"/>
    <w:rsid w:val="00F8677D"/>
    <w:rsid w:val="00F915DE"/>
    <w:rsid w:val="00F94249"/>
    <w:rsid w:val="00F95B0F"/>
    <w:rsid w:val="00F9776B"/>
    <w:rsid w:val="00FA0E66"/>
    <w:rsid w:val="00FA3F01"/>
    <w:rsid w:val="00FA608F"/>
    <w:rsid w:val="00FB0176"/>
    <w:rsid w:val="00FB2338"/>
    <w:rsid w:val="00FB3F61"/>
    <w:rsid w:val="00FB6C9E"/>
    <w:rsid w:val="00FC0842"/>
    <w:rsid w:val="00FC4E12"/>
    <w:rsid w:val="00FC73AB"/>
    <w:rsid w:val="00FC7E1F"/>
    <w:rsid w:val="00FD7FF0"/>
    <w:rsid w:val="00FE2DB1"/>
    <w:rsid w:val="00FE2FA8"/>
    <w:rsid w:val="00FE3587"/>
    <w:rsid w:val="00FE4CC8"/>
    <w:rsid w:val="00FE61EA"/>
    <w:rsid w:val="00FF4BB3"/>
    <w:rsid w:val="00FF4E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9BC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A06"/>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C6A06"/>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A06"/>
    <w:rPr>
      <w:rFonts w:eastAsiaTheme="majorEastAsia" w:cstheme="majorBidi"/>
      <w:b/>
      <w:szCs w:val="32"/>
    </w:rPr>
  </w:style>
  <w:style w:type="character" w:customStyle="1" w:styleId="Heading2Char">
    <w:name w:val="Heading 2 Char"/>
    <w:basedOn w:val="DefaultParagraphFont"/>
    <w:link w:val="Heading2"/>
    <w:uiPriority w:val="9"/>
    <w:rsid w:val="002C6A06"/>
    <w:rPr>
      <w:rFonts w:eastAsiaTheme="majorEastAsia" w:cstheme="majorBidi"/>
      <w:b/>
      <w:szCs w:val="26"/>
    </w:rPr>
  </w:style>
  <w:style w:type="paragraph" w:styleId="Header">
    <w:name w:val="header"/>
    <w:basedOn w:val="Normal"/>
    <w:link w:val="HeaderChar"/>
    <w:uiPriority w:val="99"/>
    <w:unhideWhenUsed/>
    <w:rsid w:val="00B81BD7"/>
    <w:pPr>
      <w:tabs>
        <w:tab w:val="center" w:pos="4513"/>
        <w:tab w:val="right" w:pos="9026"/>
      </w:tabs>
    </w:pPr>
  </w:style>
  <w:style w:type="character" w:customStyle="1" w:styleId="HeaderChar">
    <w:name w:val="Header Char"/>
    <w:basedOn w:val="DefaultParagraphFont"/>
    <w:link w:val="Header"/>
    <w:uiPriority w:val="99"/>
    <w:rsid w:val="00B81BD7"/>
  </w:style>
  <w:style w:type="paragraph" w:styleId="Footer">
    <w:name w:val="footer"/>
    <w:basedOn w:val="Normal"/>
    <w:link w:val="FooterChar"/>
    <w:uiPriority w:val="99"/>
    <w:unhideWhenUsed/>
    <w:rsid w:val="00B81BD7"/>
    <w:pPr>
      <w:tabs>
        <w:tab w:val="center" w:pos="4513"/>
        <w:tab w:val="right" w:pos="9026"/>
      </w:tabs>
    </w:pPr>
  </w:style>
  <w:style w:type="character" w:customStyle="1" w:styleId="FooterChar">
    <w:name w:val="Footer Char"/>
    <w:basedOn w:val="DefaultParagraphFont"/>
    <w:link w:val="Footer"/>
    <w:uiPriority w:val="99"/>
    <w:rsid w:val="00B81BD7"/>
  </w:style>
  <w:style w:type="character" w:styleId="Hyperlink">
    <w:name w:val="Hyperlink"/>
    <w:basedOn w:val="DefaultParagraphFont"/>
    <w:uiPriority w:val="99"/>
    <w:unhideWhenUsed/>
    <w:rsid w:val="00F4020A"/>
    <w:rPr>
      <w:color w:val="0563C1" w:themeColor="hyperlink"/>
      <w:u w:val="single"/>
    </w:rPr>
  </w:style>
  <w:style w:type="character" w:styleId="UnresolvedMention">
    <w:name w:val="Unresolved Mention"/>
    <w:basedOn w:val="DefaultParagraphFont"/>
    <w:uiPriority w:val="99"/>
    <w:semiHidden/>
    <w:unhideWhenUsed/>
    <w:rsid w:val="00F4020A"/>
    <w:rPr>
      <w:color w:val="605E5C"/>
      <w:shd w:val="clear" w:color="auto" w:fill="E1DFDD"/>
    </w:rPr>
  </w:style>
  <w:style w:type="paragraph" w:styleId="ListParagraph">
    <w:name w:val="List Paragraph"/>
    <w:basedOn w:val="Normal"/>
    <w:uiPriority w:val="34"/>
    <w:qFormat/>
    <w:rsid w:val="00EE272C"/>
    <w:pPr>
      <w:ind w:left="720"/>
      <w:contextualSpacing/>
    </w:pPr>
  </w:style>
  <w:style w:type="paragraph" w:styleId="TOCHeading">
    <w:name w:val="TOC Heading"/>
    <w:basedOn w:val="Heading1"/>
    <w:next w:val="Normal"/>
    <w:uiPriority w:val="39"/>
    <w:unhideWhenUsed/>
    <w:qFormat/>
    <w:rsid w:val="00FA608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A608F"/>
    <w:pPr>
      <w:spacing w:after="100"/>
    </w:pPr>
  </w:style>
  <w:style w:type="paragraph" w:styleId="TOC2">
    <w:name w:val="toc 2"/>
    <w:basedOn w:val="Normal"/>
    <w:next w:val="Normal"/>
    <w:autoRedefine/>
    <w:uiPriority w:val="39"/>
    <w:unhideWhenUsed/>
    <w:rsid w:val="00FA608F"/>
    <w:pPr>
      <w:spacing w:after="100"/>
      <w:ind w:left="240"/>
    </w:pPr>
  </w:style>
  <w:style w:type="table" w:styleId="TableGrid">
    <w:name w:val="Table Grid"/>
    <w:basedOn w:val="TableNormal"/>
    <w:uiPriority w:val="39"/>
    <w:rsid w:val="00B10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1C18C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10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FF919F-DD3C-41A3-A6BC-6F02B0B9DC64}" type="doc">
      <dgm:prSet loTypeId="urn:microsoft.com/office/officeart/2005/8/layout/list1" loCatId="list" qsTypeId="urn:microsoft.com/office/officeart/2005/8/quickstyle/simple1" qsCatId="simple" csTypeId="urn:microsoft.com/office/officeart/2005/8/colors/accent2_2" csCatId="accent2" phldr="1"/>
      <dgm:spPr/>
      <dgm:t>
        <a:bodyPr/>
        <a:lstStyle/>
        <a:p>
          <a:endParaRPr lang="en-US"/>
        </a:p>
      </dgm:t>
    </dgm:pt>
    <dgm:pt modelId="{D984E028-3144-4774-B8C9-A3B69F6ED56D}">
      <dgm:prSet phldrT="[Text]" custT="1"/>
      <dgm:spPr/>
      <dgm:t>
        <a:bodyPr/>
        <a:lstStyle/>
        <a:p>
          <a:r>
            <a:rPr lang="en-US" sz="1400" b="1"/>
            <a:t>Strengths</a:t>
          </a:r>
          <a:endParaRPr lang="en-US" sz="800" b="1"/>
        </a:p>
      </dgm:t>
    </dgm:pt>
    <dgm:pt modelId="{564B4014-AAD9-4D0C-9E5A-49F75B85E44B}" type="parTrans" cxnId="{C68EEC3F-0757-45BC-A54F-A4B88DF561C7}">
      <dgm:prSet/>
      <dgm:spPr/>
      <dgm:t>
        <a:bodyPr/>
        <a:lstStyle/>
        <a:p>
          <a:endParaRPr lang="en-US"/>
        </a:p>
      </dgm:t>
    </dgm:pt>
    <dgm:pt modelId="{1460162D-0DEC-466F-A2CC-0B2329AF1690}" type="sibTrans" cxnId="{C68EEC3F-0757-45BC-A54F-A4B88DF561C7}">
      <dgm:prSet/>
      <dgm:spPr/>
      <dgm:t>
        <a:bodyPr/>
        <a:lstStyle/>
        <a:p>
          <a:endParaRPr lang="en-US"/>
        </a:p>
      </dgm:t>
    </dgm:pt>
    <dgm:pt modelId="{E0FD4D10-2A28-409D-9A5E-8F77E8AB8C0E}">
      <dgm:prSet phldrT="[Text]" custT="1"/>
      <dgm:spPr/>
      <dgm:t>
        <a:bodyPr/>
        <a:lstStyle/>
        <a:p>
          <a:r>
            <a:rPr lang="en-US" sz="1400" b="1"/>
            <a:t>Weaknesses</a:t>
          </a:r>
          <a:endParaRPr lang="en-US" sz="800" b="1"/>
        </a:p>
      </dgm:t>
    </dgm:pt>
    <dgm:pt modelId="{DF92C3A3-7F0F-454F-A566-8CE5D23E9B30}" type="parTrans" cxnId="{91F3B40C-B70A-4A82-962E-DD9385A2E78E}">
      <dgm:prSet/>
      <dgm:spPr/>
      <dgm:t>
        <a:bodyPr/>
        <a:lstStyle/>
        <a:p>
          <a:endParaRPr lang="en-US"/>
        </a:p>
      </dgm:t>
    </dgm:pt>
    <dgm:pt modelId="{36DEA841-1CCB-488D-AD31-A3CB88716A75}" type="sibTrans" cxnId="{91F3B40C-B70A-4A82-962E-DD9385A2E78E}">
      <dgm:prSet/>
      <dgm:spPr/>
      <dgm:t>
        <a:bodyPr/>
        <a:lstStyle/>
        <a:p>
          <a:endParaRPr lang="en-US"/>
        </a:p>
      </dgm:t>
    </dgm:pt>
    <dgm:pt modelId="{762CDDE3-85F0-4E7B-A398-2031D2FC0868}">
      <dgm:prSet phldrT="[Text]" custT="1"/>
      <dgm:spPr/>
      <dgm:t>
        <a:bodyPr/>
        <a:lstStyle/>
        <a:p>
          <a:r>
            <a:rPr lang="en-US" sz="1000"/>
            <a:t> </a:t>
          </a:r>
        </a:p>
      </dgm:t>
    </dgm:pt>
    <dgm:pt modelId="{99DB8A5A-AF0E-4B69-8E3B-28E1BADEB5A9}" type="parTrans" cxnId="{92F582F5-BCFA-4393-BBE0-69FC5CB121B8}">
      <dgm:prSet/>
      <dgm:spPr/>
      <dgm:t>
        <a:bodyPr/>
        <a:lstStyle/>
        <a:p>
          <a:endParaRPr lang="en-US"/>
        </a:p>
      </dgm:t>
    </dgm:pt>
    <dgm:pt modelId="{A987996E-73F7-4047-9EB3-F67558C89931}" type="sibTrans" cxnId="{92F582F5-BCFA-4393-BBE0-69FC5CB121B8}">
      <dgm:prSet/>
      <dgm:spPr/>
      <dgm:t>
        <a:bodyPr/>
        <a:lstStyle/>
        <a:p>
          <a:endParaRPr lang="en-US"/>
        </a:p>
      </dgm:t>
    </dgm:pt>
    <dgm:pt modelId="{499AA71B-ED81-4297-8B0C-1AB27D39E7DD}">
      <dgm:prSet phldrT="[Text]" custT="1"/>
      <dgm:spPr/>
      <dgm:t>
        <a:bodyPr/>
        <a:lstStyle/>
        <a:p>
          <a:r>
            <a:rPr lang="en-US" sz="1000"/>
            <a:t>The company needed inestment in new technologies as a way of fostering the achievement of its long-term goals. </a:t>
          </a:r>
        </a:p>
      </dgm:t>
    </dgm:pt>
    <dgm:pt modelId="{86A457E2-58DC-42E7-A0F0-643A11E04B42}" type="parTrans" cxnId="{0317383B-AC7C-4047-9447-2DDCFA46D3C3}">
      <dgm:prSet/>
      <dgm:spPr/>
      <dgm:t>
        <a:bodyPr/>
        <a:lstStyle/>
        <a:p>
          <a:endParaRPr lang="en-US"/>
        </a:p>
      </dgm:t>
    </dgm:pt>
    <dgm:pt modelId="{69457255-511C-4B03-8BCE-C9D0CEC3B017}" type="sibTrans" cxnId="{0317383B-AC7C-4047-9447-2DDCFA46D3C3}">
      <dgm:prSet/>
      <dgm:spPr/>
      <dgm:t>
        <a:bodyPr/>
        <a:lstStyle/>
        <a:p>
          <a:endParaRPr lang="en-US"/>
        </a:p>
      </dgm:t>
    </dgm:pt>
    <dgm:pt modelId="{EA291BDA-8E3F-4175-BCC6-FE404C7B9844}">
      <dgm:prSet phldrT="[Text]" custT="1"/>
      <dgm:spPr/>
      <dgm:t>
        <a:bodyPr/>
        <a:lstStyle/>
        <a:p>
          <a:r>
            <a:rPr lang="en-US" sz="1400" b="1"/>
            <a:t>Threats</a:t>
          </a:r>
          <a:r>
            <a:rPr lang="en-US" sz="800"/>
            <a:t> </a:t>
          </a:r>
        </a:p>
      </dgm:t>
    </dgm:pt>
    <dgm:pt modelId="{4970DF9D-890C-44F8-A18F-F230C0ED029B}" type="parTrans" cxnId="{38DE3198-62F5-4BE3-90B8-EA42BEDCCFCD}">
      <dgm:prSet/>
      <dgm:spPr/>
      <dgm:t>
        <a:bodyPr/>
        <a:lstStyle/>
        <a:p>
          <a:endParaRPr lang="en-US"/>
        </a:p>
      </dgm:t>
    </dgm:pt>
    <dgm:pt modelId="{C8DF6B43-519E-4273-8D31-11A3C269F96F}" type="sibTrans" cxnId="{38DE3198-62F5-4BE3-90B8-EA42BEDCCFCD}">
      <dgm:prSet/>
      <dgm:spPr/>
      <dgm:t>
        <a:bodyPr/>
        <a:lstStyle/>
        <a:p>
          <a:endParaRPr lang="en-US"/>
        </a:p>
      </dgm:t>
    </dgm:pt>
    <dgm:pt modelId="{C62521D0-CB53-4806-B181-F2C22036A287}">
      <dgm:prSet phldrT="[Text]" custT="1"/>
      <dgm:spPr/>
      <dgm:t>
        <a:bodyPr/>
        <a:lstStyle/>
        <a:p>
          <a:r>
            <a:rPr lang="en-US" sz="1000"/>
            <a:t>M&amp;S faced excessive competition in the industry.</a:t>
          </a:r>
        </a:p>
      </dgm:t>
    </dgm:pt>
    <dgm:pt modelId="{DCF3D2C2-DB77-4E29-92CA-FCD524578588}" type="parTrans" cxnId="{2E51C1F9-A93E-4AAD-B05E-26A04041E76B}">
      <dgm:prSet/>
      <dgm:spPr/>
      <dgm:t>
        <a:bodyPr/>
        <a:lstStyle/>
        <a:p>
          <a:endParaRPr lang="en-US"/>
        </a:p>
      </dgm:t>
    </dgm:pt>
    <dgm:pt modelId="{3B011080-9635-485B-B7A0-1D2C816BC01D}" type="sibTrans" cxnId="{2E51C1F9-A93E-4AAD-B05E-26A04041E76B}">
      <dgm:prSet/>
      <dgm:spPr/>
      <dgm:t>
        <a:bodyPr/>
        <a:lstStyle/>
        <a:p>
          <a:endParaRPr lang="en-US"/>
        </a:p>
      </dgm:t>
    </dgm:pt>
    <dgm:pt modelId="{3C654D72-A4DD-4F6B-90FD-9911412FC21D}">
      <dgm:prSet phldrT="[Text]" custT="1"/>
      <dgm:spPr/>
      <dgm:t>
        <a:bodyPr/>
        <a:lstStyle/>
        <a:p>
          <a:r>
            <a:rPr lang="en-US" sz="1000"/>
            <a:t> The company had a positie track record of succesfuly developing new roducts, a factor that provides extensie product lines sold at Ocado Retail. </a:t>
          </a:r>
        </a:p>
      </dgm:t>
    </dgm:pt>
    <dgm:pt modelId="{F07567FF-D866-4782-9235-4C17E6B57DC0}" type="parTrans" cxnId="{1F3058DE-1E8C-40E8-BD60-D7EF1C9B64BC}">
      <dgm:prSet/>
      <dgm:spPr/>
      <dgm:t>
        <a:bodyPr/>
        <a:lstStyle/>
        <a:p>
          <a:endParaRPr lang="en-US"/>
        </a:p>
      </dgm:t>
    </dgm:pt>
    <dgm:pt modelId="{3A696F3F-E339-40B4-93EF-ECA1781D6FD2}" type="sibTrans" cxnId="{1F3058DE-1E8C-40E8-BD60-D7EF1C9B64BC}">
      <dgm:prSet/>
      <dgm:spPr/>
      <dgm:t>
        <a:bodyPr/>
        <a:lstStyle/>
        <a:p>
          <a:endParaRPr lang="en-US"/>
        </a:p>
      </dgm:t>
    </dgm:pt>
    <dgm:pt modelId="{8F1B8A9B-57F7-4D3E-BA0F-D8BAF6C9DA28}">
      <dgm:prSet phldrT="[Text]" custT="1"/>
      <dgm:spPr/>
      <dgm:t>
        <a:bodyPr/>
        <a:lstStyle/>
        <a:p>
          <a:r>
            <a:rPr lang="en-US" sz="1000"/>
            <a:t>Marks and Spencer had a remarkabe history of succesful mergers and acquisitions that have proven succesful. For example, the company had iegrated other technology companies in previous years to expand its capabilities. </a:t>
          </a:r>
        </a:p>
      </dgm:t>
    </dgm:pt>
    <dgm:pt modelId="{4E2700CF-7724-4F9C-ADD0-3C9DD29A9155}" type="parTrans" cxnId="{4CDDC65E-56CE-4B45-9AF2-C60139D235A2}">
      <dgm:prSet/>
      <dgm:spPr/>
      <dgm:t>
        <a:bodyPr/>
        <a:lstStyle/>
        <a:p>
          <a:endParaRPr lang="en-US"/>
        </a:p>
      </dgm:t>
    </dgm:pt>
    <dgm:pt modelId="{3E22C4EC-67A1-4958-9533-75521AC1E180}" type="sibTrans" cxnId="{4CDDC65E-56CE-4B45-9AF2-C60139D235A2}">
      <dgm:prSet/>
      <dgm:spPr/>
      <dgm:t>
        <a:bodyPr/>
        <a:lstStyle/>
        <a:p>
          <a:endParaRPr lang="en-US"/>
        </a:p>
      </dgm:t>
    </dgm:pt>
    <dgm:pt modelId="{69989573-5409-4271-8463-19DE4245BF46}">
      <dgm:prSet phldrT="[Text]" custT="1"/>
      <dgm:spPr/>
      <dgm:t>
        <a:bodyPr/>
        <a:lstStyle/>
        <a:p>
          <a:r>
            <a:rPr lang="en-US" sz="1000"/>
            <a:t>The company's strong brand portforlio and large customer base sered as a remarkable aspect in the success of Ocado Retail. </a:t>
          </a:r>
        </a:p>
      </dgm:t>
    </dgm:pt>
    <dgm:pt modelId="{E1443238-3D45-49AA-A708-27ED93C8A67C}" type="parTrans" cxnId="{2EBB3CE6-04F5-4078-B4D1-48E999A0DD72}">
      <dgm:prSet/>
      <dgm:spPr/>
      <dgm:t>
        <a:bodyPr/>
        <a:lstStyle/>
        <a:p>
          <a:endParaRPr lang="en-US"/>
        </a:p>
      </dgm:t>
    </dgm:pt>
    <dgm:pt modelId="{144DE9D2-3422-4253-B2AF-DD0D2B9BD758}" type="sibTrans" cxnId="{2EBB3CE6-04F5-4078-B4D1-48E999A0DD72}">
      <dgm:prSet/>
      <dgm:spPr/>
      <dgm:t>
        <a:bodyPr/>
        <a:lstStyle/>
        <a:p>
          <a:endParaRPr lang="en-US"/>
        </a:p>
      </dgm:t>
    </dgm:pt>
    <dgm:pt modelId="{2809F063-E12E-425C-B0B2-1010F02AAD10}">
      <dgm:prSet phldrT="[Text]" custT="1"/>
      <dgm:spPr/>
      <dgm:t>
        <a:bodyPr/>
        <a:lstStyle/>
        <a:p>
          <a:r>
            <a:rPr lang="en-US" sz="1000"/>
            <a:t>The company's adoption of automation gave it a platform of experience that led to a better control of operations at Ocado Retail. </a:t>
          </a:r>
        </a:p>
      </dgm:t>
    </dgm:pt>
    <dgm:pt modelId="{8E622706-2C4A-470D-B993-381F28D7FEEB}" type="parTrans" cxnId="{775CB96B-3C9C-4165-AD72-6C610E5350E0}">
      <dgm:prSet/>
      <dgm:spPr/>
      <dgm:t>
        <a:bodyPr/>
        <a:lstStyle/>
        <a:p>
          <a:endParaRPr lang="en-US"/>
        </a:p>
      </dgm:t>
    </dgm:pt>
    <dgm:pt modelId="{0A0EF1AE-A72D-4CBB-8F03-E0ED919FFA76}" type="sibTrans" cxnId="{775CB96B-3C9C-4165-AD72-6C610E5350E0}">
      <dgm:prSet/>
      <dgm:spPr/>
      <dgm:t>
        <a:bodyPr/>
        <a:lstStyle/>
        <a:p>
          <a:endParaRPr lang="en-US"/>
        </a:p>
      </dgm:t>
    </dgm:pt>
    <dgm:pt modelId="{C4337DEE-DC97-473C-8DEC-3134A06B75EF}">
      <dgm:prSet phldrT="[Text]" custT="1"/>
      <dgm:spPr/>
      <dgm:t>
        <a:bodyPr/>
        <a:lstStyle/>
        <a:p>
          <a:r>
            <a:rPr lang="en-US" sz="1000"/>
            <a:t>The company had a history of achieving good returns after investing its capital in different projects. Such history helped in convincing the reluctan stakeholders regarding the need for the acquisition. </a:t>
          </a:r>
        </a:p>
      </dgm:t>
    </dgm:pt>
    <dgm:pt modelId="{39C2441D-4566-46FE-80C0-2926134B8F4F}" type="parTrans" cxnId="{4AA07E2A-9FB4-4994-92B3-ECCDA108EF07}">
      <dgm:prSet/>
      <dgm:spPr/>
      <dgm:t>
        <a:bodyPr/>
        <a:lstStyle/>
        <a:p>
          <a:endParaRPr lang="en-US"/>
        </a:p>
      </dgm:t>
    </dgm:pt>
    <dgm:pt modelId="{CE2B906D-5191-4AB6-9AFF-30B4DF4E26D7}" type="sibTrans" cxnId="{4AA07E2A-9FB4-4994-92B3-ECCDA108EF07}">
      <dgm:prSet/>
      <dgm:spPr/>
      <dgm:t>
        <a:bodyPr/>
        <a:lstStyle/>
        <a:p>
          <a:endParaRPr lang="en-US"/>
        </a:p>
      </dgm:t>
    </dgm:pt>
    <dgm:pt modelId="{523A67DD-EE64-450D-8C64-10BF7B1063BD}">
      <dgm:prSet phldrT="[Text]" custT="1"/>
      <dgm:spPr/>
      <dgm:t>
        <a:bodyPr/>
        <a:lstStyle/>
        <a:p>
          <a:endParaRPr lang="en-US" sz="1000"/>
        </a:p>
      </dgm:t>
    </dgm:pt>
    <dgm:pt modelId="{98B24535-F72D-48BC-8326-AD84EDCAAF05}" type="parTrans" cxnId="{6552749F-B4BA-408B-898E-A58C09E2DD65}">
      <dgm:prSet/>
      <dgm:spPr/>
      <dgm:t>
        <a:bodyPr/>
        <a:lstStyle/>
        <a:p>
          <a:endParaRPr lang="en-US"/>
        </a:p>
      </dgm:t>
    </dgm:pt>
    <dgm:pt modelId="{362EF161-54E6-4CCB-A93A-3821A7E82343}" type="sibTrans" cxnId="{6552749F-B4BA-408B-898E-A58C09E2DD65}">
      <dgm:prSet/>
      <dgm:spPr/>
      <dgm:t>
        <a:bodyPr/>
        <a:lstStyle/>
        <a:p>
          <a:endParaRPr lang="en-US"/>
        </a:p>
      </dgm:t>
    </dgm:pt>
    <dgm:pt modelId="{05B85D0F-A6CE-4498-82FF-4BE33F2B1ADC}">
      <dgm:prSet phldrT="[Text]" custT="1"/>
      <dgm:spPr/>
      <dgm:t>
        <a:bodyPr/>
        <a:lstStyle/>
        <a:p>
          <a:r>
            <a:rPr lang="en-US" sz="1000"/>
            <a:t> M&amp;S lacked significance success in integrating with companies that have a different culture.</a:t>
          </a:r>
        </a:p>
      </dgm:t>
    </dgm:pt>
    <dgm:pt modelId="{423A8BB7-B749-48F6-9C2F-2F165C0D30FF}" type="parTrans" cxnId="{AA339C91-ACFD-4AEE-91AD-3C2D1C369C71}">
      <dgm:prSet/>
      <dgm:spPr/>
      <dgm:t>
        <a:bodyPr/>
        <a:lstStyle/>
        <a:p>
          <a:endParaRPr lang="en-US"/>
        </a:p>
      </dgm:t>
    </dgm:pt>
    <dgm:pt modelId="{4B80D29E-832C-4B24-B06A-3CFB1F81DBC2}" type="sibTrans" cxnId="{AA339C91-ACFD-4AEE-91AD-3C2D1C369C71}">
      <dgm:prSet/>
      <dgm:spPr/>
      <dgm:t>
        <a:bodyPr/>
        <a:lstStyle/>
        <a:p>
          <a:endParaRPr lang="en-US"/>
        </a:p>
      </dgm:t>
    </dgm:pt>
    <dgm:pt modelId="{95E29054-DAAA-4958-B91D-4C0194301F14}">
      <dgm:prSet phldrT="[Text]" custT="1"/>
      <dgm:spPr/>
      <dgm:t>
        <a:bodyPr/>
        <a:lstStyle/>
        <a:p>
          <a:r>
            <a:rPr lang="en-US" sz="1000"/>
            <a:t> For a merger to meet the "One Business" concept, the interation of cultures is key. </a:t>
          </a:r>
        </a:p>
      </dgm:t>
    </dgm:pt>
    <dgm:pt modelId="{FE7BC435-EC2C-4D31-8520-8C1F752BBE6F}" type="parTrans" cxnId="{88C842D5-C1E3-4F7A-9CB8-AB74F26B78CB}">
      <dgm:prSet/>
      <dgm:spPr/>
      <dgm:t>
        <a:bodyPr/>
        <a:lstStyle/>
        <a:p>
          <a:endParaRPr lang="en-US"/>
        </a:p>
      </dgm:t>
    </dgm:pt>
    <dgm:pt modelId="{29A3EDE0-15D1-4672-9A96-2E816C79D8CA}" type="sibTrans" cxnId="{88C842D5-C1E3-4F7A-9CB8-AB74F26B78CB}">
      <dgm:prSet/>
      <dgm:spPr/>
      <dgm:t>
        <a:bodyPr/>
        <a:lstStyle/>
        <a:p>
          <a:endParaRPr lang="en-US"/>
        </a:p>
      </dgm:t>
    </dgm:pt>
    <dgm:pt modelId="{51FDCE73-494C-430D-99A4-219A372E760C}">
      <dgm:prSet phldrT="[Text]" custT="1"/>
      <dgm:spPr/>
      <dgm:t>
        <a:bodyPr/>
        <a:lstStyle/>
        <a:p>
          <a:r>
            <a:rPr lang="en-US" sz="1000"/>
            <a:t> The lack of proper fianncial planning has been a major setback at M&amp;S.</a:t>
          </a:r>
        </a:p>
      </dgm:t>
    </dgm:pt>
    <dgm:pt modelId="{928916D9-602F-44F2-9875-BF7751A3B462}" type="parTrans" cxnId="{119025F7-FF37-4AD6-B893-C609AA4BFD8D}">
      <dgm:prSet/>
      <dgm:spPr/>
      <dgm:t>
        <a:bodyPr/>
        <a:lstStyle/>
        <a:p>
          <a:endParaRPr lang="en-US"/>
        </a:p>
      </dgm:t>
    </dgm:pt>
    <dgm:pt modelId="{87BCCFE3-CB24-42FC-9DDA-882A61EABDD9}" type="sibTrans" cxnId="{119025F7-FF37-4AD6-B893-C609AA4BFD8D}">
      <dgm:prSet/>
      <dgm:spPr/>
      <dgm:t>
        <a:bodyPr/>
        <a:lstStyle/>
        <a:p>
          <a:endParaRPr lang="en-US"/>
        </a:p>
      </dgm:t>
    </dgm:pt>
    <dgm:pt modelId="{21EDFC7C-7D07-4003-98AD-B6DC96887E54}">
      <dgm:prSet phldrT="[Text]" custT="1"/>
      <dgm:spPr/>
      <dgm:t>
        <a:bodyPr/>
        <a:lstStyle/>
        <a:p>
          <a:endParaRPr lang="en-US" sz="1000"/>
        </a:p>
      </dgm:t>
    </dgm:pt>
    <dgm:pt modelId="{F38EBCF3-9905-42C4-ABE7-523A62C34121}" type="parTrans" cxnId="{B5AAABEB-99A0-42B1-B7CA-4C1B3FA49413}">
      <dgm:prSet/>
      <dgm:spPr/>
      <dgm:t>
        <a:bodyPr/>
        <a:lstStyle/>
        <a:p>
          <a:endParaRPr lang="en-US"/>
        </a:p>
      </dgm:t>
    </dgm:pt>
    <dgm:pt modelId="{E5D35F74-A300-4B72-83EE-E1FF197ECA39}" type="sibTrans" cxnId="{B5AAABEB-99A0-42B1-B7CA-4C1B3FA49413}">
      <dgm:prSet/>
      <dgm:spPr/>
      <dgm:t>
        <a:bodyPr/>
        <a:lstStyle/>
        <a:p>
          <a:endParaRPr lang="en-US"/>
        </a:p>
      </dgm:t>
    </dgm:pt>
    <dgm:pt modelId="{F4E71943-A0B2-4469-812F-EF2A2978B73C}">
      <dgm:prSet phldrT="[Text]" custT="1"/>
      <dgm:spPr/>
      <dgm:t>
        <a:bodyPr/>
        <a:lstStyle/>
        <a:p>
          <a:r>
            <a:rPr lang="en-US" sz="1000"/>
            <a:t> The lack of adequate marketing may compromise the success of products in the market, which was an important aspect to Ocado Retail.</a:t>
          </a:r>
        </a:p>
      </dgm:t>
    </dgm:pt>
    <dgm:pt modelId="{4CCFC769-B3BA-4477-960A-3047D5763A44}" type="parTrans" cxnId="{0A373046-6FFA-4ADE-A2EF-703A7671DE6F}">
      <dgm:prSet/>
      <dgm:spPr/>
      <dgm:t>
        <a:bodyPr/>
        <a:lstStyle/>
        <a:p>
          <a:endParaRPr lang="en-US"/>
        </a:p>
      </dgm:t>
    </dgm:pt>
    <dgm:pt modelId="{9F7CC9F9-A468-4AFF-BE4C-9C06EBE735B0}" type="sibTrans" cxnId="{0A373046-6FFA-4ADE-A2EF-703A7671DE6F}">
      <dgm:prSet/>
      <dgm:spPr/>
      <dgm:t>
        <a:bodyPr/>
        <a:lstStyle/>
        <a:p>
          <a:endParaRPr lang="en-US"/>
        </a:p>
      </dgm:t>
    </dgm:pt>
    <dgm:pt modelId="{AFC26046-CE28-4016-A17E-056378B13180}">
      <dgm:prSet phldrT="[Text]" custT="1"/>
      <dgm:spPr/>
      <dgm:t>
        <a:bodyPr/>
        <a:lstStyle/>
        <a:p>
          <a:r>
            <a:rPr lang="en-US" sz="1000"/>
            <a:t> The company faced the compulsion to pay a higher production cost due to emerging labor laws. </a:t>
          </a:r>
        </a:p>
      </dgm:t>
    </dgm:pt>
    <dgm:pt modelId="{96CC799E-75F6-4C7C-9B86-B270FBB3DFD0}" type="parTrans" cxnId="{FB292517-FC03-4C6E-A82A-2BB281E9D387}">
      <dgm:prSet/>
      <dgm:spPr/>
      <dgm:t>
        <a:bodyPr/>
        <a:lstStyle/>
        <a:p>
          <a:endParaRPr lang="en-US"/>
        </a:p>
      </dgm:t>
    </dgm:pt>
    <dgm:pt modelId="{CC2060D9-38E3-4DEC-B983-19915CB7BD2E}" type="sibTrans" cxnId="{FB292517-FC03-4C6E-A82A-2BB281E9D387}">
      <dgm:prSet/>
      <dgm:spPr/>
      <dgm:t>
        <a:bodyPr/>
        <a:lstStyle/>
        <a:p>
          <a:endParaRPr lang="en-US"/>
        </a:p>
      </dgm:t>
    </dgm:pt>
    <dgm:pt modelId="{94D7C6C4-FD86-4A9E-8533-880F969FC6CA}">
      <dgm:prSet phldrT="[Text]" custT="1"/>
      <dgm:spPr/>
      <dgm:t>
        <a:bodyPr/>
        <a:lstStyle/>
        <a:p>
          <a:endParaRPr lang="en-US" sz="1000"/>
        </a:p>
      </dgm:t>
    </dgm:pt>
    <dgm:pt modelId="{9EDEA9CA-67BB-49E2-8522-B956739A2EC9}" type="parTrans" cxnId="{57C9EEC7-BC7C-48BA-A5FA-5CBD399FC714}">
      <dgm:prSet/>
      <dgm:spPr/>
      <dgm:t>
        <a:bodyPr/>
        <a:lstStyle/>
        <a:p>
          <a:endParaRPr lang="en-US"/>
        </a:p>
      </dgm:t>
    </dgm:pt>
    <dgm:pt modelId="{1093382A-E108-437B-8EFF-5A2CA1EBC054}" type="sibTrans" cxnId="{57C9EEC7-BC7C-48BA-A5FA-5CBD399FC714}">
      <dgm:prSet/>
      <dgm:spPr/>
      <dgm:t>
        <a:bodyPr/>
        <a:lstStyle/>
        <a:p>
          <a:endParaRPr lang="en-US"/>
        </a:p>
      </dgm:t>
    </dgm:pt>
    <dgm:pt modelId="{38106340-0A7C-4681-8BA7-EDE5DE762EAC}">
      <dgm:prSet phldrT="[Text]" custT="1"/>
      <dgm:spPr/>
      <dgm:t>
        <a:bodyPr/>
        <a:lstStyle/>
        <a:p>
          <a:r>
            <a:rPr lang="en-US" sz="1000"/>
            <a:t>M&amp;S had a strong free cashfow which aowed it to invest in the acquisition. </a:t>
          </a:r>
        </a:p>
      </dgm:t>
    </dgm:pt>
    <dgm:pt modelId="{F6D9DF07-03B3-446C-BD05-14979CF7CDF4}" type="parTrans" cxnId="{4A49D4EF-AC7D-4225-A4B4-24BFC78F870D}">
      <dgm:prSet/>
      <dgm:spPr/>
      <dgm:t>
        <a:bodyPr/>
        <a:lstStyle/>
        <a:p>
          <a:endParaRPr lang="en-US"/>
        </a:p>
      </dgm:t>
    </dgm:pt>
    <dgm:pt modelId="{E5D5B3AF-E83E-4277-85E8-A42F2071B562}" type="sibTrans" cxnId="{4A49D4EF-AC7D-4225-A4B4-24BFC78F870D}">
      <dgm:prSet/>
      <dgm:spPr/>
      <dgm:t>
        <a:bodyPr/>
        <a:lstStyle/>
        <a:p>
          <a:endParaRPr lang="en-US"/>
        </a:p>
      </dgm:t>
    </dgm:pt>
    <dgm:pt modelId="{4E260895-F377-4644-94BD-17261556890B}">
      <dgm:prSet phldrT="[Text]" custT="1"/>
      <dgm:spPr/>
      <dgm:t>
        <a:bodyPr/>
        <a:lstStyle/>
        <a:p>
          <a:endParaRPr lang="en-US" sz="1000"/>
        </a:p>
      </dgm:t>
    </dgm:pt>
    <dgm:pt modelId="{11BD6740-856B-4578-A5F3-1000E055BDF5}" type="parTrans" cxnId="{848BCAFF-95CA-40F6-A022-CFCEE6B97DF1}">
      <dgm:prSet/>
      <dgm:spPr/>
      <dgm:t>
        <a:bodyPr/>
        <a:lstStyle/>
        <a:p>
          <a:endParaRPr lang="en-US"/>
        </a:p>
      </dgm:t>
    </dgm:pt>
    <dgm:pt modelId="{9C337676-814E-4469-BF1D-D5231C72920B}" type="sibTrans" cxnId="{848BCAFF-95CA-40F6-A022-CFCEE6B97DF1}">
      <dgm:prSet/>
      <dgm:spPr/>
      <dgm:t>
        <a:bodyPr/>
        <a:lstStyle/>
        <a:p>
          <a:endParaRPr lang="en-US"/>
        </a:p>
      </dgm:t>
    </dgm:pt>
    <dgm:pt modelId="{DB8C8C17-46E1-4A63-92B3-A6081774F4AB}">
      <dgm:prSet phldrT="[Text]" custT="1"/>
      <dgm:spPr/>
      <dgm:t>
        <a:bodyPr/>
        <a:lstStyle/>
        <a:p>
          <a:r>
            <a:rPr lang="en-US" sz="1000"/>
            <a:t> The existence of counterfeit products threatened to alter the performance of M&amp;S in the market. </a:t>
          </a:r>
        </a:p>
      </dgm:t>
    </dgm:pt>
    <dgm:pt modelId="{DECE366B-AEA7-4C1B-AA55-3540564F0044}" type="parTrans" cxnId="{15BC106A-6FC6-408F-9EC7-705CF426044D}">
      <dgm:prSet/>
      <dgm:spPr/>
      <dgm:t>
        <a:bodyPr/>
        <a:lstStyle/>
        <a:p>
          <a:endParaRPr lang="en-US"/>
        </a:p>
      </dgm:t>
    </dgm:pt>
    <dgm:pt modelId="{AD4427BC-976A-455B-8562-A6B251D66F8C}" type="sibTrans" cxnId="{15BC106A-6FC6-408F-9EC7-705CF426044D}">
      <dgm:prSet/>
      <dgm:spPr/>
      <dgm:t>
        <a:bodyPr/>
        <a:lstStyle/>
        <a:p>
          <a:endParaRPr lang="en-US"/>
        </a:p>
      </dgm:t>
    </dgm:pt>
    <dgm:pt modelId="{6A06B3F4-6AF3-4035-AC47-14053A4C766B}">
      <dgm:prSet phldrT="[Text]" custT="1"/>
      <dgm:spPr/>
      <dgm:t>
        <a:bodyPr/>
        <a:lstStyle/>
        <a:p>
          <a:r>
            <a:rPr lang="en-US" sz="1000"/>
            <a:t> M&amp;S had the opportunity of considering an acquisition to enhance its capabilities. </a:t>
          </a:r>
        </a:p>
      </dgm:t>
    </dgm:pt>
    <dgm:pt modelId="{C65C2046-6E4C-4BB7-84A8-842EEFAF79D5}" type="sibTrans" cxnId="{A404A1B3-47D1-48B7-8738-217BE044E0CC}">
      <dgm:prSet/>
      <dgm:spPr/>
      <dgm:t>
        <a:bodyPr/>
        <a:lstStyle/>
        <a:p>
          <a:endParaRPr lang="en-US"/>
        </a:p>
      </dgm:t>
    </dgm:pt>
    <dgm:pt modelId="{0477A3DA-03B5-45CC-B3F2-3A2AAC03DA3E}" type="parTrans" cxnId="{A404A1B3-47D1-48B7-8738-217BE044E0CC}">
      <dgm:prSet/>
      <dgm:spPr/>
      <dgm:t>
        <a:bodyPr/>
        <a:lstStyle/>
        <a:p>
          <a:endParaRPr lang="en-US"/>
        </a:p>
      </dgm:t>
    </dgm:pt>
    <dgm:pt modelId="{DB3DAB73-AD9F-4CE7-9465-C8A4BC0C9AA1}">
      <dgm:prSet phldrT="[Text]" custT="1"/>
      <dgm:spPr/>
      <dgm:t>
        <a:bodyPr/>
        <a:lstStyle/>
        <a:p>
          <a:r>
            <a:rPr lang="en-US" sz="1000"/>
            <a:t> M&amp;S could venture into new markets and projects because of the significance market support. </a:t>
          </a:r>
        </a:p>
      </dgm:t>
    </dgm:pt>
    <dgm:pt modelId="{BE7A8F48-0DFF-4E73-A6EC-FD8CCC9324E8}" type="sibTrans" cxnId="{1F8EDF70-465E-4DE2-AA8A-CC5EE311596B}">
      <dgm:prSet/>
      <dgm:spPr/>
      <dgm:t>
        <a:bodyPr/>
        <a:lstStyle/>
        <a:p>
          <a:endParaRPr lang="en-US"/>
        </a:p>
      </dgm:t>
    </dgm:pt>
    <dgm:pt modelId="{891114DA-6F40-43CE-9792-A575AFB50906}" type="parTrans" cxnId="{1F8EDF70-465E-4DE2-AA8A-CC5EE311596B}">
      <dgm:prSet/>
      <dgm:spPr/>
      <dgm:t>
        <a:bodyPr/>
        <a:lstStyle/>
        <a:p>
          <a:endParaRPr lang="en-US"/>
        </a:p>
      </dgm:t>
    </dgm:pt>
    <dgm:pt modelId="{6837453E-2289-45F3-BC21-442BAA949823}">
      <dgm:prSet phldrT="[Text]" custT="1"/>
      <dgm:spPr/>
      <dgm:t>
        <a:bodyPr/>
        <a:lstStyle/>
        <a:p>
          <a:r>
            <a:rPr lang="en-US" sz="1000"/>
            <a:t> the availability of stable cashfow placed M&amp;S in a position to make an acquisition. </a:t>
          </a:r>
        </a:p>
      </dgm:t>
    </dgm:pt>
    <dgm:pt modelId="{494D8221-F504-4D1A-8CD0-6236B93E360A}" type="sibTrans" cxnId="{5ADF6CA0-C13D-412B-939B-F2CBF180B891}">
      <dgm:prSet/>
      <dgm:spPr/>
      <dgm:t>
        <a:bodyPr/>
        <a:lstStyle/>
        <a:p>
          <a:endParaRPr lang="en-US"/>
        </a:p>
      </dgm:t>
    </dgm:pt>
    <dgm:pt modelId="{C87E9AA3-34E6-4819-98B4-650AE6639F7F}" type="parTrans" cxnId="{5ADF6CA0-C13D-412B-939B-F2CBF180B891}">
      <dgm:prSet/>
      <dgm:spPr/>
      <dgm:t>
        <a:bodyPr/>
        <a:lstStyle/>
        <a:p>
          <a:endParaRPr lang="en-US"/>
        </a:p>
      </dgm:t>
    </dgm:pt>
    <dgm:pt modelId="{BC09847C-53F7-4779-8D9D-6192AD0C2CA3}">
      <dgm:prSet phldrT="[Text]" custT="1"/>
      <dgm:spPr/>
      <dgm:t>
        <a:bodyPr/>
        <a:lstStyle/>
        <a:p>
          <a:r>
            <a:rPr lang="en-US" sz="1000"/>
            <a:t> Pursuing new technology would give M&amp;S a competitive advantage in the market. </a:t>
          </a:r>
        </a:p>
      </dgm:t>
    </dgm:pt>
    <dgm:pt modelId="{B8AE9D5A-C9D0-4ED4-99B4-E35B0EBA95B5}" type="sibTrans" cxnId="{922F2867-B1D8-411C-AD9A-5A5B9B182554}">
      <dgm:prSet/>
      <dgm:spPr/>
      <dgm:t>
        <a:bodyPr/>
        <a:lstStyle/>
        <a:p>
          <a:endParaRPr lang="en-US"/>
        </a:p>
      </dgm:t>
    </dgm:pt>
    <dgm:pt modelId="{45063079-3041-406E-BB66-0735719735D4}" type="parTrans" cxnId="{922F2867-B1D8-411C-AD9A-5A5B9B182554}">
      <dgm:prSet/>
      <dgm:spPr/>
      <dgm:t>
        <a:bodyPr/>
        <a:lstStyle/>
        <a:p>
          <a:endParaRPr lang="en-US"/>
        </a:p>
      </dgm:t>
    </dgm:pt>
    <dgm:pt modelId="{1521ED42-76E5-495B-B9DD-975C91EDA889}">
      <dgm:prSet phldrT="[Text]" custT="1"/>
      <dgm:spPr/>
      <dgm:t>
        <a:bodyPr/>
        <a:lstStyle/>
        <a:p>
          <a:r>
            <a:rPr lang="en-US" sz="1400" b="1"/>
            <a:t>Opportunities</a:t>
          </a:r>
          <a:r>
            <a:rPr lang="en-US" sz="800"/>
            <a:t> </a:t>
          </a:r>
        </a:p>
      </dgm:t>
    </dgm:pt>
    <dgm:pt modelId="{EF07392A-583D-410B-B20B-77A34974D84C}" type="sibTrans" cxnId="{71E1AB7B-DE27-4696-AE48-8EEB9D252898}">
      <dgm:prSet/>
      <dgm:spPr/>
      <dgm:t>
        <a:bodyPr/>
        <a:lstStyle/>
        <a:p>
          <a:endParaRPr lang="en-US"/>
        </a:p>
      </dgm:t>
    </dgm:pt>
    <dgm:pt modelId="{E4513B60-8E6E-49E7-98A9-88AE1F7973E9}" type="parTrans" cxnId="{71E1AB7B-DE27-4696-AE48-8EEB9D252898}">
      <dgm:prSet/>
      <dgm:spPr/>
      <dgm:t>
        <a:bodyPr/>
        <a:lstStyle/>
        <a:p>
          <a:endParaRPr lang="en-US"/>
        </a:p>
      </dgm:t>
    </dgm:pt>
    <dgm:pt modelId="{97C73620-CAF1-4E98-9CEF-25B8C2ED988F}" type="pres">
      <dgm:prSet presAssocID="{4CFF919F-DD3C-41A3-A6BC-6F02B0B9DC64}" presName="linear" presStyleCnt="0">
        <dgm:presLayoutVars>
          <dgm:dir/>
          <dgm:animLvl val="lvl"/>
          <dgm:resizeHandles val="exact"/>
        </dgm:presLayoutVars>
      </dgm:prSet>
      <dgm:spPr/>
    </dgm:pt>
    <dgm:pt modelId="{D53013AE-FC0E-41F9-A3BC-3949CED9BE9A}" type="pres">
      <dgm:prSet presAssocID="{D984E028-3144-4774-B8C9-A3B69F6ED56D}" presName="parentLin" presStyleCnt="0"/>
      <dgm:spPr/>
    </dgm:pt>
    <dgm:pt modelId="{5BBA34E0-1B99-4BBB-AA10-AC7E6F3D1B8B}" type="pres">
      <dgm:prSet presAssocID="{D984E028-3144-4774-B8C9-A3B69F6ED56D}" presName="parentLeftMargin" presStyleLbl="node1" presStyleIdx="0" presStyleCnt="4"/>
      <dgm:spPr/>
    </dgm:pt>
    <dgm:pt modelId="{9B1AF710-9AF3-4888-A77A-4FA05A2FFC91}" type="pres">
      <dgm:prSet presAssocID="{D984E028-3144-4774-B8C9-A3B69F6ED56D}" presName="parentText" presStyleLbl="node1" presStyleIdx="0" presStyleCnt="4">
        <dgm:presLayoutVars>
          <dgm:chMax val="0"/>
          <dgm:bulletEnabled val="1"/>
        </dgm:presLayoutVars>
      </dgm:prSet>
      <dgm:spPr/>
    </dgm:pt>
    <dgm:pt modelId="{BDF42EA6-26A2-46FE-86DF-C7C0E21D0875}" type="pres">
      <dgm:prSet presAssocID="{D984E028-3144-4774-B8C9-A3B69F6ED56D}" presName="negativeSpace" presStyleCnt="0"/>
      <dgm:spPr/>
    </dgm:pt>
    <dgm:pt modelId="{A8DD8FF9-1B82-4B4F-8D2C-A7579F320501}" type="pres">
      <dgm:prSet presAssocID="{D984E028-3144-4774-B8C9-A3B69F6ED56D}" presName="childText" presStyleLbl="conFgAcc1" presStyleIdx="0" presStyleCnt="4" custScaleY="93335">
        <dgm:presLayoutVars>
          <dgm:bulletEnabled val="1"/>
        </dgm:presLayoutVars>
      </dgm:prSet>
      <dgm:spPr/>
    </dgm:pt>
    <dgm:pt modelId="{B75EA958-AA54-46D1-99D2-9C80300C201B}" type="pres">
      <dgm:prSet presAssocID="{1460162D-0DEC-466F-A2CC-0B2329AF1690}" presName="spaceBetweenRectangles" presStyleCnt="0"/>
      <dgm:spPr/>
    </dgm:pt>
    <dgm:pt modelId="{BEB2AE8C-E864-4F5E-9200-FDD5A4C9D4E8}" type="pres">
      <dgm:prSet presAssocID="{E0FD4D10-2A28-409D-9A5E-8F77E8AB8C0E}" presName="parentLin" presStyleCnt="0"/>
      <dgm:spPr/>
    </dgm:pt>
    <dgm:pt modelId="{E8B6B204-FAF2-4A3A-B1F7-20FF6F3F2A64}" type="pres">
      <dgm:prSet presAssocID="{E0FD4D10-2A28-409D-9A5E-8F77E8AB8C0E}" presName="parentLeftMargin" presStyleLbl="node1" presStyleIdx="0" presStyleCnt="4"/>
      <dgm:spPr/>
    </dgm:pt>
    <dgm:pt modelId="{CCAC6BD9-7EBF-4C33-9834-EDB8A8C76673}" type="pres">
      <dgm:prSet presAssocID="{E0FD4D10-2A28-409D-9A5E-8F77E8AB8C0E}" presName="parentText" presStyleLbl="node1" presStyleIdx="1" presStyleCnt="4">
        <dgm:presLayoutVars>
          <dgm:chMax val="0"/>
          <dgm:bulletEnabled val="1"/>
        </dgm:presLayoutVars>
      </dgm:prSet>
      <dgm:spPr/>
    </dgm:pt>
    <dgm:pt modelId="{7B767FE2-D899-4443-B8D8-852797FA914C}" type="pres">
      <dgm:prSet presAssocID="{E0FD4D10-2A28-409D-9A5E-8F77E8AB8C0E}" presName="negativeSpace" presStyleCnt="0"/>
      <dgm:spPr/>
    </dgm:pt>
    <dgm:pt modelId="{1F5B1575-9EDE-4043-BE7A-CE7206BD2452}" type="pres">
      <dgm:prSet presAssocID="{E0FD4D10-2A28-409D-9A5E-8F77E8AB8C0E}" presName="childText" presStyleLbl="conFgAcc1" presStyleIdx="1" presStyleCnt="4">
        <dgm:presLayoutVars>
          <dgm:bulletEnabled val="1"/>
        </dgm:presLayoutVars>
      </dgm:prSet>
      <dgm:spPr/>
    </dgm:pt>
    <dgm:pt modelId="{4665F646-D3C0-4DC7-A48D-43978744CBAA}" type="pres">
      <dgm:prSet presAssocID="{36DEA841-1CCB-488D-AD31-A3CB88716A75}" presName="spaceBetweenRectangles" presStyleCnt="0"/>
      <dgm:spPr/>
    </dgm:pt>
    <dgm:pt modelId="{D0E3CB52-3F9D-44A5-92E2-1459FE3A746E}" type="pres">
      <dgm:prSet presAssocID="{1521ED42-76E5-495B-B9DD-975C91EDA889}" presName="parentLin" presStyleCnt="0"/>
      <dgm:spPr/>
    </dgm:pt>
    <dgm:pt modelId="{E80A794C-2602-4363-AC9D-6D9B02810101}" type="pres">
      <dgm:prSet presAssocID="{1521ED42-76E5-495B-B9DD-975C91EDA889}" presName="parentLeftMargin" presStyleLbl="node1" presStyleIdx="1" presStyleCnt="4"/>
      <dgm:spPr/>
    </dgm:pt>
    <dgm:pt modelId="{AB39B429-B7ED-495C-98E1-7BA7C493938D}" type="pres">
      <dgm:prSet presAssocID="{1521ED42-76E5-495B-B9DD-975C91EDA889}" presName="parentText" presStyleLbl="node1" presStyleIdx="2" presStyleCnt="4">
        <dgm:presLayoutVars>
          <dgm:chMax val="0"/>
          <dgm:bulletEnabled val="1"/>
        </dgm:presLayoutVars>
      </dgm:prSet>
      <dgm:spPr/>
    </dgm:pt>
    <dgm:pt modelId="{224F2994-139B-4FD4-B5A4-61377008E07D}" type="pres">
      <dgm:prSet presAssocID="{1521ED42-76E5-495B-B9DD-975C91EDA889}" presName="negativeSpace" presStyleCnt="0"/>
      <dgm:spPr/>
    </dgm:pt>
    <dgm:pt modelId="{B962ADCE-1C91-4C1A-A0E9-1EE0F4A3E0C2}" type="pres">
      <dgm:prSet presAssocID="{1521ED42-76E5-495B-B9DD-975C91EDA889}" presName="childText" presStyleLbl="conFgAcc1" presStyleIdx="2" presStyleCnt="4">
        <dgm:presLayoutVars>
          <dgm:bulletEnabled val="1"/>
        </dgm:presLayoutVars>
      </dgm:prSet>
      <dgm:spPr/>
    </dgm:pt>
    <dgm:pt modelId="{6914E303-6B7E-4691-B8CF-5FD68A2D2534}" type="pres">
      <dgm:prSet presAssocID="{EF07392A-583D-410B-B20B-77A34974D84C}" presName="spaceBetweenRectangles" presStyleCnt="0"/>
      <dgm:spPr/>
    </dgm:pt>
    <dgm:pt modelId="{19C232BF-64A6-403F-BB1E-F330DDCC22B4}" type="pres">
      <dgm:prSet presAssocID="{EA291BDA-8E3F-4175-BCC6-FE404C7B9844}" presName="parentLin" presStyleCnt="0"/>
      <dgm:spPr/>
    </dgm:pt>
    <dgm:pt modelId="{F7072308-FBC3-4575-9B54-EBD138B49C2A}" type="pres">
      <dgm:prSet presAssocID="{EA291BDA-8E3F-4175-BCC6-FE404C7B9844}" presName="parentLeftMargin" presStyleLbl="node1" presStyleIdx="2" presStyleCnt="4"/>
      <dgm:spPr/>
    </dgm:pt>
    <dgm:pt modelId="{1CE3C098-D80E-4CE2-9920-11EFDC5CF757}" type="pres">
      <dgm:prSet presAssocID="{EA291BDA-8E3F-4175-BCC6-FE404C7B9844}" presName="parentText" presStyleLbl="node1" presStyleIdx="3" presStyleCnt="4" custLinFactNeighborY="2689">
        <dgm:presLayoutVars>
          <dgm:chMax val="0"/>
          <dgm:bulletEnabled val="1"/>
        </dgm:presLayoutVars>
      </dgm:prSet>
      <dgm:spPr/>
    </dgm:pt>
    <dgm:pt modelId="{08275381-CE95-4C18-9ED3-6B4096E94E18}" type="pres">
      <dgm:prSet presAssocID="{EA291BDA-8E3F-4175-BCC6-FE404C7B9844}" presName="negativeSpace" presStyleCnt="0"/>
      <dgm:spPr/>
    </dgm:pt>
    <dgm:pt modelId="{826B6C43-753B-47BB-9A89-DB6FDAB47EBB}" type="pres">
      <dgm:prSet presAssocID="{EA291BDA-8E3F-4175-BCC6-FE404C7B9844}" presName="childText" presStyleLbl="conFgAcc1" presStyleIdx="3" presStyleCnt="4" custScaleY="106719">
        <dgm:presLayoutVars>
          <dgm:bulletEnabled val="1"/>
        </dgm:presLayoutVars>
      </dgm:prSet>
      <dgm:spPr/>
    </dgm:pt>
  </dgm:ptLst>
  <dgm:cxnLst>
    <dgm:cxn modelId="{5ED94304-CF8F-445D-9EDC-D9C9D905A700}" type="presOf" srcId="{C62521D0-CB53-4806-B181-F2C22036A287}" destId="{826B6C43-753B-47BB-9A89-DB6FDAB47EBB}" srcOrd="0" destOrd="1" presId="urn:microsoft.com/office/officeart/2005/8/layout/list1"/>
    <dgm:cxn modelId="{91F3B40C-B70A-4A82-962E-DD9385A2E78E}" srcId="{4CFF919F-DD3C-41A3-A6BC-6F02B0B9DC64}" destId="{E0FD4D10-2A28-409D-9A5E-8F77E8AB8C0E}" srcOrd="1" destOrd="0" parTransId="{DF92C3A3-7F0F-454F-A566-8CE5D23E9B30}" sibTransId="{36DEA841-1CCB-488D-AD31-A3CB88716A75}"/>
    <dgm:cxn modelId="{FB292517-FC03-4C6E-A82A-2BB281E9D387}" srcId="{EA291BDA-8E3F-4175-BCC6-FE404C7B9844}" destId="{AFC26046-CE28-4016-A17E-056378B13180}" srcOrd="2" destOrd="0" parTransId="{96CC799E-75F6-4C7C-9B86-B270FBB3DFD0}" sibTransId="{CC2060D9-38E3-4DEC-B983-19915CB7BD2E}"/>
    <dgm:cxn modelId="{8929C01A-FFB8-482C-9FE9-29BBA311BCD6}" type="presOf" srcId="{C4337DEE-DC97-473C-8DEC-3134A06B75EF}" destId="{A8DD8FF9-1B82-4B4F-8D2C-A7579F320501}" srcOrd="0" destOrd="6" presId="urn:microsoft.com/office/officeart/2005/8/layout/list1"/>
    <dgm:cxn modelId="{9181C522-C0B7-4BC2-92F8-910EB52DF698}" type="presOf" srcId="{6A06B3F4-6AF3-4035-AC47-14053A4C766B}" destId="{B962ADCE-1C91-4C1A-A0E9-1EE0F4A3E0C2}" srcOrd="0" destOrd="0" presId="urn:microsoft.com/office/officeart/2005/8/layout/list1"/>
    <dgm:cxn modelId="{4AA07E2A-9FB4-4994-92B3-ECCDA108EF07}" srcId="{D984E028-3144-4774-B8C9-A3B69F6ED56D}" destId="{C4337DEE-DC97-473C-8DEC-3134A06B75EF}" srcOrd="6" destOrd="0" parTransId="{39C2441D-4566-46FE-80C0-2926134B8F4F}" sibTransId="{CE2B906D-5191-4AB6-9AFF-30B4DF4E26D7}"/>
    <dgm:cxn modelId="{C0D31438-C163-42F7-83D9-57628B8D3120}" type="presOf" srcId="{AFC26046-CE28-4016-A17E-056378B13180}" destId="{826B6C43-753B-47BB-9A89-DB6FDAB47EBB}" srcOrd="0" destOrd="2" presId="urn:microsoft.com/office/officeart/2005/8/layout/list1"/>
    <dgm:cxn modelId="{0317383B-AC7C-4047-9447-2DDCFA46D3C3}" srcId="{E0FD4D10-2A28-409D-9A5E-8F77E8AB8C0E}" destId="{499AA71B-ED81-4297-8B0C-1AB27D39E7DD}" srcOrd="1" destOrd="0" parTransId="{86A457E2-58DC-42E7-A0F0-643A11E04B42}" sibTransId="{69457255-511C-4B03-8BCE-C9D0CEC3B017}"/>
    <dgm:cxn modelId="{C68EEC3F-0757-45BC-A54F-A4B88DF561C7}" srcId="{4CFF919F-DD3C-41A3-A6BC-6F02B0B9DC64}" destId="{D984E028-3144-4774-B8C9-A3B69F6ED56D}" srcOrd="0" destOrd="0" parTransId="{564B4014-AAD9-4D0C-9E5A-49F75B85E44B}" sibTransId="{1460162D-0DEC-466F-A2CC-0B2329AF1690}"/>
    <dgm:cxn modelId="{5BFF3D43-3702-4622-9349-9CF9E9EBC258}" type="presOf" srcId="{F4E71943-A0B2-4469-812F-EF2A2978B73C}" destId="{1F5B1575-9EDE-4043-BE7A-CE7206BD2452}" srcOrd="0" destOrd="5" presId="urn:microsoft.com/office/officeart/2005/8/layout/list1"/>
    <dgm:cxn modelId="{D451DE43-AD85-4FA5-81FB-7E6FB04888B7}" type="presOf" srcId="{69989573-5409-4271-8463-19DE4245BF46}" destId="{A8DD8FF9-1B82-4B4F-8D2C-A7579F320501}" srcOrd="0" destOrd="4" presId="urn:microsoft.com/office/officeart/2005/8/layout/list1"/>
    <dgm:cxn modelId="{0A373046-6FFA-4ADE-A2EF-703A7671DE6F}" srcId="{E0FD4D10-2A28-409D-9A5E-8F77E8AB8C0E}" destId="{F4E71943-A0B2-4469-812F-EF2A2978B73C}" srcOrd="5" destOrd="0" parTransId="{4CCFC769-B3BA-4477-960A-3047D5763A44}" sibTransId="{9F7CC9F9-A468-4AFF-BE4C-9C06EBE735B0}"/>
    <dgm:cxn modelId="{F9F7BC47-C729-427F-9685-7D8F5EF2236F}" type="presOf" srcId="{E0FD4D10-2A28-409D-9A5E-8F77E8AB8C0E}" destId="{CCAC6BD9-7EBF-4C33-9834-EDB8A8C76673}" srcOrd="1" destOrd="0" presId="urn:microsoft.com/office/officeart/2005/8/layout/list1"/>
    <dgm:cxn modelId="{9BF7DA4B-20DC-456F-8843-CC68C4A10209}" type="presOf" srcId="{1521ED42-76E5-495B-B9DD-975C91EDA889}" destId="{AB39B429-B7ED-495C-98E1-7BA7C493938D}" srcOrd="1" destOrd="0" presId="urn:microsoft.com/office/officeart/2005/8/layout/list1"/>
    <dgm:cxn modelId="{F420E551-BC29-4329-A795-17CF4D0BC550}" type="presOf" srcId="{523A67DD-EE64-450D-8C64-10BF7B1063BD}" destId="{A8DD8FF9-1B82-4B4F-8D2C-A7579F320501}" srcOrd="0" destOrd="7" presId="urn:microsoft.com/office/officeart/2005/8/layout/list1"/>
    <dgm:cxn modelId="{52C87857-A829-4E89-B0F0-8EB69DD9EB8A}" type="presOf" srcId="{D984E028-3144-4774-B8C9-A3B69F6ED56D}" destId="{5BBA34E0-1B99-4BBB-AA10-AC7E6F3D1B8B}" srcOrd="0" destOrd="0" presId="urn:microsoft.com/office/officeart/2005/8/layout/list1"/>
    <dgm:cxn modelId="{D4C1015C-0387-4BED-ACC6-279C151A5671}" type="presOf" srcId="{2809F063-E12E-425C-B0B2-1010F02AAD10}" destId="{A8DD8FF9-1B82-4B4F-8D2C-A7579F320501}" srcOrd="0" destOrd="5" presId="urn:microsoft.com/office/officeart/2005/8/layout/list1"/>
    <dgm:cxn modelId="{A464225E-2EC0-44E7-8F6D-9E10DB268C99}" type="presOf" srcId="{762CDDE3-85F0-4E7B-A398-2031D2FC0868}" destId="{A8DD8FF9-1B82-4B4F-8D2C-A7579F320501}" srcOrd="0" destOrd="0" presId="urn:microsoft.com/office/officeart/2005/8/layout/list1"/>
    <dgm:cxn modelId="{4CDDC65E-56CE-4B45-9AF2-C60139D235A2}" srcId="{D984E028-3144-4774-B8C9-A3B69F6ED56D}" destId="{8F1B8A9B-57F7-4D3E-BA0F-D8BAF6C9DA28}" srcOrd="3" destOrd="0" parTransId="{4E2700CF-7724-4F9C-ADD0-3C9DD29A9155}" sibTransId="{3E22C4EC-67A1-4958-9533-75521AC1E180}"/>
    <dgm:cxn modelId="{760ADF5F-C2B0-45A0-BE39-3522417324DB}" type="presOf" srcId="{DB8C8C17-46E1-4A63-92B3-A6081774F4AB}" destId="{826B6C43-753B-47BB-9A89-DB6FDAB47EBB}" srcOrd="0" destOrd="3" presId="urn:microsoft.com/office/officeart/2005/8/layout/list1"/>
    <dgm:cxn modelId="{922F2867-B1D8-411C-AD9A-5A5B9B182554}" srcId="{1521ED42-76E5-495B-B9DD-975C91EDA889}" destId="{BC09847C-53F7-4779-8D9D-6192AD0C2CA3}" srcOrd="3" destOrd="0" parTransId="{45063079-3041-406E-BB66-0735719735D4}" sibTransId="{B8AE9D5A-C9D0-4ED4-99B4-E35B0EBA95B5}"/>
    <dgm:cxn modelId="{15BC106A-6FC6-408F-9EC7-705CF426044D}" srcId="{EA291BDA-8E3F-4175-BCC6-FE404C7B9844}" destId="{DB8C8C17-46E1-4A63-92B3-A6081774F4AB}" srcOrd="3" destOrd="0" parTransId="{DECE366B-AEA7-4C1B-AA55-3540564F0044}" sibTransId="{AD4427BC-976A-455B-8562-A6B251D66F8C}"/>
    <dgm:cxn modelId="{D015236B-553F-4B70-BD53-0A0B41C98389}" type="presOf" srcId="{DB3DAB73-AD9F-4CE7-9465-C8A4BC0C9AA1}" destId="{B962ADCE-1C91-4C1A-A0E9-1EE0F4A3E0C2}" srcOrd="0" destOrd="1" presId="urn:microsoft.com/office/officeart/2005/8/layout/list1"/>
    <dgm:cxn modelId="{775CB96B-3C9C-4165-AD72-6C610E5350E0}" srcId="{D984E028-3144-4774-B8C9-A3B69F6ED56D}" destId="{2809F063-E12E-425C-B0B2-1010F02AAD10}" srcOrd="5" destOrd="0" parTransId="{8E622706-2C4A-470D-B993-381F28D7FEEB}" sibTransId="{0A0EF1AE-A72D-4CBB-8F03-E0ED919FFA76}"/>
    <dgm:cxn modelId="{A321626F-E569-4D2E-BADE-7970C9D0DB11}" type="presOf" srcId="{D984E028-3144-4774-B8C9-A3B69F6ED56D}" destId="{9B1AF710-9AF3-4888-A77A-4FA05A2FFC91}" srcOrd="1" destOrd="0" presId="urn:microsoft.com/office/officeart/2005/8/layout/list1"/>
    <dgm:cxn modelId="{1F8EDF70-465E-4DE2-AA8A-CC5EE311596B}" srcId="{1521ED42-76E5-495B-B9DD-975C91EDA889}" destId="{DB3DAB73-AD9F-4CE7-9465-C8A4BC0C9AA1}" srcOrd="1" destOrd="0" parTransId="{891114DA-6F40-43CE-9792-A575AFB50906}" sibTransId="{BE7A8F48-0DFF-4E73-A6EC-FD8CCC9324E8}"/>
    <dgm:cxn modelId="{C676DA72-F2AD-44CA-9CEE-07E715FE9A9D}" type="presOf" srcId="{21EDFC7C-7D07-4003-98AD-B6DC96887E54}" destId="{1F5B1575-9EDE-4043-BE7A-CE7206BD2452}" srcOrd="0" destOrd="6" presId="urn:microsoft.com/office/officeart/2005/8/layout/list1"/>
    <dgm:cxn modelId="{71E1AB7B-DE27-4696-AE48-8EEB9D252898}" srcId="{4CFF919F-DD3C-41A3-A6BC-6F02B0B9DC64}" destId="{1521ED42-76E5-495B-B9DD-975C91EDA889}" srcOrd="2" destOrd="0" parTransId="{E4513B60-8E6E-49E7-98A9-88AE1F7973E9}" sibTransId="{EF07392A-583D-410B-B20B-77A34974D84C}"/>
    <dgm:cxn modelId="{DFC67083-22CC-4AC9-AFDE-7A3645F57A46}" type="presOf" srcId="{8F1B8A9B-57F7-4D3E-BA0F-D8BAF6C9DA28}" destId="{A8DD8FF9-1B82-4B4F-8D2C-A7579F320501}" srcOrd="0" destOrd="3" presId="urn:microsoft.com/office/officeart/2005/8/layout/list1"/>
    <dgm:cxn modelId="{3EFAA48D-2DC7-40D7-8EB4-9EA4D28C46ED}" type="presOf" srcId="{4E260895-F377-4644-94BD-17261556890B}" destId="{1F5B1575-9EDE-4043-BE7A-CE7206BD2452}" srcOrd="0" destOrd="0" presId="urn:microsoft.com/office/officeart/2005/8/layout/list1"/>
    <dgm:cxn modelId="{AA339C91-ACFD-4AEE-91AD-3C2D1C369C71}" srcId="{E0FD4D10-2A28-409D-9A5E-8F77E8AB8C0E}" destId="{05B85D0F-A6CE-4498-82FF-4BE33F2B1ADC}" srcOrd="2" destOrd="0" parTransId="{423A8BB7-B749-48F6-9C2F-2F165C0D30FF}" sibTransId="{4B80D29E-832C-4B24-B06A-3CFB1F81DBC2}"/>
    <dgm:cxn modelId="{38DE3198-62F5-4BE3-90B8-EA42BEDCCFCD}" srcId="{4CFF919F-DD3C-41A3-A6BC-6F02B0B9DC64}" destId="{EA291BDA-8E3F-4175-BCC6-FE404C7B9844}" srcOrd="3" destOrd="0" parTransId="{4970DF9D-890C-44F8-A18F-F230C0ED029B}" sibTransId="{C8DF6B43-519E-4273-8D31-11A3C269F96F}"/>
    <dgm:cxn modelId="{6552749F-B4BA-408B-898E-A58C09E2DD65}" srcId="{D984E028-3144-4774-B8C9-A3B69F6ED56D}" destId="{523A67DD-EE64-450D-8C64-10BF7B1063BD}" srcOrd="7" destOrd="0" parTransId="{98B24535-F72D-48BC-8326-AD84EDCAAF05}" sibTransId="{362EF161-54E6-4CCB-A93A-3821A7E82343}"/>
    <dgm:cxn modelId="{5ADF6CA0-C13D-412B-939B-F2CBF180B891}" srcId="{1521ED42-76E5-495B-B9DD-975C91EDA889}" destId="{6837453E-2289-45F3-BC21-442BAA949823}" srcOrd="2" destOrd="0" parTransId="{C87E9AA3-34E6-4819-98B4-650AE6639F7F}" sibTransId="{494D8221-F504-4D1A-8CD0-6236B93E360A}"/>
    <dgm:cxn modelId="{F48DFBA6-829B-44E0-95FB-85B9EF10A50E}" type="presOf" srcId="{499AA71B-ED81-4297-8B0C-1AB27D39E7DD}" destId="{1F5B1575-9EDE-4043-BE7A-CE7206BD2452}" srcOrd="0" destOrd="1" presId="urn:microsoft.com/office/officeart/2005/8/layout/list1"/>
    <dgm:cxn modelId="{06A9A3AC-B6D9-47F8-AADD-E774E44902C0}" type="presOf" srcId="{3C654D72-A4DD-4F6B-90FD-9911412FC21D}" destId="{A8DD8FF9-1B82-4B4F-8D2C-A7579F320501}" srcOrd="0" destOrd="2" presId="urn:microsoft.com/office/officeart/2005/8/layout/list1"/>
    <dgm:cxn modelId="{2A615DB2-BE2A-442A-A1CC-66D3F7467971}" type="presOf" srcId="{05B85D0F-A6CE-4498-82FF-4BE33F2B1ADC}" destId="{1F5B1575-9EDE-4043-BE7A-CE7206BD2452}" srcOrd="0" destOrd="2" presId="urn:microsoft.com/office/officeart/2005/8/layout/list1"/>
    <dgm:cxn modelId="{A404A1B3-47D1-48B7-8738-217BE044E0CC}" srcId="{1521ED42-76E5-495B-B9DD-975C91EDA889}" destId="{6A06B3F4-6AF3-4035-AC47-14053A4C766B}" srcOrd="0" destOrd="0" parTransId="{0477A3DA-03B5-45CC-B3F2-3A2AAC03DA3E}" sibTransId="{C65C2046-6E4C-4BB7-84A8-842EEFAF79D5}"/>
    <dgm:cxn modelId="{C39E65C4-F7B1-43D6-974D-9228831F7A58}" type="presOf" srcId="{4CFF919F-DD3C-41A3-A6BC-6F02B0B9DC64}" destId="{97C73620-CAF1-4E98-9CEF-25B8C2ED988F}" srcOrd="0" destOrd="0" presId="urn:microsoft.com/office/officeart/2005/8/layout/list1"/>
    <dgm:cxn modelId="{C3090FC6-1DFE-4F9D-A4AD-BB2B7209478F}" type="presOf" srcId="{38106340-0A7C-4681-8BA7-EDE5DE762EAC}" destId="{A8DD8FF9-1B82-4B4F-8D2C-A7579F320501}" srcOrd="0" destOrd="1" presId="urn:microsoft.com/office/officeart/2005/8/layout/list1"/>
    <dgm:cxn modelId="{57C9EEC7-BC7C-48BA-A5FA-5CBD399FC714}" srcId="{EA291BDA-8E3F-4175-BCC6-FE404C7B9844}" destId="{94D7C6C4-FD86-4A9E-8533-880F969FC6CA}" srcOrd="0" destOrd="0" parTransId="{9EDEA9CA-67BB-49E2-8522-B956739A2EC9}" sibTransId="{1093382A-E108-437B-8EFF-5A2CA1EBC054}"/>
    <dgm:cxn modelId="{145623CB-A82D-404F-8F8F-9660958F6100}" type="presOf" srcId="{EA291BDA-8E3F-4175-BCC6-FE404C7B9844}" destId="{1CE3C098-D80E-4CE2-9920-11EFDC5CF757}" srcOrd="1" destOrd="0" presId="urn:microsoft.com/office/officeart/2005/8/layout/list1"/>
    <dgm:cxn modelId="{86C3A7CB-0F4F-4DF1-A622-ABF42D3FCF4A}" type="presOf" srcId="{6837453E-2289-45F3-BC21-442BAA949823}" destId="{B962ADCE-1C91-4C1A-A0E9-1EE0F4A3E0C2}" srcOrd="0" destOrd="2" presId="urn:microsoft.com/office/officeart/2005/8/layout/list1"/>
    <dgm:cxn modelId="{0DCEF4CF-3664-4153-9EAA-A333F41C4427}" type="presOf" srcId="{95E29054-DAAA-4958-B91D-4C0194301F14}" destId="{1F5B1575-9EDE-4043-BE7A-CE7206BD2452}" srcOrd="0" destOrd="3" presId="urn:microsoft.com/office/officeart/2005/8/layout/list1"/>
    <dgm:cxn modelId="{A7C3FDCF-5241-4CE6-B3B5-2A876F8DA8E3}" type="presOf" srcId="{E0FD4D10-2A28-409D-9A5E-8F77E8AB8C0E}" destId="{E8B6B204-FAF2-4A3A-B1F7-20FF6F3F2A64}" srcOrd="0" destOrd="0" presId="urn:microsoft.com/office/officeart/2005/8/layout/list1"/>
    <dgm:cxn modelId="{88C842D5-C1E3-4F7A-9CB8-AB74F26B78CB}" srcId="{E0FD4D10-2A28-409D-9A5E-8F77E8AB8C0E}" destId="{95E29054-DAAA-4958-B91D-4C0194301F14}" srcOrd="3" destOrd="0" parTransId="{FE7BC435-EC2C-4D31-8520-8C1F752BBE6F}" sibTransId="{29A3EDE0-15D1-4672-9A96-2E816C79D8CA}"/>
    <dgm:cxn modelId="{1F3058DE-1E8C-40E8-BD60-D7EF1C9B64BC}" srcId="{D984E028-3144-4774-B8C9-A3B69F6ED56D}" destId="{3C654D72-A4DD-4F6B-90FD-9911412FC21D}" srcOrd="2" destOrd="0" parTransId="{F07567FF-D866-4782-9235-4C17E6B57DC0}" sibTransId="{3A696F3F-E339-40B4-93EF-ECA1781D6FD2}"/>
    <dgm:cxn modelId="{59C1C0DE-784B-4068-AAF2-5084B8A2F7A7}" type="presOf" srcId="{BC09847C-53F7-4779-8D9D-6192AD0C2CA3}" destId="{B962ADCE-1C91-4C1A-A0E9-1EE0F4A3E0C2}" srcOrd="0" destOrd="3" presId="urn:microsoft.com/office/officeart/2005/8/layout/list1"/>
    <dgm:cxn modelId="{BB55FEE1-81EA-422C-B9B0-40FB07C80F54}" type="presOf" srcId="{94D7C6C4-FD86-4A9E-8533-880F969FC6CA}" destId="{826B6C43-753B-47BB-9A89-DB6FDAB47EBB}" srcOrd="0" destOrd="0" presId="urn:microsoft.com/office/officeart/2005/8/layout/list1"/>
    <dgm:cxn modelId="{FAD749E3-36F3-4682-AC37-1B89035F64B2}" type="presOf" srcId="{EA291BDA-8E3F-4175-BCC6-FE404C7B9844}" destId="{F7072308-FBC3-4575-9B54-EBD138B49C2A}" srcOrd="0" destOrd="0" presId="urn:microsoft.com/office/officeart/2005/8/layout/list1"/>
    <dgm:cxn modelId="{08A004E5-021C-4AC6-A1B1-3E9D468948FE}" type="presOf" srcId="{1521ED42-76E5-495B-B9DD-975C91EDA889}" destId="{E80A794C-2602-4363-AC9D-6D9B02810101}" srcOrd="0" destOrd="0" presId="urn:microsoft.com/office/officeart/2005/8/layout/list1"/>
    <dgm:cxn modelId="{2EBB3CE6-04F5-4078-B4D1-48E999A0DD72}" srcId="{D984E028-3144-4774-B8C9-A3B69F6ED56D}" destId="{69989573-5409-4271-8463-19DE4245BF46}" srcOrd="4" destOrd="0" parTransId="{E1443238-3D45-49AA-A708-27ED93C8A67C}" sibTransId="{144DE9D2-3422-4253-B2AF-DD0D2B9BD758}"/>
    <dgm:cxn modelId="{B5AAABEB-99A0-42B1-B7CA-4C1B3FA49413}" srcId="{E0FD4D10-2A28-409D-9A5E-8F77E8AB8C0E}" destId="{21EDFC7C-7D07-4003-98AD-B6DC96887E54}" srcOrd="6" destOrd="0" parTransId="{F38EBCF3-9905-42C4-ABE7-523A62C34121}" sibTransId="{E5D35F74-A300-4B72-83EE-E1FF197ECA39}"/>
    <dgm:cxn modelId="{4A49D4EF-AC7D-4225-A4B4-24BFC78F870D}" srcId="{D984E028-3144-4774-B8C9-A3B69F6ED56D}" destId="{38106340-0A7C-4681-8BA7-EDE5DE762EAC}" srcOrd="1" destOrd="0" parTransId="{F6D9DF07-03B3-446C-BD05-14979CF7CDF4}" sibTransId="{E5D5B3AF-E83E-4277-85E8-A42F2071B562}"/>
    <dgm:cxn modelId="{92F582F5-BCFA-4393-BBE0-69FC5CB121B8}" srcId="{D984E028-3144-4774-B8C9-A3B69F6ED56D}" destId="{762CDDE3-85F0-4E7B-A398-2031D2FC0868}" srcOrd="0" destOrd="0" parTransId="{99DB8A5A-AF0E-4B69-8E3B-28E1BADEB5A9}" sibTransId="{A987996E-73F7-4047-9EB3-F67558C89931}"/>
    <dgm:cxn modelId="{119025F7-FF37-4AD6-B893-C609AA4BFD8D}" srcId="{E0FD4D10-2A28-409D-9A5E-8F77E8AB8C0E}" destId="{51FDCE73-494C-430D-99A4-219A372E760C}" srcOrd="4" destOrd="0" parTransId="{928916D9-602F-44F2-9875-BF7751A3B462}" sibTransId="{87BCCFE3-CB24-42FC-9DDA-882A61EABDD9}"/>
    <dgm:cxn modelId="{50CAA0F7-1969-4120-9896-3140D09463C8}" type="presOf" srcId="{51FDCE73-494C-430D-99A4-219A372E760C}" destId="{1F5B1575-9EDE-4043-BE7A-CE7206BD2452}" srcOrd="0" destOrd="4" presId="urn:microsoft.com/office/officeart/2005/8/layout/list1"/>
    <dgm:cxn modelId="{2E51C1F9-A93E-4AAD-B05E-26A04041E76B}" srcId="{EA291BDA-8E3F-4175-BCC6-FE404C7B9844}" destId="{C62521D0-CB53-4806-B181-F2C22036A287}" srcOrd="1" destOrd="0" parTransId="{DCF3D2C2-DB77-4E29-92CA-FCD524578588}" sibTransId="{3B011080-9635-485B-B7A0-1D2C816BC01D}"/>
    <dgm:cxn modelId="{848BCAFF-95CA-40F6-A022-CFCEE6B97DF1}" srcId="{E0FD4D10-2A28-409D-9A5E-8F77E8AB8C0E}" destId="{4E260895-F377-4644-94BD-17261556890B}" srcOrd="0" destOrd="0" parTransId="{11BD6740-856B-4578-A5F3-1000E055BDF5}" sibTransId="{9C337676-814E-4469-BF1D-D5231C72920B}"/>
    <dgm:cxn modelId="{74CACB41-8D54-49A7-BAC3-FB479C6903FF}" type="presParOf" srcId="{97C73620-CAF1-4E98-9CEF-25B8C2ED988F}" destId="{D53013AE-FC0E-41F9-A3BC-3949CED9BE9A}" srcOrd="0" destOrd="0" presId="urn:microsoft.com/office/officeart/2005/8/layout/list1"/>
    <dgm:cxn modelId="{B18D2A70-05E8-48C3-9BAC-9D9991F1BFFE}" type="presParOf" srcId="{D53013AE-FC0E-41F9-A3BC-3949CED9BE9A}" destId="{5BBA34E0-1B99-4BBB-AA10-AC7E6F3D1B8B}" srcOrd="0" destOrd="0" presId="urn:microsoft.com/office/officeart/2005/8/layout/list1"/>
    <dgm:cxn modelId="{C9BD3A81-D6FB-4F75-B0F2-39227F63A8C1}" type="presParOf" srcId="{D53013AE-FC0E-41F9-A3BC-3949CED9BE9A}" destId="{9B1AF710-9AF3-4888-A77A-4FA05A2FFC91}" srcOrd="1" destOrd="0" presId="urn:microsoft.com/office/officeart/2005/8/layout/list1"/>
    <dgm:cxn modelId="{C9227EB1-880B-4EEE-8348-655B220A342A}" type="presParOf" srcId="{97C73620-CAF1-4E98-9CEF-25B8C2ED988F}" destId="{BDF42EA6-26A2-46FE-86DF-C7C0E21D0875}" srcOrd="1" destOrd="0" presId="urn:microsoft.com/office/officeart/2005/8/layout/list1"/>
    <dgm:cxn modelId="{197DB7C1-F1BD-4C27-B274-0A8360FD3010}" type="presParOf" srcId="{97C73620-CAF1-4E98-9CEF-25B8C2ED988F}" destId="{A8DD8FF9-1B82-4B4F-8D2C-A7579F320501}" srcOrd="2" destOrd="0" presId="urn:microsoft.com/office/officeart/2005/8/layout/list1"/>
    <dgm:cxn modelId="{1AFBD5BF-C6C5-4855-A288-C28433460510}" type="presParOf" srcId="{97C73620-CAF1-4E98-9CEF-25B8C2ED988F}" destId="{B75EA958-AA54-46D1-99D2-9C80300C201B}" srcOrd="3" destOrd="0" presId="urn:microsoft.com/office/officeart/2005/8/layout/list1"/>
    <dgm:cxn modelId="{69022E6D-67BA-42F1-B064-68F57B840A8D}" type="presParOf" srcId="{97C73620-CAF1-4E98-9CEF-25B8C2ED988F}" destId="{BEB2AE8C-E864-4F5E-9200-FDD5A4C9D4E8}" srcOrd="4" destOrd="0" presId="urn:microsoft.com/office/officeart/2005/8/layout/list1"/>
    <dgm:cxn modelId="{CA64BCAD-32E5-44A4-B572-2748E5A4CDE0}" type="presParOf" srcId="{BEB2AE8C-E864-4F5E-9200-FDD5A4C9D4E8}" destId="{E8B6B204-FAF2-4A3A-B1F7-20FF6F3F2A64}" srcOrd="0" destOrd="0" presId="urn:microsoft.com/office/officeart/2005/8/layout/list1"/>
    <dgm:cxn modelId="{1D1B901D-88E6-45DC-846B-64A68512835E}" type="presParOf" srcId="{BEB2AE8C-E864-4F5E-9200-FDD5A4C9D4E8}" destId="{CCAC6BD9-7EBF-4C33-9834-EDB8A8C76673}" srcOrd="1" destOrd="0" presId="urn:microsoft.com/office/officeart/2005/8/layout/list1"/>
    <dgm:cxn modelId="{BFD000D2-6D04-4466-A8C3-3F5E9653796F}" type="presParOf" srcId="{97C73620-CAF1-4E98-9CEF-25B8C2ED988F}" destId="{7B767FE2-D899-4443-B8D8-852797FA914C}" srcOrd="5" destOrd="0" presId="urn:microsoft.com/office/officeart/2005/8/layout/list1"/>
    <dgm:cxn modelId="{C56C6429-D64F-4515-B4D6-FB3D02BEF918}" type="presParOf" srcId="{97C73620-CAF1-4E98-9CEF-25B8C2ED988F}" destId="{1F5B1575-9EDE-4043-BE7A-CE7206BD2452}" srcOrd="6" destOrd="0" presId="urn:microsoft.com/office/officeart/2005/8/layout/list1"/>
    <dgm:cxn modelId="{EE120955-A287-42CB-A5A2-F0429092A2A3}" type="presParOf" srcId="{97C73620-CAF1-4E98-9CEF-25B8C2ED988F}" destId="{4665F646-D3C0-4DC7-A48D-43978744CBAA}" srcOrd="7" destOrd="0" presId="urn:microsoft.com/office/officeart/2005/8/layout/list1"/>
    <dgm:cxn modelId="{95481E5C-AA65-4E1B-962D-0BF609DCD130}" type="presParOf" srcId="{97C73620-CAF1-4E98-9CEF-25B8C2ED988F}" destId="{D0E3CB52-3F9D-44A5-92E2-1459FE3A746E}" srcOrd="8" destOrd="0" presId="urn:microsoft.com/office/officeart/2005/8/layout/list1"/>
    <dgm:cxn modelId="{82A6FFF7-525E-48B4-BBDF-3388EF09D785}" type="presParOf" srcId="{D0E3CB52-3F9D-44A5-92E2-1459FE3A746E}" destId="{E80A794C-2602-4363-AC9D-6D9B02810101}" srcOrd="0" destOrd="0" presId="urn:microsoft.com/office/officeart/2005/8/layout/list1"/>
    <dgm:cxn modelId="{2F2EC5A5-3039-440C-BDF3-B305B68D5D1E}" type="presParOf" srcId="{D0E3CB52-3F9D-44A5-92E2-1459FE3A746E}" destId="{AB39B429-B7ED-495C-98E1-7BA7C493938D}" srcOrd="1" destOrd="0" presId="urn:microsoft.com/office/officeart/2005/8/layout/list1"/>
    <dgm:cxn modelId="{EFD1D29D-B660-404D-885B-1E0DA4DE3C08}" type="presParOf" srcId="{97C73620-CAF1-4E98-9CEF-25B8C2ED988F}" destId="{224F2994-139B-4FD4-B5A4-61377008E07D}" srcOrd="9" destOrd="0" presId="urn:microsoft.com/office/officeart/2005/8/layout/list1"/>
    <dgm:cxn modelId="{02F84C46-AEED-4415-99FD-36295583B6ED}" type="presParOf" srcId="{97C73620-CAF1-4E98-9CEF-25B8C2ED988F}" destId="{B962ADCE-1C91-4C1A-A0E9-1EE0F4A3E0C2}" srcOrd="10" destOrd="0" presId="urn:microsoft.com/office/officeart/2005/8/layout/list1"/>
    <dgm:cxn modelId="{8F269FE6-F787-4958-9D3D-780BE74AEF24}" type="presParOf" srcId="{97C73620-CAF1-4E98-9CEF-25B8C2ED988F}" destId="{6914E303-6B7E-4691-B8CF-5FD68A2D2534}" srcOrd="11" destOrd="0" presId="urn:microsoft.com/office/officeart/2005/8/layout/list1"/>
    <dgm:cxn modelId="{CC87BDFF-67A9-40D9-AF8B-6FBF2B3F6F4E}" type="presParOf" srcId="{97C73620-CAF1-4E98-9CEF-25B8C2ED988F}" destId="{19C232BF-64A6-403F-BB1E-F330DDCC22B4}" srcOrd="12" destOrd="0" presId="urn:microsoft.com/office/officeart/2005/8/layout/list1"/>
    <dgm:cxn modelId="{3EA53A5B-B3CF-4F18-B30C-82E9114199D9}" type="presParOf" srcId="{19C232BF-64A6-403F-BB1E-F330DDCC22B4}" destId="{F7072308-FBC3-4575-9B54-EBD138B49C2A}" srcOrd="0" destOrd="0" presId="urn:microsoft.com/office/officeart/2005/8/layout/list1"/>
    <dgm:cxn modelId="{2E51B6D9-6D7B-4238-883B-D77A184C2117}" type="presParOf" srcId="{19C232BF-64A6-403F-BB1E-F330DDCC22B4}" destId="{1CE3C098-D80E-4CE2-9920-11EFDC5CF757}" srcOrd="1" destOrd="0" presId="urn:microsoft.com/office/officeart/2005/8/layout/list1"/>
    <dgm:cxn modelId="{1C17B257-6357-421E-BA35-BAE6053FEACB}" type="presParOf" srcId="{97C73620-CAF1-4E98-9CEF-25B8C2ED988F}" destId="{08275381-CE95-4C18-9ED3-6B4096E94E18}" srcOrd="13" destOrd="0" presId="urn:microsoft.com/office/officeart/2005/8/layout/list1"/>
    <dgm:cxn modelId="{768F9D14-68CA-48CC-8B59-E964C2021143}" type="presParOf" srcId="{97C73620-CAF1-4E98-9CEF-25B8C2ED988F}" destId="{826B6C43-753B-47BB-9A89-DB6FDAB47EBB}" srcOrd="14"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DD8FF9-1B82-4B4F-8D2C-A7579F320501}">
      <dsp:nvSpPr>
        <dsp:cNvPr id="0" name=""/>
        <dsp:cNvSpPr/>
      </dsp:nvSpPr>
      <dsp:spPr>
        <a:xfrm>
          <a:off x="0" y="133689"/>
          <a:ext cx="6200775" cy="220876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1249" tIns="166624" rIns="481249"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 </a:t>
          </a:r>
        </a:p>
        <a:p>
          <a:pPr marL="57150" lvl="1" indent="-57150" algn="l" defTabSz="444500">
            <a:lnSpc>
              <a:spcPct val="90000"/>
            </a:lnSpc>
            <a:spcBef>
              <a:spcPct val="0"/>
            </a:spcBef>
            <a:spcAft>
              <a:spcPct val="15000"/>
            </a:spcAft>
            <a:buChar char="•"/>
          </a:pPr>
          <a:r>
            <a:rPr lang="en-US" sz="1000" kern="1200"/>
            <a:t>M&amp;S had a strong free cashfow which aowed it to invest in the acquisition. </a:t>
          </a:r>
        </a:p>
        <a:p>
          <a:pPr marL="57150" lvl="1" indent="-57150" algn="l" defTabSz="444500">
            <a:lnSpc>
              <a:spcPct val="90000"/>
            </a:lnSpc>
            <a:spcBef>
              <a:spcPct val="0"/>
            </a:spcBef>
            <a:spcAft>
              <a:spcPct val="15000"/>
            </a:spcAft>
            <a:buChar char="•"/>
          </a:pPr>
          <a:r>
            <a:rPr lang="en-US" sz="1000" kern="1200"/>
            <a:t> The company had a positie track record of succesfuly developing new roducts, a factor that provides extensie product lines sold at Ocado Retail. </a:t>
          </a:r>
        </a:p>
        <a:p>
          <a:pPr marL="57150" lvl="1" indent="-57150" algn="l" defTabSz="444500">
            <a:lnSpc>
              <a:spcPct val="90000"/>
            </a:lnSpc>
            <a:spcBef>
              <a:spcPct val="0"/>
            </a:spcBef>
            <a:spcAft>
              <a:spcPct val="15000"/>
            </a:spcAft>
            <a:buChar char="•"/>
          </a:pPr>
          <a:r>
            <a:rPr lang="en-US" sz="1000" kern="1200"/>
            <a:t>Marks and Spencer had a remarkabe history of succesful mergers and acquisitions that have proven succesful. For example, the company had iegrated other technology companies in previous years to expand its capabilities. </a:t>
          </a:r>
        </a:p>
        <a:p>
          <a:pPr marL="57150" lvl="1" indent="-57150" algn="l" defTabSz="444500">
            <a:lnSpc>
              <a:spcPct val="90000"/>
            </a:lnSpc>
            <a:spcBef>
              <a:spcPct val="0"/>
            </a:spcBef>
            <a:spcAft>
              <a:spcPct val="15000"/>
            </a:spcAft>
            <a:buChar char="•"/>
          </a:pPr>
          <a:r>
            <a:rPr lang="en-US" sz="1000" kern="1200"/>
            <a:t>The company's strong brand portforlio and large customer base sered as a remarkable aspect in the success of Ocado Retail. </a:t>
          </a:r>
        </a:p>
        <a:p>
          <a:pPr marL="57150" lvl="1" indent="-57150" algn="l" defTabSz="444500">
            <a:lnSpc>
              <a:spcPct val="90000"/>
            </a:lnSpc>
            <a:spcBef>
              <a:spcPct val="0"/>
            </a:spcBef>
            <a:spcAft>
              <a:spcPct val="15000"/>
            </a:spcAft>
            <a:buChar char="•"/>
          </a:pPr>
          <a:r>
            <a:rPr lang="en-US" sz="1000" kern="1200"/>
            <a:t>The company's adoption of automation gave it a platform of experience that led to a better control of operations at Ocado Retail. </a:t>
          </a:r>
        </a:p>
        <a:p>
          <a:pPr marL="57150" lvl="1" indent="-57150" algn="l" defTabSz="444500">
            <a:lnSpc>
              <a:spcPct val="90000"/>
            </a:lnSpc>
            <a:spcBef>
              <a:spcPct val="0"/>
            </a:spcBef>
            <a:spcAft>
              <a:spcPct val="15000"/>
            </a:spcAft>
            <a:buChar char="•"/>
          </a:pPr>
          <a:r>
            <a:rPr lang="en-US" sz="1000" kern="1200"/>
            <a:t>The company had a history of achieving good returns after investing its capital in different projects. Such history helped in convincing the reluctan stakeholders regarding the need for the acquisition. </a:t>
          </a:r>
        </a:p>
        <a:p>
          <a:pPr marL="57150" lvl="1" indent="-57150" algn="l" defTabSz="444500">
            <a:lnSpc>
              <a:spcPct val="90000"/>
            </a:lnSpc>
            <a:spcBef>
              <a:spcPct val="0"/>
            </a:spcBef>
            <a:spcAft>
              <a:spcPct val="15000"/>
            </a:spcAft>
            <a:buChar char="•"/>
          </a:pPr>
          <a:endParaRPr lang="en-US" sz="1000" kern="1200"/>
        </a:p>
      </dsp:txBody>
      <dsp:txXfrm>
        <a:off x="0" y="133689"/>
        <a:ext cx="6200775" cy="2208760"/>
      </dsp:txXfrm>
    </dsp:sp>
    <dsp:sp modelId="{9B1AF710-9AF3-4888-A77A-4FA05A2FFC91}">
      <dsp:nvSpPr>
        <dsp:cNvPr id="0" name=""/>
        <dsp:cNvSpPr/>
      </dsp:nvSpPr>
      <dsp:spPr>
        <a:xfrm>
          <a:off x="310038" y="15725"/>
          <a:ext cx="4340542" cy="23592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062" tIns="0" rIns="164062" bIns="0" numCol="1" spcCol="1270" anchor="ctr" anchorCtr="0">
          <a:noAutofit/>
        </a:bodyPr>
        <a:lstStyle/>
        <a:p>
          <a:pPr marL="0" lvl="0" indent="0" algn="l" defTabSz="622300">
            <a:lnSpc>
              <a:spcPct val="90000"/>
            </a:lnSpc>
            <a:spcBef>
              <a:spcPct val="0"/>
            </a:spcBef>
            <a:spcAft>
              <a:spcPct val="35000"/>
            </a:spcAft>
            <a:buNone/>
          </a:pPr>
          <a:r>
            <a:rPr lang="en-US" sz="1400" b="1" kern="1200"/>
            <a:t>Strengths</a:t>
          </a:r>
          <a:endParaRPr lang="en-US" sz="800" b="1" kern="1200"/>
        </a:p>
      </dsp:txBody>
      <dsp:txXfrm>
        <a:off x="321555" y="27242"/>
        <a:ext cx="4317508" cy="212895"/>
      </dsp:txXfrm>
    </dsp:sp>
    <dsp:sp modelId="{1F5B1575-9EDE-4043-BE7A-CE7206BD2452}">
      <dsp:nvSpPr>
        <dsp:cNvPr id="0" name=""/>
        <dsp:cNvSpPr/>
      </dsp:nvSpPr>
      <dsp:spPr>
        <a:xfrm>
          <a:off x="0" y="2503572"/>
          <a:ext cx="6200775" cy="1661575"/>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1249" tIns="166624" rIns="481249" bIns="71120" numCol="1" spcCol="1270" anchor="t"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The company needed inestment in new technologies as a way of fostering the achievement of its long-term goals. </a:t>
          </a:r>
        </a:p>
        <a:p>
          <a:pPr marL="57150" lvl="1" indent="-57150" algn="l" defTabSz="444500">
            <a:lnSpc>
              <a:spcPct val="90000"/>
            </a:lnSpc>
            <a:spcBef>
              <a:spcPct val="0"/>
            </a:spcBef>
            <a:spcAft>
              <a:spcPct val="15000"/>
            </a:spcAft>
            <a:buChar char="•"/>
          </a:pPr>
          <a:r>
            <a:rPr lang="en-US" sz="1000" kern="1200"/>
            <a:t> M&amp;S lacked significance success in integrating with companies that have a different culture.</a:t>
          </a:r>
        </a:p>
        <a:p>
          <a:pPr marL="57150" lvl="1" indent="-57150" algn="l" defTabSz="444500">
            <a:lnSpc>
              <a:spcPct val="90000"/>
            </a:lnSpc>
            <a:spcBef>
              <a:spcPct val="0"/>
            </a:spcBef>
            <a:spcAft>
              <a:spcPct val="15000"/>
            </a:spcAft>
            <a:buChar char="•"/>
          </a:pPr>
          <a:r>
            <a:rPr lang="en-US" sz="1000" kern="1200"/>
            <a:t> For a merger to meet the "One Business" concept, the interation of cultures is key. </a:t>
          </a:r>
        </a:p>
        <a:p>
          <a:pPr marL="57150" lvl="1" indent="-57150" algn="l" defTabSz="444500">
            <a:lnSpc>
              <a:spcPct val="90000"/>
            </a:lnSpc>
            <a:spcBef>
              <a:spcPct val="0"/>
            </a:spcBef>
            <a:spcAft>
              <a:spcPct val="15000"/>
            </a:spcAft>
            <a:buChar char="•"/>
          </a:pPr>
          <a:r>
            <a:rPr lang="en-US" sz="1000" kern="1200"/>
            <a:t> The lack of proper fianncial planning has been a major setback at M&amp;S.</a:t>
          </a:r>
        </a:p>
        <a:p>
          <a:pPr marL="57150" lvl="1" indent="-57150" algn="l" defTabSz="444500">
            <a:lnSpc>
              <a:spcPct val="90000"/>
            </a:lnSpc>
            <a:spcBef>
              <a:spcPct val="0"/>
            </a:spcBef>
            <a:spcAft>
              <a:spcPct val="15000"/>
            </a:spcAft>
            <a:buChar char="•"/>
          </a:pPr>
          <a:r>
            <a:rPr lang="en-US" sz="1000" kern="1200"/>
            <a:t> The lack of adequate marketing may compromise the success of products in the market, which was an important aspect to Ocado Retail.</a:t>
          </a:r>
        </a:p>
        <a:p>
          <a:pPr marL="57150" lvl="1" indent="-57150" algn="l" defTabSz="444500">
            <a:lnSpc>
              <a:spcPct val="90000"/>
            </a:lnSpc>
            <a:spcBef>
              <a:spcPct val="0"/>
            </a:spcBef>
            <a:spcAft>
              <a:spcPct val="15000"/>
            </a:spcAft>
            <a:buChar char="•"/>
          </a:pPr>
          <a:endParaRPr lang="en-US" sz="1000" kern="1200"/>
        </a:p>
      </dsp:txBody>
      <dsp:txXfrm>
        <a:off x="0" y="2503572"/>
        <a:ext cx="6200775" cy="1661575"/>
      </dsp:txXfrm>
    </dsp:sp>
    <dsp:sp modelId="{CCAC6BD9-7EBF-4C33-9834-EDB8A8C76673}">
      <dsp:nvSpPr>
        <dsp:cNvPr id="0" name=""/>
        <dsp:cNvSpPr/>
      </dsp:nvSpPr>
      <dsp:spPr>
        <a:xfrm>
          <a:off x="310038" y="2385608"/>
          <a:ext cx="4340542" cy="23592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062" tIns="0" rIns="164062" bIns="0" numCol="1" spcCol="1270" anchor="ctr" anchorCtr="0">
          <a:noAutofit/>
        </a:bodyPr>
        <a:lstStyle/>
        <a:p>
          <a:pPr marL="0" lvl="0" indent="0" algn="l" defTabSz="622300">
            <a:lnSpc>
              <a:spcPct val="90000"/>
            </a:lnSpc>
            <a:spcBef>
              <a:spcPct val="0"/>
            </a:spcBef>
            <a:spcAft>
              <a:spcPct val="35000"/>
            </a:spcAft>
            <a:buNone/>
          </a:pPr>
          <a:r>
            <a:rPr lang="en-US" sz="1400" b="1" kern="1200"/>
            <a:t>Weaknesses</a:t>
          </a:r>
          <a:endParaRPr lang="en-US" sz="800" b="1" kern="1200"/>
        </a:p>
      </dsp:txBody>
      <dsp:txXfrm>
        <a:off x="321555" y="2397125"/>
        <a:ext cx="4317508" cy="212895"/>
      </dsp:txXfrm>
    </dsp:sp>
    <dsp:sp modelId="{B962ADCE-1C91-4C1A-A0E9-1EE0F4A3E0C2}">
      <dsp:nvSpPr>
        <dsp:cNvPr id="0" name=""/>
        <dsp:cNvSpPr/>
      </dsp:nvSpPr>
      <dsp:spPr>
        <a:xfrm>
          <a:off x="0" y="4326271"/>
          <a:ext cx="6200775" cy="881138"/>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1249" tIns="166624" rIns="481249"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 M&amp;S had the opportunity of considering an acquisition to enhance its capabilities. </a:t>
          </a:r>
        </a:p>
        <a:p>
          <a:pPr marL="57150" lvl="1" indent="-57150" algn="l" defTabSz="444500">
            <a:lnSpc>
              <a:spcPct val="90000"/>
            </a:lnSpc>
            <a:spcBef>
              <a:spcPct val="0"/>
            </a:spcBef>
            <a:spcAft>
              <a:spcPct val="15000"/>
            </a:spcAft>
            <a:buChar char="•"/>
          </a:pPr>
          <a:r>
            <a:rPr lang="en-US" sz="1000" kern="1200"/>
            <a:t> M&amp;S could venture into new markets and projects because of the significance market support. </a:t>
          </a:r>
        </a:p>
        <a:p>
          <a:pPr marL="57150" lvl="1" indent="-57150" algn="l" defTabSz="444500">
            <a:lnSpc>
              <a:spcPct val="90000"/>
            </a:lnSpc>
            <a:spcBef>
              <a:spcPct val="0"/>
            </a:spcBef>
            <a:spcAft>
              <a:spcPct val="15000"/>
            </a:spcAft>
            <a:buChar char="•"/>
          </a:pPr>
          <a:r>
            <a:rPr lang="en-US" sz="1000" kern="1200"/>
            <a:t> the availability of stable cashfow placed M&amp;S in a position to make an acquisition. </a:t>
          </a:r>
        </a:p>
        <a:p>
          <a:pPr marL="57150" lvl="1" indent="-57150" algn="l" defTabSz="444500">
            <a:lnSpc>
              <a:spcPct val="90000"/>
            </a:lnSpc>
            <a:spcBef>
              <a:spcPct val="0"/>
            </a:spcBef>
            <a:spcAft>
              <a:spcPct val="15000"/>
            </a:spcAft>
            <a:buChar char="•"/>
          </a:pPr>
          <a:r>
            <a:rPr lang="en-US" sz="1000" kern="1200"/>
            <a:t> Pursuing new technology would give M&amp;S a competitive advantage in the market. </a:t>
          </a:r>
        </a:p>
      </dsp:txBody>
      <dsp:txXfrm>
        <a:off x="0" y="4326271"/>
        <a:ext cx="6200775" cy="881138"/>
      </dsp:txXfrm>
    </dsp:sp>
    <dsp:sp modelId="{AB39B429-B7ED-495C-98E1-7BA7C493938D}">
      <dsp:nvSpPr>
        <dsp:cNvPr id="0" name=""/>
        <dsp:cNvSpPr/>
      </dsp:nvSpPr>
      <dsp:spPr>
        <a:xfrm>
          <a:off x="310038" y="4208306"/>
          <a:ext cx="4340542" cy="23592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062" tIns="0" rIns="164062" bIns="0" numCol="1" spcCol="1270" anchor="ctr" anchorCtr="0">
          <a:noAutofit/>
        </a:bodyPr>
        <a:lstStyle/>
        <a:p>
          <a:pPr marL="0" lvl="0" indent="0" algn="l" defTabSz="622300">
            <a:lnSpc>
              <a:spcPct val="90000"/>
            </a:lnSpc>
            <a:spcBef>
              <a:spcPct val="0"/>
            </a:spcBef>
            <a:spcAft>
              <a:spcPct val="35000"/>
            </a:spcAft>
            <a:buNone/>
          </a:pPr>
          <a:r>
            <a:rPr lang="en-US" sz="1400" b="1" kern="1200"/>
            <a:t>Opportunities</a:t>
          </a:r>
          <a:r>
            <a:rPr lang="en-US" sz="800" kern="1200"/>
            <a:t> </a:t>
          </a:r>
        </a:p>
      </dsp:txBody>
      <dsp:txXfrm>
        <a:off x="321555" y="4219823"/>
        <a:ext cx="4317508" cy="212895"/>
      </dsp:txXfrm>
    </dsp:sp>
    <dsp:sp modelId="{826B6C43-753B-47BB-9A89-DB6FDAB47EBB}">
      <dsp:nvSpPr>
        <dsp:cNvPr id="0" name=""/>
        <dsp:cNvSpPr/>
      </dsp:nvSpPr>
      <dsp:spPr>
        <a:xfrm>
          <a:off x="0" y="5368532"/>
          <a:ext cx="6200775" cy="940342"/>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1249" tIns="166624" rIns="481249" bIns="71120" numCol="1" spcCol="1270" anchor="t"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M&amp;S faced excessive competition in the industry.</a:t>
          </a:r>
        </a:p>
        <a:p>
          <a:pPr marL="57150" lvl="1" indent="-57150" algn="l" defTabSz="444500">
            <a:lnSpc>
              <a:spcPct val="90000"/>
            </a:lnSpc>
            <a:spcBef>
              <a:spcPct val="0"/>
            </a:spcBef>
            <a:spcAft>
              <a:spcPct val="15000"/>
            </a:spcAft>
            <a:buChar char="•"/>
          </a:pPr>
          <a:r>
            <a:rPr lang="en-US" sz="1000" kern="1200"/>
            <a:t> The company faced the compulsion to pay a higher production cost due to emerging labor laws. </a:t>
          </a:r>
        </a:p>
        <a:p>
          <a:pPr marL="57150" lvl="1" indent="-57150" algn="l" defTabSz="444500">
            <a:lnSpc>
              <a:spcPct val="90000"/>
            </a:lnSpc>
            <a:spcBef>
              <a:spcPct val="0"/>
            </a:spcBef>
            <a:spcAft>
              <a:spcPct val="15000"/>
            </a:spcAft>
            <a:buChar char="•"/>
          </a:pPr>
          <a:r>
            <a:rPr lang="en-US" sz="1000" kern="1200"/>
            <a:t> The existence of counterfeit products threatened to alter the performance of M&amp;S in the market. </a:t>
          </a:r>
        </a:p>
      </dsp:txBody>
      <dsp:txXfrm>
        <a:off x="0" y="5368532"/>
        <a:ext cx="6200775" cy="940342"/>
      </dsp:txXfrm>
    </dsp:sp>
    <dsp:sp modelId="{1CE3C098-D80E-4CE2-9920-11EFDC5CF757}">
      <dsp:nvSpPr>
        <dsp:cNvPr id="0" name=""/>
        <dsp:cNvSpPr/>
      </dsp:nvSpPr>
      <dsp:spPr>
        <a:xfrm>
          <a:off x="310038" y="5256911"/>
          <a:ext cx="4340542" cy="23592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4062" tIns="0" rIns="164062" bIns="0" numCol="1" spcCol="1270" anchor="ctr" anchorCtr="0">
          <a:noAutofit/>
        </a:bodyPr>
        <a:lstStyle/>
        <a:p>
          <a:pPr marL="0" lvl="0" indent="0" algn="l" defTabSz="622300">
            <a:lnSpc>
              <a:spcPct val="90000"/>
            </a:lnSpc>
            <a:spcBef>
              <a:spcPct val="0"/>
            </a:spcBef>
            <a:spcAft>
              <a:spcPct val="35000"/>
            </a:spcAft>
            <a:buNone/>
          </a:pPr>
          <a:r>
            <a:rPr lang="en-US" sz="1400" b="1" kern="1200"/>
            <a:t>Threats</a:t>
          </a:r>
          <a:r>
            <a:rPr lang="en-US" sz="800" kern="1200"/>
            <a:t> </a:t>
          </a:r>
        </a:p>
      </dsp:txBody>
      <dsp:txXfrm>
        <a:off x="321555" y="5268428"/>
        <a:ext cx="4317508" cy="212895"/>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D71AF7-3733-2A43-BF8F-446A4674EAFC}">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89D8E-8085-445E-8D9F-DAB0068D3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19298</Words>
  <Characters>109999</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2021-06-24T13:32:00Z</dcterms:created>
  <dcterms:modified xsi:type="dcterms:W3CDTF">2021-06-24T13:32:00Z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documentId_1567</vt:lpwstr>
  </property>
  <property fmtid="{D5CDD505-2E9C-101B-9397-08002B2CF9AE}" pid="3" name="grammarly_documentContext">
    <vt:lpwstr>{"goals":[],"domain":"general","emotions":[],"dialect":"british"}</vt:lpwstr>
  </property>
</Properties>
</file>