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68903"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The Role of Play in Early Years Curricula</w:t>
      </w:r>
    </w:p>
    <w:p w14:paraId="1943136E"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Moyles (2013) articulates that play is the opportunity to experience opportunities that can support learning.  This is supported by Early Years Matters (2020) who state that play underpins every aspect of a child’s learning and development.  As recent research has demonstrated, play and its inclusion in early years curricula is proving beneficial to children’s learning outcomes all over the world. </w:t>
      </w:r>
      <w:proofErr w:type="spellStart"/>
      <w:r>
        <w:rPr>
          <w:rFonts w:ascii="Arial" w:hAnsi="Arial" w:cs="Arial"/>
          <w:sz w:val="24"/>
          <w:szCs w:val="24"/>
        </w:rPr>
        <w:t>Skouteris</w:t>
      </w:r>
      <w:proofErr w:type="spellEnd"/>
      <w:r>
        <w:rPr>
          <w:rFonts w:ascii="Arial" w:hAnsi="Arial" w:cs="Arial"/>
          <w:sz w:val="24"/>
          <w:szCs w:val="24"/>
        </w:rPr>
        <w:t xml:space="preserve"> et al. (2014) and Weiland et al. (2018) discuss how play is an important aspect that influences many early years curricula. Van </w:t>
      </w:r>
      <w:proofErr w:type="spellStart"/>
      <w:r>
        <w:rPr>
          <w:rFonts w:ascii="Arial" w:hAnsi="Arial" w:cs="Arial"/>
          <w:sz w:val="24"/>
          <w:szCs w:val="24"/>
        </w:rPr>
        <w:t>Oers</w:t>
      </w:r>
      <w:proofErr w:type="spellEnd"/>
      <w:r>
        <w:rPr>
          <w:rFonts w:ascii="Arial" w:hAnsi="Arial" w:cs="Arial"/>
          <w:sz w:val="24"/>
          <w:szCs w:val="24"/>
        </w:rPr>
        <w:t xml:space="preserve"> and </w:t>
      </w:r>
      <w:bookmarkStart w:id="0" w:name="_Hlk35120989"/>
      <w:proofErr w:type="spellStart"/>
      <w:r>
        <w:rPr>
          <w:rFonts w:ascii="Arial" w:hAnsi="Arial" w:cs="Arial"/>
          <w:sz w:val="24"/>
          <w:szCs w:val="24"/>
        </w:rPr>
        <w:t>Duijkers</w:t>
      </w:r>
      <w:proofErr w:type="spellEnd"/>
      <w:r>
        <w:rPr>
          <w:rFonts w:ascii="Arial" w:hAnsi="Arial" w:cs="Arial"/>
          <w:sz w:val="24"/>
          <w:szCs w:val="24"/>
        </w:rPr>
        <w:t xml:space="preserve"> (2013</w:t>
      </w:r>
      <w:bookmarkEnd w:id="0"/>
      <w:r>
        <w:rPr>
          <w:rFonts w:ascii="Arial" w:hAnsi="Arial" w:cs="Arial"/>
          <w:sz w:val="24"/>
          <w:szCs w:val="24"/>
        </w:rPr>
        <w:t xml:space="preserve">) support this by stating that the benefits of play in academic learning are evident </w:t>
      </w:r>
      <w:bookmarkStart w:id="1" w:name="_GoBack"/>
      <w:bookmarkEnd w:id="1"/>
      <w:r>
        <w:rPr>
          <w:rFonts w:ascii="Arial" w:hAnsi="Arial" w:cs="Arial"/>
          <w:sz w:val="24"/>
          <w:szCs w:val="24"/>
        </w:rPr>
        <w:t xml:space="preserve">and that play can be effective in attaining learning outcomes in early years curricula. Hedges and Cooper (2018) support this further by discussing the importance of combining play, learning and teaching to form a vision for early years curricula.    </w:t>
      </w:r>
    </w:p>
    <w:p w14:paraId="3D4D268C"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Two such early years curricula are the Foundation Phase in Wales and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in New Zealand, both of which use play as it’s ethos. This narrative aims to compare the role of play within these two curricula. Whalley (2013) states that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has impacted and influenced educational policy in the UK.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is described as a national curriculum for New Zealand for children aged 0-5 yeas, which can be adapted within different settings to reflect cultural influences (Wood, 2013). Ministry of Education (2017) describe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as a rich variety of play-based, engaging opportunities to support children’s learning. Similarly, Waters (2016) describes the pedagogy and priorities of the Foundation Phase in Wales as being play and experiential learning. Welsh Government (2015) describe the Foundation Phase curriculum as an opportunity for children to use play to consolidate and practice their learning. McNerney (2016) argue that Foundation Stage and Foundation Phase curricula, although purporting to be a play-based curriculum, is, in fact, in contradiction, a very outcome centred curriculum. The Foundation Phase is aimed at 3-7-year olds unlike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is aimed at children from birth to 5 years old (Nutbrown, 2014).</w:t>
      </w:r>
    </w:p>
    <w:p w14:paraId="53CC9C8E"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In a paper discussing the challenge of implementing play in early years curricula, Pyle and Bigelow (2015) discuss the increasing difficulty of balancing play-based pedagogy and academic standards within early years curricula. The study identified different approaches to integrating play, those approaches were influenced by the practitioners’ </w:t>
      </w:r>
      <w:r>
        <w:rPr>
          <w:rFonts w:ascii="Arial" w:hAnsi="Arial" w:cs="Arial"/>
          <w:sz w:val="24"/>
          <w:szCs w:val="24"/>
        </w:rPr>
        <w:lastRenderedPageBreak/>
        <w:t xml:space="preserve">interpretation of play. This was a small qualitative study which consisted of only 3 kindergarten settings, therefore would need to be repeated with a larger cohort for its relevance to be further justified. This is supported by Taylor et al. (2015) who identified that practitioner’s attitudes and interpretations of the curriculum and its ethos could affect its implementation. Wainwright et al. (2016) and Wainwright et al. (2019) support this further by defining the difficulties that practitioners face in delivering a play-based curriculum when there is so much ambiguity in interpreting play as a pedagogy. </w:t>
      </w:r>
    </w:p>
    <w:p w14:paraId="6B9EC94D"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Play allows children to make sense of the world around them (Bruce, 2015). This links to the theories of Vygotsky. Wood (2013) supports this by stating that children can develop realistic theories, make connections and discover new ways to see the world through play, which creates opportunities for Zone of Proximal Development (ZPD) of which Vygotsky theorised. </w:t>
      </w:r>
      <w:proofErr w:type="spellStart"/>
      <w:r>
        <w:rPr>
          <w:rFonts w:ascii="Arial" w:hAnsi="Arial" w:cs="Arial"/>
          <w:sz w:val="24"/>
          <w:szCs w:val="24"/>
        </w:rPr>
        <w:t>Conkbayir</w:t>
      </w:r>
      <w:proofErr w:type="spellEnd"/>
      <w:r>
        <w:rPr>
          <w:rFonts w:ascii="Arial" w:hAnsi="Arial" w:cs="Arial"/>
          <w:sz w:val="24"/>
          <w:szCs w:val="24"/>
        </w:rPr>
        <w:t xml:space="preserve"> and Pascal (2016) discuss Vygotsky’s socio-constructivist theory of children learning from others through interaction and imitation. Gibbons (2013) believes that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supports Vygotsky’s theory because well-being, holistic development community, family and sociocultural considerations underpin its methodology. This approach also supports Bronfenbrenner’s ecosystem theory. Bruce (2015) discusses how Bronfenbrenner’s system describes how relationships within the system support children’s development. </w:t>
      </w:r>
      <w:proofErr w:type="spellStart"/>
      <w:r>
        <w:rPr>
          <w:rFonts w:ascii="Arial" w:hAnsi="Arial" w:cs="Arial"/>
          <w:sz w:val="24"/>
          <w:szCs w:val="24"/>
        </w:rPr>
        <w:t>Conkbayir</w:t>
      </w:r>
      <w:proofErr w:type="spellEnd"/>
      <w:r>
        <w:rPr>
          <w:rFonts w:ascii="Arial" w:hAnsi="Arial" w:cs="Arial"/>
          <w:sz w:val="24"/>
          <w:szCs w:val="24"/>
        </w:rPr>
        <w:t xml:space="preserve"> and Pascal (2016) discuss this further by stating that a child can also impact on their relationship’s and environment.  </w:t>
      </w:r>
    </w:p>
    <w:p w14:paraId="459D8762" w14:textId="77777777" w:rsidR="00415A08" w:rsidRDefault="00415A08" w:rsidP="00415A08">
      <w:pPr>
        <w:spacing w:line="360" w:lineRule="auto"/>
        <w:jc w:val="both"/>
        <w:rPr>
          <w:rFonts w:ascii="Arial" w:hAnsi="Arial" w:cs="Arial"/>
          <w:sz w:val="24"/>
          <w:szCs w:val="24"/>
        </w:rPr>
      </w:pPr>
      <w:proofErr w:type="spellStart"/>
      <w:r>
        <w:rPr>
          <w:rFonts w:ascii="Arial" w:hAnsi="Arial" w:cs="Arial"/>
          <w:sz w:val="24"/>
          <w:szCs w:val="24"/>
        </w:rPr>
        <w:t>Nutkins</w:t>
      </w:r>
      <w:proofErr w:type="spellEnd"/>
      <w:r>
        <w:rPr>
          <w:rFonts w:ascii="Arial" w:hAnsi="Arial" w:cs="Arial"/>
          <w:sz w:val="24"/>
          <w:szCs w:val="24"/>
        </w:rPr>
        <w:t xml:space="preserve">, McDonald and Stephen (2013) and </w:t>
      </w:r>
      <w:proofErr w:type="spellStart"/>
      <w:r>
        <w:rPr>
          <w:rFonts w:ascii="Arial" w:hAnsi="Arial" w:cs="Arial"/>
          <w:sz w:val="24"/>
          <w:szCs w:val="24"/>
        </w:rPr>
        <w:t>Conkbayir</w:t>
      </w:r>
      <w:proofErr w:type="spellEnd"/>
      <w:r>
        <w:rPr>
          <w:rFonts w:ascii="Arial" w:hAnsi="Arial" w:cs="Arial"/>
          <w:sz w:val="24"/>
          <w:szCs w:val="24"/>
        </w:rPr>
        <w:t xml:space="preserve"> and Pascal (2016) believe that there are very clear links between play and the social-constructivist learning theories of Vygotsky, Bruner and Bandura. Providing opportunities for engaging and interacting with others, extending or building on current knowledge or skill level, revisiting learning situations and experiencing success can all be achieved through a play-based curriculum such as Foundation Phase and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When considering play, socio-cultural factors and their impact on children’s play should be considered, for example gender, class, disability, formal education, environment, family situations, pollution and media (</w:t>
      </w:r>
      <w:proofErr w:type="spellStart"/>
      <w:r>
        <w:rPr>
          <w:rFonts w:ascii="Arial" w:hAnsi="Arial" w:cs="Arial"/>
          <w:sz w:val="24"/>
          <w:szCs w:val="24"/>
        </w:rPr>
        <w:t>Nutkins</w:t>
      </w:r>
      <w:proofErr w:type="spellEnd"/>
      <w:r>
        <w:rPr>
          <w:rFonts w:ascii="Arial" w:hAnsi="Arial" w:cs="Arial"/>
          <w:sz w:val="24"/>
          <w:szCs w:val="24"/>
        </w:rPr>
        <w:t xml:space="preserve">, McDonald and Stephen, 2013).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is focused on delivering an early </w:t>
      </w:r>
      <w:proofErr w:type="gramStart"/>
      <w:r>
        <w:rPr>
          <w:rFonts w:ascii="Arial" w:hAnsi="Arial" w:cs="Arial"/>
          <w:sz w:val="24"/>
          <w:szCs w:val="24"/>
        </w:rPr>
        <w:t>years</w:t>
      </w:r>
      <w:proofErr w:type="gramEnd"/>
      <w:r>
        <w:rPr>
          <w:rFonts w:ascii="Arial" w:hAnsi="Arial" w:cs="Arial"/>
          <w:sz w:val="24"/>
          <w:szCs w:val="24"/>
        </w:rPr>
        <w:t xml:space="preserve"> curriculum that incorporates learning in a socio-cultural context (Nutbrown, 2014). </w:t>
      </w:r>
    </w:p>
    <w:p w14:paraId="475F908B"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lastRenderedPageBreak/>
        <w:t xml:space="preserve">Froebel was a pioneer in utilising play in early years education because he believed that play enables children to reach their learning potential (Bruce, 2015). </w:t>
      </w:r>
      <w:proofErr w:type="spellStart"/>
      <w:r>
        <w:rPr>
          <w:rFonts w:ascii="Arial" w:hAnsi="Arial" w:cs="Arial"/>
          <w:sz w:val="24"/>
          <w:szCs w:val="24"/>
        </w:rPr>
        <w:t>Conkbayir</w:t>
      </w:r>
      <w:proofErr w:type="spellEnd"/>
      <w:r>
        <w:rPr>
          <w:rFonts w:ascii="Arial" w:hAnsi="Arial" w:cs="Arial"/>
          <w:sz w:val="24"/>
          <w:szCs w:val="24"/>
        </w:rPr>
        <w:t xml:space="preserve"> and Pascal (2016) discuss Froebel’s belief that the outside environment can be beneficial in children’s learning. According to Bruce (2015) play and the ability to learn through active play outdoors is a fundamental principle of early years education. This is supported by </w:t>
      </w:r>
      <w:proofErr w:type="spellStart"/>
      <w:r>
        <w:rPr>
          <w:rFonts w:ascii="Arial" w:hAnsi="Arial" w:cs="Arial"/>
          <w:sz w:val="24"/>
          <w:szCs w:val="24"/>
        </w:rPr>
        <w:t>Bilton</w:t>
      </w:r>
      <w:proofErr w:type="spellEnd"/>
      <w:r>
        <w:rPr>
          <w:rFonts w:ascii="Arial" w:hAnsi="Arial" w:cs="Arial"/>
          <w:sz w:val="24"/>
          <w:szCs w:val="24"/>
        </w:rPr>
        <w:t xml:space="preserve"> and Waters (2016) who state that the outdoors has a vast and important role in children’s play. Both the Foundation Phase and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place a big emphasis on accessing the outdoors for play experiences. Welsh Government (2015) emphasize the importance of using the outdoor environment as a resource for play opportunities. The Ministry of Education (2017) state that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will respond to individual’s needs and providing regular access to play in the outdoors.  </w:t>
      </w:r>
    </w:p>
    <w:p w14:paraId="38390B73" w14:textId="77777777" w:rsidR="00415A08" w:rsidRDefault="00415A08" w:rsidP="00415A08">
      <w:pPr>
        <w:spacing w:line="360" w:lineRule="auto"/>
        <w:jc w:val="both"/>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is based on four principles; empowering children to grow and learn, a holistic approach to learning, incorporating family and communities as part of the curriculum and learning through responsive and reciprocal relationships (Blaiklock, 2010; Nutbrown, 2014). This can be compared and likened to the philosophy of the Foundation Phase. Welsh Government (2015) articulate that the aims of the Foundation Phase are to support children to grow and develop through active learning, providing a holistic approach to learning, support development of children’s cultural identity and be respectful of and build positive relationships with others. </w:t>
      </w:r>
    </w:p>
    <w:p w14:paraId="7F790447"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Foundation Phase identified 7 areas of learning; knowledge and understanding, personal and social, creative, physical, mathematical, language, literacy and communication and Welsh, which support a holistic approach to learning (Welsh Government, 2015). For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social, intellectual, cultural, spiritual, emotional and physical woven into all areas (Ministry of Education, 2017).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has a philosophy of learning how to learn (Ministry of Education, 2017). In an ever-changing world it is unclear what skills individuals will require in the future, therefore giving children the ability to continually learn new skills will prepare them for future learning. Through individualised learning stories,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Wahriki</w:t>
      </w:r>
      <w:proofErr w:type="spellEnd"/>
      <w:r>
        <w:rPr>
          <w:rFonts w:ascii="Arial" w:hAnsi="Arial" w:cs="Arial"/>
          <w:sz w:val="24"/>
          <w:szCs w:val="24"/>
        </w:rPr>
        <w:t xml:space="preserve"> can create confident and competent learners and the approach allows children to be able and independent to achieve positive outcomes. This is achieved through thoughtful and intentional pedagogy-understanding the child can be undertaken through responding through play to challenge the children.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places an emphasis on providing children </w:t>
      </w:r>
      <w:r>
        <w:rPr>
          <w:rFonts w:ascii="Arial" w:hAnsi="Arial" w:cs="Arial"/>
          <w:sz w:val="24"/>
          <w:szCs w:val="24"/>
        </w:rPr>
        <w:lastRenderedPageBreak/>
        <w:t xml:space="preserve">with the skills to become informed citizens of the future. Ministry of Education (2017) discusses its aims of supporting children to become resilient and adaptive, preparing them for contributing to society in the future. This is not as evident within the Foundation Phase framework. Foundation Phase makes no mention of focusing on creating global citizens. In contrast to the Foundation Phase, the New Curriculum for Wales, like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focuses on developing individuals to contribute to society. Welsh Government (2020) outline the purposes of the new curriculum to develop individuals to be ambitious and able to learn throughout their life, to be enterprising and participate fully in life, to be ethically informed, to be healthy and confident and ready to contribute to society. However, Soler and Miller (2003) argue that by introducing a curriculum that focuses on creating good citizens for the future, that the needs of society are being placed before the needs of the child. Robinson (2010) supports the view that educational reforms being undertaken in many parts of the world are focused on providing children with the skills they will need to create a well-balanced and effective economy. </w:t>
      </w:r>
    </w:p>
    <w:p w14:paraId="60A61F43"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Nutbrown (2014) discusses the philosophy of play within curricula in the UK. Nutbrown (2014) further discusses the unique child and the philosophy that every child is a competent learner. For children to achieve the self-actualization as demonstrated in Maslow’s 1943 hierarchy of needs theory, they need to possess high levels self-esteem and feelings of worth (Taormina and Gao, 2013). This theory forms part of the Foundation Phase ethos. Children’s feelings of self-worth and self-esteem are central to its approach and children’s uniqueness should be considered and practitioners should facilitate every individual’s learning (Welsh Government, 2015). Similarly, Ministry of Education (2017) discuss how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holistic approach will promote and develop children’s self-esteem and self-confidence.</w:t>
      </w:r>
      <w:r w:rsidRPr="00E9157E">
        <w:rPr>
          <w:rFonts w:ascii="Arial" w:hAnsi="Arial" w:cs="Arial"/>
          <w:sz w:val="24"/>
          <w:szCs w:val="24"/>
        </w:rPr>
        <w:t xml:space="preserve"> </w:t>
      </w:r>
      <w:r>
        <w:rPr>
          <w:rFonts w:ascii="Arial" w:hAnsi="Arial" w:cs="Arial"/>
          <w:sz w:val="24"/>
          <w:szCs w:val="24"/>
        </w:rPr>
        <w:t xml:space="preserve">Smidt (2019) believes that early years curricula and teaching should focus on the needs of the child. </w:t>
      </w:r>
    </w:p>
    <w:p w14:paraId="600A36C3" w14:textId="77777777" w:rsidR="00415A08" w:rsidRDefault="00415A08" w:rsidP="00415A08">
      <w:pPr>
        <w:spacing w:line="360" w:lineRule="auto"/>
        <w:jc w:val="both"/>
      </w:pPr>
      <w:r>
        <w:rPr>
          <w:rFonts w:ascii="Arial" w:hAnsi="Arial" w:cs="Arial"/>
          <w:sz w:val="24"/>
          <w:szCs w:val="24"/>
        </w:rPr>
        <w:t xml:space="preserve">Both Foundation Phase and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intend to listen to the individuals voice and include child led and child-initiated learning. Welsh Government (2015) state that children should have access a range of child-initiated activities and experiences. Ministry of Education (2017) discuss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and the idea that children will develop if they can actively participate in their learning. However, McNerney (2016) argue that it may be difficult to achieve a ‘child led’ approach as the Foundation Phase is divided </w:t>
      </w:r>
      <w:r>
        <w:rPr>
          <w:rFonts w:ascii="Arial" w:hAnsi="Arial" w:cs="Arial"/>
          <w:sz w:val="24"/>
          <w:szCs w:val="24"/>
        </w:rPr>
        <w:lastRenderedPageBreak/>
        <w:t xml:space="preserve">into subject areas that will require specific and focused teaching of the subject; a contradiction to child initiated. </w:t>
      </w:r>
    </w:p>
    <w:p w14:paraId="02E3C67D"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The principles of the United Nations Convention on the Rights of the Child (UNCRC) are upheld in and inform all policies from the Welsh Government, this includes the Foundation Phase (Welsh Government, 2015). Ministry of Education (2017) articulate how its practitioners are central in upholding children’s rights according to the UNCRC.</w:t>
      </w:r>
    </w:p>
    <w:p w14:paraId="77424F3F" w14:textId="77777777" w:rsidR="00415A08" w:rsidRPr="0048509D" w:rsidRDefault="00415A08" w:rsidP="00415A08">
      <w:pPr>
        <w:spacing w:line="360" w:lineRule="auto"/>
        <w:jc w:val="both"/>
        <w:rPr>
          <w:rFonts w:ascii="Arial" w:hAnsi="Arial" w:cs="Arial"/>
          <w:sz w:val="24"/>
          <w:szCs w:val="24"/>
        </w:rPr>
      </w:pPr>
      <w:proofErr w:type="spellStart"/>
      <w:r>
        <w:rPr>
          <w:rFonts w:ascii="Arial" w:hAnsi="Arial" w:cs="Arial"/>
          <w:sz w:val="24"/>
          <w:szCs w:val="24"/>
        </w:rPr>
        <w:t>Nutkins</w:t>
      </w:r>
      <w:proofErr w:type="spellEnd"/>
      <w:r>
        <w:rPr>
          <w:rFonts w:ascii="Arial" w:hAnsi="Arial" w:cs="Arial"/>
          <w:sz w:val="24"/>
          <w:szCs w:val="24"/>
        </w:rPr>
        <w:t xml:space="preserve">, McDonald and Stephen (2013) articulate the importance of early years practitioners defining how play correlates to learning theory in order to deliver an effective play-based curriculum. Knowing when to interfere, interact or disturb play is a vital role of the adult when implementing a play-based curriculum, as doing so can affect or alter the outcomes. </w:t>
      </w:r>
      <w:proofErr w:type="spellStart"/>
      <w:r>
        <w:rPr>
          <w:rFonts w:ascii="Arial" w:hAnsi="Arial" w:cs="Arial"/>
          <w:sz w:val="24"/>
          <w:szCs w:val="24"/>
        </w:rPr>
        <w:t>Nutkins</w:t>
      </w:r>
      <w:proofErr w:type="spellEnd"/>
      <w:r>
        <w:rPr>
          <w:rFonts w:ascii="Arial" w:hAnsi="Arial" w:cs="Arial"/>
          <w:sz w:val="24"/>
          <w:szCs w:val="24"/>
        </w:rPr>
        <w:t>, McDonald and Stephen (2013) believe that interacting with children effectively during play is one of the most important facets of the practitioner’s role. Developing a reflective practice and observing others can help develop a practitioner’s skills in this area. Ministry of Education (2017) discuss the importance of practitioners using reflective practice to support children’s needs. Rousseau (2015) supports this by stating that developing reflective practice is fundamental to education practice.</w:t>
      </w:r>
    </w:p>
    <w:p w14:paraId="45E719AD"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t>Extended roles of the adult include; providing an inviting provision, stimulating and engaging activities, providing sufficient and effective spaces, allowing time and opportunities to complete their play, providing choice and levels of challenge, role modelling and providing opportunities for critical thinking and problem solving in play will support children’s learning (</w:t>
      </w:r>
      <w:proofErr w:type="spellStart"/>
      <w:r>
        <w:rPr>
          <w:rFonts w:ascii="Arial" w:hAnsi="Arial" w:cs="Arial"/>
          <w:sz w:val="24"/>
          <w:szCs w:val="24"/>
        </w:rPr>
        <w:t>Nutkins</w:t>
      </w:r>
      <w:proofErr w:type="spellEnd"/>
      <w:r>
        <w:rPr>
          <w:rFonts w:ascii="Arial" w:hAnsi="Arial" w:cs="Arial"/>
          <w:sz w:val="24"/>
          <w:szCs w:val="24"/>
        </w:rPr>
        <w:t xml:space="preserve">, McDonald and Stephen, 2013; Bruce, 2015). Welsh Government (2015) state that the practitioner’s role is vital and must promote opportunities for sustained shared thinking. Ministry of Education (2017) support this approach with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stating that practitioners have a significant role to play in supporting children to access it’s inviting and engaging provision. </w:t>
      </w:r>
    </w:p>
    <w:p w14:paraId="4DD0E115" w14:textId="77777777" w:rsidR="00415A08" w:rsidRDefault="00415A08" w:rsidP="00415A08">
      <w:pPr>
        <w:spacing w:line="360" w:lineRule="auto"/>
        <w:jc w:val="both"/>
        <w:rPr>
          <w:rFonts w:ascii="Arial" w:hAnsi="Arial" w:cs="Arial"/>
          <w:sz w:val="24"/>
          <w:szCs w:val="24"/>
        </w:rPr>
      </w:pPr>
      <w:proofErr w:type="spellStart"/>
      <w:r>
        <w:rPr>
          <w:rFonts w:ascii="Arial" w:hAnsi="Arial" w:cs="Arial"/>
          <w:sz w:val="24"/>
          <w:szCs w:val="24"/>
        </w:rPr>
        <w:t>Doyla</w:t>
      </w:r>
      <w:proofErr w:type="spellEnd"/>
      <w:r>
        <w:rPr>
          <w:rFonts w:ascii="Arial" w:hAnsi="Arial" w:cs="Arial"/>
          <w:sz w:val="24"/>
          <w:szCs w:val="24"/>
        </w:rPr>
        <w:t xml:space="preserve"> (2010) and Van </w:t>
      </w:r>
      <w:proofErr w:type="spellStart"/>
      <w:r>
        <w:rPr>
          <w:rFonts w:ascii="Arial" w:hAnsi="Arial" w:cs="Arial"/>
          <w:sz w:val="24"/>
          <w:szCs w:val="24"/>
        </w:rPr>
        <w:t>Oers</w:t>
      </w:r>
      <w:proofErr w:type="spellEnd"/>
      <w:r>
        <w:rPr>
          <w:rFonts w:ascii="Arial" w:hAnsi="Arial" w:cs="Arial"/>
          <w:sz w:val="24"/>
          <w:szCs w:val="24"/>
        </w:rPr>
        <w:t xml:space="preserve"> and </w:t>
      </w:r>
      <w:proofErr w:type="spellStart"/>
      <w:r>
        <w:rPr>
          <w:rFonts w:ascii="Arial" w:hAnsi="Arial" w:cs="Arial"/>
          <w:sz w:val="24"/>
          <w:szCs w:val="24"/>
        </w:rPr>
        <w:t>Duijkers</w:t>
      </w:r>
      <w:proofErr w:type="spellEnd"/>
      <w:r>
        <w:rPr>
          <w:rFonts w:ascii="Arial" w:hAnsi="Arial" w:cs="Arial"/>
          <w:sz w:val="24"/>
          <w:szCs w:val="24"/>
        </w:rPr>
        <w:t xml:space="preserve"> (2013) discuss Vygotsky’s ideas on the importance of the role of the adult and how play can support the acquiring of knowledge. Vygotsky’s theory on the ZPD and the role that capable peers or practitioners can have an impact on what a child can do collaboratively through play is vital. </w:t>
      </w:r>
      <w:proofErr w:type="spellStart"/>
      <w:r>
        <w:rPr>
          <w:rFonts w:ascii="Arial" w:hAnsi="Arial" w:cs="Arial"/>
          <w:sz w:val="24"/>
          <w:szCs w:val="24"/>
        </w:rPr>
        <w:t>Palaiologou</w:t>
      </w:r>
      <w:proofErr w:type="spellEnd"/>
      <w:r>
        <w:rPr>
          <w:rFonts w:ascii="Arial" w:hAnsi="Arial" w:cs="Arial"/>
          <w:sz w:val="24"/>
          <w:szCs w:val="24"/>
        </w:rPr>
        <w:t xml:space="preserve"> (2010) support this by stating that using play collaboratively could allow a child to achieve and further their learning than if they used play independently. </w:t>
      </w:r>
    </w:p>
    <w:p w14:paraId="6157B74C" w14:textId="77777777" w:rsidR="00415A08" w:rsidRDefault="00415A08" w:rsidP="00415A08">
      <w:pPr>
        <w:spacing w:line="360" w:lineRule="auto"/>
        <w:jc w:val="both"/>
        <w:rPr>
          <w:rFonts w:ascii="Arial" w:hAnsi="Arial" w:cs="Arial"/>
          <w:sz w:val="24"/>
          <w:szCs w:val="24"/>
        </w:rPr>
      </w:pPr>
      <w:r>
        <w:rPr>
          <w:rFonts w:ascii="Arial" w:hAnsi="Arial" w:cs="Arial"/>
          <w:sz w:val="24"/>
          <w:szCs w:val="24"/>
        </w:rPr>
        <w:lastRenderedPageBreak/>
        <w:t xml:space="preserve">Like many countries of the world, New Zealand and the United Kingdom are made up of multicultural and diverse families and as such it is important that any early year’s curricula incorporate this consideration in its approach. According to Chan (2019) New Zealand has a diverse and varied population and describes its early years settings as linguistically and ethnically diverse. </w:t>
      </w:r>
      <w:proofErr w:type="spellStart"/>
      <w:r>
        <w:rPr>
          <w:rFonts w:ascii="Arial" w:hAnsi="Arial" w:cs="Arial"/>
          <w:sz w:val="24"/>
          <w:szCs w:val="24"/>
        </w:rPr>
        <w:t>Ongley</w:t>
      </w:r>
      <w:proofErr w:type="spellEnd"/>
      <w:r>
        <w:rPr>
          <w:rFonts w:ascii="Arial" w:hAnsi="Arial" w:cs="Arial"/>
          <w:sz w:val="24"/>
          <w:szCs w:val="24"/>
        </w:rPr>
        <w:t xml:space="preserve"> (2013) undertook research that aimed to identify strategies for practitioners to embrace and integrate a bicultural approach in a natural way within early years curricula. The research identified the need for a whole team approach to ensure a that cultural considerations are embraced, respected and done justice. Glynn (2015) and </w:t>
      </w:r>
      <w:proofErr w:type="spellStart"/>
      <w:r>
        <w:rPr>
          <w:rFonts w:ascii="Arial" w:hAnsi="Arial" w:cs="Arial"/>
          <w:sz w:val="24"/>
          <w:szCs w:val="24"/>
        </w:rPr>
        <w:t>Siteine</w:t>
      </w:r>
      <w:proofErr w:type="spellEnd"/>
      <w:r>
        <w:rPr>
          <w:rFonts w:ascii="Arial" w:hAnsi="Arial" w:cs="Arial"/>
          <w:sz w:val="24"/>
          <w:szCs w:val="24"/>
        </w:rPr>
        <w:t xml:space="preserve"> (2016) identified a need for practitioners to accept bicultural approaches as a pedagogy and the need for research and training for practitioners. Lourie (2016) support this further by articulating the need to embrace biculturalism in order to improve children’s outcomes. New Zealand, since 1982, has provided ‘Maori immersion’ settings whereby children are immersed in Maori language and culture </w:t>
      </w:r>
      <w:proofErr w:type="gramStart"/>
      <w:r>
        <w:rPr>
          <w:rFonts w:ascii="Arial" w:hAnsi="Arial" w:cs="Arial"/>
          <w:sz w:val="24"/>
          <w:szCs w:val="24"/>
        </w:rPr>
        <w:t>in an attempt to</w:t>
      </w:r>
      <w:proofErr w:type="gramEnd"/>
      <w:r>
        <w:rPr>
          <w:rFonts w:ascii="Arial" w:hAnsi="Arial" w:cs="Arial"/>
          <w:sz w:val="24"/>
          <w:szCs w:val="24"/>
        </w:rPr>
        <w:t xml:space="preserve"> prolong the Maori way of life (Whalley, 2013). This approach is </w:t>
      </w:r>
      <w:proofErr w:type="gramStart"/>
      <w:r>
        <w:rPr>
          <w:rFonts w:ascii="Arial" w:hAnsi="Arial" w:cs="Arial"/>
          <w:sz w:val="24"/>
          <w:szCs w:val="24"/>
        </w:rPr>
        <w:t>similar to</w:t>
      </w:r>
      <w:proofErr w:type="gramEnd"/>
      <w:r>
        <w:rPr>
          <w:rFonts w:ascii="Arial" w:hAnsi="Arial" w:cs="Arial"/>
          <w:sz w:val="24"/>
          <w:szCs w:val="24"/>
        </w:rPr>
        <w:t xml:space="preserve"> the Nursery Movement, ‘</w:t>
      </w:r>
      <w:proofErr w:type="spellStart"/>
      <w:r>
        <w:rPr>
          <w:rFonts w:ascii="Arial" w:hAnsi="Arial" w:cs="Arial"/>
          <w:sz w:val="24"/>
          <w:szCs w:val="24"/>
        </w:rPr>
        <w:t>Mudiad</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in Wales. </w:t>
      </w:r>
      <w:proofErr w:type="spellStart"/>
      <w:r>
        <w:rPr>
          <w:rFonts w:ascii="Arial" w:hAnsi="Arial" w:cs="Arial"/>
          <w:sz w:val="24"/>
          <w:szCs w:val="24"/>
        </w:rPr>
        <w:t>Mudiad</w:t>
      </w:r>
      <w:proofErr w:type="spellEnd"/>
      <w:r>
        <w:rPr>
          <w:rFonts w:ascii="Arial" w:hAnsi="Arial" w:cs="Arial"/>
          <w:sz w:val="24"/>
          <w:szCs w:val="24"/>
        </w:rPr>
        <w:t xml:space="preserve"> </w:t>
      </w:r>
      <w:proofErr w:type="spellStart"/>
      <w:r>
        <w:rPr>
          <w:rFonts w:ascii="Arial" w:hAnsi="Arial" w:cs="Arial"/>
          <w:sz w:val="24"/>
          <w:szCs w:val="24"/>
        </w:rPr>
        <w:t>Meithrin</w:t>
      </w:r>
      <w:proofErr w:type="spellEnd"/>
      <w:r>
        <w:rPr>
          <w:rFonts w:ascii="Arial" w:hAnsi="Arial" w:cs="Arial"/>
          <w:sz w:val="24"/>
          <w:szCs w:val="24"/>
        </w:rPr>
        <w:t xml:space="preserve"> (no date) discuss how early years settings in Wales providing Foundation Phase curriculum offer experiences and opportunities for children to learn through play through immersion of the Welsh language. Both approaches support children to embrace their culture in a positive way. Both curricula therefore support Lourie (2016) who emphasized the need to embrace all cultures to promote positive outcomes. Robinson (2010) support these ideas by discussing the aims of curricula to produce culturally aware global citizens.</w:t>
      </w:r>
    </w:p>
    <w:p w14:paraId="7D1FC230" w14:textId="466994A3" w:rsidR="00415A08" w:rsidRDefault="00415A08" w:rsidP="00415A08">
      <w:pPr>
        <w:spacing w:line="360" w:lineRule="auto"/>
        <w:jc w:val="both"/>
        <w:rPr>
          <w:rFonts w:ascii="Arial" w:hAnsi="Arial" w:cs="Arial"/>
          <w:sz w:val="24"/>
          <w:szCs w:val="24"/>
        </w:rPr>
      </w:pPr>
      <w:r>
        <w:rPr>
          <w:rFonts w:ascii="Arial" w:hAnsi="Arial" w:cs="Arial"/>
          <w:sz w:val="24"/>
          <w:szCs w:val="24"/>
        </w:rPr>
        <w:t xml:space="preserve"> </w:t>
      </w:r>
    </w:p>
    <w:p w14:paraId="5B780BF4" w14:textId="276F6835" w:rsidR="00415A08" w:rsidRDefault="00415A08" w:rsidP="00415A08">
      <w:pPr>
        <w:spacing w:line="360" w:lineRule="auto"/>
        <w:jc w:val="both"/>
        <w:rPr>
          <w:rFonts w:ascii="Arial" w:hAnsi="Arial" w:cs="Arial"/>
          <w:sz w:val="24"/>
          <w:szCs w:val="24"/>
        </w:rPr>
      </w:pPr>
    </w:p>
    <w:p w14:paraId="77FD878D" w14:textId="5446254E" w:rsidR="00415A08" w:rsidRDefault="00415A08" w:rsidP="00415A08">
      <w:pPr>
        <w:spacing w:line="360" w:lineRule="auto"/>
        <w:jc w:val="both"/>
        <w:rPr>
          <w:rFonts w:ascii="Arial" w:hAnsi="Arial" w:cs="Arial"/>
          <w:sz w:val="24"/>
          <w:szCs w:val="24"/>
        </w:rPr>
      </w:pPr>
    </w:p>
    <w:p w14:paraId="22120F8F" w14:textId="29EB9BD8" w:rsidR="00415A08" w:rsidRDefault="00415A08" w:rsidP="00415A08">
      <w:pPr>
        <w:spacing w:line="360" w:lineRule="auto"/>
        <w:jc w:val="both"/>
        <w:rPr>
          <w:rFonts w:ascii="Arial" w:hAnsi="Arial" w:cs="Arial"/>
          <w:sz w:val="24"/>
          <w:szCs w:val="24"/>
        </w:rPr>
      </w:pPr>
    </w:p>
    <w:p w14:paraId="4EC67E77" w14:textId="2FEE82A2" w:rsidR="00415A08" w:rsidRDefault="00415A08" w:rsidP="00415A08">
      <w:pPr>
        <w:spacing w:line="360" w:lineRule="auto"/>
        <w:jc w:val="both"/>
        <w:rPr>
          <w:rFonts w:ascii="Arial" w:hAnsi="Arial" w:cs="Arial"/>
          <w:sz w:val="24"/>
          <w:szCs w:val="24"/>
        </w:rPr>
      </w:pPr>
    </w:p>
    <w:p w14:paraId="6C164DCD" w14:textId="2EB3A038" w:rsidR="00415A08" w:rsidRDefault="00415A08" w:rsidP="00415A08">
      <w:pPr>
        <w:spacing w:line="360" w:lineRule="auto"/>
        <w:jc w:val="both"/>
        <w:rPr>
          <w:rFonts w:ascii="Arial" w:hAnsi="Arial" w:cs="Arial"/>
          <w:sz w:val="24"/>
          <w:szCs w:val="24"/>
        </w:rPr>
      </w:pPr>
    </w:p>
    <w:p w14:paraId="3C1649CE" w14:textId="3E1A25EC" w:rsidR="00415A08" w:rsidRDefault="00415A08" w:rsidP="00415A08">
      <w:pPr>
        <w:spacing w:line="360" w:lineRule="auto"/>
        <w:jc w:val="both"/>
        <w:rPr>
          <w:rFonts w:ascii="Arial" w:hAnsi="Arial" w:cs="Arial"/>
          <w:sz w:val="24"/>
          <w:szCs w:val="24"/>
        </w:rPr>
      </w:pPr>
    </w:p>
    <w:p w14:paraId="0C2DB085" w14:textId="4FD9935D" w:rsidR="00415A08" w:rsidRDefault="00415A08" w:rsidP="00415A08">
      <w:pPr>
        <w:spacing w:line="360" w:lineRule="auto"/>
        <w:jc w:val="both"/>
        <w:rPr>
          <w:rFonts w:ascii="Arial" w:hAnsi="Arial" w:cs="Arial"/>
          <w:sz w:val="24"/>
          <w:szCs w:val="24"/>
        </w:rPr>
      </w:pPr>
    </w:p>
    <w:p w14:paraId="68F747B3" w14:textId="718693F6" w:rsidR="00415A08" w:rsidRDefault="00415A08" w:rsidP="00415A08">
      <w:pPr>
        <w:spacing w:line="360" w:lineRule="auto"/>
        <w:jc w:val="both"/>
        <w:rPr>
          <w:rFonts w:ascii="Arial" w:hAnsi="Arial" w:cs="Arial"/>
          <w:sz w:val="24"/>
          <w:szCs w:val="24"/>
        </w:rPr>
      </w:pPr>
    </w:p>
    <w:p w14:paraId="52E740D2" w14:textId="0CAEAD41" w:rsidR="00415A08" w:rsidRDefault="00415A08" w:rsidP="00415A08">
      <w:pPr>
        <w:spacing w:line="360" w:lineRule="auto"/>
        <w:jc w:val="both"/>
        <w:rPr>
          <w:rFonts w:ascii="Arial" w:hAnsi="Arial" w:cs="Arial"/>
          <w:sz w:val="24"/>
          <w:szCs w:val="24"/>
        </w:rPr>
      </w:pPr>
    </w:p>
    <w:p w14:paraId="24395ED9" w14:textId="47F86234" w:rsidR="00415A08" w:rsidRDefault="00415A08" w:rsidP="00415A08">
      <w:pPr>
        <w:spacing w:line="360" w:lineRule="auto"/>
        <w:jc w:val="both"/>
        <w:rPr>
          <w:rFonts w:ascii="Arial" w:hAnsi="Arial" w:cs="Arial"/>
          <w:sz w:val="24"/>
          <w:szCs w:val="24"/>
        </w:rPr>
      </w:pPr>
    </w:p>
    <w:p w14:paraId="1EDC47A6" w14:textId="03B56E38" w:rsidR="00415A08" w:rsidRDefault="00415A08" w:rsidP="00415A08">
      <w:pPr>
        <w:spacing w:line="360" w:lineRule="auto"/>
        <w:jc w:val="both"/>
        <w:rPr>
          <w:rFonts w:ascii="Arial" w:hAnsi="Arial" w:cs="Arial"/>
          <w:sz w:val="24"/>
          <w:szCs w:val="24"/>
        </w:rPr>
      </w:pPr>
    </w:p>
    <w:p w14:paraId="625215AF" w14:textId="0216D563" w:rsidR="00415A08" w:rsidRDefault="00415A08" w:rsidP="00415A08">
      <w:pPr>
        <w:spacing w:line="360" w:lineRule="auto"/>
        <w:jc w:val="both"/>
        <w:rPr>
          <w:rFonts w:ascii="Arial" w:hAnsi="Arial" w:cs="Arial"/>
          <w:sz w:val="24"/>
          <w:szCs w:val="24"/>
        </w:rPr>
      </w:pPr>
    </w:p>
    <w:p w14:paraId="4104DF47" w14:textId="72F675FE" w:rsidR="00415A08" w:rsidRDefault="00415A08" w:rsidP="00415A08">
      <w:pPr>
        <w:spacing w:line="360" w:lineRule="auto"/>
        <w:jc w:val="both"/>
        <w:rPr>
          <w:rFonts w:ascii="Arial" w:hAnsi="Arial" w:cs="Arial"/>
          <w:sz w:val="24"/>
          <w:szCs w:val="24"/>
        </w:rPr>
      </w:pPr>
    </w:p>
    <w:p w14:paraId="741981E3" w14:textId="1198E1F8" w:rsidR="00415A08" w:rsidRDefault="00415A08" w:rsidP="00415A08">
      <w:pPr>
        <w:spacing w:line="360" w:lineRule="auto"/>
        <w:jc w:val="both"/>
        <w:rPr>
          <w:rFonts w:ascii="Arial" w:hAnsi="Arial" w:cs="Arial"/>
          <w:sz w:val="24"/>
          <w:szCs w:val="24"/>
        </w:rPr>
      </w:pPr>
    </w:p>
    <w:p w14:paraId="3121AE5A" w14:textId="742A8291" w:rsidR="00415A08" w:rsidRDefault="00415A08" w:rsidP="00415A08">
      <w:pPr>
        <w:spacing w:line="360" w:lineRule="auto"/>
        <w:jc w:val="both"/>
        <w:rPr>
          <w:rFonts w:ascii="Arial" w:hAnsi="Arial" w:cs="Arial"/>
          <w:sz w:val="24"/>
          <w:szCs w:val="24"/>
        </w:rPr>
      </w:pPr>
    </w:p>
    <w:p w14:paraId="1DDFE6A5" w14:textId="31A0060F" w:rsidR="00415A08" w:rsidRDefault="00415A08" w:rsidP="00415A08">
      <w:pPr>
        <w:spacing w:line="360" w:lineRule="auto"/>
        <w:jc w:val="both"/>
        <w:rPr>
          <w:rFonts w:ascii="Arial" w:hAnsi="Arial" w:cs="Arial"/>
          <w:sz w:val="24"/>
          <w:szCs w:val="24"/>
        </w:rPr>
      </w:pPr>
    </w:p>
    <w:p w14:paraId="6315372D" w14:textId="3FF2AF5C" w:rsidR="00415A08" w:rsidRDefault="00415A08" w:rsidP="00415A08">
      <w:pPr>
        <w:spacing w:line="360" w:lineRule="auto"/>
        <w:jc w:val="both"/>
        <w:rPr>
          <w:rFonts w:ascii="Arial" w:hAnsi="Arial" w:cs="Arial"/>
          <w:sz w:val="24"/>
          <w:szCs w:val="24"/>
        </w:rPr>
      </w:pPr>
    </w:p>
    <w:p w14:paraId="5C3E397B" w14:textId="5A301473" w:rsidR="00415A08" w:rsidRDefault="00415A08" w:rsidP="00415A08">
      <w:pPr>
        <w:spacing w:line="360" w:lineRule="auto"/>
        <w:jc w:val="both"/>
        <w:rPr>
          <w:rFonts w:ascii="Arial" w:hAnsi="Arial" w:cs="Arial"/>
          <w:sz w:val="24"/>
          <w:szCs w:val="24"/>
        </w:rPr>
      </w:pPr>
    </w:p>
    <w:p w14:paraId="018D67C8" w14:textId="28D31BA1" w:rsidR="00415A08" w:rsidRDefault="00415A08" w:rsidP="00415A08">
      <w:pPr>
        <w:spacing w:line="360" w:lineRule="auto"/>
        <w:jc w:val="both"/>
        <w:rPr>
          <w:rFonts w:ascii="Arial" w:hAnsi="Arial" w:cs="Arial"/>
          <w:sz w:val="24"/>
          <w:szCs w:val="24"/>
        </w:rPr>
      </w:pPr>
    </w:p>
    <w:p w14:paraId="45D7BD44" w14:textId="0084AD84" w:rsidR="00415A08" w:rsidRDefault="00415A08" w:rsidP="00415A08">
      <w:pPr>
        <w:spacing w:line="360" w:lineRule="auto"/>
        <w:jc w:val="both"/>
        <w:rPr>
          <w:rFonts w:ascii="Arial" w:hAnsi="Arial" w:cs="Arial"/>
          <w:sz w:val="24"/>
          <w:szCs w:val="24"/>
        </w:rPr>
      </w:pPr>
    </w:p>
    <w:p w14:paraId="7D01479D" w14:textId="352547C0" w:rsidR="00415A08" w:rsidRDefault="00415A08" w:rsidP="00415A08">
      <w:pPr>
        <w:spacing w:line="360" w:lineRule="auto"/>
        <w:jc w:val="both"/>
        <w:rPr>
          <w:rFonts w:ascii="Arial" w:hAnsi="Arial" w:cs="Arial"/>
          <w:sz w:val="24"/>
          <w:szCs w:val="24"/>
        </w:rPr>
      </w:pPr>
    </w:p>
    <w:p w14:paraId="723E5D8C" w14:textId="5D97CB07" w:rsidR="00415A08" w:rsidRDefault="00415A08" w:rsidP="00415A08">
      <w:pPr>
        <w:spacing w:line="360" w:lineRule="auto"/>
        <w:jc w:val="both"/>
        <w:rPr>
          <w:rFonts w:ascii="Arial" w:hAnsi="Arial" w:cs="Arial"/>
          <w:sz w:val="24"/>
          <w:szCs w:val="24"/>
        </w:rPr>
      </w:pPr>
    </w:p>
    <w:p w14:paraId="2354BF76" w14:textId="0541C546" w:rsidR="00415A08" w:rsidRDefault="00415A08" w:rsidP="00415A08">
      <w:pPr>
        <w:spacing w:line="360" w:lineRule="auto"/>
        <w:jc w:val="both"/>
        <w:rPr>
          <w:rFonts w:ascii="Arial" w:hAnsi="Arial" w:cs="Arial"/>
          <w:sz w:val="24"/>
          <w:szCs w:val="24"/>
        </w:rPr>
      </w:pPr>
    </w:p>
    <w:p w14:paraId="4739B2C5" w14:textId="0B8C0D15" w:rsidR="00415A08" w:rsidRDefault="00415A08" w:rsidP="00415A08">
      <w:pPr>
        <w:spacing w:line="360" w:lineRule="auto"/>
        <w:jc w:val="both"/>
        <w:rPr>
          <w:rFonts w:ascii="Arial" w:hAnsi="Arial" w:cs="Arial"/>
          <w:sz w:val="24"/>
          <w:szCs w:val="24"/>
        </w:rPr>
      </w:pPr>
    </w:p>
    <w:p w14:paraId="16DE861E" w14:textId="71CBFC2B" w:rsidR="00415A08" w:rsidRDefault="00415A08" w:rsidP="00415A08">
      <w:pPr>
        <w:spacing w:line="360" w:lineRule="auto"/>
        <w:jc w:val="both"/>
        <w:rPr>
          <w:rFonts w:ascii="Arial" w:hAnsi="Arial" w:cs="Arial"/>
          <w:sz w:val="24"/>
          <w:szCs w:val="24"/>
        </w:rPr>
      </w:pPr>
    </w:p>
    <w:p w14:paraId="39960491" w14:textId="4B3A0DC2" w:rsidR="00415A08" w:rsidRDefault="00415A08" w:rsidP="00415A08">
      <w:pPr>
        <w:spacing w:line="360" w:lineRule="auto"/>
        <w:jc w:val="both"/>
        <w:rPr>
          <w:rFonts w:ascii="Arial" w:hAnsi="Arial" w:cs="Arial"/>
          <w:sz w:val="24"/>
          <w:szCs w:val="24"/>
        </w:rPr>
      </w:pPr>
    </w:p>
    <w:p w14:paraId="0D2EB893" w14:textId="546BA4DC" w:rsidR="00415A08" w:rsidRDefault="00415A08" w:rsidP="00415A08">
      <w:pPr>
        <w:spacing w:line="360" w:lineRule="auto"/>
        <w:jc w:val="both"/>
        <w:rPr>
          <w:rFonts w:ascii="Arial" w:hAnsi="Arial" w:cs="Arial"/>
          <w:sz w:val="24"/>
          <w:szCs w:val="24"/>
        </w:rPr>
      </w:pPr>
    </w:p>
    <w:p w14:paraId="40A0745F" w14:textId="669D424B" w:rsidR="00415A08" w:rsidRDefault="00415A08" w:rsidP="00415A08">
      <w:pPr>
        <w:spacing w:line="360" w:lineRule="auto"/>
        <w:jc w:val="both"/>
        <w:rPr>
          <w:rFonts w:ascii="Arial" w:hAnsi="Arial" w:cs="Arial"/>
          <w:sz w:val="24"/>
          <w:szCs w:val="24"/>
        </w:rPr>
      </w:pPr>
    </w:p>
    <w:p w14:paraId="0C15D12A"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Ghaicha</w:t>
      </w:r>
      <w:proofErr w:type="spellEnd"/>
      <w:r w:rsidRPr="00415A08">
        <w:rPr>
          <w:rFonts w:ascii="Arial" w:eastAsiaTheme="minorHAnsi" w:hAnsi="Arial" w:cs="Arial"/>
          <w:sz w:val="24"/>
          <w:szCs w:val="24"/>
        </w:rPr>
        <w:t xml:space="preserve"> (2016) and Nutbrown (2011) define assessment in education as part of the educational process where teachers and practitioners evaluate and appraise individual’s capabilities by collating, measuring and comparing information relating to their performance. Beckley (2012) support this by stating that assessment plays a vital </w:t>
      </w:r>
      <w:r w:rsidRPr="00415A08">
        <w:rPr>
          <w:rFonts w:ascii="Arial" w:eastAsiaTheme="minorHAnsi" w:hAnsi="Arial" w:cs="Arial"/>
          <w:sz w:val="24"/>
          <w:szCs w:val="24"/>
        </w:rPr>
        <w:lastRenderedPageBreak/>
        <w:t xml:space="preserve">role in providing evidence of a child’s abilities in order to inform planning and to track progress and development. Assessment and evaluation are central to teaching and learning (Wood, 2013). However, Smidt (2019) articulates that the need to assess and grade children prevents practitioners and teachers from identifying individual’s interests, building on current knowledge and revisiting and extending prior experiences. This can be linked back to Vygotsky’s socio-cultural theories and Bruner’s scaffolding theory and spiral curriculum. Wood (2013) states that Vygotsky’s theories on learning leading development should be considered when using assessment methods. This is supported by Aubrey and Riley (2016) who state that Vygotsky theories can support a formative approach to assessment. </w:t>
      </w:r>
      <w:proofErr w:type="spellStart"/>
      <w:r w:rsidRPr="00415A08">
        <w:rPr>
          <w:rFonts w:ascii="Arial" w:eastAsiaTheme="minorHAnsi" w:hAnsi="Arial" w:cs="Arial"/>
          <w:sz w:val="24"/>
          <w:szCs w:val="24"/>
        </w:rPr>
        <w:t>Nutkins</w:t>
      </w:r>
      <w:proofErr w:type="spellEnd"/>
      <w:r w:rsidRPr="00415A08">
        <w:rPr>
          <w:rFonts w:ascii="Arial" w:eastAsiaTheme="minorHAnsi" w:hAnsi="Arial" w:cs="Arial"/>
          <w:sz w:val="24"/>
          <w:szCs w:val="24"/>
        </w:rPr>
        <w:t xml:space="preserve">, McDonald and Stephen (2013) discuss Bruner’s ideas on scaffolding and the ‘spiral curriculum’ which identified a need for children to be able to revisit learning in order to deepen or embed it further. By allowing children opportunities for this, there are excellent opportunities for assessing that learning. </w:t>
      </w:r>
    </w:p>
    <w:p w14:paraId="3C05E00C"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Assessment methods in early years curricula are often the subject of debate. How assessment and evaluation are carried out can affect teaching pedagogy and learning. Lee et al. (2013) state that assessment methods can either have positive effects on learning by being beneficial, supporting and reinforcing the curriculum or negative effects by prohibiting and weakening the curriculum it is intended to support.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(2013) discusses the need for assessment methods to be meaningful, this means practitioners need to question what the purpose of assessment is. If assessment is not purposeful then the results will be irrelevant or ineffective.</w:t>
      </w:r>
    </w:p>
    <w:p w14:paraId="4870F12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Papatheodorou</w:t>
      </w:r>
      <w:proofErr w:type="spellEnd"/>
      <w:r w:rsidRPr="00415A08">
        <w:rPr>
          <w:rFonts w:ascii="Arial" w:eastAsiaTheme="minorHAnsi" w:hAnsi="Arial" w:cs="Arial"/>
          <w:sz w:val="24"/>
          <w:szCs w:val="24"/>
        </w:rPr>
        <w:t xml:space="preserve"> (2012) discusses how, over recent years there has been a change from summative, normative and outcome-based forms of assessment to more open forms of assessment which include more narrative and learning journal types of assessment. This is something that New Zealand have begun to take this on board. Wales, through the Foundation Phase, although making attempts to make that change, have not fully succeeded in moving away from the outcome-based assessment. Taylor et al. (2015) in their evaluation of the Foundation Phase identified the need to evaluate assessment methods.</w:t>
      </w:r>
    </w:p>
    <w:p w14:paraId="2FDFE88B"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OECD (2014), in a report on improving schools in Wales, outlined a need to improve assessment methods by developing a coherent assessment and evaluation </w:t>
      </w:r>
      <w:r w:rsidRPr="00415A08">
        <w:rPr>
          <w:rFonts w:ascii="Arial" w:eastAsiaTheme="minorHAnsi" w:hAnsi="Arial" w:cs="Arial"/>
          <w:sz w:val="24"/>
          <w:szCs w:val="24"/>
        </w:rPr>
        <w:lastRenderedPageBreak/>
        <w:t xml:space="preserve">framework to improve quality using a holistic approach. </w:t>
      </w:r>
      <w:proofErr w:type="spellStart"/>
      <w:r w:rsidRPr="00415A08">
        <w:rPr>
          <w:rFonts w:ascii="Arial" w:eastAsiaTheme="minorHAnsi" w:hAnsi="Arial" w:cs="Arial"/>
          <w:sz w:val="24"/>
          <w:szCs w:val="24"/>
        </w:rPr>
        <w:t>Haslip</w:t>
      </w:r>
      <w:proofErr w:type="spellEnd"/>
      <w:r w:rsidRPr="00415A08">
        <w:rPr>
          <w:rFonts w:ascii="Arial" w:eastAsiaTheme="minorHAnsi" w:hAnsi="Arial" w:cs="Arial"/>
          <w:sz w:val="24"/>
          <w:szCs w:val="24"/>
        </w:rPr>
        <w:t xml:space="preserve"> and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(2018) support this by stating that there should be a holistic approach to any assessment methods to ensure that individual’s well-being is considered. This is evidenced in both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and Foundation Phase but even more so in the New Curriculum, where well-being is embedded throughout its philosophy and more specifically through one of its four purposes (Welsh Government, 2020). </w:t>
      </w:r>
    </w:p>
    <w:p w14:paraId="3BE8D6A4"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Not all individuals respond well to summative assessments, therefore, by carrying out more formative assessments over a period, as an on-going process, more realistic, representative and accurate views can be recorded and evaluated. This is supported by </w:t>
      </w:r>
      <w:proofErr w:type="spellStart"/>
      <w:r w:rsidRPr="00415A08">
        <w:rPr>
          <w:rFonts w:ascii="Arial" w:eastAsiaTheme="minorHAnsi" w:hAnsi="Arial" w:cs="Arial"/>
          <w:sz w:val="24"/>
          <w:szCs w:val="24"/>
        </w:rPr>
        <w:t>Haslip</w:t>
      </w:r>
      <w:proofErr w:type="spellEnd"/>
      <w:r w:rsidRPr="00415A08">
        <w:rPr>
          <w:rFonts w:ascii="Arial" w:eastAsiaTheme="minorHAnsi" w:hAnsi="Arial" w:cs="Arial"/>
          <w:sz w:val="24"/>
          <w:szCs w:val="24"/>
        </w:rPr>
        <w:t xml:space="preserve"> and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(2018) who discuss how some forms of assessment methods may not reflect the way that children learn. Beckley (2012) support this further by discussing the benefits of continual forms of assessment as this method can support identification of areas for concern and intervention can be put in place in a timely manner. However, Brookhart (2011) state that formative assessments can narrow and constrain the possibilities of assessments. </w:t>
      </w:r>
    </w:p>
    <w:p w14:paraId="6E7F299E"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Conkbayir</w:t>
      </w:r>
      <w:proofErr w:type="spellEnd"/>
      <w:r w:rsidRPr="00415A08">
        <w:rPr>
          <w:rFonts w:ascii="Arial" w:eastAsiaTheme="minorHAnsi" w:hAnsi="Arial" w:cs="Arial"/>
          <w:sz w:val="24"/>
          <w:szCs w:val="24"/>
        </w:rPr>
        <w:t xml:space="preserve"> and Pascal (2016) articulate the importance of monitoring and recording a child’s progress. However, care must be taken not to compare development and progress within peer groups. This is an area where the Foundation Phase Profiling (FPP) in Wales falls short. By assigning a standardised number to a child according to developmental norms, comparisons are inevitable. However, </w:t>
      </w:r>
      <w:proofErr w:type="spellStart"/>
      <w:r w:rsidRPr="00415A08">
        <w:rPr>
          <w:rFonts w:ascii="Arial" w:eastAsiaTheme="minorHAnsi" w:hAnsi="Arial" w:cs="Arial"/>
          <w:sz w:val="24"/>
          <w:szCs w:val="24"/>
        </w:rPr>
        <w:t>Haslip</w:t>
      </w:r>
      <w:proofErr w:type="spellEnd"/>
      <w:r w:rsidRPr="00415A08">
        <w:rPr>
          <w:rFonts w:ascii="Arial" w:eastAsiaTheme="minorHAnsi" w:hAnsi="Arial" w:cs="Arial"/>
          <w:sz w:val="24"/>
          <w:szCs w:val="24"/>
        </w:rPr>
        <w:t xml:space="preserve"> and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(2018) believe the use of standardised assessment methods can increase a more skills focused approach to teaching and learning. This could result in moving away from a more individual, child led approach, contradicting the approach of both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and Foundation Phase curriculum. </w:t>
      </w:r>
    </w:p>
    <w:p w14:paraId="1F6C7CA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In a paper by Davies and Hamilton (2018), the use of the outdoors for assessment is analysed. In conclusion the paper found that the outdoors is not utilised effectively for assessing children’s learning and development. Some of the factors identified as being responsible for this are lack of resources, ratios, staff expertise, weather and formal curriculum requirements. The paper goes on to discuss the success of assessment techniques in Finland which can be largely attributed to their excellent and effective use of the outdoors. </w:t>
      </w:r>
      <w:proofErr w:type="spellStart"/>
      <w:r w:rsidRPr="00415A08">
        <w:rPr>
          <w:rFonts w:ascii="Arial" w:eastAsiaTheme="minorHAnsi" w:hAnsi="Arial" w:cs="Arial"/>
          <w:sz w:val="24"/>
          <w:szCs w:val="24"/>
        </w:rPr>
        <w:t>Bilton</w:t>
      </w:r>
      <w:proofErr w:type="spellEnd"/>
      <w:r w:rsidRPr="00415A08">
        <w:rPr>
          <w:rFonts w:ascii="Arial" w:eastAsiaTheme="minorHAnsi" w:hAnsi="Arial" w:cs="Arial"/>
          <w:sz w:val="24"/>
          <w:szCs w:val="24"/>
        </w:rPr>
        <w:t xml:space="preserve"> (2010) support this by stating that the outside environment is an excellent way to assess, observe and evaluate children’s learning. White (2014) </w:t>
      </w:r>
      <w:r w:rsidRPr="00415A08">
        <w:rPr>
          <w:rFonts w:ascii="Arial" w:eastAsiaTheme="minorHAnsi" w:hAnsi="Arial" w:cs="Arial"/>
          <w:sz w:val="24"/>
          <w:szCs w:val="24"/>
        </w:rPr>
        <w:lastRenderedPageBreak/>
        <w:t xml:space="preserve">and Harris (2018) support this by stating that the outside environment allows for an unrestricted and more open opportunity for assessment, observation and evaluation which can improve planning. Taylor et al. (2015) identified a need to improve training and education of practitioners in effective use of the outdoor environment. </w:t>
      </w:r>
    </w:p>
    <w:p w14:paraId="1FF6B5A9"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Wood (2013) states that value and effectiveness of provision, pedagogy and practice can be critically reflected upon by using assessment and evaluation methods. Smidt (2019) and Nutbrown (2014) discuss the work of Susan Isaacs, a renowned educational psychologist from a century ago, and her idea that children, during play, were competent, independent and passionate sharers of knowledge. Isaacs pushed the idea that each child was an individual and that observations should occur during play as opposed to a prescribed curriculum (Smidt, 2019). Peters and Davis (2012) discuss how play is used in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curriculum, and despite the curriculum’s philosophy of play based learning being central to learning, play can also be useful in terms of adult based functions such as observing and assessing. This also supports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and Foundation Phase philosophy of the ‘unique child’. This is also the aim of the New Curriculum.</w:t>
      </w:r>
    </w:p>
    <w:p w14:paraId="56A3E790"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Conkbayir</w:t>
      </w:r>
      <w:proofErr w:type="spellEnd"/>
      <w:r w:rsidRPr="00415A08">
        <w:rPr>
          <w:rFonts w:ascii="Arial" w:eastAsiaTheme="minorHAnsi" w:hAnsi="Arial" w:cs="Arial"/>
          <w:sz w:val="24"/>
          <w:szCs w:val="24"/>
        </w:rPr>
        <w:t xml:space="preserve"> and Pascal (2016) discuss the theory of psychologist Jean-Jacques Rousseau, who firmly believed that assessment should be undertaken in an unobtrusive manor. Rousseau also believed that assessments and observations should be undertaken during play. </w:t>
      </w:r>
      <w:proofErr w:type="spellStart"/>
      <w:r w:rsidRPr="00415A08">
        <w:rPr>
          <w:rFonts w:ascii="Arial" w:eastAsiaTheme="minorHAnsi" w:hAnsi="Arial" w:cs="Arial"/>
          <w:sz w:val="24"/>
          <w:szCs w:val="24"/>
        </w:rPr>
        <w:t>Nutkins</w:t>
      </w:r>
      <w:proofErr w:type="spellEnd"/>
      <w:r w:rsidRPr="00415A08">
        <w:rPr>
          <w:rFonts w:ascii="Arial" w:eastAsiaTheme="minorHAnsi" w:hAnsi="Arial" w:cs="Arial"/>
          <w:sz w:val="24"/>
          <w:szCs w:val="24"/>
        </w:rPr>
        <w:t>, McDonald and Stephen (2013) support this by stating that Rousseau was a supporter of using children’s play and interests.</w:t>
      </w:r>
    </w:p>
    <w:p w14:paraId="68F770FA"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Haslip</w:t>
      </w:r>
      <w:proofErr w:type="spellEnd"/>
      <w:r w:rsidRPr="00415A08">
        <w:rPr>
          <w:rFonts w:ascii="Arial" w:eastAsiaTheme="minorHAnsi" w:hAnsi="Arial" w:cs="Arial"/>
          <w:sz w:val="24"/>
          <w:szCs w:val="24"/>
        </w:rPr>
        <w:t xml:space="preserve"> and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(2018) discuss a negative of assessment, discussing that when a curriculum is linked to assessment and outcomes, the standard of content and learning opportunities could be adversely affected. </w:t>
      </w:r>
      <w:proofErr w:type="spellStart"/>
      <w:r w:rsidRPr="00415A08">
        <w:rPr>
          <w:rFonts w:ascii="Arial" w:eastAsiaTheme="minorHAnsi" w:hAnsi="Arial" w:cs="Arial"/>
          <w:sz w:val="24"/>
          <w:szCs w:val="24"/>
        </w:rPr>
        <w:t>Haslip</w:t>
      </w:r>
      <w:proofErr w:type="spellEnd"/>
      <w:r w:rsidRPr="00415A08">
        <w:rPr>
          <w:rFonts w:ascii="Arial" w:eastAsiaTheme="minorHAnsi" w:hAnsi="Arial" w:cs="Arial"/>
          <w:sz w:val="24"/>
          <w:szCs w:val="24"/>
        </w:rPr>
        <w:t xml:space="preserve"> and </w:t>
      </w:r>
      <w:proofErr w:type="spellStart"/>
      <w:r w:rsidRPr="00415A08">
        <w:rPr>
          <w:rFonts w:ascii="Arial" w:eastAsiaTheme="minorHAnsi" w:hAnsi="Arial" w:cs="Arial"/>
          <w:sz w:val="24"/>
          <w:szCs w:val="24"/>
        </w:rPr>
        <w:t>Gullo</w:t>
      </w:r>
      <w:proofErr w:type="spellEnd"/>
      <w:r w:rsidRPr="00415A08">
        <w:rPr>
          <w:rFonts w:ascii="Arial" w:eastAsiaTheme="minorHAnsi" w:hAnsi="Arial" w:cs="Arial"/>
          <w:sz w:val="24"/>
          <w:szCs w:val="24"/>
        </w:rPr>
        <w:t xml:space="preserve"> (2018) discuss further negatives of assessment as being time consuming, more costly and less comprehensive, taking practitioner time away from interacting with the children. Aubrey and Riley (2017) discuss Foucault’s ideas on assessing individuals not by what they can achieve but how they differ from the ‘set’ standards. </w:t>
      </w:r>
    </w:p>
    <w:p w14:paraId="77B615B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In the OECD (2017) and OECD (2014) reports, a need was identified for formative assessment methods be continually improved and developed. The report questioned whether a national approach to assessment and sharing of good practice should be considered.  Estyn (2019) support this by stating that it found shortcomings in the </w:t>
      </w:r>
      <w:r w:rsidRPr="00415A08">
        <w:rPr>
          <w:rFonts w:ascii="Arial" w:eastAsiaTheme="minorHAnsi" w:hAnsi="Arial" w:cs="Arial"/>
          <w:sz w:val="24"/>
          <w:szCs w:val="24"/>
        </w:rPr>
        <w:lastRenderedPageBreak/>
        <w:t xml:space="preserve">ability of teachers and practitioner’s methods of formative assessment, and that observations and assessments must be purposeful to support and extend learning. OECD (2017) and OECD (2014) discuss recent Programme for International Student Assessment (PISA) results which are significantly lower than other parts of the UK and other countries. As a result of PISA results, education reform and improvement strategies have been a priority in Wales (OECD, 2017). Donaldson (2018) supports the need for improvements in assessment methods and states that the New Curriculum aims to increase standards of assessment. </w:t>
      </w:r>
    </w:p>
    <w:p w14:paraId="1F6BE0BA"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Aubrey and Riley (2016) discuss Vygotsky’s ideas on assessment, he believed that it should focus on how a child can develop in the future with support from a more knowledgeable other. By doing this, teaching and assessment would be closely linked. This is supported by Bruce (2015) states that assessment of children’s development must be linked to evaluation, this can subsequently inform planning.  </w:t>
      </w:r>
    </w:p>
    <w:p w14:paraId="089911EC"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Brookhart (2011) discuss the skills that teachers and practitioners need to ensure effective assessment occurs: subject knowledge, interpretational skills, decision making, fairness, use of variety and efficiency. OECD (2014) and OECD (2017) identified that teacher’s skills, with regards formative assessment and data recording must be developed further. Giving teachers and practitioners the skills and confidence to adapt will allow them to transition well with any curriculum reform. Practitioner training and continuous professional development is vital in being able to deliver assessment techniques effectively. </w:t>
      </w:r>
      <w:proofErr w:type="spellStart"/>
      <w:r w:rsidRPr="00415A08">
        <w:rPr>
          <w:rFonts w:ascii="Arial" w:eastAsiaTheme="minorHAnsi" w:hAnsi="Arial" w:cs="Arial"/>
          <w:sz w:val="24"/>
          <w:szCs w:val="24"/>
        </w:rPr>
        <w:t>Ghaicha</w:t>
      </w:r>
      <w:proofErr w:type="spellEnd"/>
      <w:r w:rsidRPr="00415A08">
        <w:rPr>
          <w:rFonts w:ascii="Arial" w:eastAsiaTheme="minorHAnsi" w:hAnsi="Arial" w:cs="Arial"/>
          <w:sz w:val="24"/>
          <w:szCs w:val="24"/>
        </w:rPr>
        <w:t xml:space="preserve"> (2016) states that because assessment is either not done efficiently or because it is not fully understood, it proves ineffective. Welsh Government (2014) and Taylor et al. (2015) identified a need for further support with Foundation Phase pedagogy, evaluation and assessment skills and recording and monitoring skills in their independent stocktake of the Foundation Phase.</w:t>
      </w:r>
    </w:p>
    <w:p w14:paraId="73512FBF"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Well-being should be at the forefront where any assessment methods are being used. Both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and Foundation Phase curriculum place a strong emphasis on well-being throughout its curriculum. Nutbrown (2011) support this by discussing the need for practitioners to consider well-being of the child when using assessment method’s because some methods can be detrimental to child’s well-being. </w:t>
      </w:r>
    </w:p>
    <w:p w14:paraId="0CA1A841"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Gibbons (2013) discuss Foucault’s idea of being ‘permanently open’, this can correspond to the ever-changing nature of early years education, curricula and </w:t>
      </w:r>
      <w:r w:rsidRPr="00415A08">
        <w:rPr>
          <w:rFonts w:ascii="Arial" w:eastAsiaTheme="minorHAnsi" w:hAnsi="Arial" w:cs="Arial"/>
          <w:sz w:val="24"/>
          <w:szCs w:val="24"/>
        </w:rPr>
        <w:lastRenderedPageBreak/>
        <w:t>assessment, and practitioner’s readiness to embrace the changes ahead with regards to the New Curriculum.</w:t>
      </w:r>
    </w:p>
    <w:p w14:paraId="30C06E73"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Methods of assessment in the Foundation Phase are supported by the Early Years Development and Assessment Framework (EYDAF) (Welsh Government, 2017). The Foundation Phase uses the FPP for assessing children’s learning and development. The aim of the FPP is to provide a consistent baseline nationwide which corresponds to outcomes (Welsh Government, 2017). The FPP encourages use of formative assessments and observations. By using these consistent assessment measures;</w:t>
      </w:r>
    </w:p>
    <w:p w14:paraId="615A0B64" w14:textId="77777777" w:rsidR="00415A08" w:rsidRPr="00415A08" w:rsidRDefault="00415A08" w:rsidP="00415A08">
      <w:pPr>
        <w:numPr>
          <w:ilvl w:val="0"/>
          <w:numId w:val="1"/>
        </w:numPr>
        <w:suppressAutoHyphens w:val="0"/>
        <w:autoSpaceDN/>
        <w:spacing w:line="360" w:lineRule="auto"/>
        <w:contextualSpacing/>
        <w:jc w:val="both"/>
        <w:textAlignment w:val="auto"/>
        <w:rPr>
          <w:rFonts w:ascii="Arial" w:eastAsiaTheme="minorHAnsi" w:hAnsi="Arial" w:cs="Arial"/>
          <w:sz w:val="24"/>
          <w:szCs w:val="24"/>
        </w:rPr>
      </w:pPr>
      <w:r w:rsidRPr="00415A08">
        <w:rPr>
          <w:rFonts w:ascii="Arial" w:eastAsiaTheme="minorHAnsi" w:hAnsi="Arial" w:cs="Arial"/>
          <w:sz w:val="24"/>
          <w:szCs w:val="24"/>
        </w:rPr>
        <w:t>it informs all parties involved with a child’s care of their learning and development</w:t>
      </w:r>
    </w:p>
    <w:p w14:paraId="5673DE75" w14:textId="77777777" w:rsidR="00415A08" w:rsidRPr="00415A08" w:rsidRDefault="00415A08" w:rsidP="00415A08">
      <w:pPr>
        <w:numPr>
          <w:ilvl w:val="0"/>
          <w:numId w:val="1"/>
        </w:numPr>
        <w:suppressAutoHyphens w:val="0"/>
        <w:autoSpaceDN/>
        <w:spacing w:line="360" w:lineRule="auto"/>
        <w:contextualSpacing/>
        <w:jc w:val="both"/>
        <w:textAlignment w:val="auto"/>
        <w:rPr>
          <w:rFonts w:ascii="Arial" w:eastAsiaTheme="minorHAnsi" w:hAnsi="Arial" w:cs="Arial"/>
          <w:sz w:val="24"/>
          <w:szCs w:val="24"/>
        </w:rPr>
      </w:pPr>
      <w:r w:rsidRPr="00415A08">
        <w:rPr>
          <w:rFonts w:ascii="Arial" w:eastAsiaTheme="minorHAnsi" w:hAnsi="Arial" w:cs="Arial"/>
          <w:sz w:val="24"/>
          <w:szCs w:val="24"/>
        </w:rPr>
        <w:t>support transitions and transferring between settings</w:t>
      </w:r>
    </w:p>
    <w:p w14:paraId="362A1442" w14:textId="77777777" w:rsidR="00415A08" w:rsidRPr="00415A08" w:rsidRDefault="00415A08" w:rsidP="00415A08">
      <w:pPr>
        <w:numPr>
          <w:ilvl w:val="0"/>
          <w:numId w:val="1"/>
        </w:numPr>
        <w:suppressAutoHyphens w:val="0"/>
        <w:autoSpaceDN/>
        <w:spacing w:line="360" w:lineRule="auto"/>
        <w:contextualSpacing/>
        <w:jc w:val="both"/>
        <w:textAlignment w:val="auto"/>
        <w:rPr>
          <w:rFonts w:ascii="Arial" w:eastAsiaTheme="minorHAnsi" w:hAnsi="Arial" w:cs="Arial"/>
          <w:sz w:val="24"/>
          <w:szCs w:val="24"/>
        </w:rPr>
      </w:pPr>
      <w:r w:rsidRPr="00415A08">
        <w:rPr>
          <w:rFonts w:ascii="Arial" w:eastAsiaTheme="minorHAnsi" w:hAnsi="Arial" w:cs="Arial"/>
          <w:sz w:val="24"/>
          <w:szCs w:val="24"/>
        </w:rPr>
        <w:t>it will allow for early identification of children with additional or special learning needs</w:t>
      </w:r>
    </w:p>
    <w:p w14:paraId="0757F51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Welsh Government (2017) state that by using a combination of purposeful observations and formative assessments a holistic approach can be delivered. Foundation Phase is aimed at 3-7-year olds in Wales however, the FPP starts from as young as 6 months old (Welsh Government, 2017). Although Welsh Government (2017) claim that a combination of formative and observational assessment methods will be used, the profile itself contradicts this as it is a summative assessment based on observations. These observations are then assessed according to prescribed outcomes. The aim of the FPP is to inform planning though a series of reviewing, planning, observing, assessing, evaluating and future planning (Welsh Government, 2017). Taylor, Rhys and Waldron (2016) discuss the assessments which form part of the Literacy and Numeracy Framework (LNF) as part of the Foundation Phase, and although Welsh Government (2013) state that children are individuals and progress at different rates. However, Taylor, Rhys and Waldron (2016) argue that by putting a ‘number’ on a child’s ability this contradicts ‘seeing children as individuals’. These age and stage type outcomes are a contradiction to the aims of the Foundation Phase; Welsh Government (2015) state that the curriculum should not focus on development according to age and stage, and its outcomes should not be age related. </w:t>
      </w:r>
    </w:p>
    <w:p w14:paraId="5461D69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approach to assessment is undertaken through a narrative assessment called learning stories (Lee at al. 2013). Lee at al. (2013) believe that this </w:t>
      </w:r>
      <w:r w:rsidRPr="00415A08">
        <w:rPr>
          <w:rFonts w:ascii="Arial" w:eastAsiaTheme="minorHAnsi" w:hAnsi="Arial" w:cs="Arial"/>
          <w:sz w:val="24"/>
          <w:szCs w:val="24"/>
        </w:rPr>
        <w:lastRenderedPageBreak/>
        <w:t xml:space="preserve">innovative method of assessment allows early years practitioners to share the beliefs, values and links with children as well as connect learning theories and the curriculum together. Lee et al. (2013) discuss the aim of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assessment methods, and the intention to link to the principles of its curriculum, for example empowerment; the curriculum and its assessment methods both empower children with the skills to learn and develop. The learning story is focused on three main points; a written account of a specific learning experience, a detailed analysis of what the individual has learned, planning for future learning (Lee et al., 2013). Lee et al. (2013) discuss the intention of learning stories to demonstrate that all children are competent, independent individuals. Lee et al. (2013) further discuss how the holistic approach to its assessment support the holistic approach of the curriculum. By including families in these ‘learning stories’ it provides them with the opportunity to contribute to the children’s learning.</w:t>
      </w:r>
    </w:p>
    <w:p w14:paraId="4871F58F"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In a complete contrast to Foundation Phase,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approach is to work co-operatively with families. Wood (2013) discuss how families are encouraged to share assessments across the home and school environments, this currently does not happen in Wales.</w:t>
      </w:r>
    </w:p>
    <w:p w14:paraId="56E64A3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The outcomes in the </w:t>
      </w:r>
      <w:proofErr w:type="spellStart"/>
      <w:r w:rsidRPr="00415A08">
        <w:rPr>
          <w:rFonts w:ascii="Arial" w:eastAsiaTheme="minorHAnsi" w:hAnsi="Arial" w:cs="Arial"/>
          <w:sz w:val="24"/>
          <w:szCs w:val="24"/>
        </w:rPr>
        <w:t>Te</w:t>
      </w:r>
      <w:proofErr w:type="spellEnd"/>
      <w:r w:rsidRPr="00415A08">
        <w:rPr>
          <w:rFonts w:ascii="Arial" w:eastAsiaTheme="minorHAnsi" w:hAnsi="Arial" w:cs="Arial"/>
          <w:sz w:val="24"/>
          <w:szCs w:val="24"/>
        </w:rPr>
        <w:t xml:space="preserve"> </w:t>
      </w:r>
      <w:proofErr w:type="spellStart"/>
      <w:r w:rsidRPr="00415A08">
        <w:rPr>
          <w:rFonts w:ascii="Arial" w:eastAsiaTheme="minorHAnsi" w:hAnsi="Arial" w:cs="Arial"/>
          <w:sz w:val="24"/>
          <w:szCs w:val="24"/>
        </w:rPr>
        <w:t>Whariki</w:t>
      </w:r>
      <w:proofErr w:type="spellEnd"/>
      <w:r w:rsidRPr="00415A08">
        <w:rPr>
          <w:rFonts w:ascii="Arial" w:eastAsiaTheme="minorHAnsi" w:hAnsi="Arial" w:cs="Arial"/>
          <w:sz w:val="24"/>
          <w:szCs w:val="24"/>
        </w:rPr>
        <w:t xml:space="preserve"> curriculum are broader and less specific than those in the Foundation Phase. This means that assessment is a far more straightforward process and can be achieved through the provision instead of ‘focus tasks’ like in the Foundation Phase (Wood, 2013). </w:t>
      </w:r>
    </w:p>
    <w:p w14:paraId="5BB9DC99" w14:textId="0450B167" w:rsid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Bennett (2018) discusses how assessment will look in the future and what characteristics will define it. These include; being technology centred, being based on evidenced based models, being personalised, being aimed at improving learning, being carried out over time and incorporating new approaches. Taylor, Rhys and Waldron (2016) discuss the difficulties of introducing a curriculum reform and the need to consider the underpinning necessity for revolution, the inclusion of a variety of expertise, effective use of research and the necessity to share all of these with practitioners. </w:t>
      </w:r>
    </w:p>
    <w:p w14:paraId="26B26B66" w14:textId="25CEFDA0"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10E4A73D" w14:textId="2EF086E8"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5C745184" w14:textId="7568099F"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3345FC58" w14:textId="1EEE7EE2"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3E865F72" w14:textId="44086CDC"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1245029A" w14:textId="7C8176C7"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0DB6B046" w14:textId="34952A33"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5980A5EA" w14:textId="3769F579"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76FAF945" w14:textId="1539D5DD"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66CE3442" w14:textId="0FB7B1EE"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1531A4CC" w14:textId="2C8BD577"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0B890848" w14:textId="230F61AA"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20227061" w14:textId="643E06DD"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3351B4C6" w14:textId="6090CC05" w:rsid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3419DA0F"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There is no question that the practical implementation of the Foundation Phase within the funded non-maintained sector allows practitioners more autonomy than those of their peers in the maintained sector. Does this mean that the new curriculum will be a smoother transition for those practitioners within the non-maintained sector?</w:t>
      </w:r>
    </w:p>
    <w:p w14:paraId="5ECF399B"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This narrative aims to demonstrate the readiness to transition into the New curriculum that those practitioners in the non-maintained sector possess.</w:t>
      </w:r>
    </w:p>
    <w:p w14:paraId="4EE1C613"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According to Taylor, Rhys and </w:t>
      </w:r>
      <w:proofErr w:type="spellStart"/>
      <w:r w:rsidRPr="00415A08">
        <w:rPr>
          <w:rFonts w:ascii="Arial" w:eastAsiaTheme="minorHAnsi" w:hAnsi="Arial" w:cs="Arial"/>
          <w:sz w:val="24"/>
          <w:szCs w:val="24"/>
        </w:rPr>
        <w:t>Waldren</w:t>
      </w:r>
      <w:proofErr w:type="spellEnd"/>
      <w:r w:rsidRPr="00415A08">
        <w:rPr>
          <w:rFonts w:ascii="Arial" w:eastAsiaTheme="minorHAnsi" w:hAnsi="Arial" w:cs="Arial"/>
          <w:sz w:val="24"/>
          <w:szCs w:val="24"/>
        </w:rPr>
        <w:t xml:space="preserve"> (2016) practitioners had reservations about the introduction of the Foundation Phase and its formal methods of teaching, learning and assessment for children in the early years. Given the amount of support (both financial and otherwise) that those in the maintained sector receive, has a gap been created between the maintained and non-maintained sectors? However, Estyn (2019) recognised that non-maintained settings fair just as well, and in some cases, better than their peers in the maintained sector. </w:t>
      </w:r>
    </w:p>
    <w:p w14:paraId="4678ADC7"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It is worth considering the policies and procedures that influence the implementation of the Foundation Phase for both the maintained and non-maintained settings when we are considering how the New curriculum for Wales will be implemented. </w:t>
      </w:r>
      <w:r w:rsidRPr="00415A08">
        <w:rPr>
          <w:rFonts w:ascii="Arial" w:eastAsiaTheme="minorHAnsi" w:hAnsi="Arial" w:cs="Arial"/>
          <w:sz w:val="24"/>
          <w:szCs w:val="24"/>
        </w:rPr>
        <w:lastRenderedPageBreak/>
        <w:t xml:space="preserve">Macdonald’s (2018) interpretation of Bronfenbrenner’s ecosystem excellently demonstrates the constraints, controls and influences placed on a practitioner in a maintained setting. The hierarchical system consisting of practitioners, class teacher, Foundation Phase Lead, head teacher, cluster school, local authority and government policy level creates many areas for interpretation of implementation methods and pedagogy. </w:t>
      </w:r>
    </w:p>
    <w:p w14:paraId="1EAF9432"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50D50107"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Theme="minorHAnsi" w:eastAsiaTheme="minorHAnsi" w:hAnsiTheme="minorHAnsi" w:cstheme="minorBidi"/>
          <w:noProof/>
        </w:rPr>
        <w:drawing>
          <wp:anchor distT="0" distB="0" distL="114300" distR="114300" simplePos="0" relativeHeight="251659264" behindDoc="0" locked="0" layoutInCell="1" allowOverlap="1" wp14:anchorId="23059092" wp14:editId="2787EC3C">
            <wp:simplePos x="0" y="0"/>
            <wp:positionH relativeFrom="margin">
              <wp:align>center</wp:align>
            </wp:positionH>
            <wp:positionV relativeFrom="paragraph">
              <wp:posOffset>81915</wp:posOffset>
            </wp:positionV>
            <wp:extent cx="5026660" cy="2584057"/>
            <wp:effectExtent l="0" t="0" r="0" b="6985"/>
            <wp:wrapNone/>
            <wp:docPr id="27651" name="Content Placeholder 1">
              <a:extLst xmlns:a="http://schemas.openxmlformats.org/drawingml/2006/main">
                <a:ext uri="{FF2B5EF4-FFF2-40B4-BE49-F238E27FC236}">
                  <a16:creationId xmlns:a16="http://schemas.microsoft.com/office/drawing/2014/main" id="{5B545207-43EB-4971-8C3C-B85E13A19B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1" name="Content Placeholder 1">
                      <a:extLst>
                        <a:ext uri="{FF2B5EF4-FFF2-40B4-BE49-F238E27FC236}">
                          <a16:creationId xmlns:a16="http://schemas.microsoft.com/office/drawing/2014/main" id="{5B545207-43EB-4971-8C3C-B85E13A19BEC}"/>
                        </a:ext>
                      </a:extLst>
                    </pic:cNvPr>
                    <pic:cNvPicPr>
                      <a:picLocks noGrp="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6660" cy="2584057"/>
                    </a:xfrm>
                    <a:prstGeom prst="rect">
                      <a:avLst/>
                    </a:prstGeom>
                    <a:noFill/>
                    <a:ln>
                      <a:noFill/>
                    </a:ln>
                  </pic:spPr>
                </pic:pic>
              </a:graphicData>
            </a:graphic>
          </wp:anchor>
        </w:drawing>
      </w:r>
    </w:p>
    <w:p w14:paraId="16955298"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798E5E04"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65B9C69F"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2305B5AE"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2D17879D"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7ABA5CBC"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5A849C2B"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2C6811D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mc:AlternateContent>
          <mc:Choice Requires="wps">
            <w:drawing>
              <wp:anchor distT="45720" distB="45720" distL="114300" distR="114300" simplePos="0" relativeHeight="251660288" behindDoc="0" locked="0" layoutInCell="1" allowOverlap="1" wp14:anchorId="247E804E" wp14:editId="240D0741">
                <wp:simplePos x="0" y="0"/>
                <wp:positionH relativeFrom="column">
                  <wp:posOffset>4400550</wp:posOffset>
                </wp:positionH>
                <wp:positionV relativeFrom="paragraph">
                  <wp:posOffset>3175</wp:posOffset>
                </wp:positionV>
                <wp:extent cx="1638300"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404620"/>
                        </a:xfrm>
                        <a:prstGeom prst="rect">
                          <a:avLst/>
                        </a:prstGeom>
                        <a:solidFill>
                          <a:srgbClr val="FFFFFF"/>
                        </a:solidFill>
                        <a:ln w="9525">
                          <a:noFill/>
                          <a:miter lim="800000"/>
                          <a:headEnd/>
                          <a:tailEnd/>
                        </a:ln>
                      </wps:spPr>
                      <wps:txbx>
                        <w:txbxContent>
                          <w:p w14:paraId="24A820DC" w14:textId="77777777" w:rsidR="00415A08" w:rsidRPr="004E4861" w:rsidRDefault="00415A08" w:rsidP="00415A08">
                            <w:pPr>
                              <w:rPr>
                                <w:rFonts w:ascii="Arial" w:hAnsi="Arial" w:cs="Arial"/>
                                <w:sz w:val="24"/>
                                <w:szCs w:val="24"/>
                              </w:rPr>
                            </w:pPr>
                            <w:r w:rsidRPr="004E4861">
                              <w:rPr>
                                <w:rFonts w:ascii="Arial" w:hAnsi="Arial" w:cs="Arial"/>
                                <w:sz w:val="24"/>
                                <w:szCs w:val="24"/>
                              </w:rPr>
                              <w:t>(Macdonald,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7E804E" id="_x0000_t202" coordsize="21600,21600" o:spt="202" path="m,l,21600r21600,l21600,xe">
                <v:stroke joinstyle="miter"/>
                <v:path gradientshapeok="t" o:connecttype="rect"/>
              </v:shapetype>
              <v:shape id="Text Box 2" o:spid="_x0000_s1026" type="#_x0000_t202" style="position:absolute;left:0;text-align:left;margin-left:346.5pt;margin-top:.25pt;width:12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" stroked="f">
                <v:textbox style="mso-fit-shape-to-text:t">
                  <w:txbxContent>
                    <w:p w14:paraId="24A820DC" w14:textId="77777777" w:rsidR="00415A08" w:rsidRPr="004E4861" w:rsidRDefault="00415A08" w:rsidP="00415A08">
                      <w:pPr>
                        <w:rPr>
                          <w:rFonts w:ascii="Arial" w:hAnsi="Arial" w:cs="Arial"/>
                          <w:sz w:val="24"/>
                          <w:szCs w:val="24"/>
                        </w:rPr>
                      </w:pPr>
                      <w:r w:rsidRPr="004E4861">
                        <w:rPr>
                          <w:rFonts w:ascii="Arial" w:hAnsi="Arial" w:cs="Arial"/>
                          <w:sz w:val="24"/>
                          <w:szCs w:val="24"/>
                        </w:rPr>
                        <w:t>(Macdonald, 2018)</w:t>
                      </w:r>
                    </w:p>
                  </w:txbxContent>
                </v:textbox>
                <w10:wrap type="square"/>
              </v:shape>
            </w:pict>
          </mc:Fallback>
        </mc:AlternateContent>
      </w:r>
    </w:p>
    <w:p w14:paraId="2F810E0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0503900A"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74B98847"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Within a non-maintained setting, this level of support, control or influence is absent. This, in effect means that non-maintained settings are answerable to fewer powers from above. In acknowledgment of Macdonald (2018) below is a comparative representation of the non-maintained setting, whereby there are fewer ‘systems’ in place.</w:t>
      </w:r>
    </w:p>
    <w:p w14:paraId="0CADF1EC"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0826B46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mc:AlternateContent>
          <mc:Choice Requires="wps">
            <w:drawing>
              <wp:anchor distT="0" distB="0" distL="114300" distR="114300" simplePos="0" relativeHeight="251661312" behindDoc="0" locked="0" layoutInCell="1" allowOverlap="1" wp14:anchorId="22DC1711" wp14:editId="706DA178">
                <wp:simplePos x="0" y="0"/>
                <wp:positionH relativeFrom="column">
                  <wp:posOffset>514351</wp:posOffset>
                </wp:positionH>
                <wp:positionV relativeFrom="paragraph">
                  <wp:posOffset>-209550</wp:posOffset>
                </wp:positionV>
                <wp:extent cx="4591050" cy="2438400"/>
                <wp:effectExtent l="0" t="0" r="19050" b="19050"/>
                <wp:wrapNone/>
                <wp:docPr id="6" name="Oval 6"/>
                <wp:cNvGraphicFramePr/>
                <a:graphic xmlns:a="http://schemas.openxmlformats.org/drawingml/2006/main">
                  <a:graphicData uri="http://schemas.microsoft.com/office/word/2010/wordprocessingShape">
                    <wps:wsp>
                      <wps:cNvSpPr/>
                      <wps:spPr>
                        <a:xfrm>
                          <a:off x="0" y="0"/>
                          <a:ext cx="4591050" cy="2438400"/>
                        </a:xfrm>
                        <a:prstGeom prst="ellipse">
                          <a:avLst/>
                        </a:prstGeom>
                        <a:solidFill>
                          <a:srgbClr val="8F29BD"/>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56C9B0" id="Oval 6" o:spid="_x0000_s1026" style="position:absolute;margin-left:40.5pt;margin-top:-16.5pt;width:361.5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" fillcolor="#8f29bd" strokecolor="windowText" strokeweight="1pt">
                <v:stroke joinstyle="miter"/>
              </v:oval>
            </w:pict>
          </mc:Fallback>
        </mc:AlternateContent>
      </w:r>
    </w:p>
    <w:p w14:paraId="4FE32902"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mc:AlternateContent>
          <mc:Choice Requires="wps">
            <w:drawing>
              <wp:anchor distT="45720" distB="45720" distL="114300" distR="114300" simplePos="0" relativeHeight="251666432" behindDoc="0" locked="0" layoutInCell="1" allowOverlap="1" wp14:anchorId="38D85E92" wp14:editId="5FB0E91E">
                <wp:simplePos x="0" y="0"/>
                <wp:positionH relativeFrom="margin">
                  <wp:align>center</wp:align>
                </wp:positionH>
                <wp:positionV relativeFrom="paragraph">
                  <wp:posOffset>33020</wp:posOffset>
                </wp:positionV>
                <wp:extent cx="2114550" cy="31432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314325"/>
                        </a:xfrm>
                        <a:prstGeom prst="rect">
                          <a:avLst/>
                        </a:prstGeom>
                        <a:solidFill>
                          <a:srgbClr val="8F29BD"/>
                        </a:solidFill>
                        <a:ln w="9525">
                          <a:noFill/>
                          <a:miter lim="800000"/>
                          <a:headEnd/>
                          <a:tailEnd/>
                        </a:ln>
                      </wps:spPr>
                      <wps:txbx>
                        <w:txbxContent>
                          <w:p w14:paraId="0B73E5AF" w14:textId="77777777" w:rsidR="00415A08" w:rsidRDefault="00415A08" w:rsidP="00415A08">
                            <w:pPr>
                              <w:jc w:val="center"/>
                            </w:pPr>
                            <w:r>
                              <w:t>Government policy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85E92" id="_x0000_s1027" type="#_x0000_t202" style="position:absolute;left:0;text-align:left;margin-left:0;margin-top:2.6pt;width:166.5pt;height:24.7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" fillcolor="#8f29bd" stroked="f">
                <v:textbox>
                  <w:txbxContent>
                    <w:p w14:paraId="0B73E5AF" w14:textId="77777777" w:rsidR="00415A08" w:rsidRDefault="00415A08" w:rsidP="00415A08">
                      <w:pPr>
                        <w:jc w:val="center"/>
                      </w:pPr>
                      <w:r>
                        <w:t>Government policy level</w:t>
                      </w:r>
                    </w:p>
                  </w:txbxContent>
                </v:textbox>
                <w10:wrap type="square" anchorx="margin"/>
              </v:shape>
            </w:pict>
          </mc:Fallback>
        </mc:AlternateContent>
      </w:r>
    </w:p>
    <w:p w14:paraId="58A912E8"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69473EAC"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w:lastRenderedPageBreak/>
        <mc:AlternateContent>
          <mc:Choice Requires="wps">
            <w:drawing>
              <wp:anchor distT="45720" distB="45720" distL="114300" distR="114300" simplePos="0" relativeHeight="251665408" behindDoc="0" locked="0" layoutInCell="1" allowOverlap="1" wp14:anchorId="20EC1B30" wp14:editId="1CDBBA82">
                <wp:simplePos x="0" y="0"/>
                <wp:positionH relativeFrom="margin">
                  <wp:align>center</wp:align>
                </wp:positionH>
                <wp:positionV relativeFrom="paragraph">
                  <wp:posOffset>147320</wp:posOffset>
                </wp:positionV>
                <wp:extent cx="1219200" cy="31432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14325"/>
                        </a:xfrm>
                        <a:prstGeom prst="rect">
                          <a:avLst/>
                        </a:prstGeom>
                        <a:solidFill>
                          <a:srgbClr val="B35BDB"/>
                        </a:solidFill>
                        <a:ln w="9525">
                          <a:noFill/>
                          <a:miter lim="800000"/>
                          <a:headEnd/>
                          <a:tailEnd/>
                        </a:ln>
                      </wps:spPr>
                      <wps:txbx>
                        <w:txbxContent>
                          <w:p w14:paraId="2A61F406" w14:textId="77777777" w:rsidR="00415A08" w:rsidRDefault="00415A08" w:rsidP="00415A08">
                            <w:r>
                              <w:t>Local Authority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C1B30" id="_x0000_s1028" type="#_x0000_t202" style="position:absolute;left:0;text-align:left;margin-left:0;margin-top:11.6pt;width:96pt;height:24.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" fillcolor="#b35bdb" stroked="f">
                <v:textbox>
                  <w:txbxContent>
                    <w:p w14:paraId="2A61F406" w14:textId="77777777" w:rsidR="00415A08" w:rsidRDefault="00415A08" w:rsidP="00415A08">
                      <w:r>
                        <w:t>Local Authority</w:t>
                      </w:r>
                    </w:p>
                  </w:txbxContent>
                </v:textbox>
                <w10:wrap type="square" anchorx="margin"/>
              </v:shape>
            </w:pict>
          </mc:Fallback>
        </mc:AlternateContent>
      </w:r>
      <w:r w:rsidRPr="00415A08">
        <w:rPr>
          <w:rFonts w:ascii="Arial" w:eastAsiaTheme="minorHAnsi" w:hAnsi="Arial" w:cs="Arial"/>
          <w:noProof/>
          <w:sz w:val="24"/>
          <w:szCs w:val="24"/>
        </w:rPr>
        <mc:AlternateContent>
          <mc:Choice Requires="wps">
            <w:drawing>
              <wp:anchor distT="0" distB="0" distL="114300" distR="114300" simplePos="0" relativeHeight="251662336" behindDoc="0" locked="0" layoutInCell="1" allowOverlap="1" wp14:anchorId="348EDE4D" wp14:editId="67F2F7FA">
                <wp:simplePos x="0" y="0"/>
                <wp:positionH relativeFrom="column">
                  <wp:posOffset>1257300</wp:posOffset>
                </wp:positionH>
                <wp:positionV relativeFrom="paragraph">
                  <wp:posOffset>52070</wp:posOffset>
                </wp:positionV>
                <wp:extent cx="3152775" cy="1314450"/>
                <wp:effectExtent l="0" t="0" r="28575" b="19050"/>
                <wp:wrapNone/>
                <wp:docPr id="7" name="Oval 7"/>
                <wp:cNvGraphicFramePr/>
                <a:graphic xmlns:a="http://schemas.openxmlformats.org/drawingml/2006/main">
                  <a:graphicData uri="http://schemas.microsoft.com/office/word/2010/wordprocessingShape">
                    <wps:wsp>
                      <wps:cNvSpPr/>
                      <wps:spPr>
                        <a:xfrm>
                          <a:off x="0" y="0"/>
                          <a:ext cx="3152775" cy="1314450"/>
                        </a:xfrm>
                        <a:prstGeom prst="ellipse">
                          <a:avLst/>
                        </a:prstGeom>
                        <a:solidFill>
                          <a:srgbClr val="B35BDB"/>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863E37" id="Oval 7" o:spid="_x0000_s1026" style="position:absolute;margin-left:99pt;margin-top:4.1pt;width:248.25pt;height:1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" fillcolor="#b35bdb" strokecolor="windowText" strokeweight="1pt">
                <v:stroke joinstyle="miter"/>
              </v:oval>
            </w:pict>
          </mc:Fallback>
        </mc:AlternateContent>
      </w:r>
    </w:p>
    <w:p w14:paraId="6D3C3801"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mc:AlternateContent>
          <mc:Choice Requires="wps">
            <w:drawing>
              <wp:anchor distT="0" distB="0" distL="114300" distR="114300" simplePos="0" relativeHeight="251663360" behindDoc="0" locked="0" layoutInCell="1" allowOverlap="1" wp14:anchorId="6F202103" wp14:editId="3E9F5F35">
                <wp:simplePos x="0" y="0"/>
                <wp:positionH relativeFrom="column">
                  <wp:posOffset>1914525</wp:posOffset>
                </wp:positionH>
                <wp:positionV relativeFrom="paragraph">
                  <wp:posOffset>208280</wp:posOffset>
                </wp:positionV>
                <wp:extent cx="1828800" cy="847725"/>
                <wp:effectExtent l="0" t="0" r="19050" b="28575"/>
                <wp:wrapNone/>
                <wp:docPr id="8" name="Oval 8"/>
                <wp:cNvGraphicFramePr/>
                <a:graphic xmlns:a="http://schemas.openxmlformats.org/drawingml/2006/main">
                  <a:graphicData uri="http://schemas.microsoft.com/office/word/2010/wordprocessingShape">
                    <wps:wsp>
                      <wps:cNvSpPr/>
                      <wps:spPr>
                        <a:xfrm>
                          <a:off x="0" y="0"/>
                          <a:ext cx="1828800" cy="847725"/>
                        </a:xfrm>
                        <a:prstGeom prst="ellipse">
                          <a:avLst/>
                        </a:prstGeom>
                        <a:solidFill>
                          <a:srgbClr val="D9ADED"/>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0FD273" id="Oval 8" o:spid="_x0000_s1026" style="position:absolute;margin-left:150.75pt;margin-top:16.4pt;width:2in;height:6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" fillcolor="#d9aded" strokecolor="windowText" strokeweight="1pt">
                <v:stroke joinstyle="miter"/>
              </v:oval>
            </w:pict>
          </mc:Fallback>
        </mc:AlternateContent>
      </w:r>
    </w:p>
    <w:p w14:paraId="3A3D714E"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noProof/>
          <w:sz w:val="24"/>
          <w:szCs w:val="24"/>
        </w:rPr>
        <mc:AlternateContent>
          <mc:Choice Requires="wps">
            <w:drawing>
              <wp:anchor distT="45720" distB="45720" distL="114300" distR="114300" simplePos="0" relativeHeight="251664384" behindDoc="0" locked="0" layoutInCell="1" allowOverlap="1" wp14:anchorId="03145C7C" wp14:editId="3F2CA78F">
                <wp:simplePos x="0" y="0"/>
                <wp:positionH relativeFrom="column">
                  <wp:posOffset>2095500</wp:posOffset>
                </wp:positionH>
                <wp:positionV relativeFrom="paragraph">
                  <wp:posOffset>184785</wp:posOffset>
                </wp:positionV>
                <wp:extent cx="1466850" cy="3143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14325"/>
                        </a:xfrm>
                        <a:prstGeom prst="rect">
                          <a:avLst/>
                        </a:prstGeom>
                        <a:solidFill>
                          <a:srgbClr val="D9ADED"/>
                        </a:solidFill>
                        <a:ln w="9525">
                          <a:noFill/>
                          <a:miter lim="800000"/>
                          <a:headEnd/>
                          <a:tailEnd/>
                        </a:ln>
                      </wps:spPr>
                      <wps:txbx>
                        <w:txbxContent>
                          <w:p w14:paraId="1A2F0CCE" w14:textId="77777777" w:rsidR="00415A08" w:rsidRDefault="00415A08" w:rsidP="00415A08">
                            <w:pPr>
                              <w:jc w:val="center"/>
                            </w:pPr>
                            <w:r>
                              <w:t>Practitioner/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45C7C" id="_x0000_s1029" type="#_x0000_t202" style="position:absolute;left:0;text-align:left;margin-left:165pt;margin-top:14.55pt;width:115.5pt;height:24.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" fillcolor="#d9aded" stroked="f">
                <v:textbox>
                  <w:txbxContent>
                    <w:p w14:paraId="1A2F0CCE" w14:textId="77777777" w:rsidR="00415A08" w:rsidRDefault="00415A08" w:rsidP="00415A08">
                      <w:pPr>
                        <w:jc w:val="center"/>
                      </w:pPr>
                      <w:r>
                        <w:t>Practitioner/ Teacher</w:t>
                      </w:r>
                    </w:p>
                  </w:txbxContent>
                </v:textbox>
                <w10:wrap type="square"/>
              </v:shape>
            </w:pict>
          </mc:Fallback>
        </mc:AlternateContent>
      </w:r>
    </w:p>
    <w:p w14:paraId="62308963"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7B1382D0"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368E5C53"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
    <w:p w14:paraId="0E78B240"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The lack of support/involvement can be both advantageous and disadvantageous when considering implementing the new curriculum for Wales. The non-maintained settings are effectively answerable to fewer powers from above in how they chose to present the Foundation Phase. However, they are still answerable to the same quality assurance processes as a maintained setting, in fact, given that non-maintained settings also have to undergo an inspection process from Care Inspectorate Wales (CIW) as well as Estyn, arguably validating the quality of non-maintained settings in more prominent. By having the ability to be autonomous in the implementation of the Foundation Phase, it undoubtedly put less stress and pressure on its practitioners. This can only strengthen the non-maintained setting’s position regarding implementing the New Curriculum. However, it does also mean that non-maintained settings are very solitary in the way they work, often only having government policy and occasional input from local authority for support.</w:t>
      </w:r>
    </w:p>
    <w:p w14:paraId="475AE969"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In comparison, practitioners from maintained settings are restricted in their implementation of the Foundation phase by the stipulations placed on them from the powers above, where instruction can often get lost in translation. The same is likely to happen when introducing the new curriculum for Wales. </w:t>
      </w:r>
    </w:p>
    <w:p w14:paraId="05B948C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Does the autonomy that non maintained settings experience prepare them better for the implementation of the new curriculum. The New curriculum puts an emphasis on teachers’ interpretation of it and gives them autonomy to implement in ways that they see fit. Undoubtedly, the practitioners in maintained settings may lack the experience or confidence in taking the lead in introducing the New Curriculum.</w:t>
      </w:r>
    </w:p>
    <w:p w14:paraId="30298F6D"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lastRenderedPageBreak/>
        <w:t xml:space="preserve">However, within the non-maintained sector, the confidence and experience that teachers and practitioners have gained can only put them at an advantage over their peers in the maintained sector. </w:t>
      </w:r>
    </w:p>
    <w:p w14:paraId="4570049D"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Welsh Government (2018) discuss the need for levels of support from Local Authorities to realise the vision of a curriculum  The levels of support that the maintained sector receives with regards to implementing, planning and delivering of early years provision far outweighs that from which the non-maintained sector receive. The Welsh Government (2014) stocktake discusses the need for improved and universally accessible training for all practitioners in all settings in the Foundation Phase and for that training to be bespoke. However, </w:t>
      </w:r>
      <w:proofErr w:type="gramStart"/>
      <w:r w:rsidRPr="00415A08">
        <w:rPr>
          <w:rFonts w:ascii="Arial" w:eastAsiaTheme="minorHAnsi" w:hAnsi="Arial" w:cs="Arial"/>
          <w:sz w:val="24"/>
          <w:szCs w:val="24"/>
        </w:rPr>
        <w:t>in reality this</w:t>
      </w:r>
      <w:proofErr w:type="gramEnd"/>
      <w:r w:rsidRPr="00415A08">
        <w:rPr>
          <w:rFonts w:ascii="Arial" w:eastAsiaTheme="minorHAnsi" w:hAnsi="Arial" w:cs="Arial"/>
          <w:sz w:val="24"/>
          <w:szCs w:val="24"/>
        </w:rPr>
        <w:t xml:space="preserve"> is simply unachievable in the non-maintained settings due to staffing and support issues. To ensure a smooth and effective transition into the new curriculum, this will have to be a priority.</w:t>
      </w:r>
    </w:p>
    <w:p w14:paraId="756DE7D4"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Welsh Government (2014) </w:t>
      </w:r>
      <w:proofErr w:type="gramStart"/>
      <w:r w:rsidRPr="00415A08">
        <w:rPr>
          <w:rFonts w:ascii="Arial" w:eastAsiaTheme="minorHAnsi" w:hAnsi="Arial" w:cs="Arial"/>
          <w:sz w:val="24"/>
          <w:szCs w:val="24"/>
        </w:rPr>
        <w:t>made a recommendation that</w:t>
      </w:r>
      <w:proofErr w:type="gramEnd"/>
      <w:r w:rsidRPr="00415A08">
        <w:rPr>
          <w:rFonts w:ascii="Arial" w:eastAsiaTheme="minorHAnsi" w:hAnsi="Arial" w:cs="Arial"/>
          <w:sz w:val="24"/>
          <w:szCs w:val="24"/>
        </w:rPr>
        <w:t xml:space="preserve"> best practice be shared between maintained and non-maintained settings, this is an area where Welsh Government have made some progress, by the introduction of </w:t>
      </w:r>
      <w:proofErr w:type="spellStart"/>
      <w:r w:rsidRPr="00415A08">
        <w:rPr>
          <w:rFonts w:ascii="Arial" w:eastAsiaTheme="minorHAnsi" w:hAnsi="Arial" w:cs="Arial"/>
          <w:sz w:val="24"/>
          <w:szCs w:val="24"/>
        </w:rPr>
        <w:t>Hwb</w:t>
      </w:r>
      <w:proofErr w:type="spellEnd"/>
      <w:r w:rsidRPr="00415A08">
        <w:rPr>
          <w:rFonts w:ascii="Arial" w:eastAsiaTheme="minorHAnsi" w:hAnsi="Arial" w:cs="Arial"/>
          <w:sz w:val="24"/>
          <w:szCs w:val="24"/>
        </w:rPr>
        <w:t>. This will be continued throughout the introduction of the New Curriculum.</w:t>
      </w:r>
    </w:p>
    <w:p w14:paraId="1463A655"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Welsh Government (2018) state that funding for Foundation Phase Nursery places varies greatly, not only between local authorities but also between maintained and non-maintained settings. This means that non-maintained settings are always working at a disadvantage, one that could be vital in terms of implementing a curriculum. Therefore, to implement the forthcoming curriculum reform, these inequalities need to be addressed. </w:t>
      </w:r>
    </w:p>
    <w:p w14:paraId="4DF0B729"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By complying with the National Minimum Standards as set out by CIW (Welsh Government (2018) it demonstrates that non-maintained practitioners are already competent in interpreting relevant documentation and actioning it appropriately. Many practitioners within the maintained sector won’t have that same experience, therefore disadvantaging them going forward.</w:t>
      </w:r>
    </w:p>
    <w:p w14:paraId="26AF8726"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 xml:space="preserve">There has been little research undertaken to assess the effectiveness of the Foundation Phase in non-maintained setting as compared to maintained settings. The Foundation Phase stocktake (Welsh Government, 2014) looked at how Foundation Phase is implemented. The stock take does not give a clear picture of how maintained </w:t>
      </w:r>
      <w:r w:rsidRPr="00415A08">
        <w:rPr>
          <w:rFonts w:ascii="Arial" w:eastAsiaTheme="minorHAnsi" w:hAnsi="Arial" w:cs="Arial"/>
          <w:sz w:val="24"/>
          <w:szCs w:val="24"/>
        </w:rPr>
        <w:lastRenderedPageBreak/>
        <w:t>and non-maintained settings fair against each other, further research is needed in this area with regards to the new curriculum.</w:t>
      </w:r>
    </w:p>
    <w:p w14:paraId="36E07BD2"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r w:rsidRPr="00415A08">
        <w:rPr>
          <w:rFonts w:ascii="Arial" w:eastAsiaTheme="minorHAnsi" w:hAnsi="Arial" w:cs="Arial"/>
          <w:sz w:val="24"/>
          <w:szCs w:val="24"/>
        </w:rPr>
        <w:t>Welsh Government (2014) also discussed how important it is that Foundation Phase leads in maintained schools possess the skills, knowledge and experience to understand and implement the pedagogy of Foundation Phase, as it identified that currently that these ‘leads’ are sufficiently experienced in leadership. Going forward, regulations must be put in place to ensure all leads in all sectors possess the appropriate leadership type experience and qualifications.</w:t>
      </w:r>
    </w:p>
    <w:p w14:paraId="5CFAF7E9" w14:textId="77777777" w:rsidR="00415A08" w:rsidRPr="00415A08" w:rsidRDefault="00415A08" w:rsidP="00415A08">
      <w:pPr>
        <w:suppressAutoHyphens w:val="0"/>
        <w:autoSpaceDN/>
        <w:spacing w:line="360" w:lineRule="auto"/>
        <w:jc w:val="both"/>
        <w:textAlignment w:val="auto"/>
        <w:rPr>
          <w:rFonts w:ascii="Arial" w:eastAsiaTheme="minorHAnsi" w:hAnsi="Arial" w:cs="Arial"/>
          <w:sz w:val="24"/>
          <w:szCs w:val="24"/>
        </w:rPr>
      </w:pPr>
      <w:proofErr w:type="spellStart"/>
      <w:r w:rsidRPr="00415A08">
        <w:rPr>
          <w:rFonts w:ascii="Arial" w:eastAsiaTheme="minorHAnsi" w:hAnsi="Arial" w:cs="Arial"/>
          <w:sz w:val="24"/>
          <w:szCs w:val="24"/>
        </w:rPr>
        <w:t>Blanden</w:t>
      </w:r>
      <w:proofErr w:type="spellEnd"/>
      <w:r w:rsidRPr="00415A08">
        <w:rPr>
          <w:rFonts w:ascii="Arial" w:eastAsiaTheme="minorHAnsi" w:hAnsi="Arial" w:cs="Arial"/>
          <w:sz w:val="24"/>
          <w:szCs w:val="24"/>
        </w:rPr>
        <w:t>, Hansen and McNally (2017) in a paper researching quality and achievements in early years setting discuss the diversity or practitioners’ levels of experience and qualifications within the Early years sector and that this diversity can impact how education is shaped and delivered. Although this research was undertaken in England, its results can be transferred nationwide. Due to the recruitment and retention of staff in the non-maintained setting and Social Care Wales regulations, this means that staff in the non-maintained setting often have staff with a wide variety of experience, which can only be of benefit when implementing the new curriculum for Wales.</w:t>
      </w:r>
    </w:p>
    <w:p w14:paraId="2DEFCF95" w14:textId="77777777" w:rsidR="00415A08" w:rsidRPr="00415A08" w:rsidRDefault="00415A08" w:rsidP="00415A08">
      <w:pPr>
        <w:suppressAutoHyphens w:val="0"/>
        <w:autoSpaceDN/>
        <w:spacing w:line="259" w:lineRule="auto"/>
        <w:textAlignment w:val="auto"/>
        <w:rPr>
          <w:rFonts w:ascii="Arial" w:eastAsiaTheme="minorHAnsi" w:hAnsi="Arial" w:cs="Arial"/>
          <w:sz w:val="24"/>
          <w:szCs w:val="24"/>
        </w:rPr>
      </w:pPr>
    </w:p>
    <w:p w14:paraId="3A0512A9" w14:textId="6FA9A7F2" w:rsidR="00415A08" w:rsidRDefault="00415A08" w:rsidP="00415A08">
      <w:pPr>
        <w:rPr>
          <w:rFonts w:ascii="Arial" w:hAnsi="Arial" w:cs="Arial"/>
          <w:sz w:val="24"/>
          <w:szCs w:val="24"/>
        </w:rPr>
      </w:pPr>
    </w:p>
    <w:p w14:paraId="5A9CE4DA" w14:textId="50045570" w:rsidR="00415A08" w:rsidRDefault="00415A08" w:rsidP="00415A08">
      <w:pPr>
        <w:rPr>
          <w:rFonts w:ascii="Arial" w:hAnsi="Arial" w:cs="Arial"/>
          <w:sz w:val="24"/>
          <w:szCs w:val="24"/>
        </w:rPr>
      </w:pPr>
    </w:p>
    <w:p w14:paraId="514E8626" w14:textId="4C7D3F30" w:rsidR="00415A08" w:rsidRDefault="00415A08" w:rsidP="00415A08">
      <w:pPr>
        <w:rPr>
          <w:rFonts w:ascii="Arial" w:hAnsi="Arial" w:cs="Arial"/>
          <w:sz w:val="24"/>
          <w:szCs w:val="24"/>
        </w:rPr>
      </w:pPr>
    </w:p>
    <w:p w14:paraId="7BEDF70A" w14:textId="732B3C55" w:rsidR="00415A08" w:rsidRDefault="00415A08" w:rsidP="00415A08">
      <w:pPr>
        <w:rPr>
          <w:rFonts w:ascii="Arial" w:hAnsi="Arial" w:cs="Arial"/>
          <w:sz w:val="24"/>
          <w:szCs w:val="24"/>
        </w:rPr>
      </w:pPr>
    </w:p>
    <w:p w14:paraId="5CB672E7" w14:textId="77777777" w:rsidR="00415A08" w:rsidRDefault="00415A08" w:rsidP="00415A08">
      <w:pPr>
        <w:rPr>
          <w:rFonts w:ascii="Arial" w:hAnsi="Arial" w:cs="Arial"/>
          <w:sz w:val="24"/>
          <w:szCs w:val="24"/>
        </w:rPr>
      </w:pPr>
    </w:p>
    <w:p w14:paraId="342B28B9" w14:textId="77777777" w:rsidR="001C6792" w:rsidRDefault="00415A08"/>
    <w:sectPr w:rsidR="001C6792">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20974"/>
    <w:multiLevelType w:val="hybridMultilevel"/>
    <w:tmpl w:val="B552A3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A08"/>
    <w:rsid w:val="00277B64"/>
    <w:rsid w:val="00415A08"/>
    <w:rsid w:val="00D9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0135"/>
  <w15:chartTrackingRefBased/>
  <w15:docId w15:val="{72A045B0-489D-4747-951C-8E8C6E1F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A08"/>
    <w:pPr>
      <w:suppressAutoHyphens/>
      <w:autoSpaceDN w:val="0"/>
      <w:spacing w:line="249"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5562</Words>
  <Characters>31708</Characters>
  <Application>Microsoft Office Word</Application>
  <DocSecurity>0</DocSecurity>
  <Lines>264</Lines>
  <Paragraphs>74</Paragraphs>
  <ScaleCrop>false</ScaleCrop>
  <Company/>
  <LinksUpToDate>false</LinksUpToDate>
  <CharactersWithSpaces>37196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dixonnmuk@outlook.com</cp:lastModifiedBy>
  <cp:revision>1</cp:revision>
  <dcterms:created xsi:type="dcterms:W3CDTF">2020-03-29T22:46:00Z</dcterms:created>
  <dcterms:modified xsi:type="dcterms:W3CDTF">2020-03-29T22:48:00Z</dcterms:modified>
</cp:coreProperties>
</file>