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b w:val="1"/>
          <w:bCs w:val="1"/>
          <w:u w:val="single"/>
        </w:rPr>
      </w:pPr>
      <w:bookmarkStart w:colFirst="0" w:colLast="0" w:name="_l05zobxuv44b" w:id="0"/>
      <w:bookmarkEnd w:id="0"/>
      <w:r w:rsidDel="00000000" w:rsidR="00000000" w:rsidRPr="00000000">
        <w:rPr>
          <w:b w:val="1"/>
          <w:bCs w:val="1"/>
          <w:u w:val="single"/>
          <w:rtl w:val="0"/>
        </w:rPr>
        <w:t xml:space="preserve">Bibliographical Exercise on            PHI 01238.</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numPr>
          <w:ilvl w:val="0"/>
          <w:numId w:val="1"/>
        </w:numPr>
        <w:spacing w:line="360" w:lineRule="auto"/>
        <w:ind w:left="720" w:hanging="360"/>
        <w:rPr>
          <w:sz w:val="24"/>
          <w:szCs w:val="24"/>
        </w:rPr>
      </w:pPr>
      <w:r w:rsidDel="00000000" w:rsidR="00000000" w:rsidRPr="00000000">
        <w:rPr>
          <w:sz w:val="24"/>
          <w:szCs w:val="24"/>
          <w:u w:val="single"/>
          <w:rtl w:val="0"/>
        </w:rPr>
        <w:t xml:space="preserve">Title Page Transcription.</w:t>
      </w:r>
    </w:p>
    <w:p w:rsidR="00000000" w:rsidDel="00000000" w:rsidP="00000000" w:rsidRDefault="00000000" w:rsidRPr="00000000" w14:paraId="00000004">
      <w:pPr>
        <w:spacing w:line="360" w:lineRule="auto"/>
        <w:rPr>
          <w:sz w:val="24"/>
          <w:szCs w:val="24"/>
        </w:rPr>
      </w:pPr>
      <w:r w:rsidDel="00000000" w:rsidR="00000000" w:rsidRPr="00000000">
        <w:rPr>
          <w:rtl w:val="0"/>
        </w:rPr>
      </w:r>
    </w:p>
    <w:p w:rsidR="00000000" w:rsidDel="00000000" w:rsidP="00000000" w:rsidRDefault="00000000" w:rsidRPr="00000000" w14:paraId="00000005">
      <w:pPr>
        <w:spacing w:line="360" w:lineRule="auto"/>
        <w:rPr>
          <w:sz w:val="24"/>
          <w:szCs w:val="24"/>
        </w:rPr>
      </w:pPr>
      <w:r w:rsidDel="00000000" w:rsidR="00000000" w:rsidRPr="00000000">
        <w:rPr>
          <w:sz w:val="24"/>
          <w:szCs w:val="24"/>
          <w:rtl w:val="0"/>
        </w:rPr>
        <w:t xml:space="preserve">CLAVIS | SCRIPTVRAE S. | ſeu de Sermone Sacrarum | literarum, | Autore MATTHIA FLACIO | ILLYRICO, | PARS PRIMA: | IN QVA SINGVLARVM VOCVM, ATQUE | locutionum S. Scripturæ ufus ac ratio Alphabe- | tico ordine explicatur. | O P V S, &amp; maximo annorum aliquot labore ac ſtuido,multisg uigilÿs,atg | fide ſingulari confectum: &amp; maximam quog S. Theologie ſtudioſis commo- | ditatem,quicung candidè ac dextrè uti eodem uoluerint,alaturum: ut ſimi- | le,in hoc quidem argumenti genere,nullum unquam eſſe editum, | re ipſa facilè ſint deprehenſuri. | Acceſsit Vocum ac phrafium, item Locorum S.Scripturæ obiter | explicatorum,deniq;Rerum,&amp;c.Trigeminus | I N D E X. | [Printer’s Device, depicting Arion carrying a fiddle and standing on a fish] | BASILEÆ, PER IOANNEM OPORI- | NVM, &amp; EVSEBIVM EPISCOPIUM.</w:t>
      </w:r>
    </w:p>
    <w:p w:rsidR="00000000" w:rsidDel="00000000" w:rsidP="00000000" w:rsidRDefault="00000000" w:rsidRPr="00000000" w14:paraId="00000006">
      <w:pPr>
        <w:spacing w:line="360" w:lineRule="auto"/>
        <w:rPr>
          <w:sz w:val="24"/>
          <w:szCs w:val="24"/>
        </w:rPr>
      </w:pPr>
      <w:r w:rsidDel="00000000" w:rsidR="00000000" w:rsidRPr="00000000">
        <w:rPr>
          <w:rtl w:val="0"/>
        </w:rPr>
      </w:r>
    </w:p>
    <w:p w:rsidR="00000000" w:rsidDel="00000000" w:rsidP="00000000" w:rsidRDefault="00000000" w:rsidRPr="00000000" w14:paraId="00000007">
      <w:pPr>
        <w:numPr>
          <w:ilvl w:val="0"/>
          <w:numId w:val="1"/>
        </w:numPr>
        <w:spacing w:line="360" w:lineRule="auto"/>
        <w:ind w:left="720" w:hanging="360"/>
        <w:rPr>
          <w:sz w:val="24"/>
          <w:szCs w:val="24"/>
        </w:rPr>
      </w:pPr>
      <w:r w:rsidDel="00000000" w:rsidR="00000000" w:rsidRPr="00000000">
        <w:rPr>
          <w:sz w:val="24"/>
          <w:szCs w:val="24"/>
          <w:u w:val="single"/>
          <w:rtl w:val="0"/>
        </w:rPr>
        <w:t xml:space="preserve">Colophon.</w:t>
      </w:r>
      <w:r w:rsidDel="00000000" w:rsidR="00000000" w:rsidRPr="00000000">
        <w:rPr>
          <w:rtl w:val="0"/>
        </w:rPr>
      </w:r>
    </w:p>
    <w:p w:rsidR="00000000" w:rsidDel="00000000" w:rsidP="00000000" w:rsidRDefault="00000000" w:rsidRPr="00000000" w14:paraId="00000008">
      <w:pPr>
        <w:spacing w:line="360" w:lineRule="auto"/>
        <w:rPr>
          <w:sz w:val="24"/>
          <w:szCs w:val="24"/>
        </w:rPr>
      </w:pPr>
      <w:r w:rsidDel="00000000" w:rsidR="00000000" w:rsidRPr="00000000">
        <w:rPr>
          <w:rtl w:val="0"/>
        </w:rPr>
      </w:r>
    </w:p>
    <w:p w:rsidR="00000000" w:rsidDel="00000000" w:rsidP="00000000" w:rsidRDefault="00000000" w:rsidRPr="00000000" w14:paraId="00000009">
      <w:pPr>
        <w:spacing w:line="360" w:lineRule="auto"/>
        <w:rPr>
          <w:sz w:val="24"/>
          <w:szCs w:val="24"/>
        </w:rPr>
      </w:pPr>
      <w:r w:rsidDel="00000000" w:rsidR="00000000" w:rsidRPr="00000000">
        <w:rPr>
          <w:sz w:val="24"/>
          <w:szCs w:val="24"/>
          <w:rtl w:val="0"/>
        </w:rPr>
        <w:t xml:space="preserve"> The colophon is located on the last page (NN4), and reads;</w:t>
      </w:r>
    </w:p>
    <w:p w:rsidR="00000000" w:rsidDel="00000000" w:rsidP="00000000" w:rsidRDefault="00000000" w:rsidRPr="00000000" w14:paraId="0000000A">
      <w:pPr>
        <w:spacing w:line="360" w:lineRule="auto"/>
        <w:rPr>
          <w:sz w:val="24"/>
          <w:szCs w:val="24"/>
        </w:rPr>
      </w:pPr>
      <w:r w:rsidDel="00000000" w:rsidR="00000000" w:rsidRPr="00000000">
        <w:rPr>
          <w:rtl w:val="0"/>
        </w:rPr>
      </w:r>
    </w:p>
    <w:p w:rsidR="00000000" w:rsidDel="00000000" w:rsidP="00000000" w:rsidRDefault="00000000" w:rsidRPr="00000000" w14:paraId="0000000B">
      <w:pPr>
        <w:spacing w:line="360" w:lineRule="auto"/>
        <w:rPr>
          <w:sz w:val="24"/>
          <w:szCs w:val="24"/>
        </w:rPr>
      </w:pPr>
      <w:r w:rsidDel="00000000" w:rsidR="00000000" w:rsidRPr="00000000">
        <w:rPr>
          <w:sz w:val="24"/>
          <w:szCs w:val="24"/>
          <w:rtl w:val="0"/>
        </w:rPr>
        <w:t xml:space="preserve">BASILEAE, PER IOANNEM OPO- | RINVM, ET EVSEBIVM EPISCOPIUM, | Anno Salutis humanæ M. D. LXVII | menfe Martio.</w:t>
      </w:r>
    </w:p>
    <w:p w:rsidR="00000000" w:rsidDel="00000000" w:rsidP="00000000" w:rsidRDefault="00000000" w:rsidRPr="00000000" w14:paraId="0000000C">
      <w:pPr>
        <w:spacing w:line="360" w:lineRule="auto"/>
        <w:rPr>
          <w:sz w:val="24"/>
          <w:szCs w:val="24"/>
        </w:rPr>
      </w:pPr>
      <w:r w:rsidDel="00000000" w:rsidR="00000000" w:rsidRPr="00000000">
        <w:rPr>
          <w:rtl w:val="0"/>
        </w:rPr>
      </w:r>
    </w:p>
    <w:p w:rsidR="00000000" w:rsidDel="00000000" w:rsidP="00000000" w:rsidRDefault="00000000" w:rsidRPr="00000000" w14:paraId="0000000D">
      <w:pPr>
        <w:numPr>
          <w:ilvl w:val="0"/>
          <w:numId w:val="1"/>
        </w:numPr>
        <w:spacing w:line="360" w:lineRule="auto"/>
        <w:ind w:left="720" w:hanging="360"/>
        <w:rPr>
          <w:sz w:val="24"/>
          <w:szCs w:val="24"/>
        </w:rPr>
      </w:pPr>
      <w:r w:rsidDel="00000000" w:rsidR="00000000" w:rsidRPr="00000000">
        <w:rPr>
          <w:sz w:val="24"/>
          <w:szCs w:val="24"/>
          <w:u w:val="single"/>
          <w:rtl w:val="0"/>
        </w:rPr>
        <w:t xml:space="preserve">Format.</w:t>
      </w:r>
      <w:r w:rsidDel="00000000" w:rsidR="00000000" w:rsidRPr="00000000">
        <w:rPr>
          <w:sz w:val="24"/>
          <w:szCs w:val="24"/>
          <w:rtl w:val="0"/>
        </w:rPr>
        <w:t xml:space="preserve"> </w:t>
      </w:r>
    </w:p>
    <w:p w:rsidR="00000000" w:rsidDel="00000000" w:rsidP="00000000" w:rsidRDefault="00000000" w:rsidRPr="00000000" w14:paraId="0000000E">
      <w:pPr>
        <w:spacing w:line="360" w:lineRule="auto"/>
        <w:rPr>
          <w:sz w:val="24"/>
          <w:szCs w:val="24"/>
        </w:rPr>
      </w:pPr>
      <w:r w:rsidDel="00000000" w:rsidR="00000000" w:rsidRPr="00000000">
        <w:rPr>
          <w:rtl w:val="0"/>
        </w:rPr>
      </w:r>
    </w:p>
    <w:p w:rsidR="00000000" w:rsidDel="00000000" w:rsidP="00000000" w:rsidRDefault="00000000" w:rsidRPr="00000000" w14:paraId="0000000F">
      <w:pPr>
        <w:spacing w:line="360" w:lineRule="auto"/>
        <w:rPr>
          <w:sz w:val="24"/>
          <w:szCs w:val="24"/>
        </w:rPr>
      </w:pPr>
      <w:r w:rsidDel="00000000" w:rsidR="00000000" w:rsidRPr="00000000">
        <w:rPr>
          <w:sz w:val="24"/>
          <w:szCs w:val="24"/>
          <w:rtl w:val="0"/>
        </w:rPr>
        <w:t xml:space="preserve">This book’s format is closest to Octavo, where the “leaf” is folded into 8 different pages and the signatures follow the pattern of: A1, A2, A3, A4, and then blank for four pages. However, in the main body of this book, the 4 signature pages are followed by 2 blank pages. And, in the preface–a 8 page introduction to main body of the text and the accompanying index– there are 5 signature pages, followed by 3 blank pages.</w:t>
      </w:r>
    </w:p>
    <w:p w:rsidR="00000000" w:rsidDel="00000000" w:rsidP="00000000" w:rsidRDefault="00000000" w:rsidRPr="00000000" w14:paraId="00000010">
      <w:pPr>
        <w:spacing w:line="360" w:lineRule="auto"/>
        <w:rPr>
          <w:sz w:val="24"/>
          <w:szCs w:val="24"/>
        </w:rPr>
      </w:pPr>
      <w:r w:rsidDel="00000000" w:rsidR="00000000" w:rsidRPr="00000000">
        <w:rPr>
          <w:rtl w:val="0"/>
        </w:rPr>
      </w:r>
    </w:p>
    <w:p w:rsidR="00000000" w:rsidDel="00000000" w:rsidP="00000000" w:rsidRDefault="00000000" w:rsidRPr="00000000" w14:paraId="00000011">
      <w:pPr>
        <w:spacing w:line="360" w:lineRule="auto"/>
        <w:rPr>
          <w:sz w:val="24"/>
          <w:szCs w:val="24"/>
        </w:rPr>
      </w:pPr>
      <w:r w:rsidDel="00000000" w:rsidR="00000000" w:rsidRPr="00000000">
        <w:rPr>
          <w:sz w:val="24"/>
          <w:szCs w:val="24"/>
          <w:rtl w:val="0"/>
        </w:rPr>
        <w:t xml:space="preserve">Preface: A1, A2, A3, A4, A5, Blank, Blank, Blank.</w:t>
      </w:r>
    </w:p>
    <w:p w:rsidR="00000000" w:rsidDel="00000000" w:rsidP="00000000" w:rsidRDefault="00000000" w:rsidRPr="00000000" w14:paraId="00000012">
      <w:pPr>
        <w:spacing w:line="360" w:lineRule="auto"/>
        <w:rPr>
          <w:sz w:val="24"/>
          <w:szCs w:val="24"/>
        </w:rPr>
      </w:pPr>
      <w:r w:rsidDel="00000000" w:rsidR="00000000" w:rsidRPr="00000000">
        <w:rPr>
          <w:sz w:val="24"/>
          <w:szCs w:val="24"/>
          <w:rtl w:val="0"/>
        </w:rPr>
        <w:t xml:space="preserve">Main Body: A1, A2, A3, A4, Blank, Blank, B1…</w:t>
      </w:r>
    </w:p>
    <w:p w:rsidR="00000000" w:rsidDel="00000000" w:rsidP="00000000" w:rsidRDefault="00000000" w:rsidRPr="00000000" w14:paraId="00000013">
      <w:pPr>
        <w:spacing w:line="360" w:lineRule="auto"/>
        <w:rPr>
          <w:sz w:val="24"/>
          <w:szCs w:val="24"/>
        </w:rPr>
      </w:pPr>
      <w:r w:rsidDel="00000000" w:rsidR="00000000" w:rsidRPr="00000000">
        <w:rPr>
          <w:rtl w:val="0"/>
        </w:rPr>
      </w:r>
    </w:p>
    <w:p w:rsidR="00000000" w:rsidDel="00000000" w:rsidP="00000000" w:rsidRDefault="00000000" w:rsidRPr="00000000" w14:paraId="00000014">
      <w:pPr>
        <w:numPr>
          <w:ilvl w:val="0"/>
          <w:numId w:val="1"/>
        </w:numPr>
        <w:spacing w:line="360" w:lineRule="auto"/>
        <w:ind w:left="720" w:hanging="360"/>
        <w:rPr>
          <w:sz w:val="24"/>
          <w:szCs w:val="24"/>
        </w:rPr>
      </w:pPr>
      <w:r w:rsidDel="00000000" w:rsidR="00000000" w:rsidRPr="00000000">
        <w:rPr>
          <w:sz w:val="24"/>
          <w:szCs w:val="24"/>
          <w:u w:val="single"/>
          <w:rtl w:val="0"/>
        </w:rPr>
        <w:t xml:space="preserve">Collation.</w:t>
      </w:r>
    </w:p>
    <w:p w:rsidR="00000000" w:rsidDel="00000000" w:rsidP="00000000" w:rsidRDefault="00000000" w:rsidRPr="00000000" w14:paraId="00000015">
      <w:pPr>
        <w:spacing w:line="360" w:lineRule="auto"/>
        <w:rPr>
          <w:sz w:val="24"/>
          <w:szCs w:val="24"/>
        </w:rPr>
      </w:pPr>
      <w:r w:rsidDel="00000000" w:rsidR="00000000" w:rsidRPr="00000000">
        <w:rPr>
          <w:rtl w:val="0"/>
        </w:rPr>
      </w:r>
    </w:p>
    <w:p w:rsidR="00000000" w:rsidDel="00000000" w:rsidP="00000000" w:rsidRDefault="00000000" w:rsidRPr="00000000" w14:paraId="00000016">
      <w:pPr>
        <w:spacing w:line="360" w:lineRule="auto"/>
        <w:rPr>
          <w:sz w:val="24"/>
          <w:szCs w:val="24"/>
        </w:rPr>
      </w:pPr>
      <w:r w:rsidDel="00000000" w:rsidR="00000000" w:rsidRPr="00000000">
        <w:rPr>
          <w:sz w:val="24"/>
          <w:szCs w:val="24"/>
          <w:rtl w:val="0"/>
        </w:rPr>
        <w:t xml:space="preserve">Statement of Signing: a6 - i6, (j wanted), k6 - u6, (v, w wanted), x6 - z6, A6 - I6, (J wanted), K6 - T6, (U, W wanted), X6 - Z6, Aa6 - Ii6, (Jj wanted), Kk6 - Tt6, (Uu wanted), Vu6, (Ww wanted), Xx6 - Zz6, AA6 - II6, (JJ wanted), KK6 - NN4.</w:t>
      </w:r>
    </w:p>
    <w:p w:rsidR="00000000" w:rsidDel="00000000" w:rsidP="00000000" w:rsidRDefault="00000000" w:rsidRPr="00000000" w14:paraId="00000017">
      <w:pPr>
        <w:spacing w:line="360" w:lineRule="auto"/>
        <w:rPr>
          <w:sz w:val="24"/>
          <w:szCs w:val="24"/>
        </w:rPr>
      </w:pPr>
      <w:r w:rsidDel="00000000" w:rsidR="00000000" w:rsidRPr="00000000">
        <w:rPr>
          <w:rtl w:val="0"/>
        </w:rPr>
      </w:r>
    </w:p>
    <w:p w:rsidR="00000000" w:rsidDel="00000000" w:rsidP="00000000" w:rsidRDefault="00000000" w:rsidRPr="00000000" w14:paraId="00000018">
      <w:pPr>
        <w:numPr>
          <w:ilvl w:val="0"/>
          <w:numId w:val="1"/>
        </w:numPr>
        <w:spacing w:line="360" w:lineRule="auto"/>
        <w:ind w:left="720" w:hanging="360"/>
        <w:rPr>
          <w:sz w:val="24"/>
          <w:szCs w:val="24"/>
        </w:rPr>
      </w:pPr>
      <w:r w:rsidDel="00000000" w:rsidR="00000000" w:rsidRPr="00000000">
        <w:rPr>
          <w:sz w:val="24"/>
          <w:szCs w:val="24"/>
          <w:u w:val="single"/>
          <w:rtl w:val="0"/>
        </w:rPr>
        <w:t xml:space="preserve">Pagination.</w:t>
      </w:r>
    </w:p>
    <w:p w:rsidR="00000000" w:rsidDel="00000000" w:rsidP="00000000" w:rsidRDefault="00000000" w:rsidRPr="00000000" w14:paraId="00000019">
      <w:pPr>
        <w:spacing w:line="360" w:lineRule="auto"/>
        <w:rPr>
          <w:sz w:val="24"/>
          <w:szCs w:val="24"/>
        </w:rPr>
      </w:pPr>
      <w:r w:rsidDel="00000000" w:rsidR="00000000" w:rsidRPr="00000000">
        <w:rPr>
          <w:rtl w:val="0"/>
        </w:rPr>
      </w:r>
    </w:p>
    <w:p w:rsidR="00000000" w:rsidDel="00000000" w:rsidP="00000000" w:rsidRDefault="00000000" w:rsidRPr="00000000" w14:paraId="0000001A">
      <w:pPr>
        <w:spacing w:line="360" w:lineRule="auto"/>
        <w:rPr>
          <w:sz w:val="24"/>
          <w:szCs w:val="24"/>
        </w:rPr>
      </w:pPr>
      <w:r w:rsidDel="00000000" w:rsidR="00000000" w:rsidRPr="00000000">
        <w:rPr>
          <w:sz w:val="24"/>
          <w:szCs w:val="24"/>
          <w:rtl w:val="0"/>
        </w:rPr>
        <w:t xml:space="preserve">There are no page numbers in this book, but there are 448 pages and therefore, 224 leaves. However, there are numbers at the top of each column, ranging at 1 on the first page after the preface finishes, and going up to 1782 on the last page of the text before the index starts.</w:t>
      </w:r>
    </w:p>
    <w:p w:rsidR="00000000" w:rsidDel="00000000" w:rsidP="00000000" w:rsidRDefault="00000000" w:rsidRPr="00000000" w14:paraId="0000001B">
      <w:pPr>
        <w:spacing w:line="360" w:lineRule="auto"/>
        <w:rPr>
          <w:sz w:val="24"/>
          <w:szCs w:val="24"/>
        </w:rPr>
      </w:pPr>
      <w:r w:rsidDel="00000000" w:rsidR="00000000" w:rsidRPr="00000000">
        <w:rPr>
          <w:rtl w:val="0"/>
        </w:rPr>
      </w:r>
    </w:p>
    <w:p w:rsidR="00000000" w:rsidDel="00000000" w:rsidP="00000000" w:rsidRDefault="00000000" w:rsidRPr="00000000" w14:paraId="0000001C">
      <w:pPr>
        <w:numPr>
          <w:ilvl w:val="0"/>
          <w:numId w:val="1"/>
        </w:numPr>
        <w:spacing w:line="360" w:lineRule="auto"/>
        <w:ind w:left="720" w:hanging="360"/>
        <w:rPr>
          <w:sz w:val="24"/>
          <w:szCs w:val="24"/>
        </w:rPr>
      </w:pPr>
      <w:r w:rsidDel="00000000" w:rsidR="00000000" w:rsidRPr="00000000">
        <w:rPr>
          <w:sz w:val="24"/>
          <w:szCs w:val="24"/>
          <w:u w:val="single"/>
          <w:rtl w:val="0"/>
        </w:rPr>
        <w:t xml:space="preserve">Extra Information.</w:t>
      </w:r>
    </w:p>
    <w:p w:rsidR="00000000" w:rsidDel="00000000" w:rsidP="00000000" w:rsidRDefault="00000000" w:rsidRPr="00000000" w14:paraId="0000001D">
      <w:pPr>
        <w:spacing w:line="360" w:lineRule="auto"/>
        <w:rPr>
          <w:sz w:val="24"/>
          <w:szCs w:val="24"/>
        </w:rPr>
      </w:pPr>
      <w:r w:rsidDel="00000000" w:rsidR="00000000" w:rsidRPr="00000000">
        <w:rPr>
          <w:rtl w:val="0"/>
        </w:rPr>
      </w:r>
    </w:p>
    <w:p w:rsidR="00000000" w:rsidDel="00000000" w:rsidP="00000000" w:rsidRDefault="00000000" w:rsidRPr="00000000" w14:paraId="0000001E">
      <w:pPr>
        <w:spacing w:line="360" w:lineRule="auto"/>
        <w:ind w:firstLine="720"/>
        <w:rPr>
          <w:sz w:val="24"/>
          <w:szCs w:val="24"/>
        </w:rPr>
      </w:pPr>
      <w:r w:rsidDel="00000000" w:rsidR="00000000" w:rsidRPr="00000000">
        <w:rPr>
          <w:sz w:val="24"/>
          <w:szCs w:val="24"/>
          <w:rtl w:val="0"/>
        </w:rPr>
        <w:t xml:space="preserve">The title of this book—</w:t>
      </w:r>
      <w:r w:rsidDel="00000000" w:rsidR="00000000" w:rsidRPr="00000000">
        <w:rPr>
          <w:i w:val="1"/>
          <w:iCs w:val="1"/>
          <w:sz w:val="24"/>
          <w:szCs w:val="24"/>
          <w:rtl w:val="0"/>
        </w:rPr>
        <w:t xml:space="preserve">Clavis Scripturæ</w:t>
      </w:r>
      <w:r w:rsidDel="00000000" w:rsidR="00000000" w:rsidRPr="00000000">
        <w:rPr>
          <w:sz w:val="24"/>
          <w:szCs w:val="24"/>
          <w:rtl w:val="0"/>
        </w:rPr>
        <w:t xml:space="preserve">—means ‘the key of scripture’, and the book acts as a dictionary, an index and an accompanying commentary to the Bible. It was published in Basel, northern Switzerland, in 1567, and was the product of Johannes Oporinus and Eusebius Episcopius. </w:t>
      </w:r>
    </w:p>
    <w:p w:rsidR="00000000" w:rsidDel="00000000" w:rsidP="00000000" w:rsidRDefault="00000000" w:rsidRPr="00000000" w14:paraId="0000001F">
      <w:pPr>
        <w:spacing w:line="360" w:lineRule="auto"/>
        <w:ind w:firstLine="720"/>
        <w:rPr>
          <w:sz w:val="24"/>
          <w:szCs w:val="24"/>
        </w:rPr>
      </w:pPr>
      <w:r w:rsidDel="00000000" w:rsidR="00000000" w:rsidRPr="00000000">
        <w:rPr>
          <w:sz w:val="24"/>
          <w:szCs w:val="24"/>
          <w:rtl w:val="0"/>
        </w:rPr>
        <w:t xml:space="preserve">Oporinus was born on the 25th January, 1507, in Basel, to a painter father, Hans Herbst, and mother, Barbara Lupfart. After receiving his education in Basel, and Strasbourg, Germany, he worked as a teacher in the Cistercian convent of St. Urban, before he returned to Basel to teach at the school of Leonhard. He would go on to study law under Bonifacius Amerbach, and Hebrew under Thomas Platter. Around the same time, he worked as a proofer, a job that served as a means of verification in the accuracy of the printing for the customer, in the workshop of Johann Froben, a famous printer and publisher that helped Basel establish itself as one of the leading centers of book trading in the 16th century.</w:t>
      </w:r>
    </w:p>
    <w:p w:rsidR="00000000" w:rsidDel="00000000" w:rsidP="00000000" w:rsidRDefault="00000000" w:rsidRPr="00000000" w14:paraId="00000020">
      <w:pPr>
        <w:spacing w:line="360" w:lineRule="auto"/>
        <w:ind w:firstLine="720"/>
        <w:rPr>
          <w:sz w:val="24"/>
          <w:szCs w:val="24"/>
        </w:rPr>
      </w:pPr>
      <w:r w:rsidDel="00000000" w:rsidR="00000000" w:rsidRPr="00000000">
        <w:rPr>
          <w:sz w:val="24"/>
          <w:szCs w:val="24"/>
          <w:rtl w:val="0"/>
        </w:rPr>
        <w:t xml:space="preserve"> From 1538 to 1542, Oporinus taught as a professor of Greek and Latin at the University of Basel, before he resigned and  then devoted himself to printing full-time. The same year, Oporinus attempted to print the first version of the Quran in Latin. This Quran would become a part of a collection of Islamic works that were commissioned by Peter the Venerable. But the printing led to Oporinus’ short-term imprisoned at the hands of municipal authorities. However, a letter written by Martin Luther convinced the authorities to permit the printing of the copy of the Quran, with Luther and Philip Melanchthon providing introductory essays for the version.</w:t>
      </w:r>
      <w:r w:rsidDel="00000000" w:rsidR="00000000" w:rsidRPr="00000000">
        <w:rPr>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21">
      <w:pPr>
        <w:spacing w:line="360" w:lineRule="auto"/>
        <w:ind w:firstLine="720"/>
        <w:rPr>
          <w:sz w:val="24"/>
          <w:szCs w:val="24"/>
        </w:rPr>
      </w:pPr>
      <w:r w:rsidDel="00000000" w:rsidR="00000000" w:rsidRPr="00000000">
        <w:rPr>
          <w:sz w:val="24"/>
          <w:szCs w:val="24"/>
          <w:rtl w:val="0"/>
        </w:rPr>
        <w:t xml:space="preserve">Oporinus would also recognised for the publishment of Andreas Vesalius’ ‘</w:t>
      </w:r>
      <w:r w:rsidDel="00000000" w:rsidR="00000000" w:rsidRPr="00000000">
        <w:rPr>
          <w:i w:val="1"/>
          <w:iCs w:val="1"/>
          <w:sz w:val="24"/>
          <w:szCs w:val="24"/>
          <w:rtl w:val="0"/>
        </w:rPr>
        <w:t xml:space="preserve">De humani corporis fabrica libri septem</w:t>
      </w:r>
      <w:r w:rsidDel="00000000" w:rsidR="00000000" w:rsidRPr="00000000">
        <w:rPr>
          <w:sz w:val="24"/>
          <w:szCs w:val="24"/>
          <w:rtl w:val="0"/>
        </w:rPr>
        <w:t xml:space="preserve">’ in 1543. With the title translating to ‘</w:t>
      </w:r>
      <w:r w:rsidDel="00000000" w:rsidR="00000000" w:rsidRPr="00000000">
        <w:rPr>
          <w:i w:val="1"/>
          <w:iCs w:val="1"/>
          <w:sz w:val="24"/>
          <w:szCs w:val="24"/>
          <w:rtl w:val="0"/>
        </w:rPr>
        <w:t xml:space="preserve">On the Fabric of the Human Body in Seven Books</w:t>
      </w:r>
      <w:r w:rsidDel="00000000" w:rsidR="00000000" w:rsidRPr="00000000">
        <w:rPr>
          <w:sz w:val="24"/>
          <w:szCs w:val="24"/>
          <w:rtl w:val="0"/>
        </w:rPr>
        <w:t xml:space="preserve">’, the works is a set of books on human anatomy that would become a major advancement in the history of anatomy.</w:t>
      </w:r>
    </w:p>
    <w:p w:rsidR="00000000" w:rsidDel="00000000" w:rsidP="00000000" w:rsidRDefault="00000000" w:rsidRPr="00000000" w14:paraId="00000022">
      <w:pPr>
        <w:spacing w:line="360" w:lineRule="auto"/>
        <w:ind w:firstLine="720"/>
        <w:rPr>
          <w:sz w:val="24"/>
          <w:szCs w:val="24"/>
        </w:rPr>
      </w:pPr>
      <w:r w:rsidDel="00000000" w:rsidR="00000000" w:rsidRPr="00000000">
        <w:rPr>
          <w:sz w:val="24"/>
          <w:szCs w:val="24"/>
          <w:rtl w:val="0"/>
        </w:rPr>
        <w:t xml:space="preserve"> In 1567, just after ‘</w:t>
      </w:r>
      <w:r w:rsidDel="00000000" w:rsidR="00000000" w:rsidRPr="00000000">
        <w:rPr>
          <w:i w:val="1"/>
          <w:iCs w:val="1"/>
          <w:sz w:val="24"/>
          <w:szCs w:val="24"/>
          <w:rtl w:val="0"/>
        </w:rPr>
        <w:t xml:space="preserve">Clavis Scripturæ</w:t>
      </w:r>
      <w:r w:rsidDel="00000000" w:rsidR="00000000" w:rsidRPr="00000000">
        <w:rPr>
          <w:sz w:val="24"/>
          <w:szCs w:val="24"/>
          <w:rtl w:val="0"/>
        </w:rPr>
        <w:t xml:space="preserve">’ was published and just mere months before Oporinus died, he sold his printshop.</w:t>
      </w:r>
    </w:p>
    <w:p w:rsidR="00000000" w:rsidDel="00000000" w:rsidP="00000000" w:rsidRDefault="00000000" w:rsidRPr="00000000" w14:paraId="00000023">
      <w:pPr>
        <w:spacing w:line="360" w:lineRule="auto"/>
        <w:ind w:firstLine="720"/>
        <w:rPr>
          <w:sz w:val="24"/>
          <w:szCs w:val="24"/>
        </w:rPr>
      </w:pPr>
      <w:r w:rsidDel="00000000" w:rsidR="00000000" w:rsidRPr="00000000">
        <w:rPr>
          <w:sz w:val="24"/>
          <w:szCs w:val="24"/>
          <w:rtl w:val="0"/>
        </w:rPr>
        <w:t xml:space="preserve">Unfortunately, there is much less is known and officially recorded about Episcopius. However, he was born in 1540 and died in 1599, he was a prominent printer that was also based in Basel, and often worked in collaboration with Johannes Oporinus and his family. </w:t>
      </w:r>
    </w:p>
    <w:p w:rsidR="00000000" w:rsidDel="00000000" w:rsidP="00000000" w:rsidRDefault="00000000" w:rsidRPr="00000000" w14:paraId="00000024">
      <w:pPr>
        <w:spacing w:line="360" w:lineRule="auto"/>
        <w:ind w:firstLine="720"/>
        <w:rPr>
          <w:sz w:val="24"/>
          <w:szCs w:val="24"/>
        </w:rPr>
      </w:pPr>
      <w:r w:rsidDel="00000000" w:rsidR="00000000" w:rsidRPr="00000000">
        <w:rPr>
          <w:sz w:val="24"/>
          <w:szCs w:val="24"/>
          <w:rtl w:val="0"/>
        </w:rPr>
        <w:t xml:space="preserve">The author of ‘</w:t>
      </w:r>
      <w:r w:rsidDel="00000000" w:rsidR="00000000" w:rsidRPr="00000000">
        <w:rPr>
          <w:i w:val="1"/>
          <w:iCs w:val="1"/>
          <w:sz w:val="24"/>
          <w:szCs w:val="24"/>
          <w:rtl w:val="0"/>
        </w:rPr>
        <w:t xml:space="preserve">Clavis Scripturæ</w:t>
      </w:r>
      <w:r w:rsidDel="00000000" w:rsidR="00000000" w:rsidRPr="00000000">
        <w:rPr>
          <w:sz w:val="24"/>
          <w:szCs w:val="24"/>
          <w:rtl w:val="0"/>
        </w:rPr>
        <w:t xml:space="preserve">’, was a Lutheran reformer from Istria ,present-day Croatia, who was best known as Matthias Flacius Illyricus, though he also went by other names. He was born on March 3rd, 1520 and died on March 11th, 1575. At 16 years old, he studied in Venice, under Giambattista Cipelli, Venetian priest and humanist better known as Egnazio. A year later, Illyricus intended to join a monastic order, to continue his religious learning. However, this was redirected by his uncle-in-law, provincial of the Franciscans Baldo Lupetina, who convinced him to start a university career.</w:t>
      </w:r>
      <w:r w:rsidDel="00000000" w:rsidR="00000000" w:rsidRPr="00000000">
        <w:rPr>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25">
      <w:pPr>
        <w:spacing w:line="360" w:lineRule="auto"/>
        <w:ind w:firstLine="720"/>
        <w:rPr>
          <w:sz w:val="24"/>
          <w:szCs w:val="24"/>
        </w:rPr>
      </w:pPr>
      <w:r w:rsidDel="00000000" w:rsidR="00000000" w:rsidRPr="00000000">
        <w:rPr>
          <w:sz w:val="24"/>
          <w:szCs w:val="24"/>
          <w:rtl w:val="0"/>
        </w:rPr>
        <w:t xml:space="preserve">He attended the University of Basel, signing a payment slip in 1539 under the name ‘Mattheus de Francistis de Albona’, before going to the University of Tübingen and then later, attending the University of Wittenberg, this time signing the payment slip as ‘Matthias Francovich Illyricus’. Whilst he was in Tübingen, Ilyricus worked with Matthias Garbitius, a fellow Istrian humanist and Matthias’ professor of Greek at the University of Tübingen. It was here, and through Garbitius, that Illyricus would find the influence of Martin Luther.</w:t>
      </w:r>
    </w:p>
    <w:p w:rsidR="00000000" w:rsidDel="00000000" w:rsidP="00000000" w:rsidRDefault="00000000" w:rsidRPr="00000000" w14:paraId="00000026">
      <w:pPr>
        <w:spacing w:line="360" w:lineRule="auto"/>
        <w:ind w:firstLine="720"/>
        <w:rPr>
          <w:sz w:val="24"/>
          <w:szCs w:val="24"/>
        </w:rPr>
      </w:pPr>
      <w:r w:rsidDel="00000000" w:rsidR="00000000" w:rsidRPr="00000000">
        <w:rPr>
          <w:sz w:val="24"/>
          <w:szCs w:val="24"/>
          <w:rtl w:val="0"/>
        </w:rPr>
        <w:t xml:space="preserve">The physical book is covered by pig leather, a durable binding material that is easy to spot by its pale, creamy colour. The use of pig leather was more concentrated in Germany and the surrounding countries, like Switzerland, Austria and the northern parts or Italy, from the 16th to the 18th century. The book is designed to be presented lying on its back, as the front cover displays a decorative design, whilst the spine is less inviting to the eye. It has metal clasps on the hard cover that secures the book, protecting it from damage and disfigurement. The font used in the book is ‘Ascendonica Romain’, a font created in the 16th century by the renowned French punchcutter–the title given to those that would hand-cut the letterforms, numbers and symbols in reverse onto the tip of a small steel rod–Robert Granjon. The size of the font is 2.5mm in the preface, however changes to 1.5mm in the main body. This could mean that the preface was added at a later date, and was perhaps undecided when the main text was printed and then quickly added before the book is completed and prepared for the customer.</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Kritzeck, J. </w:t>
      </w:r>
      <w:r w:rsidDel="00000000" w:rsidR="00000000" w:rsidRPr="00000000">
        <w:rPr>
          <w:i w:val="1"/>
          <w:iCs w:val="1"/>
          <w:sz w:val="20"/>
          <w:szCs w:val="20"/>
          <w:rtl w:val="0"/>
        </w:rPr>
        <w:t xml:space="preserve">Peter the Venerable and Islam</w:t>
      </w:r>
      <w:r w:rsidDel="00000000" w:rsidR="00000000" w:rsidRPr="00000000">
        <w:rPr>
          <w:sz w:val="20"/>
          <w:szCs w:val="20"/>
          <w:rtl w:val="0"/>
        </w:rPr>
        <w:t xml:space="preserve"> (Princeton: Princeton University Press, 1964). Pp. vii-viii.</w:t>
      </w:r>
    </w:p>
  </w:footnote>
  <w:footnote w:id="1">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Alexander, G. </w:t>
      </w:r>
      <w:r w:rsidDel="00000000" w:rsidR="00000000" w:rsidRPr="00000000">
        <w:rPr>
          <w:i w:val="1"/>
          <w:iCs w:val="1"/>
          <w:sz w:val="20"/>
          <w:szCs w:val="20"/>
          <w:rtl w:val="0"/>
        </w:rPr>
        <w:t xml:space="preserve">‘</w:t>
      </w:r>
      <w:r w:rsidDel="00000000" w:rsidR="00000000" w:rsidRPr="00000000">
        <w:rPr>
          <w:sz w:val="20"/>
          <w:szCs w:val="20"/>
          <w:rtl w:val="0"/>
        </w:rPr>
        <w:t xml:space="preserve">Flacius, Matthias’ in </w:t>
      </w:r>
      <w:r w:rsidDel="00000000" w:rsidR="00000000" w:rsidRPr="00000000">
        <w:rPr>
          <w:i w:val="1"/>
          <w:iCs w:val="1"/>
          <w:sz w:val="20"/>
          <w:szCs w:val="20"/>
          <w:rtl w:val="0"/>
        </w:rPr>
        <w:t xml:space="preserve">Encyclopædia Britannica </w:t>
      </w:r>
      <w:r w:rsidDel="00000000" w:rsidR="00000000" w:rsidRPr="00000000">
        <w:rPr>
          <w:sz w:val="20"/>
          <w:szCs w:val="20"/>
          <w:rtl w:val="0"/>
        </w:rPr>
        <w:t xml:space="preserve">Vol. 10 ed. by Chisholm, H. (Cambridge: Cambridge University Press, 1911). Pp. 543.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