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75070D" w:rsidR="0075070D" w:rsidP="0075070D" w:rsidRDefault="0075070D" w14:paraId="44F8AB17" w14:textId="77777777">
      <w:pPr>
        <w:jc w:val="center"/>
        <w:rPr>
          <w:b/>
        </w:rPr>
      </w:pPr>
      <w:r w:rsidRPr="0075070D">
        <w:rPr>
          <w:b/>
        </w:rPr>
        <w:t>Seleukos Character Biography</w:t>
      </w:r>
    </w:p>
    <w:p w:rsidRPr="0075070D" w:rsidR="0075070D" w:rsidP="0075070D" w:rsidRDefault="0075070D" w14:paraId="0C1E58F1" w14:textId="77777777">
      <w:pPr>
        <w:jc w:val="center"/>
        <w:rPr>
          <w:b/>
        </w:rPr>
      </w:pPr>
      <w:r w:rsidRPr="0075070D">
        <w:rPr>
          <w:b/>
        </w:rPr>
        <w:t>Tamara Bowie</w:t>
      </w:r>
    </w:p>
    <w:p w:rsidR="00E93DBE" w:rsidRDefault="00E93DBE" w14:paraId="4D594A0D" w14:textId="5A3DD90D">
      <w:proofErr w:type="spellStart"/>
      <w:r>
        <w:rPr/>
        <w:t>Seleukos</w:t>
      </w:r>
      <w:proofErr w:type="spellEnd"/>
      <w:r>
        <w:rPr/>
        <w:t xml:space="preserve"> </w:t>
      </w:r>
      <w:proofErr w:type="spellStart"/>
      <w:r>
        <w:rPr/>
        <w:t>Nikator</w:t>
      </w:r>
      <w:proofErr w:type="spellEnd"/>
      <w:r>
        <w:rPr/>
        <w:t xml:space="preserve"> was bor</w:t>
      </w:r>
      <w:r w:rsidR="007C4803">
        <w:rPr/>
        <w:t xml:space="preserve">n </w:t>
      </w:r>
      <w:r>
        <w:rPr/>
        <w:t>in in c.358BC</w:t>
      </w:r>
      <w:r>
        <w:rPr>
          <w:rStyle w:val="FootnoteReference"/>
        </w:rPr>
        <w:footnoteReference w:id="1"/>
      </w:r>
      <w:r>
        <w:rPr/>
        <w:t xml:space="preserve"> to </w:t>
      </w:r>
      <w:proofErr w:type="spellStart"/>
      <w:r>
        <w:rPr/>
        <w:t xml:space="preserve">Antiochos</w:t>
      </w:r>
      <w:proofErr w:type="spellEnd"/>
      <w:r>
        <w:rPr/>
        <w:t xml:space="preserve"> and </w:t>
      </w:r>
      <w:proofErr w:type="spellStart"/>
      <w:r>
        <w:rPr/>
        <w:t xml:space="preserve">Laodike</w:t>
      </w:r>
      <w:proofErr w:type="spellEnd"/>
      <w:r>
        <w:rPr/>
        <w:t xml:space="preserve"> in </w:t>
      </w:r>
      <w:proofErr w:type="spellStart"/>
      <w:r>
        <w:rPr/>
        <w:t xml:space="preserve">Europos</w:t>
      </w:r>
      <w:proofErr w:type="spellEnd"/>
      <w:r>
        <w:rPr>
          <w:rStyle w:val="FootnoteReference"/>
        </w:rPr>
        <w:footnoteReference w:id="2"/>
      </w:r>
      <w:r>
        <w:rPr/>
        <w:t xml:space="preserve">. The year </w:t>
      </w:r>
      <w:proofErr w:type="spellStart"/>
      <w:r>
        <w:rPr/>
        <w:t>Seleukos</w:t>
      </w:r>
      <w:proofErr w:type="spellEnd"/>
      <w:r>
        <w:rPr/>
        <w:t xml:space="preserve"> was born is debated among scholars and the </w:t>
      </w:r>
      <w:proofErr w:type="gramStart"/>
      <w:r>
        <w:rPr/>
        <w:t>general consensus</w:t>
      </w:r>
      <w:proofErr w:type="gramEnd"/>
      <w:r>
        <w:rPr/>
        <w:t xml:space="preserve"> conclude</w:t>
      </w:r>
      <w:r w:rsidR="00D77577">
        <w:rPr/>
        <w:t>d</w:t>
      </w:r>
      <w:r>
        <w:rPr/>
        <w:t xml:space="preserve"> he was three years older than </w:t>
      </w:r>
      <w:proofErr w:type="spellStart"/>
      <w:r>
        <w:rPr/>
        <w:t xml:space="preserve">Lysimachos</w:t>
      </w:r>
      <w:proofErr w:type="spellEnd"/>
      <w:r>
        <w:rPr>
          <w:rStyle w:val="FootnoteReference"/>
        </w:rPr>
        <w:footnoteReference w:id="3"/>
      </w:r>
      <w:r>
        <w:rPr/>
        <w:t xml:space="preserve"> and calculate</w:t>
      </w:r>
      <w:r w:rsidR="00D77577">
        <w:rPr/>
        <w:t>d</w:t>
      </w:r>
      <w:r>
        <w:rPr/>
        <w:t xml:space="preserve"> his birth year to be 358 from there. The place of his birth is different depending upon the source used, in Pausanias</w:t>
      </w:r>
      <w:r>
        <w:rPr>
          <w:rStyle w:val="FootnoteReference"/>
        </w:rPr>
        <w:footnoteReference w:id="4"/>
      </w:r>
      <w:r>
        <w:rPr/>
        <w:t xml:space="preserve"> he sets out on expeditions from Pella, however this can be attributed to the time he spent as a page in the Macedonian court. In relation to his parents, his father, Antiochus, served as a general under Philip II</w:t>
      </w:r>
      <w:r>
        <w:rPr>
          <w:rStyle w:val="FootnoteReference"/>
        </w:rPr>
        <w:footnoteReference w:id="5"/>
      </w:r>
      <w:r>
        <w:rPr/>
        <w:t xml:space="preserve"> and </w:t>
      </w:r>
      <w:proofErr w:type="gramStart"/>
      <w:r>
        <w:rPr/>
        <w:t xml:space="preserve">is considered to be</w:t>
      </w:r>
      <w:proofErr w:type="gramEnd"/>
      <w:r>
        <w:rPr/>
        <w:t xml:space="preserve"> an upper noble Macedonian. This is further supported by </w:t>
      </w:r>
      <w:proofErr w:type="spellStart"/>
      <w:r>
        <w:rPr/>
        <w:t>Seleukos</w:t>
      </w:r>
      <w:proofErr w:type="spellEnd"/>
      <w:r>
        <w:rPr/>
        <w:t xml:space="preserve">’ time as a </w:t>
      </w:r>
      <w:r w:rsidR="00655827">
        <w:rPr/>
        <w:t xml:space="preserve">Royal </w:t>
      </w:r>
      <w:r>
        <w:rPr/>
        <w:t>Page</w:t>
      </w:r>
      <w:r>
        <w:rPr>
          <w:rStyle w:val="FootnoteReference"/>
        </w:rPr>
        <w:footnoteReference w:id="6"/>
      </w:r>
      <w:r>
        <w:rPr/>
        <w:t xml:space="preserve">, serving Philip and resulted in </w:t>
      </w:r>
      <w:proofErr w:type="spellStart"/>
      <w:r>
        <w:rPr/>
        <w:t>Seleukos</w:t>
      </w:r>
      <w:proofErr w:type="spellEnd"/>
      <w:r>
        <w:rPr/>
        <w:t xml:space="preserve"> becoming </w:t>
      </w:r>
      <w:proofErr w:type="spellStart"/>
      <w:r w:rsidRPr="7BBF7F4E">
        <w:rPr>
          <w:i w:val="1"/>
          <w:iCs w:val="1"/>
        </w:rPr>
        <w:t>syntrophos</w:t>
      </w:r>
      <w:proofErr w:type="spellEnd"/>
      <w:r>
        <w:rPr/>
        <w:t xml:space="preserve"> or ‘companion’ to the crown prince, Alexander</w:t>
      </w:r>
      <w:r>
        <w:rPr>
          <w:rStyle w:val="FootnoteReference"/>
        </w:rPr>
        <w:footnoteReference w:id="7"/>
      </w:r>
      <w:r>
        <w:rPr/>
        <w:t xml:space="preserve">. His mother, </w:t>
      </w:r>
      <w:proofErr w:type="spellStart"/>
      <w:r>
        <w:rPr/>
        <w:t xml:space="preserve">Laodike</w:t>
      </w:r>
      <w:proofErr w:type="spellEnd"/>
      <w:r>
        <w:rPr/>
        <w:t xml:space="preserve">, a </w:t>
      </w:r>
      <w:r w:rsidR="007C4803">
        <w:rPr/>
        <w:t>Macedonian</w:t>
      </w:r>
      <w:r>
        <w:rPr/>
        <w:t xml:space="preserve"> woman is predominately known for the dream she had regarding </w:t>
      </w:r>
      <w:proofErr w:type="spellStart"/>
      <w:r>
        <w:rPr/>
        <w:t>Seleukos</w:t>
      </w:r>
      <w:proofErr w:type="spellEnd"/>
      <w:r>
        <w:rPr/>
        <w:t>’ conception, believing him to be the son of Apollo</w:t>
      </w:r>
      <w:r>
        <w:rPr>
          <w:rStyle w:val="FootnoteReference"/>
        </w:rPr>
        <w:footnoteReference w:id="8"/>
      </w:r>
      <w:r>
        <w:rPr/>
        <w:t>. In 324BC, during the mass weddings as Susa</w:t>
      </w:r>
      <w:r>
        <w:rPr>
          <w:rStyle w:val="FootnoteReference"/>
        </w:rPr>
        <w:footnoteReference w:id="9"/>
      </w:r>
      <w:r>
        <w:rPr/>
        <w:t xml:space="preserve">, </w:t>
      </w:r>
      <w:proofErr w:type="spellStart"/>
      <w:r>
        <w:rPr/>
        <w:t>Seleukos</w:t>
      </w:r>
      <w:proofErr w:type="spellEnd"/>
      <w:r>
        <w:rPr/>
        <w:t xml:space="preserve"> was married to </w:t>
      </w:r>
      <w:proofErr w:type="spellStart"/>
      <w:r>
        <w:rPr/>
        <w:t xml:space="preserve">Apame</w:t>
      </w:r>
      <w:proofErr w:type="spellEnd"/>
      <w:r>
        <w:rPr/>
        <w:t xml:space="preserve">, daughter of </w:t>
      </w:r>
      <w:proofErr w:type="spellStart"/>
      <w:r>
        <w:rPr/>
        <w:t xml:space="preserve">Spitame</w:t>
      </w:r>
      <w:r>
        <w:rPr/>
        <w:t xml:space="preserve">ne</w:t>
      </w:r>
      <w:r>
        <w:rPr/>
        <w:t xml:space="preserve">s</w:t>
      </w:r>
      <w:proofErr w:type="spellEnd"/>
      <w:r>
        <w:rPr>
          <w:rStyle w:val="FootnoteReference"/>
        </w:rPr>
        <w:footnoteReference w:id="10"/>
      </w:r>
      <w:r>
        <w:rPr/>
        <w:t xml:space="preserve">, a </w:t>
      </w:r>
      <w:r w:rsidR="007C4803">
        <w:rPr/>
        <w:t>Persian</w:t>
      </w:r>
      <w:r>
        <w:rPr/>
        <w:t xml:space="preserve"> noblewoman. With her he had two sons, Antiochus I Soter and </w:t>
      </w:r>
      <w:proofErr w:type="spellStart"/>
      <w:r>
        <w:rPr/>
        <w:t xml:space="preserve">Achaeus</w:t>
      </w:r>
      <w:proofErr w:type="spellEnd"/>
      <w:r>
        <w:rPr/>
        <w:t xml:space="preserve">. The former went on to succeed his father as King of the Seleucid Empire</w:t>
      </w:r>
      <w:r>
        <w:rPr>
          <w:rStyle w:val="FootnoteReference"/>
        </w:rPr>
        <w:footnoteReference w:id="11"/>
      </w:r>
      <w:r>
        <w:rPr/>
        <w:t xml:space="preserve">. </w:t>
      </w:r>
    </w:p>
    <w:p w:rsidR="007C4803" w:rsidRDefault="00E93DBE" w14:paraId="757AB407" w14:textId="77777777">
      <w:r>
        <w:t>Seleukos</w:t>
      </w:r>
      <w:r>
        <w:t>’ position in society can be determined from his rise in military position. Primarily he was a member of Alexander</w:t>
      </w:r>
      <w:r w:rsidR="00D77577">
        <w:t>’</w:t>
      </w:r>
      <w:r>
        <w:t xml:space="preserve">s </w:t>
      </w:r>
      <w:r>
        <w:rPr>
          <w:i/>
        </w:rPr>
        <w:t xml:space="preserve">hetairoi </w:t>
      </w:r>
      <w:r>
        <w:t>or ‘companion cavalry’</w:t>
      </w:r>
      <w:r>
        <w:rPr>
          <w:rStyle w:val="FootnoteReference"/>
        </w:rPr>
        <w:footnoteReference w:id="12"/>
      </w:r>
      <w:r>
        <w:t>, in approximately 330BC he was promoted to command of the Royal Hypaspists who functioned as the royal guard</w:t>
      </w:r>
      <w:r w:rsidR="007C4803">
        <w:rPr>
          <w:rStyle w:val="FootnoteReference"/>
        </w:rPr>
        <w:footnoteReference w:id="13"/>
      </w:r>
      <w:r w:rsidR="00D77577">
        <w:t xml:space="preserve">. </w:t>
      </w:r>
      <w:r w:rsidR="007C4803">
        <w:t xml:space="preserve">After the death of Alexander, </w:t>
      </w:r>
      <w:r w:rsidR="007C4803">
        <w:t>Seleukos</w:t>
      </w:r>
      <w:r w:rsidR="007C4803">
        <w:rPr>
          <w:b/>
        </w:rPr>
        <w:t xml:space="preserve"> </w:t>
      </w:r>
      <w:r w:rsidRPr="007C4803" w:rsidR="007C4803">
        <w:t>became second in command to Perdikkas</w:t>
      </w:r>
      <w:r w:rsidR="007C4803">
        <w:t xml:space="preserve"> while a number of other prominent figures were assigned satrapies away from the centre of the Empire. </w:t>
      </w:r>
      <w:r w:rsidR="007C4803">
        <w:t>Seleukos</w:t>
      </w:r>
      <w:r w:rsidR="007C4803">
        <w:t xml:space="preserve"> functioned as a key member in the mutiny against Perdikkas later on</w:t>
      </w:r>
      <w:r w:rsidR="00D77577">
        <w:t xml:space="preserve"> </w:t>
      </w:r>
      <w:r w:rsidR="007C4803">
        <w:t>bu</w:t>
      </w:r>
      <w:r w:rsidR="00432EB4">
        <w:t>t it can be inferred</w:t>
      </w:r>
      <w:r w:rsidR="007C4803">
        <w:t xml:space="preserve"> that Perdikkas trusted him potentially because he didn’t view </w:t>
      </w:r>
      <w:r w:rsidR="007C4803">
        <w:t>Seleukos</w:t>
      </w:r>
      <w:r w:rsidR="007C4803">
        <w:t xml:space="preserve"> as ambitious. </w:t>
      </w:r>
      <w:r w:rsidR="007C4803">
        <w:t>Seleukos</w:t>
      </w:r>
      <w:r w:rsidR="007C4803">
        <w:t>’ title at this stage would have been Hipparch of the Companions, which Perdikkas was said to have held himself at one point</w:t>
      </w:r>
      <w:r w:rsidR="007C4803">
        <w:rPr>
          <w:rStyle w:val="FootnoteReference"/>
        </w:rPr>
        <w:footnoteReference w:id="14"/>
      </w:r>
      <w:r w:rsidR="007C4803">
        <w:t xml:space="preserve"> showing </w:t>
      </w:r>
      <w:r w:rsidR="007C4803">
        <w:t>Seleukos</w:t>
      </w:r>
      <w:r w:rsidR="007C4803">
        <w:t xml:space="preserve"> to be second only to Perdikkas in relation to military matters.</w:t>
      </w:r>
    </w:p>
    <w:p w:rsidR="007C4803" w:rsidRDefault="007C4803" w14:paraId="7F59728A" w14:textId="77777777">
      <w:r>
        <w:t xml:space="preserve">The crisis created by the death of Alexander meant that all the prominent players were in precarious positions in court so </w:t>
      </w:r>
      <w:r>
        <w:t>Seleukos</w:t>
      </w:r>
      <w:r>
        <w:t xml:space="preserve">’ actions following Alexander’s death were intended to secure a more </w:t>
      </w:r>
      <w:r>
        <w:lastRenderedPageBreak/>
        <w:t xml:space="preserve">stable political footing in the Macedonian court. To discuss </w:t>
      </w:r>
      <w:r>
        <w:t>Seleukos</w:t>
      </w:r>
      <w:r>
        <w:t>’ plans after the death of Alexander, it aids understanding to look at the three years following Alexander’s death in 323BC</w:t>
      </w:r>
      <w:r>
        <w:rPr>
          <w:rStyle w:val="FootnoteReference"/>
        </w:rPr>
        <w:footnoteReference w:id="15"/>
      </w:r>
      <w:r>
        <w:t xml:space="preserve"> up until </w:t>
      </w:r>
      <w:r>
        <w:t>Seleukos</w:t>
      </w:r>
      <w:r>
        <w:t xml:space="preserve"> is assigned the satrapy of Babylon. </w:t>
      </w:r>
      <w:r>
        <w:t>Seleukos</w:t>
      </w:r>
      <w:r>
        <w:t xml:space="preserve"> plans, whether they were reactive actions, choices he made when certain situations arose or long term plans to ensure a specific outcome, they allowed him to survive the power vacuum created and the subsequent power s</w:t>
      </w:r>
      <w:r w:rsidR="00245746">
        <w:t xml:space="preserve">truggle of the key players. Initially, after the death of Alexander, </w:t>
      </w:r>
      <w:r w:rsidR="00245746">
        <w:t>Seleukos</w:t>
      </w:r>
      <w:r w:rsidR="00245746">
        <w:t xml:space="preserve"> supported Perdikkas, allying himself with Pe</w:t>
      </w:r>
      <w:bookmarkStart w:name="_GoBack" w:id="0"/>
      <w:bookmarkEnd w:id="0"/>
      <w:r w:rsidR="00245746">
        <w:t>rdikkas against Meleagros</w:t>
      </w:r>
      <w:r w:rsidR="00245746">
        <w:rPr>
          <w:rStyle w:val="FootnoteReference"/>
        </w:rPr>
        <w:footnoteReference w:id="16"/>
      </w:r>
      <w:r w:rsidR="00245746">
        <w:t xml:space="preserve"> and when Perdikkas secured regency over Arrhidaeus and Alexander’s unborn child</w:t>
      </w:r>
      <w:r w:rsidR="00245746">
        <w:rPr>
          <w:rStyle w:val="FootnoteReference"/>
        </w:rPr>
        <w:footnoteReference w:id="17"/>
      </w:r>
      <w:r w:rsidR="00245746">
        <w:t xml:space="preserve">. This could be argued to have been calculated as it increases the chances of survival to support the likely winner of a conflict. It was at this stage </w:t>
      </w:r>
      <w:r w:rsidR="00245746">
        <w:t>Seleukos</w:t>
      </w:r>
      <w:r w:rsidR="00245746">
        <w:t xml:space="preserve"> was promoted to second in command to Perdikkas. It can be argues the former loyalty was born from the need to survive more so than the loyalty to the man as in approximately 321BC, the mutiny against Perdikkas was led by </w:t>
      </w:r>
      <w:r w:rsidR="00245746">
        <w:t>Seleukos</w:t>
      </w:r>
      <w:r w:rsidR="00245746">
        <w:t xml:space="preserve">, </w:t>
      </w:r>
      <w:r w:rsidR="00655827">
        <w:t>Peithon</w:t>
      </w:r>
      <w:r w:rsidR="00245746">
        <w:t xml:space="preserve"> and</w:t>
      </w:r>
      <w:r w:rsidR="00655827">
        <w:t xml:space="preserve"> Antigenes</w:t>
      </w:r>
      <w:r w:rsidR="00245746">
        <w:rPr>
          <w:rStyle w:val="FootnoteReference"/>
        </w:rPr>
        <w:footnoteReference w:id="18"/>
      </w:r>
      <w:r w:rsidR="00245746">
        <w:t xml:space="preserve">. This choice was probably a reactive action as he likely couldn’t predict the intensity of the unrest directed at Perdikkas from the common soldier. After the murder of Perdikkas, </w:t>
      </w:r>
      <w:r w:rsidR="00245746">
        <w:t>Seleukos</w:t>
      </w:r>
      <w:r w:rsidR="00245746">
        <w:t xml:space="preserve"> was in a privileged position where he had two years of administrative experience under Perdikkas</w:t>
      </w:r>
      <w:r w:rsidR="00D77577">
        <w:rPr>
          <w:rStyle w:val="FootnoteReference"/>
        </w:rPr>
        <w:footnoteReference w:id="19"/>
      </w:r>
      <w:r w:rsidR="00245746">
        <w:t xml:space="preserve">, experience the others now lacked. Making him, for the time being, indispensable. </w:t>
      </w:r>
    </w:p>
    <w:p w:rsidR="00245746" w:rsidRDefault="00245746" w14:paraId="258C1E08" w14:textId="77777777">
      <w:r>
        <w:t xml:space="preserve">At this stage, </w:t>
      </w:r>
      <w:r>
        <w:t>Seleukos</w:t>
      </w:r>
      <w:r>
        <w:t xml:space="preserve"> could step out of the main command structure to a satrapy with no loss of honour</w:t>
      </w:r>
      <w:r>
        <w:rPr>
          <w:rStyle w:val="FootnoteReference"/>
        </w:rPr>
        <w:footnoteReference w:id="20"/>
      </w:r>
      <w:r>
        <w:t>. Babylon as both the geographical centre for the Empire and an economic powerhouse</w:t>
      </w:r>
      <w:r w:rsidR="00D77577">
        <w:rPr>
          <w:rStyle w:val="FootnoteReference"/>
        </w:rPr>
        <w:footnoteReference w:id="21"/>
      </w:r>
      <w:r>
        <w:t xml:space="preserve"> made for a </w:t>
      </w:r>
      <w:r w:rsidRPr="00245746">
        <w:t xml:space="preserve">secure position to attempt to maintain. In conclusion, </w:t>
      </w:r>
      <w:r w:rsidRPr="00245746">
        <w:t>Seleukos</w:t>
      </w:r>
      <w:r w:rsidRPr="00245746">
        <w:t xml:space="preserve"> long term plan to maintain a secure position was aided by his reactive choices to ensure his survival. Using the actions of </w:t>
      </w:r>
      <w:r w:rsidRPr="00245746">
        <w:t>Seleukos</w:t>
      </w:r>
      <w:r w:rsidRPr="00245746">
        <w:t xml:space="preserve"> in this period I would intend to gain Babylon as a part of my territory. Further I would hope to gain experience with both financial management and military command, under someone like Ptolemy in the event I don’t receive as satrapy.</w:t>
      </w:r>
    </w:p>
    <w:p w:rsidR="00245746" w:rsidRDefault="00245746" w14:paraId="0B68E32A" w14:textId="77777777"/>
    <w:p w:rsidR="00245746" w:rsidRDefault="00BF3436" w14:paraId="51DF75F5" w14:textId="3F5D2CF6">
      <w:r>
        <w:t>797 words</w:t>
      </w:r>
    </w:p>
    <w:p w:rsidR="00245746" w:rsidRDefault="00245746" w14:paraId="04BD1E96" w14:textId="77777777"/>
    <w:p w:rsidR="00245746" w:rsidRDefault="00245746" w14:paraId="664B0727" w14:textId="77777777"/>
    <w:p w:rsidR="00245746" w:rsidRDefault="00245746" w14:paraId="675E58E1" w14:textId="77777777"/>
    <w:p w:rsidR="00432EB4" w:rsidRDefault="00432EB4" w14:paraId="2984974A" w14:textId="77777777"/>
    <w:p w:rsidR="000B0C52" w:rsidRDefault="000B0C52" w14:paraId="5EACCCC5" w14:textId="77777777"/>
    <w:p w:rsidR="000B0C52" w:rsidRDefault="000B0C52" w14:paraId="26388812" w14:textId="77777777"/>
    <w:p w:rsidR="000B0C52" w:rsidRDefault="000B0C52" w14:paraId="61C8E098" w14:textId="77777777"/>
    <w:p w:rsidR="000B0C52" w:rsidRDefault="000B0C52" w14:paraId="725D210D" w14:textId="77777777"/>
    <w:p w:rsidR="00432EB4" w:rsidRDefault="00432EB4" w14:paraId="79C9D6E5" w14:textId="77777777"/>
    <w:p w:rsidR="00432EB4" w:rsidRDefault="00432EB4" w14:paraId="4F46140A" w14:textId="77777777"/>
    <w:p w:rsidR="00432EB4" w:rsidRDefault="00432EB4" w14:paraId="4E7B9F6B" w14:textId="77777777"/>
    <w:p w:rsidR="00245746" w:rsidRDefault="00245746" w14:paraId="779FB943" w14:textId="77777777"/>
    <w:p w:rsidR="007A6611" w:rsidRDefault="007A6611" w14:paraId="45934709" w14:textId="77777777"/>
    <w:p w:rsidR="00BF3436" w:rsidRDefault="00BF3436" w14:paraId="0AC8EFEA" w14:textId="44C769C2">
      <w:pPr>
        <w:rPr>
          <w:b/>
          <w:i/>
        </w:rPr>
      </w:pPr>
    </w:p>
    <w:p w:rsidR="00BF3436" w:rsidP="00BF3436" w:rsidRDefault="00BF3436" w14:paraId="7492C1E4" w14:textId="77777777">
      <w:pPr>
        <w:rPr>
          <w:b/>
          <w:u w:val="single"/>
        </w:rPr>
      </w:pPr>
      <w:r>
        <w:rPr>
          <w:b/>
          <w:u w:val="single"/>
        </w:rPr>
        <w:t>Bibliography:</w:t>
      </w:r>
    </w:p>
    <w:p w:rsidR="00BF3436" w:rsidP="00BF3436" w:rsidRDefault="00BF3436" w14:paraId="3D253094" w14:textId="77777777">
      <w:pPr>
        <w:rPr>
          <w:b/>
          <w:i/>
        </w:rPr>
      </w:pPr>
      <w:r>
        <w:rPr>
          <w:b/>
          <w:i/>
        </w:rPr>
        <w:t>Ancient Sources</w:t>
      </w:r>
    </w:p>
    <w:p w:rsidR="00BF3436" w:rsidP="00BF3436" w:rsidRDefault="00BF3436" w14:paraId="56C57535" w14:textId="77777777">
      <w:r>
        <w:t xml:space="preserve">Arrian, </w:t>
      </w:r>
      <w:r>
        <w:rPr>
          <w:i/>
        </w:rPr>
        <w:t xml:space="preserve">Anabasis. </w:t>
      </w:r>
      <w:r>
        <w:t>E.J. Chinnock (trans.). 1884. London: William Heinemann.</w:t>
      </w:r>
    </w:p>
    <w:p w:rsidR="00BF3436" w:rsidP="00BF3436" w:rsidRDefault="00BF3436" w14:paraId="702E4B1E" w14:textId="77777777">
      <w:r>
        <w:t xml:space="preserve">Diodorus, </w:t>
      </w:r>
      <w:r>
        <w:rPr>
          <w:i/>
        </w:rPr>
        <w:t xml:space="preserve">Library. </w:t>
      </w:r>
      <w:r>
        <w:t>C. H. Oldfather (trans.). 1989. London: William Heinemann.</w:t>
      </w:r>
    </w:p>
    <w:p w:rsidRPr="00D66D6E" w:rsidR="00BF3436" w:rsidP="00BF3436" w:rsidRDefault="00BF3436" w14:paraId="3B04A813" w14:textId="77777777">
      <w:r>
        <w:t xml:space="preserve">Justin, </w:t>
      </w:r>
      <w:r>
        <w:rPr>
          <w:i/>
        </w:rPr>
        <w:t>Epitome.</w:t>
      </w:r>
      <w:r>
        <w:t xml:space="preserve"> C. Camden (trans.). 2003. Marie-Pierre Arnaud-Lindet.</w:t>
      </w:r>
    </w:p>
    <w:p w:rsidR="00BF3436" w:rsidP="00BF3436" w:rsidRDefault="00BF3436" w14:paraId="3CB0A337" w14:textId="77777777">
      <w:r>
        <w:t xml:space="preserve">Pausanias, </w:t>
      </w:r>
      <w:r>
        <w:rPr>
          <w:i/>
        </w:rPr>
        <w:t xml:space="preserve">Description of Greece. </w:t>
      </w:r>
      <w:r>
        <w:t>W. H. S. Jones and H. A. Ormerod (trans.). 1918. London: William Heinemann.</w:t>
      </w:r>
    </w:p>
    <w:p w:rsidRPr="00D66D6E" w:rsidR="00BF3436" w:rsidP="00BF3436" w:rsidRDefault="00BF3436" w14:paraId="5F72454D" w14:textId="77777777">
      <w:r>
        <w:t xml:space="preserve">Plutarch, </w:t>
      </w:r>
      <w:r>
        <w:rPr>
          <w:i/>
        </w:rPr>
        <w:t>Alexander.</w:t>
      </w:r>
      <w:r>
        <w:t xml:space="preserve"> B. Perrin (trans.). 1919. London: William Heinemann.</w:t>
      </w:r>
    </w:p>
    <w:p w:rsidR="00BF3436" w:rsidP="00BF3436" w:rsidRDefault="00BF3436" w14:paraId="3DD99063" w14:textId="77777777">
      <w:pPr>
        <w:rPr>
          <w:b/>
          <w:i/>
        </w:rPr>
      </w:pPr>
    </w:p>
    <w:p w:rsidR="00BF3436" w:rsidP="00BF3436" w:rsidRDefault="00BF3436" w14:paraId="5E84F1A4" w14:textId="77777777">
      <w:pPr>
        <w:rPr>
          <w:b/>
          <w:i/>
        </w:rPr>
      </w:pPr>
      <w:r>
        <w:rPr>
          <w:b/>
          <w:i/>
        </w:rPr>
        <w:t>Modern Scholarship</w:t>
      </w:r>
    </w:p>
    <w:p w:rsidR="00BF3436" w:rsidP="00BF3436" w:rsidRDefault="00BF3436" w14:paraId="2D370BF4" w14:textId="77777777">
      <w:r>
        <w:t xml:space="preserve">Chrisholm, H. 1911. ‘Seleucid Dynasty </w:t>
      </w:r>
      <w:r w:rsidRPr="00BF3436">
        <w:t>s.</w:t>
      </w:r>
      <w:r>
        <w:t>v.</w:t>
      </w:r>
      <w:r w:rsidRPr="00BF3436">
        <w:t xml:space="preserve"> Antiochus I. Soter</w:t>
      </w:r>
      <w:r>
        <w:t xml:space="preserve">’. </w:t>
      </w:r>
      <w:r w:rsidRPr="00BF3436">
        <w:rPr>
          <w:i/>
        </w:rPr>
        <w:t>Encyclopaedia Britannica</w:t>
      </w:r>
      <w:r>
        <w:t>. 24, 604.</w:t>
      </w:r>
    </w:p>
    <w:p w:rsidR="00BF3436" w:rsidP="00BF3436" w:rsidRDefault="00BF3436" w14:paraId="33D24E48" w14:textId="77777777">
      <w:pPr>
        <w:rPr>
          <w:i/>
        </w:rPr>
      </w:pPr>
      <w:r>
        <w:t xml:space="preserve">Grainger, J.D. 1990. </w:t>
      </w:r>
      <w:r>
        <w:rPr>
          <w:i/>
        </w:rPr>
        <w:t>Seleukos Nikator Constructing a Hellenistic Kingdom.</w:t>
      </w:r>
      <w:r>
        <w:t xml:space="preserve"> London: Routeledge. </w:t>
      </w:r>
    </w:p>
    <w:p w:rsidR="00BF3436" w:rsidP="00BF3436" w:rsidRDefault="00BF3436" w14:paraId="2611F44D" w14:textId="77777777">
      <w:r w:rsidRPr="00BF3436">
        <w:t>Heckel</w:t>
      </w:r>
      <w:r>
        <w:t xml:space="preserve">, W. 1992. </w:t>
      </w:r>
      <w:r>
        <w:rPr>
          <w:i/>
        </w:rPr>
        <w:t xml:space="preserve">The Marshals of Alexander’s Empire. </w:t>
      </w:r>
      <w:r>
        <w:t>Cornwall: TJ Press</w:t>
      </w:r>
    </w:p>
    <w:p w:rsidR="00CD2476" w:rsidP="00CD2476" w:rsidRDefault="00CD2476" w14:paraId="28EF738D" w14:textId="6B7DBD94">
      <w:pPr>
        <w:rPr>
          <w:b/>
          <w:u w:val="single"/>
        </w:rPr>
      </w:pPr>
    </w:p>
    <w:sectPr w:rsidR="00CD2476" w:rsidSect="0075070D">
      <w:headerReference w:type="default" r:id="rId7"/>
      <w:footerReference w:type="default" r:id="rId8"/>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3DBE" w:rsidP="00E93DBE" w:rsidRDefault="00E93DBE" w14:paraId="0DF054B4" w14:textId="77777777">
      <w:pPr>
        <w:spacing w:after="0" w:line="240" w:lineRule="auto"/>
      </w:pPr>
      <w:r>
        <w:separator/>
      </w:r>
    </w:p>
  </w:endnote>
  <w:endnote w:type="continuationSeparator" w:id="0">
    <w:p w:rsidR="00E93DBE" w:rsidP="00E93DBE" w:rsidRDefault="00E93DBE" w14:paraId="69EF0E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0118622"/>
      <w:docPartObj>
        <w:docPartGallery w:val="Page Numbers (Bottom of Page)"/>
        <w:docPartUnique/>
      </w:docPartObj>
    </w:sdtPr>
    <w:sdtEndPr>
      <w:rPr>
        <w:noProof/>
      </w:rPr>
    </w:sdtEndPr>
    <w:sdtContent>
      <w:p w:rsidR="0075070D" w:rsidRDefault="0075070D" w14:paraId="1DEF3BEB" w14:textId="3BA58D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5070D" w:rsidRDefault="0075070D" w14:paraId="56DB162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3DBE" w:rsidP="00E93DBE" w:rsidRDefault="00E93DBE" w14:paraId="157F8EFE" w14:textId="77777777">
      <w:pPr>
        <w:spacing w:after="0" w:line="240" w:lineRule="auto"/>
      </w:pPr>
      <w:r>
        <w:separator/>
      </w:r>
    </w:p>
  </w:footnote>
  <w:footnote w:type="continuationSeparator" w:id="0">
    <w:p w:rsidR="00E93DBE" w:rsidP="00E93DBE" w:rsidRDefault="00E93DBE" w14:paraId="06C4F2B1" w14:textId="77777777">
      <w:pPr>
        <w:spacing w:after="0" w:line="240" w:lineRule="auto"/>
      </w:pPr>
      <w:r>
        <w:continuationSeparator/>
      </w:r>
    </w:p>
  </w:footnote>
  <w:footnote w:id="1">
    <w:p w:rsidRPr="00CD2476" w:rsidR="00E93DBE" w:rsidRDefault="00E93DBE" w14:paraId="71B0D7F1" w14:textId="77777777">
      <w:pPr>
        <w:pStyle w:val="FootnoteText"/>
      </w:pPr>
      <w:r w:rsidRPr="00CD2476">
        <w:rPr>
          <w:rStyle w:val="FootnoteReference"/>
        </w:rPr>
        <w:footnoteRef/>
      </w:r>
      <w:r w:rsidRPr="00CD2476" w:rsidR="007A6611">
        <w:t xml:space="preserve"> Heckel, 1992: 255</w:t>
      </w:r>
    </w:p>
  </w:footnote>
  <w:footnote w:id="2">
    <w:p w:rsidRPr="00CD2476" w:rsidR="00E93DBE" w:rsidRDefault="00E93DBE" w14:paraId="28591A09" w14:textId="77777777">
      <w:pPr>
        <w:pStyle w:val="FootnoteText"/>
      </w:pPr>
      <w:r w:rsidRPr="00CD2476">
        <w:rPr>
          <w:rStyle w:val="FootnoteReference"/>
        </w:rPr>
        <w:footnoteRef/>
      </w:r>
      <w:r w:rsidRPr="00CD2476">
        <w:t xml:space="preserve"> </w:t>
      </w:r>
      <w:r w:rsidRPr="00CD2476" w:rsidR="007A6611">
        <w:t>Heckel, 1992</w:t>
      </w:r>
      <w:r w:rsidRPr="00CD2476" w:rsidR="007A6611">
        <w:t xml:space="preserve">: </w:t>
      </w:r>
      <w:r w:rsidRPr="00CD2476" w:rsidR="00432EB4">
        <w:t>255</w:t>
      </w:r>
    </w:p>
  </w:footnote>
  <w:footnote w:id="3">
    <w:p w:rsidRPr="00CD2476" w:rsidR="00E93DBE" w:rsidRDefault="00E93DBE" w14:paraId="7D488AE1" w14:textId="77777777">
      <w:pPr>
        <w:pStyle w:val="FootnoteText"/>
      </w:pPr>
      <w:r w:rsidRPr="00CD2476">
        <w:rPr>
          <w:rStyle w:val="FootnoteReference"/>
        </w:rPr>
        <w:footnoteRef/>
      </w:r>
      <w:r w:rsidRPr="00CD2476">
        <w:t xml:space="preserve"> </w:t>
      </w:r>
      <w:r w:rsidRPr="00CD2476" w:rsidR="007A6611">
        <w:t>Heckel, 1992</w:t>
      </w:r>
      <w:r w:rsidRPr="00CD2476" w:rsidR="00432EB4">
        <w:t>: 255</w:t>
      </w:r>
    </w:p>
  </w:footnote>
  <w:footnote w:id="4">
    <w:p w:rsidRPr="00CD2476" w:rsidR="00E93DBE" w:rsidRDefault="00E93DBE" w14:paraId="6304E21B" w14:textId="77777777">
      <w:pPr>
        <w:pStyle w:val="FootnoteText"/>
      </w:pPr>
      <w:r w:rsidRPr="00CD2476">
        <w:rPr>
          <w:rStyle w:val="FootnoteReference"/>
        </w:rPr>
        <w:footnoteRef/>
      </w:r>
      <w:r w:rsidRPr="00CD2476">
        <w:t xml:space="preserve"> </w:t>
      </w:r>
      <w:r w:rsidRPr="00CD2476" w:rsidR="00432EB4">
        <w:t>Paus, 1. 16. 1</w:t>
      </w:r>
    </w:p>
  </w:footnote>
  <w:footnote w:id="5">
    <w:p w:rsidRPr="00CD2476" w:rsidR="00E93DBE" w:rsidRDefault="00E93DBE" w14:paraId="4D631620" w14:textId="77777777">
      <w:pPr>
        <w:pStyle w:val="FootnoteText"/>
      </w:pPr>
      <w:r w:rsidRPr="00CD2476">
        <w:rPr>
          <w:rStyle w:val="FootnoteReference"/>
        </w:rPr>
        <w:footnoteRef/>
      </w:r>
      <w:r w:rsidRPr="00CD2476">
        <w:t xml:space="preserve"> </w:t>
      </w:r>
      <w:r w:rsidRPr="00CD2476" w:rsidR="00432EB4">
        <w:t>Just, 15. 4. 3</w:t>
      </w:r>
    </w:p>
  </w:footnote>
  <w:footnote w:id="6">
    <w:p w:rsidRPr="00CD2476" w:rsidR="00E93DBE" w:rsidRDefault="00E93DBE" w14:paraId="6D54AE2D" w14:textId="77777777">
      <w:pPr>
        <w:pStyle w:val="FootnoteText"/>
      </w:pPr>
      <w:r w:rsidRPr="00CD2476">
        <w:rPr>
          <w:rStyle w:val="FootnoteReference"/>
        </w:rPr>
        <w:footnoteRef/>
      </w:r>
      <w:r w:rsidRPr="00CD2476">
        <w:t xml:space="preserve"> </w:t>
      </w:r>
      <w:r w:rsidR="00655827">
        <w:t xml:space="preserve">Grainger, </w:t>
      </w:r>
      <w:r w:rsidR="000B0C52">
        <w:t>1990: 6</w:t>
      </w:r>
    </w:p>
  </w:footnote>
  <w:footnote w:id="7">
    <w:p w:rsidRPr="00CD2476" w:rsidR="00E93DBE" w:rsidRDefault="00E93DBE" w14:paraId="64AAEB68" w14:textId="77777777">
      <w:pPr>
        <w:pStyle w:val="FootnoteText"/>
      </w:pPr>
      <w:r w:rsidRPr="00CD2476">
        <w:rPr>
          <w:rStyle w:val="FootnoteReference"/>
        </w:rPr>
        <w:footnoteRef/>
      </w:r>
      <w:r w:rsidRPr="00CD2476">
        <w:t xml:space="preserve"> </w:t>
      </w:r>
      <w:r w:rsidRPr="00CD2476" w:rsidR="007A6611">
        <w:t>Heckel, 1992</w:t>
      </w:r>
      <w:r w:rsidRPr="00CD2476" w:rsidR="00432EB4">
        <w:t>: 255</w:t>
      </w:r>
    </w:p>
  </w:footnote>
  <w:footnote w:id="8">
    <w:p w:rsidRPr="00CD2476" w:rsidR="00E93DBE" w:rsidRDefault="00E93DBE" w14:paraId="0C15E6C0" w14:textId="77777777">
      <w:pPr>
        <w:pStyle w:val="FootnoteText"/>
      </w:pPr>
      <w:r w:rsidRPr="00CD2476">
        <w:rPr>
          <w:rStyle w:val="FootnoteReference"/>
        </w:rPr>
        <w:footnoteRef/>
      </w:r>
      <w:r w:rsidRPr="00CD2476">
        <w:t xml:space="preserve"> </w:t>
      </w:r>
      <w:r w:rsidRPr="00CD2476" w:rsidR="007A6611">
        <w:t>A</w:t>
      </w:r>
      <w:r w:rsidR="00D77577">
        <w:t>rr</w:t>
      </w:r>
      <w:r w:rsidRPr="00CD2476" w:rsidR="007A6611">
        <w:t xml:space="preserve">. </w:t>
      </w:r>
      <w:r w:rsidRPr="00CD2476" w:rsidR="007A6611">
        <w:rPr>
          <w:i/>
        </w:rPr>
        <w:t>Anab,</w:t>
      </w:r>
      <w:r w:rsidR="00D77577">
        <w:rPr>
          <w:i/>
        </w:rPr>
        <w:t xml:space="preserve"> </w:t>
      </w:r>
      <w:r w:rsidR="00D77577">
        <w:t>6.</w:t>
      </w:r>
      <w:r w:rsidRPr="00CD2476" w:rsidR="007A6611">
        <w:t xml:space="preserve"> 6</w:t>
      </w:r>
      <w:r w:rsidR="00D77577">
        <w:t>.</w:t>
      </w:r>
      <w:r w:rsidRPr="00CD2476" w:rsidR="007A6611">
        <w:t xml:space="preserve"> 1</w:t>
      </w:r>
    </w:p>
  </w:footnote>
  <w:footnote w:id="9">
    <w:p w:rsidRPr="00CD2476" w:rsidR="00E93DBE" w:rsidRDefault="00E93DBE" w14:paraId="3F4211CA" w14:textId="77777777">
      <w:pPr>
        <w:pStyle w:val="FootnoteText"/>
      </w:pPr>
      <w:r w:rsidRPr="00CD2476">
        <w:rPr>
          <w:rStyle w:val="FootnoteReference"/>
        </w:rPr>
        <w:footnoteRef/>
      </w:r>
      <w:r w:rsidRPr="00CD2476">
        <w:t xml:space="preserve"> </w:t>
      </w:r>
      <w:r w:rsidRPr="00CD2476" w:rsidR="00432EB4">
        <w:t>Heckel, 1992: 255</w:t>
      </w:r>
    </w:p>
  </w:footnote>
  <w:footnote w:id="10">
    <w:p w:rsidRPr="00CD2476" w:rsidR="00E93DBE" w:rsidRDefault="00E93DBE" w14:paraId="64B15B81" w14:textId="77777777">
      <w:pPr>
        <w:pStyle w:val="FootnoteText"/>
      </w:pPr>
      <w:r w:rsidRPr="00CD2476">
        <w:rPr>
          <w:rStyle w:val="FootnoteReference"/>
        </w:rPr>
        <w:footnoteRef/>
      </w:r>
      <w:r w:rsidRPr="00CD2476">
        <w:t xml:space="preserve"> </w:t>
      </w:r>
      <w:r w:rsidRPr="00CD2476" w:rsidR="00432EB4">
        <w:t>Arr.</w:t>
      </w:r>
      <w:r w:rsidR="00D77577">
        <w:t xml:space="preserve"> </w:t>
      </w:r>
      <w:r w:rsidR="00D77577">
        <w:rPr>
          <w:i/>
        </w:rPr>
        <w:t>Anab,</w:t>
      </w:r>
      <w:r w:rsidRPr="00CD2476" w:rsidR="00432EB4">
        <w:t xml:space="preserve"> 7. 4. 6</w:t>
      </w:r>
    </w:p>
  </w:footnote>
  <w:footnote w:id="11">
    <w:p w:rsidRPr="00CD2476" w:rsidR="00E93DBE" w:rsidRDefault="00E93DBE" w14:paraId="03105E00" w14:textId="77777777">
      <w:pPr>
        <w:pStyle w:val="FootnoteText"/>
      </w:pPr>
      <w:r w:rsidRPr="00CD2476">
        <w:rPr>
          <w:rStyle w:val="FootnoteReference"/>
        </w:rPr>
        <w:footnoteRef/>
      </w:r>
      <w:r w:rsidRPr="00CD2476">
        <w:t xml:space="preserve"> </w:t>
      </w:r>
      <w:r w:rsidRPr="00CD2476" w:rsidR="00CD2476">
        <w:t xml:space="preserve"> Dio</w:t>
      </w:r>
      <w:r w:rsidR="00655827">
        <w:t>d</w:t>
      </w:r>
      <w:r w:rsidRPr="00CD2476" w:rsidR="00CD2476">
        <w:t>, 21.20</w:t>
      </w:r>
    </w:p>
  </w:footnote>
  <w:footnote w:id="12">
    <w:p w:rsidRPr="00CD2476" w:rsidR="00E93DBE" w:rsidRDefault="00E93DBE" w14:paraId="25F2DC53" w14:textId="77777777">
      <w:pPr>
        <w:pStyle w:val="FootnoteText"/>
      </w:pPr>
      <w:r w:rsidRPr="00CD2476">
        <w:rPr>
          <w:rStyle w:val="FootnoteReference"/>
        </w:rPr>
        <w:footnoteRef/>
      </w:r>
      <w:r w:rsidRPr="00CD2476">
        <w:t xml:space="preserve"> </w:t>
      </w:r>
      <w:r w:rsidRPr="00CD2476" w:rsidR="007A6611">
        <w:t>Heckel, 1992</w:t>
      </w:r>
      <w:r w:rsidRPr="00CD2476" w:rsidR="00432EB4">
        <w:t>: 255</w:t>
      </w:r>
    </w:p>
  </w:footnote>
  <w:footnote w:id="13">
    <w:p w:rsidRPr="00CD2476" w:rsidR="007C4803" w:rsidRDefault="007C4803" w14:paraId="70FB2A14" w14:textId="77777777">
      <w:pPr>
        <w:pStyle w:val="FootnoteText"/>
      </w:pPr>
      <w:r w:rsidRPr="00CD2476">
        <w:rPr>
          <w:rStyle w:val="FootnoteReference"/>
        </w:rPr>
        <w:footnoteRef/>
      </w:r>
      <w:r w:rsidRPr="00CD2476">
        <w:t xml:space="preserve"> </w:t>
      </w:r>
      <w:r w:rsidRPr="00CD2476" w:rsidR="007A6611">
        <w:t>Heckel, 1992</w:t>
      </w:r>
      <w:r w:rsidRPr="00CD2476" w:rsidR="00432EB4">
        <w:t>: 255</w:t>
      </w:r>
    </w:p>
  </w:footnote>
  <w:footnote w:id="14">
    <w:p w:rsidR="00245746" w:rsidRDefault="007C4803" w14:paraId="6E8A2E82" w14:textId="77777777">
      <w:pPr>
        <w:pStyle w:val="FootnoteText"/>
      </w:pPr>
      <w:r w:rsidRPr="00CD2476">
        <w:rPr>
          <w:rStyle w:val="FootnoteReference"/>
        </w:rPr>
        <w:footnoteRef/>
      </w:r>
      <w:r w:rsidRPr="00CD2476">
        <w:t xml:space="preserve"> </w:t>
      </w:r>
      <w:r w:rsidRPr="00CD2476" w:rsidR="00432EB4">
        <w:t>Heckel, 1992: 257</w:t>
      </w:r>
    </w:p>
  </w:footnote>
  <w:footnote w:id="15">
    <w:p w:rsidR="007C4803" w:rsidRDefault="007C4803" w14:paraId="46272B23" w14:textId="77777777">
      <w:pPr>
        <w:pStyle w:val="FootnoteText"/>
      </w:pPr>
      <w:r>
        <w:rPr>
          <w:rStyle w:val="FootnoteReference"/>
        </w:rPr>
        <w:footnoteRef/>
      </w:r>
      <w:r>
        <w:t xml:space="preserve"> </w:t>
      </w:r>
      <w:r w:rsidRPr="00655827" w:rsidR="00655827">
        <w:t>Plut. Alex. 76.4</w:t>
      </w:r>
    </w:p>
  </w:footnote>
  <w:footnote w:id="16">
    <w:p w:rsidR="00245746" w:rsidRDefault="00245746" w14:paraId="67AEA592" w14:textId="77777777">
      <w:pPr>
        <w:pStyle w:val="FootnoteText"/>
      </w:pPr>
      <w:r>
        <w:rPr>
          <w:rStyle w:val="FootnoteReference"/>
        </w:rPr>
        <w:footnoteRef/>
      </w:r>
      <w:r>
        <w:t xml:space="preserve"> </w:t>
      </w:r>
      <w:r w:rsidR="00655827">
        <w:t>Heckel, 1992: 257</w:t>
      </w:r>
    </w:p>
  </w:footnote>
  <w:footnote w:id="17">
    <w:p w:rsidR="00245746" w:rsidRDefault="00245746" w14:paraId="3212B34C" w14:textId="77777777">
      <w:pPr>
        <w:pStyle w:val="FootnoteText"/>
      </w:pPr>
      <w:r>
        <w:rPr>
          <w:rStyle w:val="FootnoteReference"/>
        </w:rPr>
        <w:footnoteRef/>
      </w:r>
      <w:r>
        <w:t xml:space="preserve"> </w:t>
      </w:r>
      <w:r w:rsidR="00432EB4">
        <w:t>Heckel, 1992: 257</w:t>
      </w:r>
    </w:p>
  </w:footnote>
  <w:footnote w:id="18">
    <w:p w:rsidR="00245746" w:rsidRDefault="00245746" w14:paraId="12753B9C" w14:textId="77777777">
      <w:pPr>
        <w:pStyle w:val="FootnoteText"/>
      </w:pPr>
      <w:r>
        <w:rPr>
          <w:rStyle w:val="FootnoteReference"/>
        </w:rPr>
        <w:footnoteRef/>
      </w:r>
      <w:r>
        <w:t xml:space="preserve"> </w:t>
      </w:r>
      <w:r w:rsidR="00655827">
        <w:t>Diod, 18. 33. 2</w:t>
      </w:r>
    </w:p>
  </w:footnote>
  <w:footnote w:id="19">
    <w:p w:rsidR="00D77577" w:rsidRDefault="00D77577" w14:paraId="367C90B6" w14:textId="77777777">
      <w:pPr>
        <w:pStyle w:val="FootnoteText"/>
      </w:pPr>
      <w:r>
        <w:rPr>
          <w:rStyle w:val="FootnoteReference"/>
        </w:rPr>
        <w:footnoteRef/>
      </w:r>
      <w:r>
        <w:t xml:space="preserve"> Grainger, 1990: 25</w:t>
      </w:r>
    </w:p>
  </w:footnote>
  <w:footnote w:id="20">
    <w:p w:rsidR="00245746" w:rsidRDefault="00245746" w14:paraId="63C86311" w14:textId="77777777">
      <w:pPr>
        <w:pStyle w:val="FootnoteText"/>
      </w:pPr>
      <w:r>
        <w:rPr>
          <w:rStyle w:val="FootnoteReference"/>
        </w:rPr>
        <w:footnoteRef/>
      </w:r>
      <w:r>
        <w:t xml:space="preserve"> </w:t>
      </w:r>
      <w:r w:rsidR="007A6611">
        <w:t>Heckel, 1992</w:t>
      </w:r>
    </w:p>
  </w:footnote>
  <w:footnote w:id="21">
    <w:p w:rsidR="00D77577" w:rsidRDefault="00D77577" w14:paraId="198D71EC" w14:textId="77777777">
      <w:pPr>
        <w:pStyle w:val="FootnoteText"/>
      </w:pPr>
      <w:r>
        <w:rPr>
          <w:rStyle w:val="FootnoteReference"/>
        </w:rPr>
        <w:footnoteRef/>
      </w:r>
      <w:r>
        <w:t xml:space="preserve"> Grainger, 1990: 28</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070D" w:rsidRDefault="0075070D" w14:paraId="14B37BB1" w14:textId="119B371A">
    <w:pPr>
      <w:pStyle w:val="Header"/>
    </w:pPr>
    <w:r>
      <w:t>Game of Diadems</w:t>
    </w:r>
    <w:r>
      <w:tab/>
    </w:r>
    <w:r>
      <w:tab/>
    </w:r>
    <w:r>
      <w:t>1601293</w:t>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DBE"/>
    <w:rsid w:val="000B0C52"/>
    <w:rsid w:val="00245746"/>
    <w:rsid w:val="00432EB4"/>
    <w:rsid w:val="00655827"/>
    <w:rsid w:val="0075070D"/>
    <w:rsid w:val="007A6611"/>
    <w:rsid w:val="007C4803"/>
    <w:rsid w:val="00BF3436"/>
    <w:rsid w:val="00CD2476"/>
    <w:rsid w:val="00D66D6E"/>
    <w:rsid w:val="00D77577"/>
    <w:rsid w:val="00E93DBE"/>
    <w:rsid w:val="7BBF7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941E5"/>
  <w15:chartTrackingRefBased/>
  <w15:docId w15:val="{7B0C5A1D-4D22-4259-96BC-EE1767F0F0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name w:val="footnote text"/>
    <w:basedOn w:val="Normal"/>
    <w:link w:val="FootnoteTextChar"/>
    <w:uiPriority w:val="99"/>
    <w:semiHidden/>
    <w:unhideWhenUsed/>
    <w:rsid w:val="00E93DBE"/>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E93DBE"/>
    <w:rPr>
      <w:sz w:val="20"/>
      <w:szCs w:val="20"/>
    </w:rPr>
  </w:style>
  <w:style w:type="character" w:styleId="FootnoteReference">
    <w:name w:val="footnote reference"/>
    <w:basedOn w:val="DefaultParagraphFont"/>
    <w:uiPriority w:val="99"/>
    <w:semiHidden/>
    <w:unhideWhenUsed/>
    <w:rsid w:val="00E93DBE"/>
    <w:rPr>
      <w:vertAlign w:val="superscript"/>
    </w:rPr>
  </w:style>
  <w:style w:type="character" w:styleId="Hyperlink">
    <w:name w:val="Hyperlink"/>
    <w:basedOn w:val="DefaultParagraphFont"/>
    <w:uiPriority w:val="99"/>
    <w:semiHidden/>
    <w:unhideWhenUsed/>
    <w:rsid w:val="00CD2476"/>
    <w:rPr>
      <w:color w:val="0000FF"/>
      <w:u w:val="single"/>
    </w:rPr>
  </w:style>
  <w:style w:type="character" w:styleId="reference-text" w:customStyle="1">
    <w:name w:val="reference-text"/>
    <w:basedOn w:val="DefaultParagraphFont"/>
    <w:rsid w:val="00CD2476"/>
  </w:style>
  <w:style w:type="character" w:styleId="HTMLCite">
    <w:name w:val="HTML Cite"/>
    <w:basedOn w:val="DefaultParagraphFont"/>
    <w:uiPriority w:val="99"/>
    <w:semiHidden/>
    <w:unhideWhenUsed/>
    <w:rsid w:val="00CD2476"/>
    <w:rPr>
      <w:i/>
      <w:iCs/>
    </w:rPr>
  </w:style>
  <w:style w:type="paragraph" w:styleId="Header">
    <w:name w:val="header"/>
    <w:basedOn w:val="Normal"/>
    <w:link w:val="HeaderChar"/>
    <w:uiPriority w:val="99"/>
    <w:unhideWhenUsed/>
    <w:rsid w:val="007507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75070D"/>
  </w:style>
  <w:style w:type="paragraph" w:styleId="Footer">
    <w:name w:val="footer"/>
    <w:basedOn w:val="Normal"/>
    <w:link w:val="FooterChar"/>
    <w:uiPriority w:val="99"/>
    <w:unhideWhenUsed/>
    <w:rsid w:val="007507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7507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ebf06b5c1951429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078f622-61ff-4f40-8d8d-6311b1735aac}"/>
      </w:docPartPr>
      <w:docPartBody>
        <w:p w14:paraId="7BBF7F4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D01C4-FEED-41CB-9400-22BA9E29DA1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Tamara Bowie (1601293)</dc:creator>
  <keywords/>
  <dc:description/>
  <lastModifiedBy>Tamara Bowie (1601293)</lastModifiedBy>
  <revision>3</revision>
  <dcterms:created xsi:type="dcterms:W3CDTF">2018-10-23T13:27:00.0000000Z</dcterms:created>
  <dcterms:modified xsi:type="dcterms:W3CDTF">2018-10-27T03:54:29.7451317Z</dcterms:modified>
</coreProperties>
</file>