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82D40" w14:textId="77777777" w:rsidR="00F02BC4" w:rsidRPr="00C247DA" w:rsidRDefault="00F02BC4" w:rsidP="008B4A0C">
      <w:pPr>
        <w:pStyle w:val="p1"/>
        <w:jc w:val="both"/>
        <w:rPr>
          <w:rStyle w:val="s1"/>
          <w:rFonts w:ascii="Arial" w:hAnsi="Arial" w:cs="Arial"/>
          <w:b w:val="0"/>
          <w:bCs w:val="0"/>
          <w:color w:val="000000" w:themeColor="text1"/>
          <w:sz w:val="22"/>
          <w:szCs w:val="22"/>
        </w:rPr>
      </w:pPr>
    </w:p>
    <w:p w14:paraId="5B4F4CB3" w14:textId="220CF798"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r w:rsidRPr="00C247DA">
        <w:rPr>
          <w:rFonts w:ascii="Arial" w:hAnsi="Arial" w:cs="Arial"/>
          <w:color w:val="191919" w:themeColor="text1" w:themeTint="E6"/>
          <w:kern w:val="0"/>
          <w:sz w:val="50"/>
          <w:szCs w:val="50"/>
          <w14:ligatures w14:val="none"/>
        </w:rPr>
        <w:t>Module Code: LCLM5002</w:t>
      </w:r>
    </w:p>
    <w:p w14:paraId="0C3E6904" w14:textId="2F8DBEC5"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r w:rsidRPr="00C247DA">
        <w:rPr>
          <w:rFonts w:ascii="Arial" w:hAnsi="Arial" w:cs="Arial"/>
          <w:color w:val="191919" w:themeColor="text1" w:themeTint="E6"/>
          <w:kern w:val="0"/>
          <w:sz w:val="50"/>
          <w:szCs w:val="50"/>
          <w14:ligatures w14:val="none"/>
        </w:rPr>
        <w:t xml:space="preserve">Assignment Title: Individual </w:t>
      </w:r>
      <w:r w:rsidR="0077303A" w:rsidRPr="00C247DA">
        <w:rPr>
          <w:rFonts w:ascii="Arial" w:hAnsi="Arial" w:cs="Arial"/>
          <w:color w:val="191919" w:themeColor="text1" w:themeTint="E6"/>
          <w:kern w:val="0"/>
          <w:sz w:val="50"/>
          <w:szCs w:val="50"/>
          <w14:ligatures w14:val="none"/>
        </w:rPr>
        <w:t>Report</w:t>
      </w:r>
      <w:r w:rsidRPr="00C247DA">
        <w:rPr>
          <w:rFonts w:ascii="Arial" w:hAnsi="Arial" w:cs="Arial"/>
          <w:color w:val="191919" w:themeColor="text1" w:themeTint="E6"/>
          <w:kern w:val="0"/>
          <w:sz w:val="50"/>
          <w:szCs w:val="50"/>
          <w14:ligatures w14:val="none"/>
        </w:rPr>
        <w:t>.</w:t>
      </w:r>
    </w:p>
    <w:p w14:paraId="514F66D7" w14:textId="77777777"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r w:rsidRPr="00C247DA">
        <w:rPr>
          <w:rFonts w:ascii="Arial" w:hAnsi="Arial" w:cs="Arial"/>
          <w:color w:val="191919" w:themeColor="text1" w:themeTint="E6"/>
          <w:kern w:val="0"/>
          <w:sz w:val="50"/>
          <w:szCs w:val="50"/>
          <w14:ligatures w14:val="none"/>
        </w:rPr>
        <w:t>Lecturer’s Name:</w:t>
      </w:r>
    </w:p>
    <w:p w14:paraId="6E291C45" w14:textId="77777777"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r w:rsidRPr="00C247DA">
        <w:rPr>
          <w:rFonts w:ascii="Arial" w:hAnsi="Arial" w:cs="Arial"/>
          <w:color w:val="191919" w:themeColor="text1" w:themeTint="E6"/>
          <w:kern w:val="0"/>
          <w:sz w:val="50"/>
          <w:szCs w:val="50"/>
          <w14:ligatures w14:val="none"/>
        </w:rPr>
        <w:t>Student Name: Juana Virginia Batista Santana</w:t>
      </w:r>
    </w:p>
    <w:p w14:paraId="3A2E7EEC" w14:textId="77777777"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r w:rsidRPr="00C247DA">
        <w:rPr>
          <w:rFonts w:ascii="Arial" w:hAnsi="Arial" w:cs="Arial"/>
          <w:color w:val="191919" w:themeColor="text1" w:themeTint="E6"/>
          <w:kern w:val="0"/>
          <w:sz w:val="50"/>
          <w:szCs w:val="50"/>
          <w14:ligatures w14:val="none"/>
        </w:rPr>
        <w:t>Student Number: 2430780</w:t>
      </w:r>
    </w:p>
    <w:p w14:paraId="24C80751" w14:textId="77777777" w:rsidR="0081466A" w:rsidRPr="00C247DA" w:rsidRDefault="0081466A" w:rsidP="00C247DA">
      <w:pPr>
        <w:spacing w:before="100" w:beforeAutospacing="1" w:after="100" w:afterAutospacing="1" w:line="240" w:lineRule="auto"/>
        <w:jc w:val="center"/>
        <w:rPr>
          <w:rFonts w:ascii="Arial" w:hAnsi="Arial" w:cs="Arial"/>
          <w:color w:val="191919" w:themeColor="text1" w:themeTint="E6"/>
          <w:kern w:val="0"/>
          <w:sz w:val="50"/>
          <w:szCs w:val="50"/>
          <w14:ligatures w14:val="none"/>
        </w:rPr>
      </w:pPr>
    </w:p>
    <w:p w14:paraId="0CAEC0B0" w14:textId="0A402EC7" w:rsidR="0081466A" w:rsidRPr="00C247DA" w:rsidRDefault="00F02BC4" w:rsidP="008B4A0C">
      <w:pPr>
        <w:spacing w:before="100" w:beforeAutospacing="1" w:after="100" w:afterAutospacing="1" w:line="240" w:lineRule="auto"/>
        <w:jc w:val="both"/>
        <w:rPr>
          <w:rFonts w:ascii="Arial" w:hAnsi="Arial" w:cs="Arial"/>
          <w:color w:val="191919" w:themeColor="text1" w:themeTint="E6"/>
          <w:kern w:val="0"/>
          <w14:ligatures w14:val="none"/>
        </w:rPr>
      </w:pPr>
      <w:r w:rsidRPr="00C247DA">
        <w:rPr>
          <w:rStyle w:val="s1"/>
          <w:rFonts w:ascii="Arial" w:hAnsi="Arial" w:cs="Arial"/>
          <w:b w:val="0"/>
          <w:bCs w:val="0"/>
          <w:color w:val="191919" w:themeColor="text1" w:themeTint="E6"/>
          <w:sz w:val="24"/>
          <w:szCs w:val="24"/>
        </w:rPr>
        <w:br w:type="page"/>
      </w:r>
    </w:p>
    <w:p w14:paraId="56FC83C5" w14:textId="0D3D39E7" w:rsidR="00C8635D" w:rsidRPr="00C247DA" w:rsidRDefault="00C8635D" w:rsidP="008B4A0C">
      <w:pPr>
        <w:spacing w:line="240" w:lineRule="auto"/>
        <w:jc w:val="both"/>
        <w:rPr>
          <w:rStyle w:val="s1"/>
          <w:rFonts w:ascii="Arial" w:hAnsi="Arial" w:cs="Arial"/>
          <w:b w:val="0"/>
          <w:bCs w:val="0"/>
          <w:color w:val="191919" w:themeColor="text1" w:themeTint="E6"/>
          <w:kern w:val="0"/>
          <w:sz w:val="24"/>
          <w:szCs w:val="24"/>
          <w14:ligatures w14:val="none"/>
        </w:rPr>
      </w:pPr>
    </w:p>
    <w:p w14:paraId="0ECDEE57" w14:textId="56093374" w:rsidR="00F02BC4" w:rsidRPr="00C247DA" w:rsidRDefault="00F02BC4" w:rsidP="008B4A0C">
      <w:pPr>
        <w:spacing w:line="240" w:lineRule="auto"/>
        <w:jc w:val="both"/>
        <w:rPr>
          <w:rStyle w:val="s1"/>
          <w:rFonts w:ascii="Arial" w:hAnsi="Arial" w:cs="Arial"/>
          <w:b w:val="0"/>
          <w:bCs w:val="0"/>
          <w:color w:val="191919" w:themeColor="text1" w:themeTint="E6"/>
          <w:kern w:val="0"/>
          <w:sz w:val="24"/>
          <w:szCs w:val="24"/>
          <w14:ligatures w14:val="none"/>
        </w:rPr>
      </w:pPr>
    </w:p>
    <w:p w14:paraId="4C82A3DC" w14:textId="77777777" w:rsidR="00105EC7" w:rsidRPr="000E4A0F" w:rsidRDefault="00105EC7" w:rsidP="008B4A0C">
      <w:pPr>
        <w:spacing w:before="420" w:after="0" w:line="240" w:lineRule="auto"/>
        <w:ind w:left="360"/>
        <w:jc w:val="both"/>
        <w:rPr>
          <w:rFonts w:ascii="Arial" w:hAnsi="Arial" w:cs="Arial"/>
          <w:b/>
          <w:bCs/>
          <w:color w:val="191919" w:themeColor="text1" w:themeTint="E6"/>
          <w:kern w:val="0"/>
          <w:sz w:val="28"/>
          <w:szCs w:val="28"/>
          <w14:ligatures w14:val="none"/>
        </w:rPr>
      </w:pPr>
      <w:r w:rsidRPr="000E4A0F">
        <w:rPr>
          <w:rFonts w:ascii="Arial" w:hAnsi="Arial" w:cs="Arial"/>
          <w:b/>
          <w:bCs/>
          <w:color w:val="191919" w:themeColor="text1" w:themeTint="E6"/>
          <w:kern w:val="0"/>
          <w:sz w:val="28"/>
          <w:szCs w:val="28"/>
          <w14:ligatures w14:val="none"/>
        </w:rPr>
        <w:t>Table of Contents</w:t>
      </w:r>
    </w:p>
    <w:p w14:paraId="4AD5113A" w14:textId="4F230161" w:rsidR="00105EC7" w:rsidRPr="00C247DA" w:rsidRDefault="00105EC7" w:rsidP="00B4621F">
      <w:pPr>
        <w:spacing w:before="7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xml:space="preserve">1. Introduction ....................................................................................... [Page </w:t>
      </w:r>
      <w:r w:rsidR="000E5ECD" w:rsidRPr="00C247DA">
        <w:rPr>
          <w:rFonts w:ascii="Arial" w:hAnsi="Arial" w:cs="Arial"/>
          <w:color w:val="191919" w:themeColor="text1" w:themeTint="E6"/>
          <w:kern w:val="0"/>
          <w14:ligatures w14:val="none"/>
        </w:rPr>
        <w:t>3</w:t>
      </w:r>
      <w:r w:rsidRPr="00C247DA">
        <w:rPr>
          <w:rFonts w:ascii="Arial" w:hAnsi="Arial" w:cs="Arial"/>
          <w:color w:val="191919" w:themeColor="text1" w:themeTint="E6"/>
          <w:kern w:val="0"/>
          <w14:ligatures w14:val="none"/>
        </w:rPr>
        <w:t>]</w:t>
      </w:r>
    </w:p>
    <w:p w14:paraId="6B02C3E5" w14:textId="77777777" w:rsidR="00105EC7" w:rsidRPr="00C247DA" w:rsidRDefault="00105EC7" w:rsidP="008B4A0C">
      <w:pPr>
        <w:spacing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1.1. Context of Gymshark Ltd. (United Kingdom)</w:t>
      </w:r>
    </w:p>
    <w:p w14:paraId="6422229F"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1.2. Purpose and scope of the report</w:t>
      </w:r>
    </w:p>
    <w:p w14:paraId="0C972653" w14:textId="3FF3A7D6" w:rsidR="00105EC7" w:rsidRPr="00C247DA" w:rsidRDefault="00105EC7" w:rsidP="008B4A0C">
      <w:pPr>
        <w:spacing w:before="25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2. Key Factors in the Contemporary Work Environment .................</w:t>
      </w:r>
      <w:r w:rsidR="007E3F87">
        <w:rPr>
          <w:rFonts w:ascii="Arial" w:hAnsi="Arial" w:cs="Arial"/>
          <w:color w:val="191919" w:themeColor="text1" w:themeTint="E6"/>
          <w:kern w:val="0"/>
          <w14:ligatures w14:val="none"/>
        </w:rPr>
        <w:t>.…….</w:t>
      </w:r>
      <w:r w:rsidRPr="00C247DA">
        <w:rPr>
          <w:rFonts w:ascii="Arial" w:hAnsi="Arial" w:cs="Arial"/>
          <w:color w:val="191919" w:themeColor="text1" w:themeTint="E6"/>
          <w:kern w:val="0"/>
          <w14:ligatures w14:val="none"/>
        </w:rPr>
        <w:t xml:space="preserve"> [Page </w:t>
      </w:r>
      <w:r w:rsidR="00DC3151" w:rsidRPr="00C247DA">
        <w:rPr>
          <w:rFonts w:ascii="Arial" w:hAnsi="Arial" w:cs="Arial"/>
          <w:color w:val="191919" w:themeColor="text1" w:themeTint="E6"/>
          <w:kern w:val="0"/>
          <w14:ligatures w14:val="none"/>
        </w:rPr>
        <w:t>4</w:t>
      </w:r>
      <w:r w:rsidRPr="00C247DA">
        <w:rPr>
          <w:rFonts w:ascii="Arial" w:hAnsi="Arial" w:cs="Arial"/>
          <w:color w:val="191919" w:themeColor="text1" w:themeTint="E6"/>
          <w:kern w:val="0"/>
          <w14:ligatures w14:val="none"/>
        </w:rPr>
        <w:t>]</w:t>
      </w:r>
    </w:p>
    <w:p w14:paraId="1DA5FB99" w14:textId="77777777" w:rsidR="00105EC7" w:rsidRPr="00C247DA" w:rsidRDefault="00105EC7" w:rsidP="008B4A0C">
      <w:pPr>
        <w:spacing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2.1. Technological Advances: From data analytics to digital well-being.</w:t>
      </w:r>
    </w:p>
    <w:p w14:paraId="03B1CDF7"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2.2. Talent Acquisition and Retention: The "GSHQ" model in Solihull.</w:t>
      </w:r>
    </w:p>
    <w:p w14:paraId="573724BE"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2.3. Diversity, Equity, and Inclusion (DEI): Evolution of brand culture.</w:t>
      </w:r>
    </w:p>
    <w:p w14:paraId="798966B6" w14:textId="1863AFB7" w:rsidR="00105EC7" w:rsidRPr="00C247DA" w:rsidRDefault="00105EC7" w:rsidP="008B4A0C">
      <w:pPr>
        <w:spacing w:before="25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3. Evaluation of People Management Practices at Gymshark ......</w:t>
      </w:r>
      <w:r w:rsidR="007E3F87">
        <w:rPr>
          <w:rFonts w:ascii="Arial" w:hAnsi="Arial" w:cs="Arial"/>
          <w:color w:val="191919" w:themeColor="text1" w:themeTint="E6"/>
          <w:kern w:val="0"/>
          <w14:ligatures w14:val="none"/>
        </w:rPr>
        <w:t>.………</w:t>
      </w:r>
      <w:r w:rsidRPr="00C247DA">
        <w:rPr>
          <w:rFonts w:ascii="Arial" w:hAnsi="Arial" w:cs="Arial"/>
          <w:color w:val="191919" w:themeColor="text1" w:themeTint="E6"/>
          <w:kern w:val="0"/>
          <w14:ligatures w14:val="none"/>
        </w:rPr>
        <w:t xml:space="preserve"> [Page 5]</w:t>
      </w:r>
    </w:p>
    <w:p w14:paraId="27363E38" w14:textId="77777777" w:rsidR="00105EC7" w:rsidRPr="00C247DA" w:rsidRDefault="00105EC7" w:rsidP="008B4A0C">
      <w:pPr>
        <w:spacing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3.1. Digitalization of the employee experience (Employee Experience).</w:t>
      </w:r>
    </w:p>
    <w:p w14:paraId="66FDA59C"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3.2. Well-being and work-life balance strategies in the e-commerce sector.</w:t>
      </w:r>
    </w:p>
    <w:p w14:paraId="2BC74583"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3.3. Analysis of the competitiveness of current practices.</w:t>
      </w:r>
    </w:p>
    <w:p w14:paraId="16C28563" w14:textId="1F8521A1" w:rsidR="00105EC7" w:rsidRPr="00C247DA" w:rsidRDefault="00105EC7" w:rsidP="008B4A0C">
      <w:pPr>
        <w:spacing w:before="25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4. Critical Evaluation: The Role of Line Management ..........................</w:t>
      </w:r>
      <w:r w:rsidR="007E3F87">
        <w:rPr>
          <w:rFonts w:ascii="Arial" w:hAnsi="Arial" w:cs="Arial"/>
          <w:color w:val="191919" w:themeColor="text1" w:themeTint="E6"/>
          <w:kern w:val="0"/>
          <w14:ligatures w14:val="none"/>
        </w:rPr>
        <w:t>.…</w:t>
      </w:r>
      <w:r w:rsidRPr="00C247DA">
        <w:rPr>
          <w:rFonts w:ascii="Arial" w:hAnsi="Arial" w:cs="Arial"/>
          <w:color w:val="191919" w:themeColor="text1" w:themeTint="E6"/>
          <w:kern w:val="0"/>
          <w14:ligatures w14:val="none"/>
        </w:rPr>
        <w:t xml:space="preserve"> [Page </w:t>
      </w:r>
      <w:r w:rsidR="006E2F10" w:rsidRPr="00C247DA">
        <w:rPr>
          <w:rFonts w:ascii="Arial" w:hAnsi="Arial" w:cs="Arial"/>
          <w:color w:val="191919" w:themeColor="text1" w:themeTint="E6"/>
          <w:kern w:val="0"/>
          <w14:ligatures w14:val="none"/>
        </w:rPr>
        <w:t>6</w:t>
      </w:r>
      <w:r w:rsidRPr="00C247DA">
        <w:rPr>
          <w:rFonts w:ascii="Arial" w:hAnsi="Arial" w:cs="Arial"/>
          <w:color w:val="191919" w:themeColor="text1" w:themeTint="E6"/>
          <w:kern w:val="0"/>
          <w14:ligatures w14:val="none"/>
        </w:rPr>
        <w:t>]</w:t>
      </w:r>
    </w:p>
    <w:p w14:paraId="3F83F5CA" w14:textId="77777777" w:rsidR="00105EC7" w:rsidRPr="00C247DA" w:rsidRDefault="00105EC7" w:rsidP="008B4A0C">
      <w:pPr>
        <w:spacing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4.1. Responsibilities of department heads in the implementation.</w:t>
      </w:r>
    </w:p>
    <w:p w14:paraId="44792385"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4.2. Challenges in the execution of urgent policies.</w:t>
      </w:r>
    </w:p>
    <w:p w14:paraId="765476AF" w14:textId="77777777" w:rsidR="00105EC7"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4.3. Impact of direct management on team engagement.</w:t>
      </w:r>
    </w:p>
    <w:p w14:paraId="215A21D2" w14:textId="78678EB5" w:rsidR="00105EC7" w:rsidRPr="00C247DA" w:rsidRDefault="00105EC7" w:rsidP="008B4A0C">
      <w:pPr>
        <w:spacing w:before="25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5. Conclusions and Recommendations ..................................................... [Page</w:t>
      </w:r>
      <w:r w:rsidR="006E2F10" w:rsidRPr="00C247DA">
        <w:rPr>
          <w:rFonts w:ascii="Arial" w:hAnsi="Arial" w:cs="Arial"/>
          <w:color w:val="191919" w:themeColor="text1" w:themeTint="E6"/>
          <w:kern w:val="0"/>
          <w14:ligatures w14:val="none"/>
        </w:rPr>
        <w:t xml:space="preserve"> 7</w:t>
      </w:r>
      <w:r w:rsidRPr="00C247DA">
        <w:rPr>
          <w:rFonts w:ascii="Arial" w:hAnsi="Arial" w:cs="Arial"/>
          <w:color w:val="191919" w:themeColor="text1" w:themeTint="E6"/>
          <w:kern w:val="0"/>
          <w14:ligatures w14:val="none"/>
        </w:rPr>
        <w:t>]</w:t>
      </w:r>
    </w:p>
    <w:p w14:paraId="19D02DB6" w14:textId="77777777" w:rsidR="00105EC7" w:rsidRPr="00C247DA" w:rsidRDefault="00105EC7" w:rsidP="008B4A0C">
      <w:pPr>
        <w:spacing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5.1. Summary of main findings.</w:t>
      </w:r>
    </w:p>
    <w:p w14:paraId="0BB735B2" w14:textId="40F2A74A" w:rsidR="00BD11BD" w:rsidRPr="00C247DA" w:rsidRDefault="00105EC7" w:rsidP="008B4A0C">
      <w:pPr>
        <w:spacing w:before="135" w:after="0" w:line="240" w:lineRule="auto"/>
        <w:ind w:left="360"/>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t>• 5.2. Strategic recommendations for HR and Management.</w:t>
      </w:r>
    </w:p>
    <w:p w14:paraId="23BF512F" w14:textId="7C94F98E" w:rsidR="00BD11BD" w:rsidRPr="00C247DA" w:rsidRDefault="00642DF3" w:rsidP="008B4A0C">
      <w:pPr>
        <w:spacing w:line="240" w:lineRule="auto"/>
        <w:ind w:left="360"/>
        <w:jc w:val="both"/>
        <w:rPr>
          <w:rFonts w:ascii="Arial" w:hAnsi="Arial" w:cs="Arial"/>
          <w:color w:val="FFFFFF"/>
          <w:kern w:val="0"/>
          <w14:ligatures w14:val="none"/>
        </w:rPr>
      </w:pPr>
      <w:r w:rsidRPr="00C247DA">
        <w:rPr>
          <w:rFonts w:ascii="Arial" w:hAnsi="Arial" w:cs="Arial"/>
          <w:color w:val="191919" w:themeColor="text1" w:themeTint="E6"/>
          <w:kern w:val="0"/>
          <w14:ligatures w14:val="none"/>
        </w:rPr>
        <w:t>• 5.</w:t>
      </w:r>
      <w:r w:rsidR="000A5620" w:rsidRPr="00C247DA">
        <w:rPr>
          <w:rFonts w:ascii="Arial" w:hAnsi="Arial" w:cs="Arial"/>
          <w:color w:val="191919" w:themeColor="text1" w:themeTint="E6"/>
          <w:kern w:val="0"/>
          <w14:ligatures w14:val="none"/>
        </w:rPr>
        <w:t>3</w:t>
      </w:r>
      <w:r w:rsidRPr="00C247DA">
        <w:rPr>
          <w:rFonts w:ascii="Arial" w:hAnsi="Arial" w:cs="Arial"/>
          <w:color w:val="191919" w:themeColor="text1" w:themeTint="E6"/>
          <w:kern w:val="0"/>
          <w14:ligatures w14:val="none"/>
        </w:rPr>
        <w:t>. Future Organizational Sustainability and Cultural Cohesion</w:t>
      </w:r>
    </w:p>
    <w:p w14:paraId="2F83012B" w14:textId="108EC378" w:rsidR="00F716B9" w:rsidRPr="00C247DA" w:rsidRDefault="00105EC7" w:rsidP="008B4A0C">
      <w:pPr>
        <w:spacing w:before="255" w:after="0" w:line="240" w:lineRule="auto"/>
        <w:ind w:left="360"/>
        <w:jc w:val="both"/>
        <w:rPr>
          <w:rFonts w:ascii="Arial" w:hAnsi="Arial" w:cs="Arial"/>
          <w:color w:val="000000" w:themeColor="text1"/>
          <w:kern w:val="0"/>
          <w14:ligatures w14:val="none"/>
        </w:rPr>
      </w:pPr>
      <w:r w:rsidRPr="00C247DA">
        <w:rPr>
          <w:rFonts w:ascii="Arial" w:hAnsi="Arial" w:cs="Arial"/>
          <w:color w:val="191919" w:themeColor="text1" w:themeTint="E6"/>
          <w:kern w:val="0"/>
          <w14:ligatures w14:val="none"/>
        </w:rPr>
        <w:t>6. Reference List …………………………………….......................</w:t>
      </w:r>
      <w:r w:rsidR="007E3F87">
        <w:rPr>
          <w:rFonts w:ascii="Arial" w:hAnsi="Arial" w:cs="Arial"/>
          <w:color w:val="191919" w:themeColor="text1" w:themeTint="E6"/>
          <w:kern w:val="0"/>
          <w14:ligatures w14:val="none"/>
        </w:rPr>
        <w:t>.………</w:t>
      </w:r>
      <w:r w:rsidRPr="00C247DA">
        <w:rPr>
          <w:rFonts w:ascii="Arial" w:hAnsi="Arial" w:cs="Arial"/>
          <w:color w:val="191919" w:themeColor="text1" w:themeTint="E6"/>
          <w:kern w:val="0"/>
          <w14:ligatures w14:val="none"/>
        </w:rPr>
        <w:t xml:space="preserve"> [</w:t>
      </w:r>
      <w:r w:rsidR="008670BB" w:rsidRPr="00C247DA">
        <w:rPr>
          <w:rFonts w:ascii="Arial" w:hAnsi="Arial" w:cs="Arial"/>
          <w:color w:val="000000" w:themeColor="text1"/>
          <w:kern w:val="0"/>
          <w14:ligatures w14:val="none"/>
        </w:rPr>
        <w:t>Page 8</w:t>
      </w:r>
      <w:r w:rsidR="00283537" w:rsidRPr="00C247DA">
        <w:rPr>
          <w:rFonts w:ascii="Arial" w:hAnsi="Arial" w:cs="Arial"/>
          <w:color w:val="000000" w:themeColor="text1"/>
          <w:kern w:val="0"/>
          <w14:ligatures w14:val="none"/>
        </w:rPr>
        <w:t>]</w:t>
      </w:r>
    </w:p>
    <w:p w14:paraId="731E20D0" w14:textId="2FD03D5F" w:rsidR="00F716B9" w:rsidRPr="00C247DA" w:rsidRDefault="00F716B9" w:rsidP="008B4A0C">
      <w:pPr>
        <w:spacing w:line="240" w:lineRule="auto"/>
        <w:jc w:val="both"/>
        <w:rPr>
          <w:rFonts w:ascii="Arial" w:hAnsi="Arial" w:cs="Arial"/>
          <w:color w:val="FFFFFF"/>
          <w:kern w:val="0"/>
          <w14:ligatures w14:val="none"/>
        </w:rPr>
      </w:pPr>
      <w:r w:rsidRPr="00C247DA">
        <w:rPr>
          <w:rFonts w:ascii="Arial" w:hAnsi="Arial" w:cs="Arial"/>
          <w:color w:val="FFFFFF"/>
          <w:kern w:val="0"/>
          <w14:ligatures w14:val="none"/>
        </w:rPr>
        <w:br w:type="page"/>
      </w:r>
    </w:p>
    <w:p w14:paraId="74C08F8C" w14:textId="76649993" w:rsidR="00105EC7" w:rsidRPr="00C247DA" w:rsidRDefault="00105EC7" w:rsidP="008B4A0C">
      <w:pPr>
        <w:spacing w:line="240" w:lineRule="auto"/>
        <w:jc w:val="both"/>
        <w:rPr>
          <w:rFonts w:ascii="Arial" w:hAnsi="Arial" w:cs="Arial"/>
          <w:color w:val="FFFFFF"/>
          <w:kern w:val="0"/>
          <w:lang w:val="es-ES"/>
          <w14:ligatures w14:val="none"/>
        </w:rPr>
      </w:pPr>
    </w:p>
    <w:p w14:paraId="41F1BB40" w14:textId="77777777" w:rsidR="007F3566" w:rsidRPr="000E4A0F" w:rsidRDefault="006C3C36" w:rsidP="008B4A0C">
      <w:pPr>
        <w:pStyle w:val="Prrafodelista"/>
        <w:numPr>
          <w:ilvl w:val="0"/>
          <w:numId w:val="6"/>
        </w:numPr>
        <w:spacing w:after="0" w:line="240" w:lineRule="auto"/>
        <w:ind w:firstLine="0"/>
        <w:jc w:val="both"/>
        <w:rPr>
          <w:rFonts w:ascii="Arial" w:hAnsi="Arial" w:cs="Arial"/>
          <w:b/>
          <w:bCs/>
          <w:color w:val="000000" w:themeColor="text1"/>
          <w:kern w:val="0"/>
          <w:sz w:val="28"/>
          <w:szCs w:val="28"/>
          <w14:ligatures w14:val="none"/>
        </w:rPr>
      </w:pPr>
      <w:r w:rsidRPr="000E4A0F">
        <w:rPr>
          <w:rFonts w:ascii="Arial" w:hAnsi="Arial" w:cs="Arial"/>
          <w:b/>
          <w:bCs/>
          <w:color w:val="000000" w:themeColor="text1"/>
          <w:kern w:val="0"/>
          <w:sz w:val="28"/>
          <w:szCs w:val="28"/>
          <w14:ligatures w14:val="none"/>
        </w:rPr>
        <w:t>Introduction</w:t>
      </w:r>
    </w:p>
    <w:p w14:paraId="44BFBD4A" w14:textId="77777777" w:rsidR="00A74B61" w:rsidRPr="000E4A0F" w:rsidRDefault="00A74B61" w:rsidP="008B4A0C">
      <w:pPr>
        <w:spacing w:after="0" w:line="240" w:lineRule="auto"/>
        <w:jc w:val="both"/>
        <w:rPr>
          <w:rFonts w:ascii="Arial" w:hAnsi="Arial" w:cs="Arial"/>
          <w:b/>
          <w:bCs/>
          <w:color w:val="000000" w:themeColor="text1"/>
          <w:kern w:val="0"/>
          <w:sz w:val="28"/>
          <w:szCs w:val="28"/>
          <w14:ligatures w14:val="none"/>
        </w:rPr>
      </w:pPr>
    </w:p>
    <w:p w14:paraId="5EED81F5" w14:textId="77777777" w:rsidR="00A74B61" w:rsidRPr="000E4A0F" w:rsidRDefault="00A74B61" w:rsidP="008B4A0C">
      <w:pPr>
        <w:spacing w:after="0" w:line="240" w:lineRule="auto"/>
        <w:jc w:val="both"/>
        <w:rPr>
          <w:rFonts w:ascii="Arial" w:hAnsi="Arial" w:cs="Arial"/>
          <w:b/>
          <w:bCs/>
          <w:color w:val="000000" w:themeColor="text1"/>
          <w:kern w:val="0"/>
          <w:sz w:val="28"/>
          <w:szCs w:val="28"/>
          <w14:ligatures w14:val="none"/>
        </w:rPr>
      </w:pPr>
    </w:p>
    <w:p w14:paraId="7A620550" w14:textId="77777777" w:rsidR="00A74B61" w:rsidRPr="000E4A0F" w:rsidRDefault="00A74B61" w:rsidP="008B4A0C">
      <w:pPr>
        <w:spacing w:after="0" w:line="240" w:lineRule="auto"/>
        <w:jc w:val="both"/>
        <w:rPr>
          <w:rFonts w:ascii="Arial" w:hAnsi="Arial" w:cs="Arial"/>
          <w:b/>
          <w:bCs/>
          <w:color w:val="000000" w:themeColor="text1"/>
          <w:kern w:val="0"/>
          <w:sz w:val="28"/>
          <w:szCs w:val="28"/>
          <w14:ligatures w14:val="none"/>
        </w:rPr>
      </w:pPr>
    </w:p>
    <w:p w14:paraId="693EC3E1" w14:textId="75FBD1B8" w:rsidR="006C3C36" w:rsidRPr="00C247DA" w:rsidRDefault="006C3C36" w:rsidP="002B2564">
      <w:pPr>
        <w:pStyle w:val="Prrafodelista"/>
        <w:numPr>
          <w:ilvl w:val="1"/>
          <w:numId w:val="12"/>
        </w:numPr>
        <w:spacing w:after="0" w:line="240" w:lineRule="auto"/>
        <w:jc w:val="both"/>
        <w:rPr>
          <w:rFonts w:ascii="Arial" w:hAnsi="Arial" w:cs="Arial"/>
          <w:color w:val="000000" w:themeColor="text1"/>
          <w:kern w:val="0"/>
          <w14:ligatures w14:val="none"/>
        </w:rPr>
      </w:pPr>
      <w:r w:rsidRPr="000E4A0F">
        <w:rPr>
          <w:rFonts w:ascii="Arial" w:hAnsi="Arial" w:cs="Arial"/>
          <w:b/>
          <w:bCs/>
          <w:color w:val="000000" w:themeColor="text1"/>
          <w:kern w:val="0"/>
          <w14:ligatures w14:val="none"/>
        </w:rPr>
        <w:t>Context of Gymshark Ltd. (United Kingdom</w:t>
      </w:r>
      <w:r w:rsidRPr="00C247DA">
        <w:rPr>
          <w:rFonts w:ascii="Arial" w:hAnsi="Arial" w:cs="Arial"/>
          <w:color w:val="000000" w:themeColor="text1"/>
          <w:kern w:val="0"/>
          <w14:ligatures w14:val="none"/>
        </w:rPr>
        <w:t>)</w:t>
      </w:r>
    </w:p>
    <w:p w14:paraId="10FF6D0F" w14:textId="77777777" w:rsidR="003575BB" w:rsidRPr="00C247DA" w:rsidRDefault="003575BB" w:rsidP="008B4A0C">
      <w:pPr>
        <w:pStyle w:val="Prrafodelista"/>
        <w:spacing w:after="0" w:line="240" w:lineRule="auto"/>
        <w:jc w:val="both"/>
        <w:rPr>
          <w:rFonts w:ascii="Arial" w:hAnsi="Arial" w:cs="Arial"/>
          <w:color w:val="000000" w:themeColor="text1"/>
          <w:kern w:val="0"/>
          <w:sz w:val="28"/>
          <w:szCs w:val="28"/>
          <w14:ligatures w14:val="none"/>
        </w:rPr>
      </w:pPr>
    </w:p>
    <w:p w14:paraId="5C527CAF" w14:textId="77777777" w:rsidR="00D722E6" w:rsidRPr="00C247DA" w:rsidRDefault="006C3C36" w:rsidP="008B4A0C">
      <w:pPr>
        <w:spacing w:after="0" w:line="240" w:lineRule="auto"/>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Gymshark Ltd. is a British company of fitness clothing and accessories, located in Solihull, United Kingdom. Founded in 2012 by Ben Francis, the organization changed from a garage operation to a "unicorn" valued at over £1,000 million pounds. Its business model uses a digital native strategy (Direct-to-Consumer), which needs a very adaptable, young, and technologically fast workforce. Operating in a global and competitive market, Gymshark had to professionalize its people management quickly to keep its growth, moving from a "startup" culture to a strong corporate structure that employs more than 900 people at its headquarters, known as GSHQ.</w:t>
      </w:r>
    </w:p>
    <w:p w14:paraId="649C99C7" w14:textId="77777777" w:rsidR="00D722E6" w:rsidRPr="00C247DA" w:rsidRDefault="00D722E6" w:rsidP="008B4A0C">
      <w:pPr>
        <w:spacing w:after="0" w:line="240" w:lineRule="auto"/>
        <w:jc w:val="both"/>
        <w:rPr>
          <w:rFonts w:ascii="Arial" w:hAnsi="Arial" w:cs="Arial"/>
          <w:color w:val="000000" w:themeColor="text1"/>
          <w:kern w:val="0"/>
          <w14:ligatures w14:val="none"/>
        </w:rPr>
      </w:pPr>
    </w:p>
    <w:p w14:paraId="173C2AE4" w14:textId="77777777" w:rsidR="00D722E6" w:rsidRPr="00C247DA" w:rsidRDefault="00D722E6" w:rsidP="008B4A0C">
      <w:pPr>
        <w:spacing w:after="0" w:line="240" w:lineRule="auto"/>
        <w:jc w:val="both"/>
        <w:rPr>
          <w:rFonts w:ascii="Arial" w:hAnsi="Arial" w:cs="Arial"/>
          <w:color w:val="000000" w:themeColor="text1"/>
          <w:kern w:val="0"/>
          <w14:ligatures w14:val="none"/>
        </w:rPr>
      </w:pPr>
    </w:p>
    <w:p w14:paraId="6F88BF8C" w14:textId="77777777" w:rsidR="00D722E6" w:rsidRPr="00C247DA" w:rsidRDefault="00D722E6" w:rsidP="008B4A0C">
      <w:pPr>
        <w:spacing w:after="0" w:line="240" w:lineRule="auto"/>
        <w:jc w:val="both"/>
        <w:rPr>
          <w:rFonts w:ascii="Arial" w:hAnsi="Arial" w:cs="Arial"/>
          <w:color w:val="000000" w:themeColor="text1"/>
          <w:kern w:val="0"/>
          <w14:ligatures w14:val="none"/>
        </w:rPr>
      </w:pPr>
    </w:p>
    <w:p w14:paraId="09BFA0ED" w14:textId="77777777" w:rsidR="00D722E6" w:rsidRPr="00C247DA" w:rsidRDefault="00D722E6" w:rsidP="008B4A0C">
      <w:pPr>
        <w:spacing w:after="0" w:line="240" w:lineRule="auto"/>
        <w:jc w:val="both"/>
        <w:rPr>
          <w:rFonts w:ascii="Arial" w:hAnsi="Arial" w:cs="Arial"/>
          <w:color w:val="000000" w:themeColor="text1"/>
          <w:kern w:val="0"/>
          <w14:ligatures w14:val="none"/>
        </w:rPr>
      </w:pPr>
    </w:p>
    <w:p w14:paraId="5C052E17" w14:textId="6C6F8CB4" w:rsidR="006C3C36" w:rsidRPr="000E4A0F" w:rsidRDefault="00106326" w:rsidP="000E4A0F">
      <w:pPr>
        <w:spacing w:after="0" w:line="240" w:lineRule="auto"/>
        <w:rPr>
          <w:rFonts w:ascii="Arial" w:hAnsi="Arial" w:cs="Arial"/>
          <w:b/>
          <w:bCs/>
          <w:color w:val="191919" w:themeColor="text1" w:themeTint="E6"/>
          <w:kern w:val="0"/>
          <w14:ligatures w14:val="none"/>
        </w:rPr>
      </w:pPr>
      <w:r w:rsidRPr="000E4A0F">
        <w:rPr>
          <w:rFonts w:ascii="Arial" w:hAnsi="Arial" w:cs="Arial"/>
          <w:b/>
          <w:bCs/>
          <w:color w:val="191919" w:themeColor="text1" w:themeTint="E6"/>
          <w:kern w:val="0"/>
          <w14:ligatures w14:val="none"/>
        </w:rPr>
        <w:t xml:space="preserve">1.2 </w:t>
      </w:r>
      <w:r w:rsidR="006C3C36" w:rsidRPr="000E4A0F">
        <w:rPr>
          <w:rFonts w:ascii="Arial" w:hAnsi="Arial" w:cs="Arial"/>
          <w:b/>
          <w:bCs/>
          <w:color w:val="191919" w:themeColor="text1" w:themeTint="E6"/>
          <w:kern w:val="0"/>
          <w14:ligatures w14:val="none"/>
        </w:rPr>
        <w:t>Purpose and scope of the report</w:t>
      </w:r>
    </w:p>
    <w:p w14:paraId="3B3C7751" w14:textId="23D02AFF" w:rsidR="00065781" w:rsidRPr="00065781" w:rsidRDefault="00065781" w:rsidP="008B4A0C">
      <w:pPr>
        <w:spacing w:before="255" w:after="0" w:line="240" w:lineRule="auto"/>
        <w:jc w:val="both"/>
        <w:rPr>
          <w:rFonts w:ascii="Arial" w:hAnsi="Arial" w:cs="Arial"/>
          <w:color w:val="000000" w:themeColor="text1"/>
          <w:kern w:val="0"/>
          <w14:ligatures w14:val="none"/>
        </w:rPr>
      </w:pPr>
      <w:r w:rsidRPr="00065781">
        <w:rPr>
          <w:rFonts w:ascii="Arial" w:hAnsi="Arial" w:cs="Arial"/>
          <w:color w:val="000000" w:themeColor="text1"/>
          <w:kern w:val="0"/>
          <w14:ligatures w14:val="none"/>
        </w:rPr>
        <w:t xml:space="preserve">The purpose of this report is to critically analyze how Gymshark manages current challenges in the modern work environment to maintain its market position. It will examine the connection between technology and the human factor, evaluating if current talent acquisition and retention practices are sustainable for the long term in a competitive industry. </w:t>
      </w:r>
      <w:r w:rsidR="00692AFF">
        <w:rPr>
          <w:rFonts w:ascii="Arial" w:hAnsi="Arial" w:cs="Arial"/>
          <w:color w:val="000000" w:themeColor="text1"/>
          <w:kern w:val="0"/>
          <w14:ligatures w14:val="none"/>
        </w:rPr>
        <w:t xml:space="preserve">This </w:t>
      </w:r>
      <w:r w:rsidRPr="00065781">
        <w:rPr>
          <w:rFonts w:ascii="Arial" w:hAnsi="Arial" w:cs="Arial"/>
          <w:color w:val="000000" w:themeColor="text1"/>
          <w:kern w:val="0"/>
          <w14:ligatures w14:val="none"/>
        </w:rPr>
        <w:t xml:space="preserve"> report will explore the success of Diversity, Equity, and Inclusion (DEI) initiatives to understand how they influence the organizational culture and employee satisfaction. A critical part of this analysis will be to evaluate the responsibility of line managers in using these strategies across different levels. Finally, the report </w:t>
      </w:r>
      <w:r w:rsidR="00ED52AD">
        <w:rPr>
          <w:rFonts w:ascii="Arial" w:hAnsi="Arial" w:cs="Arial"/>
          <w:color w:val="000000" w:themeColor="text1"/>
          <w:kern w:val="0"/>
          <w14:ligatures w14:val="none"/>
        </w:rPr>
        <w:t>go</w:t>
      </w:r>
      <w:r w:rsidRPr="00065781">
        <w:rPr>
          <w:rFonts w:ascii="Arial" w:hAnsi="Arial" w:cs="Arial"/>
          <w:color w:val="000000" w:themeColor="text1"/>
          <w:kern w:val="0"/>
          <w14:ligatures w14:val="none"/>
        </w:rPr>
        <w:t xml:space="preserve"> to determine if the vision of senior management matches the daily experience of employees in various departments, identifying potential gaps between corporate theory and practical execution.</w:t>
      </w:r>
    </w:p>
    <w:p w14:paraId="4DC5FFA5" w14:textId="556A61FE" w:rsidR="006C3C36" w:rsidRPr="006C3C36" w:rsidRDefault="006C3C36" w:rsidP="008B4A0C">
      <w:pPr>
        <w:spacing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r w:rsidRPr="006C3C36">
        <w:rPr>
          <w:rFonts w:ascii="Arial" w:hAnsi="Arial" w:cs="Arial"/>
          <w:color w:val="000000" w:themeColor="text1"/>
          <w:kern w:val="0"/>
          <w14:ligatures w14:val="none"/>
        </w:rPr>
        <w:tab/>
      </w:r>
    </w:p>
    <w:p w14:paraId="3FED4E3C" w14:textId="3DAEE2EE" w:rsidR="003650FB" w:rsidRPr="00C247DA" w:rsidRDefault="003650FB" w:rsidP="008B4A0C">
      <w:pPr>
        <w:spacing w:after="0" w:line="240" w:lineRule="auto"/>
        <w:jc w:val="both"/>
        <w:rPr>
          <w:rFonts w:ascii="Arial" w:hAnsi="Arial" w:cs="Arial"/>
          <w:color w:val="191919" w:themeColor="text1" w:themeTint="E6"/>
          <w:kern w:val="0"/>
          <w14:ligatures w14:val="none"/>
        </w:rPr>
      </w:pPr>
    </w:p>
    <w:p w14:paraId="24B48DC1" w14:textId="040D127B" w:rsidR="003650FB" w:rsidRPr="00C247DA" w:rsidRDefault="003650FB" w:rsidP="008B4A0C">
      <w:pPr>
        <w:spacing w:line="240" w:lineRule="auto"/>
        <w:jc w:val="both"/>
        <w:rPr>
          <w:rFonts w:ascii="Arial" w:hAnsi="Arial" w:cs="Arial"/>
          <w:color w:val="191919" w:themeColor="text1" w:themeTint="E6"/>
          <w:kern w:val="0"/>
          <w14:ligatures w14:val="none"/>
        </w:rPr>
      </w:pPr>
      <w:r w:rsidRPr="00C247DA">
        <w:rPr>
          <w:rFonts w:ascii="Arial" w:hAnsi="Arial" w:cs="Arial"/>
          <w:color w:val="191919" w:themeColor="text1" w:themeTint="E6"/>
          <w:kern w:val="0"/>
          <w14:ligatures w14:val="none"/>
        </w:rPr>
        <w:br w:type="page"/>
      </w:r>
    </w:p>
    <w:p w14:paraId="0365AA9C" w14:textId="55B5796B" w:rsidR="006C3C36" w:rsidRPr="006C3C36" w:rsidRDefault="006C3C36" w:rsidP="008B4A0C">
      <w:pPr>
        <w:spacing w:line="240" w:lineRule="auto"/>
        <w:jc w:val="both"/>
        <w:rPr>
          <w:rFonts w:ascii="Arial" w:hAnsi="Arial" w:cs="Arial"/>
          <w:color w:val="191919" w:themeColor="text1" w:themeTint="E6"/>
          <w:kern w:val="0"/>
          <w14:ligatures w14:val="none"/>
        </w:rPr>
      </w:pPr>
    </w:p>
    <w:p w14:paraId="0DDF1FDA" w14:textId="77777777" w:rsidR="006C3C36" w:rsidRPr="006C3C36" w:rsidRDefault="006C3C36" w:rsidP="008B4A0C">
      <w:pPr>
        <w:spacing w:after="0" w:line="240" w:lineRule="auto"/>
        <w:jc w:val="both"/>
        <w:rPr>
          <w:rFonts w:ascii="Arial" w:hAnsi="Arial" w:cs="Arial"/>
          <w:b/>
          <w:bCs/>
          <w:color w:val="191919" w:themeColor="text1" w:themeTint="E6"/>
          <w:kern w:val="0"/>
          <w14:ligatures w14:val="none"/>
        </w:rPr>
      </w:pPr>
    </w:p>
    <w:p w14:paraId="43D5AFAF" w14:textId="13B3FF1A" w:rsidR="006C3C36" w:rsidRPr="004E6910" w:rsidRDefault="006C3C36" w:rsidP="008B4A0C">
      <w:pPr>
        <w:pStyle w:val="Prrafodelista"/>
        <w:numPr>
          <w:ilvl w:val="0"/>
          <w:numId w:val="6"/>
        </w:numPr>
        <w:spacing w:after="0" w:line="240" w:lineRule="auto"/>
        <w:ind w:firstLine="0"/>
        <w:jc w:val="both"/>
        <w:rPr>
          <w:rFonts w:ascii="Arial" w:hAnsi="Arial" w:cs="Arial"/>
          <w:b/>
          <w:bCs/>
          <w:color w:val="000000" w:themeColor="text1"/>
          <w:kern w:val="0"/>
          <w:sz w:val="28"/>
          <w:szCs w:val="28"/>
          <w14:ligatures w14:val="none"/>
        </w:rPr>
      </w:pPr>
      <w:r w:rsidRPr="004E6910">
        <w:rPr>
          <w:rFonts w:ascii="Arial" w:hAnsi="Arial" w:cs="Arial"/>
          <w:b/>
          <w:bCs/>
          <w:color w:val="191919" w:themeColor="text1" w:themeTint="E6"/>
          <w:kern w:val="0"/>
          <w:sz w:val="28"/>
          <w:szCs w:val="28"/>
          <w14:ligatures w14:val="none"/>
        </w:rPr>
        <w:t>Key Factors in the Contemporar</w:t>
      </w:r>
      <w:r w:rsidRPr="004E6910">
        <w:rPr>
          <w:rFonts w:ascii="Arial" w:hAnsi="Arial" w:cs="Arial"/>
          <w:b/>
          <w:bCs/>
          <w:color w:val="000000" w:themeColor="text1"/>
          <w:kern w:val="0"/>
          <w:sz w:val="28"/>
          <w:szCs w:val="28"/>
          <w14:ligatures w14:val="none"/>
        </w:rPr>
        <w:t>y Work Environment</w:t>
      </w:r>
    </w:p>
    <w:p w14:paraId="7A4852D3" w14:textId="77777777" w:rsidR="00532C26" w:rsidRPr="004E6910" w:rsidRDefault="00532C26" w:rsidP="008B4A0C">
      <w:pPr>
        <w:pStyle w:val="Prrafodelista"/>
        <w:spacing w:after="0" w:line="240" w:lineRule="auto"/>
        <w:jc w:val="both"/>
        <w:rPr>
          <w:rFonts w:ascii="Arial" w:hAnsi="Arial" w:cs="Arial"/>
          <w:b/>
          <w:bCs/>
          <w:color w:val="000000" w:themeColor="text1"/>
          <w:kern w:val="0"/>
          <w:sz w:val="28"/>
          <w:szCs w:val="28"/>
          <w14:ligatures w14:val="none"/>
        </w:rPr>
      </w:pPr>
    </w:p>
    <w:p w14:paraId="4AD93416" w14:textId="77777777" w:rsidR="00532C26" w:rsidRPr="004E6910" w:rsidRDefault="00532C26" w:rsidP="008B4A0C">
      <w:pPr>
        <w:pStyle w:val="Prrafodelista"/>
        <w:spacing w:after="0" w:line="240" w:lineRule="auto"/>
        <w:jc w:val="both"/>
        <w:rPr>
          <w:rFonts w:ascii="Arial" w:hAnsi="Arial" w:cs="Arial"/>
          <w:b/>
          <w:bCs/>
          <w:color w:val="000000" w:themeColor="text1"/>
          <w:kern w:val="0"/>
          <w:sz w:val="28"/>
          <w:szCs w:val="28"/>
          <w14:ligatures w14:val="none"/>
        </w:rPr>
      </w:pPr>
    </w:p>
    <w:p w14:paraId="77C19CF8"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2.1. Technological Advances: From data analytics to digital well-being</w:t>
      </w:r>
    </w:p>
    <w:p w14:paraId="20CB4F95" w14:textId="77777777" w:rsidR="00DB104D" w:rsidRPr="006C3C36" w:rsidRDefault="00DB104D" w:rsidP="008B4A0C">
      <w:pPr>
        <w:spacing w:after="0" w:line="240" w:lineRule="auto"/>
        <w:jc w:val="both"/>
        <w:rPr>
          <w:rFonts w:ascii="Arial" w:hAnsi="Arial" w:cs="Arial"/>
          <w:color w:val="000000" w:themeColor="text1"/>
          <w:kern w:val="0"/>
          <w14:ligatures w14:val="none"/>
        </w:rPr>
      </w:pPr>
    </w:p>
    <w:p w14:paraId="59AFD279" w14:textId="77777777"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The integration of technology in people management, known as Electronic Human Resource Management (e-HRM), has turned Gymshark into an agile organization. According to Bondarouk and Ruël (2013), e-HRM is not just digitizing processes, but a strategic change that allows the company to improve operational efficiency and decision-making. Gymshark uses advanced People Analytics platforms to monitor performance and engagement in real time. This approach matches the ideas of Marler and Boudreau (2017), who argue that data analysis helps HR professionals predict turnover trends and optimize the workforce, providing a competitive advantage based on evidence rather than intuition. Additionally, using digital internal communication tools supports a flat structure, which is essential for fast innovation in the e-commerce sector.</w:t>
      </w:r>
    </w:p>
    <w:p w14:paraId="1F82A42C" w14:textId="77777777" w:rsidR="00532C26" w:rsidRPr="004E6910" w:rsidRDefault="00532C26" w:rsidP="008B4A0C">
      <w:pPr>
        <w:spacing w:after="0" w:line="240" w:lineRule="auto"/>
        <w:jc w:val="both"/>
        <w:rPr>
          <w:rFonts w:ascii="Arial" w:hAnsi="Arial" w:cs="Arial"/>
          <w:b/>
          <w:bCs/>
          <w:color w:val="000000" w:themeColor="text1"/>
          <w:kern w:val="0"/>
          <w14:ligatures w14:val="none"/>
        </w:rPr>
      </w:pPr>
    </w:p>
    <w:p w14:paraId="5EAF5816" w14:textId="77777777" w:rsidR="00532C26" w:rsidRPr="006C3C36" w:rsidRDefault="00532C26" w:rsidP="008B4A0C">
      <w:pPr>
        <w:spacing w:after="0" w:line="240" w:lineRule="auto"/>
        <w:jc w:val="both"/>
        <w:rPr>
          <w:rFonts w:ascii="Arial" w:hAnsi="Arial" w:cs="Arial"/>
          <w:b/>
          <w:bCs/>
          <w:color w:val="000000" w:themeColor="text1"/>
          <w:kern w:val="0"/>
          <w14:ligatures w14:val="none"/>
        </w:rPr>
      </w:pPr>
    </w:p>
    <w:p w14:paraId="492A59E0"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2.2. Talent Acquisition and Retention: The "GSHQ" model in Solihull</w:t>
      </w:r>
    </w:p>
    <w:p w14:paraId="770359A3" w14:textId="77777777" w:rsidR="00DB104D" w:rsidRPr="006C3C36" w:rsidRDefault="00DB104D" w:rsidP="008B4A0C">
      <w:pPr>
        <w:spacing w:after="0" w:line="240" w:lineRule="auto"/>
        <w:jc w:val="both"/>
        <w:rPr>
          <w:rFonts w:ascii="Arial" w:hAnsi="Arial" w:cs="Arial"/>
          <w:color w:val="000000" w:themeColor="text1"/>
          <w:kern w:val="0"/>
          <w14:ligatures w14:val="none"/>
        </w:rPr>
      </w:pPr>
    </w:p>
    <w:p w14:paraId="78C6D21E" w14:textId="77777777"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In the UK labor market, the "war for talent" is very intense in the creative and technological sectors. Gymshark has responded by strengthening its Employee Value Proposition (EVP). According to Taylor (2018), effective retention in the 21st century depends on a match between the employee’s personal values and the corporate brand. Gymshark uses its headquarters (GSHQ) as a symbol of status and well-being, offering facilities that promote physical health. This strategy is supported by the Self-Determination Theory of Deci and Ryan (2000), which states that best engagement happens when the work environment satisfies needs for autonomy, competence, and connection. By creating a "community" instead of just an office, Gymshark builds intrinsic motivation that reduces the need for purely financial incentives.</w:t>
      </w:r>
    </w:p>
    <w:p w14:paraId="4D114DCF" w14:textId="77777777" w:rsidR="00532C26" w:rsidRPr="00C247DA" w:rsidRDefault="00532C26" w:rsidP="008B4A0C">
      <w:pPr>
        <w:spacing w:after="0" w:line="240" w:lineRule="auto"/>
        <w:jc w:val="both"/>
        <w:rPr>
          <w:rFonts w:ascii="Arial" w:hAnsi="Arial" w:cs="Arial"/>
          <w:color w:val="000000" w:themeColor="text1"/>
          <w:kern w:val="0"/>
          <w14:ligatures w14:val="none"/>
        </w:rPr>
      </w:pPr>
    </w:p>
    <w:p w14:paraId="3BEAE240" w14:textId="77777777" w:rsidR="00532C26" w:rsidRPr="006C3C36" w:rsidRDefault="00532C26" w:rsidP="008B4A0C">
      <w:pPr>
        <w:spacing w:after="0" w:line="240" w:lineRule="auto"/>
        <w:jc w:val="both"/>
        <w:rPr>
          <w:rFonts w:ascii="Arial" w:hAnsi="Arial" w:cs="Arial"/>
          <w:color w:val="000000" w:themeColor="text1"/>
          <w:kern w:val="0"/>
          <w14:ligatures w14:val="none"/>
        </w:rPr>
      </w:pPr>
    </w:p>
    <w:p w14:paraId="2B37CF66" w14:textId="13C8377F" w:rsidR="00DB104D"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2.3. Diversity, Equity, and Inclusion (DEI): Evolution of brand culture</w:t>
      </w:r>
    </w:p>
    <w:p w14:paraId="0DEACED2" w14:textId="77777777" w:rsidR="00DB104D" w:rsidRPr="006C3C36" w:rsidRDefault="00DB104D" w:rsidP="008B4A0C">
      <w:pPr>
        <w:spacing w:after="0" w:line="240" w:lineRule="auto"/>
        <w:jc w:val="both"/>
        <w:rPr>
          <w:rFonts w:ascii="Arial" w:hAnsi="Arial" w:cs="Arial"/>
          <w:color w:val="000000" w:themeColor="text1"/>
          <w:kern w:val="0"/>
          <w14:ligatures w14:val="none"/>
        </w:rPr>
      </w:pPr>
    </w:p>
    <w:p w14:paraId="558FEF00" w14:textId="77777777" w:rsidR="006C3C36" w:rsidRPr="006C3C36"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Diversity management has changed from a legal requirement to a strategic necessity. The CIPD (2023) emphasizes that inclusive organizations perform better than competitors by attracting more talent and encouraging different perspectives that drive creativity. Gymshark has included diversity in its core operations to represent its global customer base. According to Noe et al. (2021), effective diversity management requires inclusion policies at every stage of the employee life cycle, from unbiased recruitment to equal promotion opportunities. By using diverse interview panels and mentoring programs, Gymshark tries to reduce unconscious bias, ensuring that merit and equity are the main pillars of professional growth within the firm</w:t>
      </w:r>
    </w:p>
    <w:p w14:paraId="0DD0B516" w14:textId="164F2D25" w:rsidR="00B92279" w:rsidRPr="00C247DA" w:rsidRDefault="00B92279" w:rsidP="008B4A0C">
      <w:pPr>
        <w:spacing w:after="0" w:line="240" w:lineRule="auto"/>
        <w:jc w:val="both"/>
        <w:rPr>
          <w:rFonts w:ascii="Arial" w:hAnsi="Arial" w:cs="Arial"/>
          <w:color w:val="000000" w:themeColor="text1"/>
          <w:kern w:val="0"/>
          <w14:ligatures w14:val="none"/>
        </w:rPr>
      </w:pPr>
    </w:p>
    <w:p w14:paraId="1C7BEE26" w14:textId="0E2FD4E3" w:rsidR="006C3C36" w:rsidRPr="006C3C36" w:rsidRDefault="00B92279" w:rsidP="008B4A0C">
      <w:pPr>
        <w:spacing w:line="240" w:lineRule="auto"/>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br w:type="page"/>
      </w:r>
    </w:p>
    <w:p w14:paraId="1ABFB78E" w14:textId="34C1B07D" w:rsidR="006C3C36" w:rsidRPr="004E6910" w:rsidRDefault="006C3C36" w:rsidP="008B4A0C">
      <w:pPr>
        <w:pStyle w:val="Prrafodelista"/>
        <w:numPr>
          <w:ilvl w:val="0"/>
          <w:numId w:val="6"/>
        </w:numPr>
        <w:spacing w:after="0" w:line="240" w:lineRule="auto"/>
        <w:ind w:firstLine="0"/>
        <w:jc w:val="both"/>
        <w:rPr>
          <w:rFonts w:ascii="Arial" w:hAnsi="Arial" w:cs="Arial"/>
          <w:b/>
          <w:bCs/>
          <w:color w:val="000000" w:themeColor="text1"/>
          <w:kern w:val="0"/>
          <w:sz w:val="28"/>
          <w:szCs w:val="28"/>
          <w14:ligatures w14:val="none"/>
        </w:rPr>
      </w:pPr>
      <w:r w:rsidRPr="004E6910">
        <w:rPr>
          <w:rFonts w:ascii="Arial" w:hAnsi="Arial" w:cs="Arial"/>
          <w:b/>
          <w:bCs/>
          <w:color w:val="000000" w:themeColor="text1"/>
          <w:kern w:val="0"/>
          <w:sz w:val="28"/>
          <w:szCs w:val="28"/>
          <w14:ligatures w14:val="none"/>
        </w:rPr>
        <w:lastRenderedPageBreak/>
        <w:t>Evaluation of People Management Practices at Gymshark</w:t>
      </w:r>
    </w:p>
    <w:p w14:paraId="09C3B9F5" w14:textId="77777777" w:rsidR="008640E6" w:rsidRPr="004E6910" w:rsidRDefault="008640E6" w:rsidP="008B4A0C">
      <w:pPr>
        <w:pStyle w:val="Prrafodelista"/>
        <w:spacing w:after="0" w:line="240" w:lineRule="auto"/>
        <w:jc w:val="both"/>
        <w:rPr>
          <w:rFonts w:ascii="Arial" w:hAnsi="Arial" w:cs="Arial"/>
          <w:b/>
          <w:bCs/>
          <w:color w:val="000000" w:themeColor="text1"/>
          <w:kern w:val="0"/>
          <w:sz w:val="28"/>
          <w:szCs w:val="28"/>
          <w14:ligatures w14:val="none"/>
        </w:rPr>
      </w:pPr>
    </w:p>
    <w:p w14:paraId="7F558092" w14:textId="77777777" w:rsidR="008640E6" w:rsidRPr="004E6910" w:rsidRDefault="008640E6" w:rsidP="008B4A0C">
      <w:pPr>
        <w:pStyle w:val="Prrafodelista"/>
        <w:spacing w:after="0" w:line="240" w:lineRule="auto"/>
        <w:jc w:val="both"/>
        <w:rPr>
          <w:rFonts w:ascii="Arial" w:hAnsi="Arial" w:cs="Arial"/>
          <w:b/>
          <w:bCs/>
          <w:color w:val="000000" w:themeColor="text1"/>
          <w:kern w:val="0"/>
          <w:sz w:val="28"/>
          <w:szCs w:val="28"/>
          <w14:ligatures w14:val="none"/>
        </w:rPr>
      </w:pPr>
    </w:p>
    <w:p w14:paraId="47F17CA8"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3.1. Digitalization of the Employee Experience</w:t>
      </w:r>
    </w:p>
    <w:p w14:paraId="565D59AE" w14:textId="77777777" w:rsidR="00DB104D" w:rsidRPr="006C3C36" w:rsidRDefault="00DB104D" w:rsidP="008B4A0C">
      <w:pPr>
        <w:spacing w:after="0" w:line="240" w:lineRule="auto"/>
        <w:jc w:val="both"/>
        <w:rPr>
          <w:rFonts w:ascii="Arial" w:hAnsi="Arial" w:cs="Arial"/>
          <w:color w:val="000000" w:themeColor="text1"/>
          <w:kern w:val="0"/>
          <w14:ligatures w14:val="none"/>
        </w:rPr>
      </w:pPr>
    </w:p>
    <w:p w14:paraId="16480A1B" w14:textId="77777777"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Gymshark has moved beyond basic staff administration to focus on the "employee experience" through technology. The company uses integrated systems that allow self-service and constant feedback, removing traditional hierarchy barriers. As suggested by Plaskoff (2017), focusing on the employee experience requires seeing the organization through the worker's eyes, using human-centered design to improve engagement. In Gymshark’s case, using mobile apps for internal communication ensures the company culture stays active, even for those working in a hybrid model.</w:t>
      </w:r>
    </w:p>
    <w:p w14:paraId="08805F8B" w14:textId="77777777" w:rsidR="00280AAE" w:rsidRPr="00C247DA" w:rsidRDefault="00280AAE" w:rsidP="008B4A0C">
      <w:pPr>
        <w:spacing w:after="0" w:line="240" w:lineRule="auto"/>
        <w:jc w:val="both"/>
        <w:rPr>
          <w:rFonts w:ascii="Arial" w:hAnsi="Arial" w:cs="Arial"/>
          <w:color w:val="000000" w:themeColor="text1"/>
          <w:kern w:val="0"/>
          <w14:ligatures w14:val="none"/>
        </w:rPr>
      </w:pPr>
    </w:p>
    <w:p w14:paraId="0076BF55"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420C292F"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58C8A0D9" w14:textId="77777777" w:rsidR="00A25221" w:rsidRPr="004E6910" w:rsidRDefault="00A25221" w:rsidP="008B4A0C">
      <w:pPr>
        <w:spacing w:after="0" w:line="240" w:lineRule="auto"/>
        <w:jc w:val="both"/>
        <w:rPr>
          <w:rFonts w:ascii="Arial" w:hAnsi="Arial" w:cs="Arial"/>
          <w:b/>
          <w:bCs/>
          <w:color w:val="000000" w:themeColor="text1"/>
          <w:kern w:val="0"/>
          <w14:ligatures w14:val="none"/>
        </w:rPr>
      </w:pPr>
      <w:r w:rsidRPr="004E6910">
        <w:rPr>
          <w:rFonts w:ascii="Arial" w:hAnsi="Arial" w:cs="Arial"/>
          <w:b/>
          <w:bCs/>
          <w:color w:val="000000" w:themeColor="text1"/>
          <w:kern w:val="0"/>
          <w14:ligatures w14:val="none"/>
        </w:rPr>
        <w:t>3.2. Well-being strategies and work-life balance in the e-commerce sector</w:t>
      </w:r>
    </w:p>
    <w:p w14:paraId="5FC8653F" w14:textId="77777777" w:rsidR="00DB104D" w:rsidRPr="00C247DA" w:rsidRDefault="00DB104D" w:rsidP="008B4A0C">
      <w:pPr>
        <w:spacing w:after="0" w:line="240" w:lineRule="auto"/>
        <w:jc w:val="both"/>
        <w:rPr>
          <w:rFonts w:ascii="Arial" w:hAnsi="Arial" w:cs="Arial"/>
          <w:color w:val="000000" w:themeColor="text1"/>
          <w:kern w:val="0"/>
          <w14:ligatures w14:val="none"/>
        </w:rPr>
      </w:pPr>
    </w:p>
    <w:p w14:paraId="23CF7C33" w14:textId="77777777" w:rsidR="00A25221" w:rsidRPr="00C247DA" w:rsidRDefault="00A25221" w:rsidP="008B4A0C">
      <w:pPr>
        <w:spacing w:after="0" w:line="240" w:lineRule="auto"/>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Given the fast-paced nature of the digital retail sector, Gymshark has created a well-being ecosystem that goes beyond standard benefits. Its headquarters, GSHQ, works as a complete health center, providing staff with spaces for physical and mental recovery. According to Guest (2017), there is a direct link between HR practices focused on well-being and superior organizational performance; when employees feel cared for, their psychological commitment increases. Gymshark applies this by offering flexible work hours and access to professional physical training, which helps in reducing the stress caused by global sales goals and the company’s fast growth. Furthermore, this focus on health acts as a preventive measure against employee burnout, ensuring that the workforce remains productive and motivated despite the high demands of the e-commerce industry.</w:t>
      </w:r>
    </w:p>
    <w:p w14:paraId="501C3867"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2A06BA69"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6C0B25B9"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69DC826C" w14:textId="77777777" w:rsidR="00A25221" w:rsidRPr="004E6910" w:rsidRDefault="00A25221" w:rsidP="008B4A0C">
      <w:pPr>
        <w:spacing w:after="0" w:line="240" w:lineRule="auto"/>
        <w:jc w:val="both"/>
        <w:rPr>
          <w:rFonts w:ascii="Arial" w:hAnsi="Arial" w:cs="Arial"/>
          <w:b/>
          <w:bCs/>
          <w:color w:val="000000" w:themeColor="text1"/>
          <w:kern w:val="0"/>
          <w14:ligatures w14:val="none"/>
        </w:rPr>
      </w:pPr>
      <w:r w:rsidRPr="004E6910">
        <w:rPr>
          <w:rFonts w:ascii="Arial" w:hAnsi="Arial" w:cs="Arial"/>
          <w:b/>
          <w:bCs/>
          <w:color w:val="000000" w:themeColor="text1"/>
          <w:kern w:val="0"/>
          <w14:ligatures w14:val="none"/>
        </w:rPr>
        <w:t>3.3. Analysis of the competitiveness of current practices</w:t>
      </w:r>
    </w:p>
    <w:p w14:paraId="297E08CC" w14:textId="77777777" w:rsidR="000947A7" w:rsidRPr="00C247DA" w:rsidRDefault="000947A7" w:rsidP="008B4A0C">
      <w:pPr>
        <w:spacing w:after="0" w:line="240" w:lineRule="auto"/>
        <w:jc w:val="both"/>
        <w:rPr>
          <w:rFonts w:ascii="Arial" w:hAnsi="Arial" w:cs="Arial"/>
          <w:color w:val="000000" w:themeColor="text1"/>
          <w:kern w:val="0"/>
          <w14:ligatures w14:val="none"/>
        </w:rPr>
      </w:pPr>
    </w:p>
    <w:p w14:paraId="6152001A" w14:textId="4B845787" w:rsidR="00280AAE" w:rsidRPr="00C247DA" w:rsidRDefault="00A25221" w:rsidP="008B4A0C">
      <w:pPr>
        <w:spacing w:after="0" w:line="240" w:lineRule="auto"/>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To keep its competitive advantage, Gymshark constantly evaluates its practices against the external market to ensure they remain relevant. The organization uses "strengths-based talent management," which ensures that roles change according to individual abilities and professional interests. According to Sparrow et al. (2016), in fast-changing contexts, agility in talent management is more valuable than rigid job structures because it allows for faster internal movement. However, Gymshark’s competitiveness also comes from its ability to attract Generation Z through authentic branding and a strong social media presence. This modern identity allows them to compete for specialized talent against traditional UK tech giants, offering a unique corporate culture that prioritizes innovation, personal growth, and a sense of belonging over traditional corporate hierarchies.</w:t>
      </w:r>
    </w:p>
    <w:p w14:paraId="284AE1EF" w14:textId="1EF7F4EA" w:rsidR="003650FB" w:rsidRPr="00C247DA" w:rsidRDefault="003650FB" w:rsidP="008B4A0C">
      <w:pPr>
        <w:spacing w:line="240" w:lineRule="auto"/>
        <w:jc w:val="both"/>
        <w:rPr>
          <w:rFonts w:ascii="Arial" w:hAnsi="Arial" w:cs="Arial"/>
          <w:color w:val="000000" w:themeColor="text1"/>
          <w:kern w:val="0"/>
          <w:sz w:val="28"/>
          <w:szCs w:val="28"/>
          <w14:ligatures w14:val="none"/>
        </w:rPr>
      </w:pPr>
    </w:p>
    <w:p w14:paraId="4EB2085F" w14:textId="7F551E5D" w:rsidR="003650FB" w:rsidRPr="00C247DA" w:rsidRDefault="003650FB" w:rsidP="008B4A0C">
      <w:pPr>
        <w:spacing w:line="240" w:lineRule="auto"/>
        <w:jc w:val="both"/>
        <w:rPr>
          <w:rFonts w:ascii="Arial" w:hAnsi="Arial" w:cs="Arial"/>
          <w:color w:val="000000" w:themeColor="text1"/>
          <w:kern w:val="0"/>
          <w:sz w:val="28"/>
          <w:szCs w:val="28"/>
          <w14:ligatures w14:val="none"/>
        </w:rPr>
      </w:pPr>
    </w:p>
    <w:p w14:paraId="40939830" w14:textId="77777777" w:rsidR="003650FB" w:rsidRPr="00C247DA" w:rsidRDefault="003650FB" w:rsidP="008B4A0C">
      <w:pPr>
        <w:spacing w:line="240" w:lineRule="auto"/>
        <w:jc w:val="both"/>
        <w:rPr>
          <w:rFonts w:ascii="Arial" w:hAnsi="Arial" w:cs="Arial"/>
          <w:color w:val="000000" w:themeColor="text1"/>
          <w:kern w:val="0"/>
          <w:sz w:val="28"/>
          <w:szCs w:val="28"/>
          <w14:ligatures w14:val="none"/>
        </w:rPr>
      </w:pPr>
      <w:r w:rsidRPr="00C247DA">
        <w:rPr>
          <w:rFonts w:ascii="Arial" w:hAnsi="Arial" w:cs="Arial"/>
          <w:color w:val="000000" w:themeColor="text1"/>
          <w:kern w:val="0"/>
          <w:sz w:val="28"/>
          <w:szCs w:val="28"/>
          <w14:ligatures w14:val="none"/>
        </w:rPr>
        <w:br w:type="page"/>
      </w:r>
    </w:p>
    <w:p w14:paraId="6C5A09CF" w14:textId="77777777" w:rsidR="00A25221" w:rsidRPr="006C3C36" w:rsidRDefault="00A25221" w:rsidP="008B4A0C">
      <w:pPr>
        <w:spacing w:line="240" w:lineRule="auto"/>
        <w:jc w:val="both"/>
        <w:rPr>
          <w:rFonts w:ascii="Arial" w:hAnsi="Arial" w:cs="Arial"/>
          <w:color w:val="000000" w:themeColor="text1"/>
          <w:kern w:val="0"/>
          <w:sz w:val="28"/>
          <w:szCs w:val="28"/>
          <w14:ligatures w14:val="none"/>
        </w:rPr>
      </w:pPr>
    </w:p>
    <w:p w14:paraId="47C69D66" w14:textId="172C1E0C" w:rsidR="006C3C36" w:rsidRPr="004E6910" w:rsidRDefault="006C3C36" w:rsidP="008B4A0C">
      <w:pPr>
        <w:pStyle w:val="Prrafodelista"/>
        <w:numPr>
          <w:ilvl w:val="0"/>
          <w:numId w:val="6"/>
        </w:numPr>
        <w:spacing w:after="0" w:line="240" w:lineRule="auto"/>
        <w:ind w:firstLine="0"/>
        <w:jc w:val="both"/>
        <w:rPr>
          <w:rFonts w:ascii="Arial" w:hAnsi="Arial" w:cs="Arial"/>
          <w:b/>
          <w:bCs/>
          <w:color w:val="000000" w:themeColor="text1"/>
          <w:kern w:val="0"/>
          <w:sz w:val="28"/>
          <w:szCs w:val="28"/>
          <w14:ligatures w14:val="none"/>
        </w:rPr>
      </w:pPr>
      <w:r w:rsidRPr="004E6910">
        <w:rPr>
          <w:rFonts w:ascii="Arial" w:hAnsi="Arial" w:cs="Arial"/>
          <w:b/>
          <w:bCs/>
          <w:color w:val="000000" w:themeColor="text1"/>
          <w:kern w:val="0"/>
          <w:sz w:val="28"/>
          <w:szCs w:val="28"/>
          <w14:ligatures w14:val="none"/>
        </w:rPr>
        <w:t>Critical Evaluation: The Role of Line Management</w:t>
      </w:r>
    </w:p>
    <w:p w14:paraId="7ABF47A2" w14:textId="77777777" w:rsidR="00E63E34" w:rsidRPr="004E6910" w:rsidRDefault="00E63E34" w:rsidP="008B4A0C">
      <w:pPr>
        <w:spacing w:after="0" w:line="240" w:lineRule="auto"/>
        <w:jc w:val="both"/>
        <w:rPr>
          <w:rFonts w:ascii="Arial" w:hAnsi="Arial" w:cs="Arial"/>
          <w:b/>
          <w:bCs/>
          <w:color w:val="000000" w:themeColor="text1"/>
          <w:kern w:val="0"/>
          <w14:ligatures w14:val="none"/>
        </w:rPr>
      </w:pPr>
    </w:p>
    <w:p w14:paraId="35018E47" w14:textId="77777777" w:rsidR="00E63E34" w:rsidRPr="004E6910" w:rsidRDefault="00E63E34" w:rsidP="008B4A0C">
      <w:pPr>
        <w:spacing w:after="0" w:line="240" w:lineRule="auto"/>
        <w:jc w:val="both"/>
        <w:rPr>
          <w:rFonts w:ascii="Arial" w:hAnsi="Arial" w:cs="Arial"/>
          <w:b/>
          <w:bCs/>
          <w:color w:val="000000" w:themeColor="text1"/>
          <w:kern w:val="0"/>
          <w14:ligatures w14:val="none"/>
        </w:rPr>
      </w:pPr>
    </w:p>
    <w:p w14:paraId="29913E07"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4.1. Responsibilities of department heads in implementation</w:t>
      </w:r>
    </w:p>
    <w:p w14:paraId="4EF6AB81" w14:textId="77777777" w:rsidR="000947A7" w:rsidRPr="006C3C36" w:rsidRDefault="000947A7" w:rsidP="008B4A0C">
      <w:pPr>
        <w:spacing w:after="0" w:line="240" w:lineRule="auto"/>
        <w:jc w:val="both"/>
        <w:rPr>
          <w:rFonts w:ascii="Arial" w:hAnsi="Arial" w:cs="Arial"/>
          <w:color w:val="000000" w:themeColor="text1"/>
          <w:kern w:val="0"/>
          <w14:ligatures w14:val="none"/>
        </w:rPr>
      </w:pPr>
    </w:p>
    <w:p w14:paraId="44056291" w14:textId="77777777"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In Gymshark, the responsibility for managing people has moved from a central HR department to line managers (heads of marketing, design, logistics, etc.). These leaders are responsible for personalizing the employee experience and ensuring the company culture survives in their small teams. According to Purcell and Hutchinson (2007), the attitude and behavior of line managers are the main link between HR policies and real employee engagement. If a line manager at Gymshark does not communicate values of well-being or flexibility correctly, the global strategy loses its effectiveness at the operational level.</w:t>
      </w:r>
    </w:p>
    <w:p w14:paraId="7034CCAD"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0790A7FA"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424F0316" w14:textId="77777777" w:rsidR="00ED7C9E" w:rsidRPr="006C3C36" w:rsidRDefault="00ED7C9E" w:rsidP="008B4A0C">
      <w:pPr>
        <w:spacing w:after="0" w:line="240" w:lineRule="auto"/>
        <w:jc w:val="both"/>
        <w:rPr>
          <w:rFonts w:ascii="Arial" w:hAnsi="Arial" w:cs="Arial"/>
          <w:color w:val="000000" w:themeColor="text1"/>
          <w:kern w:val="0"/>
          <w14:ligatures w14:val="none"/>
        </w:rPr>
      </w:pPr>
    </w:p>
    <w:p w14:paraId="1DA32E38"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4.2. Challenges in executing urgent policies</w:t>
      </w:r>
    </w:p>
    <w:p w14:paraId="6C1F3500" w14:textId="77777777" w:rsidR="000947A7" w:rsidRPr="006C3C36" w:rsidRDefault="000947A7" w:rsidP="008B4A0C">
      <w:pPr>
        <w:spacing w:after="0" w:line="240" w:lineRule="auto"/>
        <w:jc w:val="both"/>
        <w:rPr>
          <w:rFonts w:ascii="Arial" w:hAnsi="Arial" w:cs="Arial"/>
          <w:color w:val="000000" w:themeColor="text1"/>
          <w:kern w:val="0"/>
          <w14:ligatures w14:val="none"/>
        </w:rPr>
      </w:pPr>
    </w:p>
    <w:p w14:paraId="1830D025" w14:textId="77777777"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Implementing technological changes or diversity policies requires speed, but line managers often face "role overload." In a high-growth company like Gymshark, leaders must balance aggressive sales targets with the empathetic management of their teams. Brewster et al. (2015) point out that a lack of specific training in soft skills and a shortage of time are the main barriers for line managers to execute HR policies successfully. There is a risk that, under the pressure of product launches, managers might prioritize business results over well-being or inclusion, creating a gap between corporate speech and employee reality.</w:t>
      </w:r>
    </w:p>
    <w:p w14:paraId="759DC202"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75CC3C92"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2A7EFB59" w14:textId="77777777" w:rsidR="00ED7C9E" w:rsidRPr="006C3C36" w:rsidRDefault="00ED7C9E" w:rsidP="008B4A0C">
      <w:pPr>
        <w:spacing w:after="0" w:line="240" w:lineRule="auto"/>
        <w:jc w:val="both"/>
        <w:rPr>
          <w:rFonts w:ascii="Arial" w:hAnsi="Arial" w:cs="Arial"/>
          <w:color w:val="000000" w:themeColor="text1"/>
          <w:kern w:val="0"/>
          <w14:ligatures w14:val="none"/>
        </w:rPr>
      </w:pPr>
    </w:p>
    <w:p w14:paraId="23ADDEF4"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4.3. Impact of direct management on team engagement</w:t>
      </w:r>
    </w:p>
    <w:p w14:paraId="28F267F4" w14:textId="77777777" w:rsidR="00A74B61" w:rsidRPr="006C3C36" w:rsidRDefault="00A74B61" w:rsidP="008B4A0C">
      <w:pPr>
        <w:spacing w:after="0" w:line="240" w:lineRule="auto"/>
        <w:jc w:val="both"/>
        <w:rPr>
          <w:rFonts w:ascii="Arial" w:hAnsi="Arial" w:cs="Arial"/>
          <w:color w:val="000000" w:themeColor="text1"/>
          <w:kern w:val="0"/>
          <w14:ligatures w14:val="none"/>
        </w:rPr>
      </w:pPr>
    </w:p>
    <w:p w14:paraId="604F035E" w14:textId="5CA5DC7D" w:rsidR="00E63E34"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The quality of the relationship between the employee and their direct supervisor is the most influential factor for retention at Gymshark. A management model based on trust and empowerment allows employees to feel ownership of their projects. According to Alfes et al. (2013), when employees feel that their line managers act fairly and support their development, it creates a social exchange that improves organizational performance. For Gymshark, success does not only depend on having a modern office in Solihull, but on each team leader acting as a "culture ambassador" who uses digital tools and well-being programs to foster a healthy environment.</w:t>
      </w:r>
    </w:p>
    <w:p w14:paraId="6208843F" w14:textId="77777777" w:rsidR="00E63E34" w:rsidRPr="00C247DA" w:rsidRDefault="00E63E34" w:rsidP="008B4A0C">
      <w:pPr>
        <w:spacing w:line="240" w:lineRule="auto"/>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br w:type="page"/>
      </w:r>
    </w:p>
    <w:p w14:paraId="7C0811F5" w14:textId="70FE4A08" w:rsidR="00E63E34" w:rsidRPr="00C247DA" w:rsidRDefault="00E63E34" w:rsidP="008B4A0C">
      <w:pPr>
        <w:spacing w:after="0" w:line="240" w:lineRule="auto"/>
        <w:jc w:val="both"/>
        <w:rPr>
          <w:rFonts w:ascii="Arial" w:hAnsi="Arial" w:cs="Arial"/>
          <w:color w:val="000000" w:themeColor="text1"/>
          <w:kern w:val="0"/>
          <w14:ligatures w14:val="none"/>
        </w:rPr>
      </w:pPr>
    </w:p>
    <w:p w14:paraId="7FAED3BF" w14:textId="36DEA1FF" w:rsidR="006C3C36" w:rsidRPr="006C3C36" w:rsidRDefault="006C3C36" w:rsidP="008B4A0C">
      <w:pPr>
        <w:spacing w:line="240" w:lineRule="auto"/>
        <w:jc w:val="both"/>
        <w:rPr>
          <w:rFonts w:ascii="Arial" w:hAnsi="Arial" w:cs="Arial"/>
          <w:b/>
          <w:bCs/>
          <w:color w:val="000000" w:themeColor="text1"/>
          <w:kern w:val="0"/>
          <w14:ligatures w14:val="none"/>
        </w:rPr>
      </w:pPr>
    </w:p>
    <w:p w14:paraId="524106FD" w14:textId="66904DCA" w:rsidR="006C3C36" w:rsidRPr="004E6910" w:rsidRDefault="006C3C36" w:rsidP="008B4A0C">
      <w:pPr>
        <w:pStyle w:val="Prrafodelista"/>
        <w:numPr>
          <w:ilvl w:val="0"/>
          <w:numId w:val="6"/>
        </w:numPr>
        <w:spacing w:after="0" w:line="240" w:lineRule="auto"/>
        <w:ind w:firstLine="0"/>
        <w:jc w:val="both"/>
        <w:rPr>
          <w:rFonts w:ascii="Arial" w:hAnsi="Arial" w:cs="Arial"/>
          <w:b/>
          <w:bCs/>
          <w:color w:val="000000" w:themeColor="text1"/>
          <w:kern w:val="0"/>
          <w:sz w:val="28"/>
          <w:szCs w:val="28"/>
          <w14:ligatures w14:val="none"/>
        </w:rPr>
      </w:pPr>
      <w:r w:rsidRPr="004E6910">
        <w:rPr>
          <w:rFonts w:ascii="Arial" w:hAnsi="Arial" w:cs="Arial"/>
          <w:b/>
          <w:bCs/>
          <w:color w:val="000000" w:themeColor="text1"/>
          <w:kern w:val="0"/>
          <w:sz w:val="28"/>
          <w:szCs w:val="28"/>
          <w14:ligatures w14:val="none"/>
        </w:rPr>
        <w:t>Conclusions and Recommendations</w:t>
      </w:r>
    </w:p>
    <w:p w14:paraId="4C9761D0" w14:textId="77777777" w:rsidR="00ED7C9E" w:rsidRPr="004E6910" w:rsidRDefault="00ED7C9E" w:rsidP="008B4A0C">
      <w:pPr>
        <w:spacing w:after="0" w:line="240" w:lineRule="auto"/>
        <w:jc w:val="both"/>
        <w:rPr>
          <w:rFonts w:ascii="Arial" w:hAnsi="Arial" w:cs="Arial"/>
          <w:b/>
          <w:bCs/>
          <w:color w:val="000000" w:themeColor="text1"/>
          <w:kern w:val="0"/>
          <w14:ligatures w14:val="none"/>
        </w:rPr>
      </w:pPr>
    </w:p>
    <w:p w14:paraId="1F79A58C" w14:textId="77777777" w:rsidR="00ED7C9E" w:rsidRPr="004E6910" w:rsidRDefault="00ED7C9E" w:rsidP="008B4A0C">
      <w:pPr>
        <w:spacing w:after="0" w:line="240" w:lineRule="auto"/>
        <w:jc w:val="both"/>
        <w:rPr>
          <w:rFonts w:ascii="Arial" w:hAnsi="Arial" w:cs="Arial"/>
          <w:b/>
          <w:bCs/>
          <w:color w:val="000000" w:themeColor="text1"/>
          <w:kern w:val="0"/>
          <w14:ligatures w14:val="none"/>
        </w:rPr>
      </w:pPr>
    </w:p>
    <w:p w14:paraId="23B5E996"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5.1. Summary of main findings</w:t>
      </w:r>
    </w:p>
    <w:p w14:paraId="2FCE31E6" w14:textId="77777777" w:rsidR="0082353D" w:rsidRPr="006C3C36" w:rsidRDefault="0082353D" w:rsidP="008B4A0C">
      <w:pPr>
        <w:spacing w:after="0" w:line="240" w:lineRule="auto"/>
        <w:jc w:val="both"/>
        <w:rPr>
          <w:rFonts w:ascii="Arial" w:hAnsi="Arial" w:cs="Arial"/>
          <w:color w:val="000000" w:themeColor="text1"/>
          <w:kern w:val="0"/>
          <w14:ligatures w14:val="none"/>
        </w:rPr>
      </w:pPr>
    </w:p>
    <w:p w14:paraId="14CED285" w14:textId="1FE6B245" w:rsidR="006C3C36" w:rsidRPr="00C247DA"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The analysis of Gymshark reveals an organization that has successfully integrated technology and a well-being culture to attract a young workforce in the UK. It has been shown that using People Analytics and digital platforms (e-HRM) is essential for its operational agility. However, the critical evaluation highlights that the success of these policies does not depend only on corporate intent, but on the ability of line managers to execute them under pressure. As Ulrich (2013) states, HR must evolve from being an administrator to a "strategic partner" that trains direct leaders to manage talent effectively</w:t>
      </w:r>
      <w:r w:rsidR="00ED7C9E" w:rsidRPr="00C247DA">
        <w:rPr>
          <w:rFonts w:ascii="Arial" w:hAnsi="Arial" w:cs="Arial"/>
          <w:color w:val="000000" w:themeColor="text1"/>
          <w:kern w:val="0"/>
          <w14:ligatures w14:val="none"/>
        </w:rPr>
        <w:t>.</w:t>
      </w:r>
    </w:p>
    <w:p w14:paraId="0BDDEF46"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5D64847D" w14:textId="77777777" w:rsidR="00ED7C9E" w:rsidRPr="00C247DA" w:rsidRDefault="00ED7C9E" w:rsidP="008B4A0C">
      <w:pPr>
        <w:spacing w:after="0" w:line="240" w:lineRule="auto"/>
        <w:jc w:val="both"/>
        <w:rPr>
          <w:rFonts w:ascii="Arial" w:hAnsi="Arial" w:cs="Arial"/>
          <w:color w:val="000000" w:themeColor="text1"/>
          <w:kern w:val="0"/>
          <w14:ligatures w14:val="none"/>
        </w:rPr>
      </w:pPr>
    </w:p>
    <w:p w14:paraId="2E268A3B" w14:textId="77777777" w:rsidR="00ED7C9E" w:rsidRPr="006C3C36" w:rsidRDefault="00ED7C9E" w:rsidP="008B4A0C">
      <w:pPr>
        <w:spacing w:after="0" w:line="240" w:lineRule="auto"/>
        <w:jc w:val="both"/>
        <w:rPr>
          <w:rFonts w:ascii="Arial" w:hAnsi="Arial" w:cs="Arial"/>
          <w:color w:val="000000" w:themeColor="text1"/>
          <w:kern w:val="0"/>
          <w14:ligatures w14:val="none"/>
        </w:rPr>
      </w:pPr>
    </w:p>
    <w:p w14:paraId="5D6F068A" w14:textId="77777777" w:rsidR="006C3C36" w:rsidRPr="004E6910" w:rsidRDefault="006C3C36" w:rsidP="008B4A0C">
      <w:pPr>
        <w:spacing w:after="0" w:line="240" w:lineRule="auto"/>
        <w:jc w:val="both"/>
        <w:rPr>
          <w:rFonts w:ascii="Arial" w:hAnsi="Arial" w:cs="Arial"/>
          <w:b/>
          <w:bCs/>
          <w:color w:val="000000" w:themeColor="text1"/>
          <w:kern w:val="0"/>
          <w14:ligatures w14:val="none"/>
        </w:rPr>
      </w:pPr>
      <w:r w:rsidRPr="006C3C36">
        <w:rPr>
          <w:rFonts w:ascii="Arial" w:hAnsi="Arial" w:cs="Arial"/>
          <w:b/>
          <w:bCs/>
          <w:color w:val="000000" w:themeColor="text1"/>
          <w:kern w:val="0"/>
          <w14:ligatures w14:val="none"/>
        </w:rPr>
        <w:t>5.2. Strategic recommendations for HR and Management</w:t>
      </w:r>
    </w:p>
    <w:p w14:paraId="35AE81E4" w14:textId="77777777" w:rsidR="0082353D" w:rsidRPr="006C3C36" w:rsidRDefault="0082353D" w:rsidP="008B4A0C">
      <w:pPr>
        <w:spacing w:after="0" w:line="240" w:lineRule="auto"/>
        <w:jc w:val="both"/>
        <w:rPr>
          <w:rFonts w:ascii="Arial" w:hAnsi="Arial" w:cs="Arial"/>
          <w:color w:val="000000" w:themeColor="text1"/>
          <w:kern w:val="0"/>
          <w14:ligatures w14:val="none"/>
        </w:rPr>
      </w:pPr>
    </w:p>
    <w:p w14:paraId="075ACE41" w14:textId="77777777" w:rsidR="006C3C36" w:rsidRPr="006C3C36" w:rsidRDefault="006C3C36" w:rsidP="008B4A0C">
      <w:pPr>
        <w:spacing w:after="0" w:line="240" w:lineRule="auto"/>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To ensure the sustainability of its management model, the following actions are proposed:</w:t>
      </w:r>
    </w:p>
    <w:p w14:paraId="41A7393A" w14:textId="77777777" w:rsidR="006C3C36" w:rsidRPr="006C3C36" w:rsidRDefault="006C3C36" w:rsidP="008B4A0C">
      <w:pPr>
        <w:spacing w:after="0" w:line="240" w:lineRule="auto"/>
        <w:ind w:left="540"/>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 xml:space="preserve">• </w:t>
      </w:r>
      <w:r w:rsidRPr="006C3C36">
        <w:rPr>
          <w:rFonts w:ascii="Arial" w:hAnsi="Arial" w:cs="Arial"/>
          <w:color w:val="000000" w:themeColor="text1"/>
          <w:kern w:val="0"/>
          <w:u w:val="single"/>
          <w14:ligatures w14:val="none"/>
        </w:rPr>
        <w:t>Empathetic Leadership Training</w:t>
      </w:r>
      <w:r w:rsidRPr="006C3C36">
        <w:rPr>
          <w:rFonts w:ascii="Arial" w:hAnsi="Arial" w:cs="Arial"/>
          <w:color w:val="000000" w:themeColor="text1"/>
          <w:kern w:val="0"/>
          <w14:ligatures w14:val="none"/>
        </w:rPr>
        <w:t>: Implement mandatory training programs for line managers focused on mental health and diversity management to close the implementation gap.</w:t>
      </w:r>
    </w:p>
    <w:p w14:paraId="474B46F4" w14:textId="77777777" w:rsidR="006C3C36" w:rsidRPr="006C3C36" w:rsidRDefault="006C3C36" w:rsidP="008B4A0C">
      <w:pPr>
        <w:spacing w:after="0" w:line="240" w:lineRule="auto"/>
        <w:ind w:left="540"/>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 xml:space="preserve">• </w:t>
      </w:r>
      <w:r w:rsidRPr="006C3C36">
        <w:rPr>
          <w:rFonts w:ascii="Arial" w:hAnsi="Arial" w:cs="Arial"/>
          <w:color w:val="000000" w:themeColor="text1"/>
          <w:kern w:val="0"/>
          <w:u w:val="single"/>
          <w14:ligatures w14:val="none"/>
        </w:rPr>
        <w:t>Digital Well-being Audits</w:t>
      </w:r>
      <w:r w:rsidRPr="006C3C36">
        <w:rPr>
          <w:rFonts w:ascii="Arial" w:hAnsi="Arial" w:cs="Arial"/>
          <w:color w:val="000000" w:themeColor="text1"/>
          <w:kern w:val="0"/>
          <w14:ligatures w14:val="none"/>
        </w:rPr>
        <w:t>: Periodically evaluate if technological tools are causing digital fatigue, ensuring a real "right to disconnect."</w:t>
      </w:r>
    </w:p>
    <w:p w14:paraId="2DEDD329" w14:textId="71CEE5BC" w:rsidR="00ED7C9E" w:rsidRPr="00C247DA" w:rsidRDefault="006C3C36" w:rsidP="008B4A0C">
      <w:pPr>
        <w:spacing w:after="0" w:line="240" w:lineRule="auto"/>
        <w:ind w:left="540"/>
        <w:jc w:val="both"/>
        <w:rPr>
          <w:rFonts w:ascii="Arial" w:hAnsi="Arial" w:cs="Arial"/>
          <w:color w:val="000000" w:themeColor="text1"/>
          <w:kern w:val="0"/>
          <w14:ligatures w14:val="none"/>
        </w:rPr>
      </w:pPr>
      <w:r w:rsidRPr="006C3C36">
        <w:rPr>
          <w:rFonts w:ascii="Arial" w:hAnsi="Arial" w:cs="Arial"/>
          <w:color w:val="000000" w:themeColor="text1"/>
          <w:kern w:val="0"/>
          <w14:ligatures w14:val="none"/>
        </w:rPr>
        <w:t xml:space="preserve">• </w:t>
      </w:r>
      <w:r w:rsidRPr="006C3C36">
        <w:rPr>
          <w:rFonts w:ascii="Arial" w:hAnsi="Arial" w:cs="Arial"/>
          <w:color w:val="000000" w:themeColor="text1"/>
          <w:kern w:val="0"/>
          <w:u w:val="single"/>
          <w14:ligatures w14:val="none"/>
        </w:rPr>
        <w:t>Transparent Inclusion Metrics:</w:t>
      </w:r>
      <w:r w:rsidRPr="006C3C36">
        <w:rPr>
          <w:rFonts w:ascii="Arial" w:hAnsi="Arial" w:cs="Arial"/>
          <w:color w:val="000000" w:themeColor="text1"/>
          <w:kern w:val="0"/>
          <w14:ligatures w14:val="none"/>
        </w:rPr>
        <w:t xml:space="preserve"> According to Armstrong and Taylor (2020), what is not measured is not managed; therefore, Gymshark should internally publish DEI progress reports to encourage accountability at all levels.</w:t>
      </w:r>
    </w:p>
    <w:p w14:paraId="6BFF4C8C" w14:textId="77777777" w:rsidR="000B166D" w:rsidRPr="00C247DA" w:rsidRDefault="000B166D" w:rsidP="008B4A0C">
      <w:pPr>
        <w:spacing w:after="0" w:line="240" w:lineRule="auto"/>
        <w:jc w:val="both"/>
        <w:rPr>
          <w:rFonts w:ascii="Arial" w:hAnsi="Arial" w:cs="Arial"/>
          <w:b/>
          <w:bCs/>
          <w:color w:val="000000" w:themeColor="text1"/>
          <w:kern w:val="0"/>
          <w14:ligatures w14:val="none"/>
        </w:rPr>
      </w:pPr>
    </w:p>
    <w:p w14:paraId="77C5C5C5" w14:textId="77777777" w:rsidR="000B166D" w:rsidRPr="00C247DA" w:rsidRDefault="000B166D" w:rsidP="008B4A0C">
      <w:pPr>
        <w:spacing w:after="0" w:line="240" w:lineRule="auto"/>
        <w:jc w:val="both"/>
        <w:rPr>
          <w:rFonts w:ascii="Arial" w:hAnsi="Arial" w:cs="Arial"/>
          <w:b/>
          <w:bCs/>
          <w:color w:val="000000" w:themeColor="text1"/>
          <w:kern w:val="0"/>
          <w14:ligatures w14:val="none"/>
        </w:rPr>
      </w:pPr>
    </w:p>
    <w:p w14:paraId="7153233B" w14:textId="77777777" w:rsidR="000B166D" w:rsidRPr="000B166D" w:rsidRDefault="000B166D" w:rsidP="008B4A0C">
      <w:pPr>
        <w:spacing w:line="240" w:lineRule="auto"/>
        <w:jc w:val="both"/>
        <w:rPr>
          <w:rFonts w:ascii="Arial" w:hAnsi="Arial" w:cs="Arial"/>
          <w:b/>
          <w:bCs/>
          <w:color w:val="000000" w:themeColor="text1"/>
          <w:kern w:val="0"/>
          <w14:ligatures w14:val="none"/>
        </w:rPr>
      </w:pPr>
      <w:r w:rsidRPr="000B166D">
        <w:rPr>
          <w:rFonts w:ascii="Arial" w:hAnsi="Arial" w:cs="Arial"/>
          <w:b/>
          <w:bCs/>
          <w:color w:val="000000" w:themeColor="text1"/>
          <w:kern w:val="0"/>
          <w14:ligatures w14:val="none"/>
        </w:rPr>
        <w:t>5.3. Future Organizational Sustainability and Cultural Cohesion</w:t>
      </w:r>
    </w:p>
    <w:p w14:paraId="1D7B8D5D" w14:textId="77777777" w:rsidR="000B166D" w:rsidRPr="000B166D" w:rsidRDefault="000B166D" w:rsidP="008B4A0C">
      <w:pPr>
        <w:spacing w:line="240" w:lineRule="auto"/>
        <w:jc w:val="both"/>
        <w:rPr>
          <w:rFonts w:ascii="Arial" w:hAnsi="Arial" w:cs="Arial"/>
          <w:color w:val="000000" w:themeColor="text1"/>
          <w:kern w:val="0"/>
          <w14:ligatures w14:val="none"/>
        </w:rPr>
      </w:pPr>
      <w:r w:rsidRPr="000B166D">
        <w:rPr>
          <w:rFonts w:ascii="Arial" w:hAnsi="Arial" w:cs="Arial"/>
          <w:color w:val="000000" w:themeColor="text1"/>
          <w:kern w:val="0"/>
          <w14:ligatures w14:val="none"/>
        </w:rPr>
        <w:t>To ensure long-term success, Gymshark must focus on maintaining its unique cultural identity as it continues to expand globally. The transition from a small "startup" to a large corporate entity often creates a risk of losing the original "community" feeling that defines the brand. This analysis suggests that digital tools alone are not enough to sustain employee engagement; they must be supported by authentic human connections and consistent leadership values. As the company grows, the distance between top management and entry-level staff may increase, which could lead to a decrease in motivation if not managed carefully. Therefore, Gymshark’s future sustainability depends on its ability to balance rapid technological innovation with a human-centered approach. By investing in continuous communication and protecting its core values, the organization can ensure that its workforce remains loyal, productive, and aligned with the company’s global mission in a changing retail market.</w:t>
      </w:r>
    </w:p>
    <w:p w14:paraId="00AFFB2D" w14:textId="4B850B1C" w:rsidR="001776C7" w:rsidRDefault="001776C7" w:rsidP="008B4A0C">
      <w:pPr>
        <w:spacing w:line="240" w:lineRule="auto"/>
        <w:jc w:val="both"/>
        <w:rPr>
          <w:rFonts w:ascii="Arial" w:hAnsi="Arial" w:cs="Arial"/>
          <w:color w:val="000000" w:themeColor="text1"/>
          <w:kern w:val="0"/>
          <w14:ligatures w14:val="none"/>
        </w:rPr>
      </w:pPr>
    </w:p>
    <w:p w14:paraId="24F0B41B" w14:textId="77777777" w:rsidR="00C247DA" w:rsidRDefault="00C247DA" w:rsidP="008B4A0C">
      <w:pPr>
        <w:spacing w:line="240" w:lineRule="auto"/>
        <w:jc w:val="both"/>
        <w:rPr>
          <w:rFonts w:ascii="Arial" w:hAnsi="Arial" w:cs="Arial"/>
          <w:color w:val="000000" w:themeColor="text1"/>
          <w:kern w:val="0"/>
          <w14:ligatures w14:val="none"/>
        </w:rPr>
      </w:pPr>
    </w:p>
    <w:p w14:paraId="6F992B7B" w14:textId="77777777" w:rsidR="00C247DA" w:rsidRPr="00C247DA" w:rsidRDefault="00C247DA" w:rsidP="008B4A0C">
      <w:pPr>
        <w:spacing w:line="240" w:lineRule="auto"/>
        <w:jc w:val="both"/>
        <w:rPr>
          <w:rFonts w:ascii="Arial" w:hAnsi="Arial" w:cs="Arial"/>
          <w:color w:val="000000" w:themeColor="text1"/>
          <w:kern w:val="0"/>
          <w14:ligatures w14:val="none"/>
        </w:rPr>
      </w:pPr>
    </w:p>
    <w:p w14:paraId="645187DF" w14:textId="53B47AF4" w:rsidR="00F248A3" w:rsidRPr="00C247DA" w:rsidRDefault="00D645E6" w:rsidP="008B4A0C">
      <w:pPr>
        <w:pStyle w:val="Prrafodelista"/>
        <w:numPr>
          <w:ilvl w:val="0"/>
          <w:numId w:val="6"/>
        </w:numPr>
        <w:spacing w:line="240" w:lineRule="auto"/>
        <w:ind w:firstLine="0"/>
        <w:jc w:val="both"/>
        <w:rPr>
          <w:rFonts w:ascii="Arial" w:hAnsi="Arial" w:cs="Arial"/>
          <w:b/>
          <w:bCs/>
          <w:color w:val="000000" w:themeColor="text1"/>
          <w:kern w:val="0"/>
          <w:sz w:val="28"/>
          <w:szCs w:val="28"/>
          <w14:ligatures w14:val="none"/>
        </w:rPr>
      </w:pPr>
      <w:r w:rsidRPr="00C247DA">
        <w:rPr>
          <w:rFonts w:ascii="Arial" w:hAnsi="Arial" w:cs="Arial"/>
          <w:b/>
          <w:bCs/>
          <w:color w:val="000000" w:themeColor="text1"/>
          <w:kern w:val="0"/>
          <w:sz w:val="28"/>
          <w:szCs w:val="28"/>
          <w14:ligatures w14:val="none"/>
        </w:rPr>
        <w:t>Reference list</w:t>
      </w:r>
    </w:p>
    <w:p w14:paraId="476A4A62" w14:textId="77777777" w:rsidR="00D645E6" w:rsidRPr="00C247DA" w:rsidRDefault="00D645E6" w:rsidP="008B4A0C">
      <w:pPr>
        <w:pStyle w:val="Prrafodelista"/>
        <w:spacing w:line="240" w:lineRule="auto"/>
        <w:jc w:val="both"/>
        <w:rPr>
          <w:rFonts w:ascii="Arial" w:hAnsi="Arial" w:cs="Arial"/>
          <w:color w:val="000000" w:themeColor="text1"/>
          <w:kern w:val="0"/>
          <w:sz w:val="28"/>
          <w:szCs w:val="28"/>
          <w:lang w:val="en-GB"/>
          <w14:ligatures w14:val="none"/>
        </w:rPr>
      </w:pPr>
    </w:p>
    <w:p w14:paraId="26D65360" w14:textId="77777777" w:rsidR="00F248A3" w:rsidRPr="00C247DA" w:rsidRDefault="00F248A3" w:rsidP="008B4A0C">
      <w:pPr>
        <w:spacing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Alfes, K., Shantz, A. D., Truss, C. y Soane, E. C. (2013). The link between perceived HRM practices, engagement and organizational citizenship behaviour: a moderated mediation model. The International Journal of Human Resource Management, 24(2), 330-351.</w:t>
      </w:r>
    </w:p>
    <w:p w14:paraId="074949CB"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Armstrong, M. y Taylor, S. (2020). Armstrong's Handbook of Human Resource Management Practice. 15th edn. Kogan Page.</w:t>
      </w:r>
    </w:p>
    <w:p w14:paraId="21A0A1E7"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Bondarouk, T. y Ruël, H. (2013). The strategic value of e-HRM: results from an exploratory study. International Journal of Human Resource Management, 24(2), 391-414.</w:t>
      </w:r>
    </w:p>
    <w:p w14:paraId="2A6FD464"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Brewster, C., Brookes, M. y Gollan, P. J. (2015). The institutional determinants of front</w:t>
      </w:r>
      <w:r w:rsidRPr="00C247DA">
        <w:rPr>
          <w:rFonts w:ascii="Cambria Math" w:hAnsi="Cambria Math" w:cs="Cambria Math"/>
          <w:color w:val="000000" w:themeColor="text1"/>
          <w:kern w:val="0"/>
          <w14:ligatures w14:val="none"/>
        </w:rPr>
        <w:t>‐</w:t>
      </w:r>
      <w:r w:rsidRPr="00C247DA">
        <w:rPr>
          <w:rFonts w:ascii="Arial" w:hAnsi="Arial" w:cs="Arial"/>
          <w:color w:val="000000" w:themeColor="text1"/>
          <w:kern w:val="0"/>
          <w14:ligatures w14:val="none"/>
        </w:rPr>
        <w:t>line manager’s HR role. Human Resource Management Journal, 25(1), 26-42.</w:t>
      </w:r>
    </w:p>
    <w:p w14:paraId="1F33C005"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CIPD (2023). Inclusion and diversity in the workplace. Factsheet. London: Chartered Institute of Personnel and Development.</w:t>
      </w:r>
    </w:p>
    <w:p w14:paraId="1F5A426E"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Deci, E. L. y Ryan, R. M. (2000). The "what" and "why" of goal pursuits: Human needs and the self-determination of behavior. Psychological Inquiry, 11(4), 227-268.</w:t>
      </w:r>
    </w:p>
    <w:p w14:paraId="64B33BCB"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Guest, D. E. (2017). Human resource management and employee well</w:t>
      </w:r>
      <w:r w:rsidRPr="00C247DA">
        <w:rPr>
          <w:rFonts w:ascii="Cambria Math" w:hAnsi="Cambria Math" w:cs="Cambria Math"/>
          <w:color w:val="000000" w:themeColor="text1"/>
          <w:kern w:val="0"/>
          <w14:ligatures w14:val="none"/>
        </w:rPr>
        <w:t>‐</w:t>
      </w:r>
      <w:r w:rsidRPr="00C247DA">
        <w:rPr>
          <w:rFonts w:ascii="Arial" w:hAnsi="Arial" w:cs="Arial"/>
          <w:color w:val="000000" w:themeColor="text1"/>
          <w:kern w:val="0"/>
          <w14:ligatures w14:val="none"/>
        </w:rPr>
        <w:t>being: Towards a new analytic framework. Human Resource Management Journal, 27(1), 22-38.</w:t>
      </w:r>
    </w:p>
    <w:p w14:paraId="4B09BFAD"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Marler, J. H. y Boudreau, J. W. (2017). An evidence-based review of HR Analytics. Human Resource Management Review, 27(1), 3-26.</w:t>
      </w:r>
    </w:p>
    <w:p w14:paraId="500B1D06"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Plaskoff, J. (2017). Employee experience: the new human resource management focus. Strategic HR Review, 16(3), 136-141.</w:t>
      </w:r>
    </w:p>
    <w:p w14:paraId="55654C77"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Purcell, J. y Hutchinson, S. (2007). Front</w:t>
      </w:r>
      <w:r w:rsidRPr="00C247DA">
        <w:rPr>
          <w:rFonts w:ascii="Cambria Math" w:hAnsi="Cambria Math" w:cs="Cambria Math"/>
          <w:color w:val="000000" w:themeColor="text1"/>
          <w:kern w:val="0"/>
          <w14:ligatures w14:val="none"/>
        </w:rPr>
        <w:t>‐</w:t>
      </w:r>
      <w:r w:rsidRPr="00C247DA">
        <w:rPr>
          <w:rFonts w:ascii="Arial" w:hAnsi="Arial" w:cs="Arial"/>
          <w:color w:val="000000" w:themeColor="text1"/>
          <w:kern w:val="0"/>
          <w14:ligatures w14:val="none"/>
        </w:rPr>
        <w:t>line managers as agents in the HRM</w:t>
      </w:r>
      <w:r w:rsidRPr="00C247DA">
        <w:rPr>
          <w:rFonts w:ascii="Cambria Math" w:hAnsi="Cambria Math" w:cs="Cambria Math"/>
          <w:color w:val="000000" w:themeColor="text1"/>
          <w:kern w:val="0"/>
          <w14:ligatures w14:val="none"/>
        </w:rPr>
        <w:t>‐</w:t>
      </w:r>
      <w:r w:rsidRPr="00C247DA">
        <w:rPr>
          <w:rFonts w:ascii="Arial" w:hAnsi="Arial" w:cs="Arial"/>
          <w:color w:val="000000" w:themeColor="text1"/>
          <w:kern w:val="0"/>
          <w14:ligatures w14:val="none"/>
        </w:rPr>
        <w:t>performance causal chain: theory, analysis and evidence. Human Resource Management Journal, 17(1), 3-20.</w:t>
      </w:r>
    </w:p>
    <w:p w14:paraId="2A33508A"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Sparrow, P., Scullion, H. y Tarique, I. (2016). Strategic Talent Management: Contemporary Issues in International Context. Cambridge University Press.</w:t>
      </w:r>
    </w:p>
    <w:p w14:paraId="0DA599C6" w14:textId="77777777" w:rsidR="00F248A3" w:rsidRPr="00C247DA" w:rsidRDefault="00F248A3" w:rsidP="008B4A0C">
      <w:pPr>
        <w:spacing w:before="135" w:after="0" w:line="240" w:lineRule="auto"/>
        <w:ind w:left="411"/>
        <w:jc w:val="both"/>
        <w:rPr>
          <w:rFonts w:ascii="Arial" w:hAnsi="Arial" w:cs="Arial"/>
          <w:color w:val="000000" w:themeColor="text1"/>
          <w:kern w:val="0"/>
          <w14:ligatures w14:val="none"/>
        </w:rPr>
      </w:pPr>
      <w:r w:rsidRPr="00C247DA">
        <w:rPr>
          <w:rFonts w:ascii="Arial" w:hAnsi="Arial" w:cs="Arial"/>
          <w:color w:val="000000" w:themeColor="text1"/>
          <w:kern w:val="0"/>
          <w14:ligatures w14:val="none"/>
        </w:rPr>
        <w:t>• Ulrich, D. (2013). Human Resource Champions: The Next Agenda for Adding Value and Delivering Results. Harvard Business Press.</w:t>
      </w:r>
    </w:p>
    <w:p w14:paraId="3856AD4E" w14:textId="77777777" w:rsidR="00F91336" w:rsidRPr="00C247DA" w:rsidRDefault="00F91336" w:rsidP="008B4A0C">
      <w:pPr>
        <w:spacing w:line="240" w:lineRule="auto"/>
        <w:jc w:val="both"/>
        <w:rPr>
          <w:rFonts w:ascii="Arial" w:hAnsi="Arial" w:cs="Arial"/>
          <w:color w:val="000000" w:themeColor="text1"/>
          <w:sz w:val="22"/>
          <w:szCs w:val="22"/>
        </w:rPr>
      </w:pPr>
    </w:p>
    <w:sectPr w:rsidR="00F91336" w:rsidRPr="00C247DA">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9E78E" w14:textId="77777777" w:rsidR="00EE0219" w:rsidRDefault="00EE0219" w:rsidP="008274EC">
      <w:pPr>
        <w:spacing w:after="0" w:line="240" w:lineRule="auto"/>
      </w:pPr>
      <w:r>
        <w:separator/>
      </w:r>
    </w:p>
  </w:endnote>
  <w:endnote w:type="continuationSeparator" w:id="0">
    <w:p w14:paraId="3A9FB614" w14:textId="77777777" w:rsidR="00EE0219" w:rsidRDefault="00EE0219" w:rsidP="00827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552962527"/>
      <w:docPartObj>
        <w:docPartGallery w:val="Page Numbers (Bottom of Page)"/>
        <w:docPartUnique/>
      </w:docPartObj>
    </w:sdtPr>
    <w:sdtEndPr>
      <w:rPr>
        <w:rStyle w:val="Nmerodepgina"/>
      </w:rPr>
    </w:sdtEndPr>
    <w:sdtContent>
      <w:p w14:paraId="2ACE8787" w14:textId="2C4BE64E" w:rsidR="00CC14C6" w:rsidRDefault="00CC14C6" w:rsidP="00023227">
        <w:pPr>
          <w:pStyle w:val="Piedepgina"/>
          <w:framePr w:wrap="none" w:vAnchor="text" w:hAnchor="margin" w:xAlign="center" w:y="1"/>
          <w:jc w:val="center"/>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3FA9CFD" w14:textId="77777777" w:rsidR="00A025EF" w:rsidRDefault="00A025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97411892"/>
      <w:docPartObj>
        <w:docPartGallery w:val="Page Numbers (Bottom of Page)"/>
        <w:docPartUnique/>
      </w:docPartObj>
    </w:sdtPr>
    <w:sdtEndPr>
      <w:rPr>
        <w:rStyle w:val="Nmerodepgina"/>
      </w:rPr>
    </w:sdtEndPr>
    <w:sdtContent>
      <w:p w14:paraId="72DB34EB" w14:textId="38D8563B" w:rsidR="00CC14C6" w:rsidRDefault="00CC14C6" w:rsidP="00023227">
        <w:pPr>
          <w:pStyle w:val="Piedepgina"/>
          <w:framePr w:wrap="none" w:vAnchor="text" w:hAnchor="margin" w:xAlign="center" w:y="1"/>
          <w:jc w:val="center"/>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E98393A" w14:textId="77777777" w:rsidR="00A025EF" w:rsidRDefault="00A025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5FA58" w14:textId="77777777" w:rsidR="00EE0219" w:rsidRDefault="00EE0219" w:rsidP="008274EC">
      <w:pPr>
        <w:spacing w:after="0" w:line="240" w:lineRule="auto"/>
      </w:pPr>
      <w:r>
        <w:separator/>
      </w:r>
    </w:p>
  </w:footnote>
  <w:footnote w:type="continuationSeparator" w:id="0">
    <w:p w14:paraId="2C2D47F1" w14:textId="77777777" w:rsidR="00EE0219" w:rsidRDefault="00EE0219" w:rsidP="00827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D29A4" w14:textId="3579400B" w:rsidR="008274EC" w:rsidRDefault="008274EC" w:rsidP="00AA757C">
    <w:pPr>
      <w:pStyle w:val="Encabezado"/>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61E2B"/>
    <w:multiLevelType w:val="hybridMultilevel"/>
    <w:tmpl w:val="0AA6C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6D509E"/>
    <w:multiLevelType w:val="hybridMultilevel"/>
    <w:tmpl w:val="1CD43E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9F720E0"/>
    <w:multiLevelType w:val="hybridMultilevel"/>
    <w:tmpl w:val="8C24C1B2"/>
    <w:lvl w:ilvl="0" w:tplc="FFFFFFFF">
      <w:start w:val="1"/>
      <w:numFmt w:val="decimal"/>
      <w:lvlText w:val="%1."/>
      <w:lvlJc w:val="left"/>
      <w:pPr>
        <w:ind w:left="510" w:hanging="360"/>
      </w:pPr>
      <w:rPr>
        <w:rFonts w:hint="default"/>
      </w:rPr>
    </w:lvl>
    <w:lvl w:ilvl="1" w:tplc="0C0A0019" w:tentative="1">
      <w:start w:val="1"/>
      <w:numFmt w:val="lowerLetter"/>
      <w:lvlText w:val="%2."/>
      <w:lvlJc w:val="left"/>
      <w:pPr>
        <w:ind w:left="1230" w:hanging="360"/>
      </w:pPr>
    </w:lvl>
    <w:lvl w:ilvl="2" w:tplc="0C0A001B" w:tentative="1">
      <w:start w:val="1"/>
      <w:numFmt w:val="lowerRoman"/>
      <w:lvlText w:val="%3."/>
      <w:lvlJc w:val="right"/>
      <w:pPr>
        <w:ind w:left="1950" w:hanging="180"/>
      </w:pPr>
    </w:lvl>
    <w:lvl w:ilvl="3" w:tplc="0C0A000F" w:tentative="1">
      <w:start w:val="1"/>
      <w:numFmt w:val="decimal"/>
      <w:lvlText w:val="%4."/>
      <w:lvlJc w:val="left"/>
      <w:pPr>
        <w:ind w:left="2670" w:hanging="360"/>
      </w:pPr>
    </w:lvl>
    <w:lvl w:ilvl="4" w:tplc="0C0A0019" w:tentative="1">
      <w:start w:val="1"/>
      <w:numFmt w:val="lowerLetter"/>
      <w:lvlText w:val="%5."/>
      <w:lvlJc w:val="left"/>
      <w:pPr>
        <w:ind w:left="3390" w:hanging="360"/>
      </w:pPr>
    </w:lvl>
    <w:lvl w:ilvl="5" w:tplc="0C0A001B" w:tentative="1">
      <w:start w:val="1"/>
      <w:numFmt w:val="lowerRoman"/>
      <w:lvlText w:val="%6."/>
      <w:lvlJc w:val="right"/>
      <w:pPr>
        <w:ind w:left="4110" w:hanging="180"/>
      </w:pPr>
    </w:lvl>
    <w:lvl w:ilvl="6" w:tplc="0C0A000F" w:tentative="1">
      <w:start w:val="1"/>
      <w:numFmt w:val="decimal"/>
      <w:lvlText w:val="%7."/>
      <w:lvlJc w:val="left"/>
      <w:pPr>
        <w:ind w:left="4830" w:hanging="360"/>
      </w:pPr>
    </w:lvl>
    <w:lvl w:ilvl="7" w:tplc="0C0A0019" w:tentative="1">
      <w:start w:val="1"/>
      <w:numFmt w:val="lowerLetter"/>
      <w:lvlText w:val="%8."/>
      <w:lvlJc w:val="left"/>
      <w:pPr>
        <w:ind w:left="5550" w:hanging="360"/>
      </w:pPr>
    </w:lvl>
    <w:lvl w:ilvl="8" w:tplc="0C0A001B" w:tentative="1">
      <w:start w:val="1"/>
      <w:numFmt w:val="lowerRoman"/>
      <w:lvlText w:val="%9."/>
      <w:lvlJc w:val="right"/>
      <w:pPr>
        <w:ind w:left="6270" w:hanging="180"/>
      </w:pPr>
    </w:lvl>
  </w:abstractNum>
  <w:abstractNum w:abstractNumId="3" w15:restartNumberingAfterBreak="0">
    <w:nsid w:val="2A815A2A"/>
    <w:multiLevelType w:val="multilevel"/>
    <w:tmpl w:val="0BCE62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160" w:hanging="1800"/>
      </w:pPr>
      <w:rPr>
        <w:rFonts w:hint="default"/>
        <w:b w:val="0"/>
        <w:sz w:val="24"/>
      </w:rPr>
    </w:lvl>
    <w:lvl w:ilvl="8">
      <w:start w:val="1"/>
      <w:numFmt w:val="decimal"/>
      <w:isLgl/>
      <w:lvlText w:val="%1.%2.%3.%4.%5.%6.%7.%8.%9"/>
      <w:lvlJc w:val="left"/>
      <w:pPr>
        <w:ind w:left="2520" w:hanging="2160"/>
      </w:pPr>
      <w:rPr>
        <w:rFonts w:hint="default"/>
        <w:b w:val="0"/>
        <w:sz w:val="24"/>
      </w:rPr>
    </w:lvl>
  </w:abstractNum>
  <w:abstractNum w:abstractNumId="4" w15:restartNumberingAfterBreak="0">
    <w:nsid w:val="2F7E28D9"/>
    <w:multiLevelType w:val="hybridMultilevel"/>
    <w:tmpl w:val="688089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2837C69"/>
    <w:multiLevelType w:val="multilevel"/>
    <w:tmpl w:val="FFFFFFFF"/>
    <w:lvl w:ilvl="0">
      <w:start w:val="1"/>
      <w:numFmt w:val="decimal"/>
      <w:lvlText w:val="%1"/>
      <w:lvlJc w:val="left"/>
      <w:pPr>
        <w:ind w:left="400" w:hanging="40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2020AD"/>
    <w:multiLevelType w:val="hybridMultilevel"/>
    <w:tmpl w:val="6C5ECB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A20695"/>
    <w:multiLevelType w:val="hybridMultilevel"/>
    <w:tmpl w:val="8794CF3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8084603"/>
    <w:multiLevelType w:val="hybridMultilevel"/>
    <w:tmpl w:val="F28C9020"/>
    <w:lvl w:ilvl="0" w:tplc="FFFFFFF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6C721B4D"/>
    <w:multiLevelType w:val="multilevel"/>
    <w:tmpl w:val="CB26F5F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71372B19"/>
    <w:multiLevelType w:val="hybridMultilevel"/>
    <w:tmpl w:val="3F8E9E2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38D30F1"/>
    <w:multiLevelType w:val="hybridMultilevel"/>
    <w:tmpl w:val="9DB6C692"/>
    <w:lvl w:ilvl="0" w:tplc="FFFFFFF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27092731">
    <w:abstractNumId w:val="4"/>
  </w:num>
  <w:num w:numId="2" w16cid:durableId="2047756334">
    <w:abstractNumId w:val="2"/>
  </w:num>
  <w:num w:numId="3" w16cid:durableId="852692609">
    <w:abstractNumId w:val="1"/>
  </w:num>
  <w:num w:numId="4" w16cid:durableId="899563188">
    <w:abstractNumId w:val="3"/>
  </w:num>
  <w:num w:numId="5" w16cid:durableId="422066102">
    <w:abstractNumId w:val="8"/>
  </w:num>
  <w:num w:numId="6" w16cid:durableId="1090662664">
    <w:abstractNumId w:val="11"/>
  </w:num>
  <w:num w:numId="7" w16cid:durableId="1602761111">
    <w:abstractNumId w:val="7"/>
  </w:num>
  <w:num w:numId="8" w16cid:durableId="520822181">
    <w:abstractNumId w:val="10"/>
  </w:num>
  <w:num w:numId="9" w16cid:durableId="512231171">
    <w:abstractNumId w:val="6"/>
  </w:num>
  <w:num w:numId="10" w16cid:durableId="422991317">
    <w:abstractNumId w:val="0"/>
  </w:num>
  <w:num w:numId="11" w16cid:durableId="506094544">
    <w:abstractNumId w:val="5"/>
  </w:num>
  <w:num w:numId="12" w16cid:durableId="3433647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336"/>
    <w:rsid w:val="00023E0A"/>
    <w:rsid w:val="00065781"/>
    <w:rsid w:val="00082D61"/>
    <w:rsid w:val="00084E6F"/>
    <w:rsid w:val="000947A7"/>
    <w:rsid w:val="000A5620"/>
    <w:rsid w:val="000B166D"/>
    <w:rsid w:val="000E4A0F"/>
    <w:rsid w:val="000E5ECD"/>
    <w:rsid w:val="00105EC7"/>
    <w:rsid w:val="00106326"/>
    <w:rsid w:val="001124B1"/>
    <w:rsid w:val="001331B2"/>
    <w:rsid w:val="001776C7"/>
    <w:rsid w:val="00177DC5"/>
    <w:rsid w:val="001A0D36"/>
    <w:rsid w:val="001D3E48"/>
    <w:rsid w:val="001F26DA"/>
    <w:rsid w:val="00280AAE"/>
    <w:rsid w:val="002812FE"/>
    <w:rsid w:val="00283537"/>
    <w:rsid w:val="002B2564"/>
    <w:rsid w:val="002D0C19"/>
    <w:rsid w:val="002D465C"/>
    <w:rsid w:val="0031686E"/>
    <w:rsid w:val="003356A2"/>
    <w:rsid w:val="003575BB"/>
    <w:rsid w:val="003650FB"/>
    <w:rsid w:val="00490AB0"/>
    <w:rsid w:val="004D4CE9"/>
    <w:rsid w:val="004E6910"/>
    <w:rsid w:val="00532C26"/>
    <w:rsid w:val="00544DE3"/>
    <w:rsid w:val="005962FC"/>
    <w:rsid w:val="005F2806"/>
    <w:rsid w:val="00642DF3"/>
    <w:rsid w:val="0066129A"/>
    <w:rsid w:val="00692AFF"/>
    <w:rsid w:val="006A310C"/>
    <w:rsid w:val="006C3C36"/>
    <w:rsid w:val="006E2F10"/>
    <w:rsid w:val="00742364"/>
    <w:rsid w:val="0077303A"/>
    <w:rsid w:val="00773715"/>
    <w:rsid w:val="007A2A18"/>
    <w:rsid w:val="007A34F3"/>
    <w:rsid w:val="007E3F87"/>
    <w:rsid w:val="007F3566"/>
    <w:rsid w:val="008116D0"/>
    <w:rsid w:val="0081466A"/>
    <w:rsid w:val="0082353D"/>
    <w:rsid w:val="008274EC"/>
    <w:rsid w:val="00837B97"/>
    <w:rsid w:val="008640E6"/>
    <w:rsid w:val="008670BB"/>
    <w:rsid w:val="008B4A0C"/>
    <w:rsid w:val="008D370B"/>
    <w:rsid w:val="009A5339"/>
    <w:rsid w:val="009B1E70"/>
    <w:rsid w:val="009E46B6"/>
    <w:rsid w:val="00A025EF"/>
    <w:rsid w:val="00A25221"/>
    <w:rsid w:val="00A74B61"/>
    <w:rsid w:val="00AA757C"/>
    <w:rsid w:val="00AB1887"/>
    <w:rsid w:val="00AC2DF7"/>
    <w:rsid w:val="00AD2876"/>
    <w:rsid w:val="00B03F85"/>
    <w:rsid w:val="00B4621F"/>
    <w:rsid w:val="00B80BDE"/>
    <w:rsid w:val="00B907C7"/>
    <w:rsid w:val="00B92279"/>
    <w:rsid w:val="00B97D2A"/>
    <w:rsid w:val="00BD11BD"/>
    <w:rsid w:val="00C247DA"/>
    <w:rsid w:val="00C31E4D"/>
    <w:rsid w:val="00C8635D"/>
    <w:rsid w:val="00C94165"/>
    <w:rsid w:val="00CA0970"/>
    <w:rsid w:val="00CC14C6"/>
    <w:rsid w:val="00CF7DD9"/>
    <w:rsid w:val="00D645E6"/>
    <w:rsid w:val="00D722E6"/>
    <w:rsid w:val="00D777D1"/>
    <w:rsid w:val="00DB104D"/>
    <w:rsid w:val="00DC3151"/>
    <w:rsid w:val="00DF69E1"/>
    <w:rsid w:val="00E63E34"/>
    <w:rsid w:val="00E91099"/>
    <w:rsid w:val="00ED52AD"/>
    <w:rsid w:val="00ED7C9E"/>
    <w:rsid w:val="00EE0219"/>
    <w:rsid w:val="00F02BC4"/>
    <w:rsid w:val="00F17620"/>
    <w:rsid w:val="00F248A3"/>
    <w:rsid w:val="00F42AC8"/>
    <w:rsid w:val="00F716B9"/>
    <w:rsid w:val="00F77E05"/>
    <w:rsid w:val="00F91336"/>
    <w:rsid w:val="00FB22DD"/>
    <w:rsid w:val="00FF7080"/>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1CF04B9C"/>
  <w15:chartTrackingRefBased/>
  <w15:docId w15:val="{C1DA9CAD-09C5-4240-8B16-DEA05113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GB"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3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13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13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13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13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13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3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3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3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3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13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13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13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13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13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3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3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336"/>
    <w:rPr>
      <w:rFonts w:eastAsiaTheme="majorEastAsia" w:cstheme="majorBidi"/>
      <w:color w:val="272727" w:themeColor="text1" w:themeTint="D8"/>
    </w:rPr>
  </w:style>
  <w:style w:type="paragraph" w:styleId="Ttulo">
    <w:name w:val="Title"/>
    <w:basedOn w:val="Normal"/>
    <w:next w:val="Normal"/>
    <w:link w:val="TtuloCar"/>
    <w:uiPriority w:val="10"/>
    <w:qFormat/>
    <w:rsid w:val="00F913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3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3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3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336"/>
    <w:pPr>
      <w:spacing w:before="160"/>
      <w:jc w:val="center"/>
    </w:pPr>
    <w:rPr>
      <w:i/>
      <w:iCs/>
      <w:color w:val="404040" w:themeColor="text1" w:themeTint="BF"/>
    </w:rPr>
  </w:style>
  <w:style w:type="character" w:customStyle="1" w:styleId="CitaCar">
    <w:name w:val="Cita Car"/>
    <w:basedOn w:val="Fuentedeprrafopredeter"/>
    <w:link w:val="Cita"/>
    <w:uiPriority w:val="29"/>
    <w:rsid w:val="00F91336"/>
    <w:rPr>
      <w:i/>
      <w:iCs/>
      <w:color w:val="404040" w:themeColor="text1" w:themeTint="BF"/>
    </w:rPr>
  </w:style>
  <w:style w:type="paragraph" w:styleId="Prrafodelista">
    <w:name w:val="List Paragraph"/>
    <w:basedOn w:val="Normal"/>
    <w:uiPriority w:val="34"/>
    <w:qFormat/>
    <w:rsid w:val="00F91336"/>
    <w:pPr>
      <w:ind w:left="720"/>
      <w:contextualSpacing/>
    </w:pPr>
  </w:style>
  <w:style w:type="character" w:styleId="nfasisintenso">
    <w:name w:val="Intense Emphasis"/>
    <w:basedOn w:val="Fuentedeprrafopredeter"/>
    <w:uiPriority w:val="21"/>
    <w:qFormat/>
    <w:rsid w:val="00F91336"/>
    <w:rPr>
      <w:i/>
      <w:iCs/>
      <w:color w:val="0F4761" w:themeColor="accent1" w:themeShade="BF"/>
    </w:rPr>
  </w:style>
  <w:style w:type="paragraph" w:styleId="Citadestacada">
    <w:name w:val="Intense Quote"/>
    <w:basedOn w:val="Normal"/>
    <w:next w:val="Normal"/>
    <w:link w:val="CitadestacadaCar"/>
    <w:uiPriority w:val="30"/>
    <w:qFormat/>
    <w:rsid w:val="00F913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1336"/>
    <w:rPr>
      <w:i/>
      <w:iCs/>
      <w:color w:val="0F4761" w:themeColor="accent1" w:themeShade="BF"/>
    </w:rPr>
  </w:style>
  <w:style w:type="character" w:styleId="Referenciaintensa">
    <w:name w:val="Intense Reference"/>
    <w:basedOn w:val="Fuentedeprrafopredeter"/>
    <w:uiPriority w:val="32"/>
    <w:qFormat/>
    <w:rsid w:val="00F91336"/>
    <w:rPr>
      <w:b/>
      <w:bCs/>
      <w:smallCaps/>
      <w:color w:val="0F4761" w:themeColor="accent1" w:themeShade="BF"/>
      <w:spacing w:val="5"/>
    </w:rPr>
  </w:style>
  <w:style w:type="paragraph" w:customStyle="1" w:styleId="p1">
    <w:name w:val="p1"/>
    <w:basedOn w:val="Normal"/>
    <w:rsid w:val="00F91336"/>
    <w:pPr>
      <w:spacing w:before="420" w:after="0" w:line="240" w:lineRule="auto"/>
    </w:pPr>
    <w:rPr>
      <w:rFonts w:ascii=".AppleSystemUIFont" w:hAnsi=".AppleSystemUIFont" w:cs="Times New Roman"/>
      <w:color w:val="FFFFFF"/>
      <w:kern w:val="0"/>
      <w:sz w:val="30"/>
      <w:szCs w:val="30"/>
      <w14:ligatures w14:val="none"/>
    </w:rPr>
  </w:style>
  <w:style w:type="paragraph" w:customStyle="1" w:styleId="p2">
    <w:name w:val="p2"/>
    <w:basedOn w:val="Normal"/>
    <w:rsid w:val="00F91336"/>
    <w:pPr>
      <w:spacing w:before="75" w:after="0" w:line="240" w:lineRule="auto"/>
    </w:pPr>
    <w:rPr>
      <w:rFonts w:ascii=".AppleSystemUIFont" w:hAnsi=".AppleSystemUIFont" w:cs="Times New Roman"/>
      <w:color w:val="FFFFFF"/>
      <w:kern w:val="0"/>
      <w14:ligatures w14:val="none"/>
    </w:rPr>
  </w:style>
  <w:style w:type="paragraph" w:customStyle="1" w:styleId="p3">
    <w:name w:val="p3"/>
    <w:basedOn w:val="Normal"/>
    <w:rsid w:val="00F91336"/>
    <w:pPr>
      <w:spacing w:after="0" w:line="240" w:lineRule="auto"/>
      <w:ind w:left="411" w:hanging="261"/>
    </w:pPr>
    <w:rPr>
      <w:rFonts w:ascii=".AppleSystemUIFont" w:hAnsi=".AppleSystemUIFont" w:cs="Times New Roman"/>
      <w:color w:val="FFFFFF"/>
      <w:kern w:val="0"/>
      <w14:ligatures w14:val="none"/>
    </w:rPr>
  </w:style>
  <w:style w:type="paragraph" w:customStyle="1" w:styleId="p4">
    <w:name w:val="p4"/>
    <w:basedOn w:val="Normal"/>
    <w:rsid w:val="00F91336"/>
    <w:pPr>
      <w:spacing w:before="135" w:after="0" w:line="240" w:lineRule="auto"/>
      <w:ind w:left="411" w:hanging="261"/>
    </w:pPr>
    <w:rPr>
      <w:rFonts w:ascii=".AppleSystemUIFont" w:hAnsi=".AppleSystemUIFont" w:cs="Times New Roman"/>
      <w:color w:val="FFFFFF"/>
      <w:kern w:val="0"/>
      <w14:ligatures w14:val="none"/>
    </w:rPr>
  </w:style>
  <w:style w:type="paragraph" w:customStyle="1" w:styleId="p5">
    <w:name w:val="p5"/>
    <w:basedOn w:val="Normal"/>
    <w:rsid w:val="00F91336"/>
    <w:pPr>
      <w:spacing w:before="255" w:after="0" w:line="240" w:lineRule="auto"/>
    </w:pPr>
    <w:rPr>
      <w:rFonts w:ascii=".AppleSystemUIFont" w:hAnsi=".AppleSystemUIFont" w:cs="Times New Roman"/>
      <w:color w:val="FFFFFF"/>
      <w:kern w:val="0"/>
      <w14:ligatures w14:val="none"/>
    </w:rPr>
  </w:style>
  <w:style w:type="character" w:customStyle="1" w:styleId="s1">
    <w:name w:val="s1"/>
    <w:basedOn w:val="Fuentedeprrafopredeter"/>
    <w:rsid w:val="00F91336"/>
    <w:rPr>
      <w:rFonts w:ascii=".SFUI-Semibold" w:hAnsi=".SFUI-Semibold" w:hint="default"/>
      <w:b/>
      <w:bCs/>
      <w:i w:val="0"/>
      <w:iCs w:val="0"/>
      <w:sz w:val="30"/>
      <w:szCs w:val="30"/>
    </w:rPr>
  </w:style>
  <w:style w:type="character" w:customStyle="1" w:styleId="s2">
    <w:name w:val="s2"/>
    <w:basedOn w:val="Fuentedeprrafopredeter"/>
    <w:rsid w:val="00F91336"/>
    <w:rPr>
      <w:rFonts w:ascii=".SFUI-Semibold" w:hAnsi=".SFUI-Semibold" w:hint="default"/>
      <w:b/>
      <w:bCs/>
      <w:i w:val="0"/>
      <w:iCs w:val="0"/>
      <w:sz w:val="24"/>
      <w:szCs w:val="24"/>
    </w:rPr>
  </w:style>
  <w:style w:type="character" w:customStyle="1" w:styleId="s3">
    <w:name w:val="s3"/>
    <w:basedOn w:val="Fuentedeprrafopredeter"/>
    <w:rsid w:val="00F91336"/>
    <w:rPr>
      <w:rFonts w:ascii=".SFUI-Regular" w:hAnsi=".SFUI-Regular" w:hint="default"/>
      <w:b w:val="0"/>
      <w:bCs w:val="0"/>
      <w:i w:val="0"/>
      <w:iCs w:val="0"/>
      <w:sz w:val="24"/>
      <w:szCs w:val="24"/>
    </w:rPr>
  </w:style>
  <w:style w:type="paragraph" w:customStyle="1" w:styleId="p6">
    <w:name w:val="p6"/>
    <w:basedOn w:val="Normal"/>
    <w:rsid w:val="00F248A3"/>
    <w:pPr>
      <w:spacing w:before="135" w:after="0" w:line="240" w:lineRule="auto"/>
      <w:ind w:left="506" w:hanging="356"/>
    </w:pPr>
    <w:rPr>
      <w:rFonts w:ascii=".AppleSystemUIFont" w:hAnsi=".AppleSystemUIFont" w:cs="Times New Roman"/>
      <w:color w:val="FFFFFF"/>
      <w:kern w:val="0"/>
      <w14:ligatures w14:val="none"/>
    </w:rPr>
  </w:style>
  <w:style w:type="paragraph" w:customStyle="1" w:styleId="p7">
    <w:name w:val="p7"/>
    <w:basedOn w:val="Normal"/>
    <w:rsid w:val="00F248A3"/>
    <w:pPr>
      <w:spacing w:before="135" w:after="0" w:line="240" w:lineRule="auto"/>
      <w:ind w:left="507" w:hanging="357"/>
    </w:pPr>
    <w:rPr>
      <w:rFonts w:ascii=".AppleSystemUIFont" w:hAnsi=".AppleSystemUIFont" w:cs="Times New Roman"/>
      <w:color w:val="FFFFFF"/>
      <w:kern w:val="0"/>
      <w14:ligatures w14:val="none"/>
    </w:rPr>
  </w:style>
  <w:style w:type="paragraph" w:customStyle="1" w:styleId="p8">
    <w:name w:val="p8"/>
    <w:basedOn w:val="Normal"/>
    <w:rsid w:val="00F248A3"/>
    <w:pPr>
      <w:spacing w:after="0" w:line="240" w:lineRule="auto"/>
      <w:ind w:left="411" w:hanging="261"/>
    </w:pPr>
    <w:rPr>
      <w:rFonts w:ascii=".AppleSystemUIFont" w:hAnsi=".AppleSystemUIFont" w:cs="Times New Roman"/>
      <w:color w:val="FFFFFF"/>
      <w:kern w:val="0"/>
      <w14:ligatures w14:val="none"/>
    </w:rPr>
  </w:style>
  <w:style w:type="paragraph" w:customStyle="1" w:styleId="p9">
    <w:name w:val="p9"/>
    <w:basedOn w:val="Normal"/>
    <w:rsid w:val="00F248A3"/>
    <w:pPr>
      <w:spacing w:before="135" w:after="0" w:line="240" w:lineRule="auto"/>
      <w:ind w:left="411" w:hanging="261"/>
    </w:pPr>
    <w:rPr>
      <w:rFonts w:ascii=".AppleSystemUIFont" w:hAnsi=".AppleSystemUIFont" w:cs="Times New Roman"/>
      <w:color w:val="FFFFFF"/>
      <w:kern w:val="0"/>
      <w14:ligatures w14:val="none"/>
    </w:rPr>
  </w:style>
  <w:style w:type="paragraph" w:styleId="TtuloTDC">
    <w:name w:val="TOC Heading"/>
    <w:basedOn w:val="Ttulo1"/>
    <w:next w:val="Normal"/>
    <w:uiPriority w:val="39"/>
    <w:unhideWhenUsed/>
    <w:qFormat/>
    <w:rsid w:val="007A34F3"/>
    <w:pPr>
      <w:spacing w:before="480" w:after="0" w:line="276" w:lineRule="auto"/>
      <w:outlineLvl w:val="9"/>
    </w:pPr>
    <w:rPr>
      <w:b/>
      <w:bCs/>
      <w:kern w:val="0"/>
      <w:sz w:val="28"/>
      <w:szCs w:val="28"/>
      <w:lang w:val="en-US" w:eastAsia="en-US"/>
      <w14:ligatures w14:val="none"/>
    </w:rPr>
  </w:style>
  <w:style w:type="paragraph" w:styleId="Encabezado">
    <w:name w:val="header"/>
    <w:basedOn w:val="Normal"/>
    <w:link w:val="EncabezadoCar"/>
    <w:uiPriority w:val="99"/>
    <w:unhideWhenUsed/>
    <w:rsid w:val="008274EC"/>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274EC"/>
  </w:style>
  <w:style w:type="paragraph" w:styleId="Piedepgina">
    <w:name w:val="footer"/>
    <w:basedOn w:val="Normal"/>
    <w:link w:val="PiedepginaCar"/>
    <w:uiPriority w:val="99"/>
    <w:unhideWhenUsed/>
    <w:rsid w:val="008274E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274EC"/>
  </w:style>
  <w:style w:type="character" w:customStyle="1" w:styleId="apple-tab-span">
    <w:name w:val="apple-tab-span"/>
    <w:basedOn w:val="Fuentedeprrafopredeter"/>
    <w:rsid w:val="006C3C36"/>
  </w:style>
  <w:style w:type="character" w:styleId="Nmerodepgina">
    <w:name w:val="page number"/>
    <w:basedOn w:val="Fuentedeprrafopredeter"/>
    <w:uiPriority w:val="99"/>
    <w:semiHidden/>
    <w:unhideWhenUsed/>
    <w:rsid w:val="00CC1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8</Pages>
  <Words>2284</Words>
  <Characters>12567</Characters>
  <Application>Microsoft Office Word</Application>
  <DocSecurity>0</DocSecurity>
  <Lines>104</Lines>
  <Paragraphs>29</Paragraphs>
  <ScaleCrop>false</ScaleCrop>
  <Company/>
  <LinksUpToDate>false</LinksUpToDate>
  <CharactersWithSpaces>14822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Batista Santana (2430780)</dc:creator>
  <cp:keywords/>
  <dc:description/>
  <cp:lastModifiedBy>Juana Batista Santana (2430780)</cp:lastModifiedBy>
  <cp:revision>67</cp:revision>
  <dcterms:created xsi:type="dcterms:W3CDTF">2026-04-09T08:05:00Z</dcterms:created>
  <dcterms:modified xsi:type="dcterms:W3CDTF">2026-04-09T09:26:00Z</dcterms:modified>
</cp:coreProperties>
</file>