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DE9" w:rsidRPr="00C90DE9" w:rsidRDefault="00C90DE9" w:rsidP="00C90DE9">
      <w:pPr>
        <w:spacing w:before="100" w:beforeAutospacing="1" w:after="100" w:afterAutospacing="1" w:line="240" w:lineRule="auto"/>
        <w:jc w:val="center"/>
        <w:rPr>
          <w:rFonts w:ascii="Arial" w:eastAsia="Times New Roman" w:hAnsi="Arial" w:cs="Arial"/>
          <w:b/>
          <w:sz w:val="20"/>
          <w:szCs w:val="20"/>
          <w:u w:val="single"/>
          <w:lang w:eastAsia="en-GB"/>
        </w:rPr>
      </w:pPr>
    </w:p>
    <w:p w:rsidR="00C90DE9" w:rsidRPr="00C90DE9" w:rsidRDefault="00C90DE9" w:rsidP="00C90DE9">
      <w:pPr>
        <w:spacing w:before="100" w:beforeAutospacing="1" w:after="100" w:afterAutospacing="1" w:line="240" w:lineRule="auto"/>
        <w:jc w:val="center"/>
        <w:rPr>
          <w:rFonts w:ascii="Arial" w:eastAsia="Times New Roman" w:hAnsi="Arial" w:cs="Arial"/>
          <w:b/>
          <w:sz w:val="20"/>
          <w:szCs w:val="20"/>
          <w:u w:val="single"/>
          <w:lang w:eastAsia="en-GB"/>
        </w:rPr>
      </w:pPr>
      <w:r w:rsidRPr="00C90DE9">
        <w:rPr>
          <w:rFonts w:ascii="Arial" w:eastAsia="Times New Roman" w:hAnsi="Arial" w:cs="Arial"/>
          <w:b/>
          <w:sz w:val="20"/>
          <w:szCs w:val="20"/>
          <w:u w:val="single"/>
          <w:lang w:eastAsia="en-GB"/>
        </w:rPr>
        <w:t>ACCOUNTING DEFINITIONS</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drawing>
          <wp:inline distT="0" distB="0" distL="0" distR="0">
            <wp:extent cx="914400" cy="666750"/>
            <wp:effectExtent l="19050" t="0" r="0" b="0"/>
            <wp:docPr id="48" name="Picture 1"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 xml:space="preserve"> </w:t>
      </w:r>
      <w:r w:rsidRPr="00B351BA">
        <w:rPr>
          <w:rFonts w:ascii="Arial" w:eastAsia="Times New Roman" w:hAnsi="Arial" w:cs="Arial"/>
          <w:color w:val="000080"/>
          <w:sz w:val="36"/>
          <w:szCs w:val="36"/>
          <w:lang w:eastAsia="en-GB"/>
        </w:rPr>
        <w:t>Accounting</w:t>
      </w:r>
      <w:bookmarkStart w:id="0" w:name="OverView"/>
      <w:bookmarkStart w:id="1" w:name="OVStart"/>
      <w:bookmarkEnd w:id="0"/>
      <w:bookmarkEnd w:id="1"/>
      <w:r w:rsidRPr="00B351BA">
        <w:rPr>
          <w:rFonts w:ascii="Times New Roman" w:eastAsia="Times New Roman" w:hAnsi="Times New Roman" w:cs="Times New Roman"/>
          <w:sz w:val="20"/>
          <w:szCs w:val="20"/>
          <w:lang w:eastAsia="en-GB"/>
        </w:rPr>
        <w:t xml:space="preserve"> </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 xml:space="preserve">Accounting is a discipline that seeks to provide information about a business organization. Such information is useful to those who are interested in making decisions that may affect the organization or one's relationship with it. </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 xml:space="preserve">Accounting activities can be broken down into two important types. </w:t>
      </w:r>
      <w:proofErr w:type="gramStart"/>
      <w:r w:rsidRPr="00B351BA">
        <w:rPr>
          <w:rFonts w:ascii="Arial" w:eastAsia="Times New Roman" w:hAnsi="Arial" w:cs="Arial"/>
          <w:sz w:val="20"/>
          <w:szCs w:val="20"/>
          <w:lang w:eastAsia="en-GB"/>
        </w:rPr>
        <w:t>First, financial accounting which concerns the whole area of the capture of financial data of a company's transactions.</w:t>
      </w:r>
      <w:proofErr w:type="gramEnd"/>
      <w:r w:rsidRPr="00B351BA">
        <w:rPr>
          <w:rFonts w:ascii="Arial" w:eastAsia="Times New Roman" w:hAnsi="Arial" w:cs="Arial"/>
          <w:sz w:val="20"/>
          <w:szCs w:val="20"/>
          <w:lang w:eastAsia="en-GB"/>
        </w:rPr>
        <w:t xml:space="preserve"> These are reported both within the company and to shareholders, regulators and others outside it. </w:t>
      </w:r>
      <w:proofErr w:type="gramStart"/>
      <w:r w:rsidRPr="00B351BA">
        <w:rPr>
          <w:rFonts w:ascii="Arial" w:eastAsia="Times New Roman" w:hAnsi="Arial" w:cs="Arial"/>
          <w:sz w:val="20"/>
          <w:szCs w:val="20"/>
          <w:lang w:eastAsia="en-GB"/>
        </w:rPr>
        <w:t>Secondly, managerial accounting, a management tool which includes costing and budgeting.</w:t>
      </w:r>
      <w:proofErr w:type="gramEnd"/>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bookmarkStart w:id="2" w:name="OVEnd"/>
      <w:bookmarkEnd w:id="2"/>
      <w:r w:rsidRPr="00B351BA">
        <w:rPr>
          <w:rFonts w:ascii="Arial" w:eastAsia="Times New Roman" w:hAnsi="Arial" w:cs="Arial"/>
          <w:sz w:val="20"/>
          <w:szCs w:val="20"/>
          <w:lang w:eastAsia="en-GB"/>
        </w:rPr>
        <w:t xml:space="preserve">Accounting as an activity is many centuries old, but the growth of industrial activity in the late nineteenth and early twentieth </w:t>
      </w:r>
      <w:proofErr w:type="spellStart"/>
      <w:r w:rsidRPr="00B351BA">
        <w:rPr>
          <w:rFonts w:ascii="Arial" w:eastAsia="Times New Roman" w:hAnsi="Arial" w:cs="Arial"/>
          <w:sz w:val="20"/>
          <w:szCs w:val="20"/>
          <w:lang w:eastAsia="en-GB"/>
        </w:rPr>
        <w:t>centuries</w:t>
      </w:r>
      <w:proofErr w:type="spellEnd"/>
      <w:r w:rsidRPr="00B351BA">
        <w:rPr>
          <w:rFonts w:ascii="Arial" w:eastAsia="Times New Roman" w:hAnsi="Arial" w:cs="Arial"/>
          <w:sz w:val="20"/>
          <w:szCs w:val="20"/>
          <w:lang w:eastAsia="en-GB"/>
        </w:rPr>
        <w:t xml:space="preserve"> gave it new prominence as a discipline. Both financial accounting and managerial accounting have now become important managerial decision-making tools. Virtually all large companies, as well as many 'middle market' companies, have accounting expertise available internally. Of greater significance, however, is the use of such expertise within the organization to assist in the management of the business. In many companies, the focus of accounting has moved from these activities needed to meet regulatory reporting requirements to those that are increasingly significant in the management of the company. The accounting process in many companies has evolved into a total information system, with the system supplying data that is not limited to information which is a product of the double-entry accounting system.</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In the 1990s there has been a growing awareness that financial reports have lost some of their usefulness for decision -making purposes, and that for many companies historical cost information now has little relevance. There is a growing recognition that quantified information in financial statements tells only part of the story. Accounting is being increasingly required to adapt to the new needs of business.</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Today there is considerable diversity in accounting practices around the world and the rapid change and growth of the world economy means that accounting in turn is undergoing considerable change. Advances in technology, cross-border trade and geo-political initiatives such as European integration are all having an impact. It is probable that in the near future there will be moves towards the widespread adoption of international accounting standards.</w:t>
      </w:r>
    </w:p>
    <w:p w:rsidR="00B351BA" w:rsidRPr="00B351BA" w:rsidRDefault="00B351BA" w:rsidP="00B351BA">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 name="Picture 3"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B351BA">
        <w:rPr>
          <w:rFonts w:ascii="Arial" w:eastAsia="Times New Roman" w:hAnsi="Arial" w:cs="Arial"/>
          <w:color w:val="000080"/>
          <w:sz w:val="36"/>
          <w:szCs w:val="36"/>
          <w:lang w:eastAsia="en-GB"/>
        </w:rPr>
        <w:t>Accounting, creative</w:t>
      </w:r>
      <w:r w:rsidRPr="00B351BA">
        <w:rPr>
          <w:rFonts w:ascii="Times New Roman" w:eastAsia="Times New Roman" w:hAnsi="Times New Roman" w:cs="Times New Roman"/>
          <w:sz w:val="20"/>
          <w:szCs w:val="20"/>
          <w:lang w:eastAsia="en-GB"/>
        </w:rPr>
        <w:t xml:space="preserve"> </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Creative accounting is not so much a new phenomenon, but rather a taking to new extremes of what has long been part of the accountant's art. The objectives are generally either to improve reported earnings or to enhance the company's debt/equity ratio. While unadjusted profits often fluctuate from year to year, the market looks for steadily rising earnings, which impact upon both the share price and the market. The debt/equity ratio provides an indication of risk, and is often used by lenders to restrict further borrowing.</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Profit enhancement can be achieved by spreading expenses over several years, by changing depreciation, by manipulation of foreign currency loans and by timing of revenues on long-term contracts. Complex capital instruments blur distinctions between debt and equity and provide many opportunities to improve ratios. This can also be done with off-balance-sheet financing.</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lastRenderedPageBreak/>
        <w:t>Mergers and acquisitions bring their own problems - and accounting opportunities. Merger accounting avoids the goodwill problem, but fair value adjustments in acquisition accounting provide ways of influencing future profits and the balance sheet. If all else fails, the company can write off all its bad news in one year, as well as provide against future losses to help cushion future profits.</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i/>
          <w:iCs/>
          <w:sz w:val="20"/>
          <w:szCs w:val="20"/>
          <w:lang w:eastAsia="en-GB"/>
        </w:rPr>
      </w:pPr>
      <w:r w:rsidRPr="00B351BA">
        <w:rPr>
          <w:rFonts w:ascii="Arial" w:eastAsia="Times New Roman" w:hAnsi="Arial" w:cs="Arial"/>
          <w:i/>
          <w:iCs/>
          <w:sz w:val="20"/>
          <w:szCs w:val="20"/>
          <w:lang w:eastAsia="en-GB"/>
        </w:rPr>
        <w:t>Peter Walton</w:t>
      </w:r>
    </w:p>
    <w:p w:rsidR="00B351BA" w:rsidRPr="00B351BA" w:rsidRDefault="00B351BA" w:rsidP="00B351BA">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 name="Picture 9"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B351BA">
        <w:rPr>
          <w:rFonts w:ascii="Arial" w:eastAsia="Times New Roman" w:hAnsi="Arial" w:cs="Arial"/>
          <w:sz w:val="36"/>
          <w:szCs w:val="36"/>
          <w:lang w:eastAsia="en-GB"/>
        </w:rPr>
        <w:t> </w:t>
      </w:r>
      <w:r w:rsidRPr="00B351BA">
        <w:rPr>
          <w:rFonts w:ascii="Arial" w:eastAsia="Times New Roman" w:hAnsi="Arial" w:cs="Arial"/>
          <w:color w:val="000080"/>
          <w:sz w:val="36"/>
          <w:szCs w:val="36"/>
          <w:lang w:eastAsia="en-GB"/>
        </w:rPr>
        <w:t>Accounting, international</w:t>
      </w:r>
      <w:r w:rsidRPr="00B351BA">
        <w:rPr>
          <w:rFonts w:ascii="Times New Roman" w:eastAsia="Times New Roman" w:hAnsi="Times New Roman" w:cs="Times New Roman"/>
          <w:sz w:val="20"/>
          <w:szCs w:val="20"/>
          <w:lang w:eastAsia="en-GB"/>
        </w:rPr>
        <w:t xml:space="preserve"> </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Managers cannot make good decisions without the availability of adequate and timely financial information. Although accounting and information systems specialists provide this information, all managers need to understand which data are needed and the problems specialists face in gathering those data from around the world. The accounting and finance functions are very closely related. Each relies on the other in fulfilling its own responsibilities. The financial manager of any company, whether domestic or international, is responsible for procuring and managing the company's financial resources. That manager relies on the accountant to provide the information necessary to manage financial resources.</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The actual and potential flow of assets across national boundaries complicates the finance and accounting functions. The multinational corporation (MNC) must learn to cope with differing inflation rates, exchange rate changes, currency controls, expropriation risks, customs duties, levels of sophistication and local requirements.</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0"/>
          <w:szCs w:val="20"/>
          <w:lang w:eastAsia="en-GB"/>
        </w:rPr>
      </w:pPr>
      <w:r w:rsidRPr="00B351BA">
        <w:rPr>
          <w:rFonts w:ascii="Arial" w:eastAsia="Times New Roman" w:hAnsi="Arial" w:cs="Arial"/>
          <w:sz w:val="20"/>
          <w:szCs w:val="20"/>
          <w:lang w:eastAsia="en-GB"/>
        </w:rPr>
        <w:t>A company's accounting or controllership function is responsible for collecting and analysing data for internal and external users. Foreign managers and subsidiaries are usually evaluated based on data provided by the controller's office. Reports must be generated for internal consideration, local governmental needs, creditors, employees, shareholders and prospective investors. The controller must be concerned about the impact of many different currencies and inflation rates on the statements as well as being familiar with different countries' accounting systems.</w:t>
      </w:r>
    </w:p>
    <w:p w:rsidR="00B351BA" w:rsidRPr="00B351BA" w:rsidRDefault="00B351BA" w:rsidP="00B351BA">
      <w:pPr>
        <w:spacing w:before="100" w:beforeAutospacing="1" w:after="100" w:afterAutospacing="1" w:line="240" w:lineRule="auto"/>
        <w:rPr>
          <w:rFonts w:ascii="Times New Roman" w:eastAsia="Times New Roman" w:hAnsi="Times New Roman" w:cs="Times New Roman"/>
          <w:sz w:val="24"/>
          <w:szCs w:val="24"/>
          <w:lang w:eastAsia="en-GB"/>
        </w:rPr>
      </w:pPr>
      <w:r w:rsidRPr="00B351BA">
        <w:rPr>
          <w:rFonts w:ascii="Arial" w:eastAsia="Times New Roman" w:hAnsi="Arial" w:cs="Arial"/>
          <w:i/>
          <w:iCs/>
          <w:sz w:val="20"/>
          <w:szCs w:val="20"/>
          <w:lang w:eastAsia="en-GB"/>
        </w:rPr>
        <w:t xml:space="preserve">Lee H. </w:t>
      </w:r>
      <w:proofErr w:type="spellStart"/>
      <w:r w:rsidRPr="00B351BA">
        <w:rPr>
          <w:rFonts w:ascii="Arial" w:eastAsia="Times New Roman" w:hAnsi="Arial" w:cs="Arial"/>
          <w:i/>
          <w:iCs/>
          <w:sz w:val="20"/>
          <w:szCs w:val="20"/>
          <w:lang w:eastAsia="en-GB"/>
        </w:rPr>
        <w:t>Radebaugh</w:t>
      </w:r>
      <w:proofErr w:type="spellEnd"/>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5" name="Picture 15"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Australia</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The first professional accounting bodies were established in Australia in the late 1880s. The geographical spread of the Australian colonies led to the establishment of a number of bodies purportedly serving different groups of accountants. Subsequently there were a number of attempts to unify the profession, but these did not meet with success. Despite the continued existence of two major bodies, the accounting profession in Australia is very active and it enjoys a strong international reputation. It is unique in the very close relationship that exists between the professional bodies and the universities. Although it has not always been the case, following a series of major corporate collapses, the profession now enjoys a close relationship with government agencies. Australian accounting standards are recognized as part of the </w:t>
      </w:r>
      <w:proofErr w:type="gramStart"/>
      <w:r w:rsidRPr="006B3CD9">
        <w:rPr>
          <w:rFonts w:ascii="Arial" w:eastAsia="Times New Roman" w:hAnsi="Arial" w:cs="Arial"/>
          <w:sz w:val="20"/>
          <w:szCs w:val="20"/>
          <w:lang w:eastAsia="en-GB"/>
        </w:rPr>
        <w:t>corporations</w:t>
      </w:r>
      <w:proofErr w:type="gramEnd"/>
      <w:r w:rsidRPr="006B3CD9">
        <w:rPr>
          <w:rFonts w:ascii="Arial" w:eastAsia="Times New Roman" w:hAnsi="Arial" w:cs="Arial"/>
          <w:sz w:val="20"/>
          <w:szCs w:val="20"/>
          <w:lang w:eastAsia="en-GB"/>
        </w:rPr>
        <w:t xml:space="preserve"> law.</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4"/>
          <w:szCs w:val="24"/>
          <w:lang w:eastAsia="en-GB"/>
        </w:rPr>
      </w:pPr>
      <w:r w:rsidRPr="006B3CD9">
        <w:rPr>
          <w:rFonts w:ascii="Arial" w:eastAsia="Times New Roman" w:hAnsi="Arial" w:cs="Arial"/>
          <w:i/>
          <w:iCs/>
          <w:sz w:val="20"/>
          <w:szCs w:val="20"/>
          <w:lang w:eastAsia="en-GB"/>
        </w:rPr>
        <w:t>Murray Wells</w:t>
      </w:r>
    </w:p>
    <w:p w:rsidR="004117F5" w:rsidRDefault="00F350E3" w:rsidP="006B3CD9">
      <w:pPr>
        <w:rPr>
          <w:rFonts w:ascii="Times New Roman" w:eastAsia="Times New Roman" w:hAnsi="Times New Roman" w:cs="Times New Roman"/>
          <w:sz w:val="20"/>
          <w:szCs w:val="20"/>
          <w:lang w:eastAsia="en-GB"/>
        </w:rPr>
      </w:pP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lastRenderedPageBreak/>
        <w:drawing>
          <wp:inline distT="0" distB="0" distL="0" distR="0">
            <wp:extent cx="914400" cy="666750"/>
            <wp:effectExtent l="19050" t="0" r="0" b="0"/>
            <wp:docPr id="21" name="Picture 21"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Central and Eastern Europe</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The countries of central and </w:t>
      </w:r>
      <w:proofErr w:type="gramStart"/>
      <w:r w:rsidRPr="006B3CD9">
        <w:rPr>
          <w:rFonts w:ascii="Arial" w:eastAsia="Times New Roman" w:hAnsi="Arial" w:cs="Arial"/>
          <w:sz w:val="20"/>
          <w:szCs w:val="20"/>
          <w:lang w:eastAsia="en-GB"/>
        </w:rPr>
        <w:t>eastern</w:t>
      </w:r>
      <w:proofErr w:type="gramEnd"/>
      <w:r w:rsidRPr="006B3CD9">
        <w:rPr>
          <w:rFonts w:ascii="Arial" w:eastAsia="Times New Roman" w:hAnsi="Arial" w:cs="Arial"/>
          <w:sz w:val="20"/>
          <w:szCs w:val="20"/>
          <w:lang w:eastAsia="en-GB"/>
        </w:rPr>
        <w:t xml:space="preserve"> Europe - Albania, Bulgaria, Hungary, Poland, Romania and the states formerly incorporated into Czechoslovakia, the USSR and Yugoslavia - are in the course of a socio-economic transformation. As a consequence of repudiating the former socialist regimes in the period 1989- 91, an attempt is being made to transform command economies into market economies and to integrate with </w:t>
      </w:r>
      <w:proofErr w:type="gramStart"/>
      <w:r w:rsidRPr="006B3CD9">
        <w:rPr>
          <w:rFonts w:ascii="Arial" w:eastAsia="Times New Roman" w:hAnsi="Arial" w:cs="Arial"/>
          <w:sz w:val="20"/>
          <w:szCs w:val="20"/>
          <w:lang w:eastAsia="en-GB"/>
        </w:rPr>
        <w:t>western</w:t>
      </w:r>
      <w:proofErr w:type="gramEnd"/>
      <w:r w:rsidRPr="006B3CD9">
        <w:rPr>
          <w:rFonts w:ascii="Arial" w:eastAsia="Times New Roman" w:hAnsi="Arial" w:cs="Arial"/>
          <w:sz w:val="20"/>
          <w:szCs w:val="20"/>
          <w:lang w:eastAsia="en-GB"/>
        </w:rPr>
        <w:t xml:space="preserve"> Europe. The prospect of economic transformation has made the consideration and implementation of accounting reform inevitable.</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In the command economy, accounting was subordinated to the need for centralized direction of economic activities. Its integration into the centralized economic administration was achieved through the implementation of a comprehensive and obligatory standardized accounting system. The purpose of accounting became the </w:t>
      </w:r>
      <w:proofErr w:type="spellStart"/>
      <w:r w:rsidRPr="006B3CD9">
        <w:rPr>
          <w:rFonts w:ascii="Arial" w:eastAsia="Times New Roman" w:hAnsi="Arial" w:cs="Arial"/>
          <w:sz w:val="20"/>
          <w:szCs w:val="20"/>
          <w:lang w:eastAsia="en-GB"/>
        </w:rPr>
        <w:t>routinized</w:t>
      </w:r>
      <w:proofErr w:type="spellEnd"/>
      <w:r w:rsidRPr="006B3CD9">
        <w:rPr>
          <w:rFonts w:ascii="Arial" w:eastAsia="Times New Roman" w:hAnsi="Arial" w:cs="Arial"/>
          <w:sz w:val="20"/>
          <w:szCs w:val="20"/>
          <w:lang w:eastAsia="en-GB"/>
        </w:rPr>
        <w:t xml:space="preserve"> accumulation of data for the compilation of periodical accounting reports, or returns, for the central authorities. There was no public disclosure of accounting information.</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In the 1990s, the formerly communist-ruled countries of central and </w:t>
      </w:r>
      <w:proofErr w:type="gramStart"/>
      <w:r w:rsidRPr="006B3CD9">
        <w:rPr>
          <w:rFonts w:ascii="Arial" w:eastAsia="Times New Roman" w:hAnsi="Arial" w:cs="Arial"/>
          <w:sz w:val="20"/>
          <w:szCs w:val="20"/>
          <w:lang w:eastAsia="en-GB"/>
        </w:rPr>
        <w:t>eastern</w:t>
      </w:r>
      <w:proofErr w:type="gramEnd"/>
      <w:r w:rsidRPr="006B3CD9">
        <w:rPr>
          <w:rFonts w:ascii="Arial" w:eastAsia="Times New Roman" w:hAnsi="Arial" w:cs="Arial"/>
          <w:sz w:val="20"/>
          <w:szCs w:val="20"/>
          <w:lang w:eastAsia="en-GB"/>
        </w:rPr>
        <w:t xml:space="preserve"> Europe began to adopt the accounting practices of the advanced industrial economies through the introduction of new accounting legislation, reform of accounting education and training programmes, and the creation of new accounting institutions. However, the requirements of the central authorities for accounting data tend still to predominate over those of participants (such as creditors and investors) in market activities. Both the nature and rate of accounting reform varies significantly among these countries.</w:t>
      </w:r>
    </w:p>
    <w:p w:rsidR="006B3CD9" w:rsidRPr="006B3CD9" w:rsidRDefault="006B3CD9" w:rsidP="006B3CD9">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6B3CD9">
        <w:rPr>
          <w:rFonts w:ascii="Arial" w:eastAsia="Times New Roman" w:hAnsi="Arial" w:cs="Arial"/>
          <w:i/>
          <w:iCs/>
          <w:sz w:val="20"/>
          <w:szCs w:val="20"/>
          <w:lang w:eastAsia="en-GB"/>
        </w:rPr>
        <w:t>Derek Bailey</w:t>
      </w: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6" name="Picture 26"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France</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Accounting in France has a number of original features by comparison with accounting in </w:t>
      </w:r>
      <w:proofErr w:type="spellStart"/>
      <w:r w:rsidRPr="006B3CD9">
        <w:rPr>
          <w:rFonts w:ascii="Arial" w:eastAsia="Times New Roman" w:hAnsi="Arial" w:cs="Arial"/>
          <w:sz w:val="20"/>
          <w:szCs w:val="20"/>
          <w:lang w:eastAsia="en-GB"/>
        </w:rPr>
        <w:t>anglophone</w:t>
      </w:r>
      <w:proofErr w:type="spellEnd"/>
      <w:r w:rsidRPr="006B3CD9">
        <w:rPr>
          <w:rFonts w:ascii="Arial" w:eastAsia="Times New Roman" w:hAnsi="Arial" w:cs="Arial"/>
          <w:sz w:val="20"/>
          <w:szCs w:val="20"/>
          <w:lang w:eastAsia="en-GB"/>
        </w:rPr>
        <w:t xml:space="preserve"> countries, despite the advance of European and international standardization. Since 1946, standard-setting has been the prerogative not only of professional accountants but also of all those who have an interest in accounts, including businesses, government agencies, trade unions, and banks, and is carried on by the </w:t>
      </w:r>
      <w:proofErr w:type="spellStart"/>
      <w:r w:rsidRPr="006B3CD9">
        <w:rPr>
          <w:rFonts w:ascii="Arial" w:eastAsia="Times New Roman" w:hAnsi="Arial" w:cs="Arial"/>
          <w:sz w:val="20"/>
          <w:szCs w:val="20"/>
          <w:lang w:eastAsia="en-GB"/>
        </w:rPr>
        <w:t>Conseil</w:t>
      </w:r>
      <w:proofErr w:type="spellEnd"/>
      <w:r w:rsidRPr="006B3CD9">
        <w:rPr>
          <w:rFonts w:ascii="Arial" w:eastAsia="Times New Roman" w:hAnsi="Arial" w:cs="Arial"/>
          <w:sz w:val="20"/>
          <w:szCs w:val="20"/>
          <w:lang w:eastAsia="en-GB"/>
        </w:rPr>
        <w:t xml:space="preserve"> National de la </w:t>
      </w:r>
      <w:proofErr w:type="spellStart"/>
      <w:r w:rsidRPr="006B3CD9">
        <w:rPr>
          <w:rFonts w:ascii="Arial" w:eastAsia="Times New Roman" w:hAnsi="Arial" w:cs="Arial"/>
          <w:sz w:val="20"/>
          <w:szCs w:val="20"/>
          <w:lang w:eastAsia="en-GB"/>
        </w:rPr>
        <w:t>Comptabilité</w:t>
      </w:r>
      <w:proofErr w:type="spellEnd"/>
      <w:r w:rsidRPr="006B3CD9">
        <w:rPr>
          <w:rFonts w:ascii="Arial" w:eastAsia="Times New Roman" w:hAnsi="Arial" w:cs="Arial"/>
          <w:sz w:val="20"/>
          <w:szCs w:val="20"/>
          <w:lang w:eastAsia="en-GB"/>
        </w:rPr>
        <w:t xml:space="preserve">. Accounting standards are brought together in an accounting chart, the plan </w:t>
      </w:r>
      <w:proofErr w:type="spellStart"/>
      <w:r w:rsidRPr="006B3CD9">
        <w:rPr>
          <w:rFonts w:ascii="Arial" w:eastAsia="Times New Roman" w:hAnsi="Arial" w:cs="Arial"/>
          <w:sz w:val="20"/>
          <w:szCs w:val="20"/>
          <w:lang w:eastAsia="en-GB"/>
        </w:rPr>
        <w:t>comptable</w:t>
      </w:r>
      <w:proofErr w:type="spellEnd"/>
      <w:r w:rsidRPr="006B3CD9">
        <w:rPr>
          <w:rFonts w:ascii="Arial" w:eastAsia="Times New Roman" w:hAnsi="Arial" w:cs="Arial"/>
          <w:sz w:val="20"/>
          <w:szCs w:val="20"/>
          <w:lang w:eastAsia="en-GB"/>
        </w:rPr>
        <w:t xml:space="preserve"> </w:t>
      </w:r>
      <w:proofErr w:type="spellStart"/>
      <w:r w:rsidRPr="006B3CD9">
        <w:rPr>
          <w:rFonts w:ascii="Arial" w:eastAsia="Times New Roman" w:hAnsi="Arial" w:cs="Arial"/>
          <w:sz w:val="20"/>
          <w:szCs w:val="20"/>
          <w:lang w:eastAsia="en-GB"/>
        </w:rPr>
        <w:t>général</w:t>
      </w:r>
      <w:proofErr w:type="spellEnd"/>
      <w:r w:rsidRPr="006B3CD9">
        <w:rPr>
          <w:rFonts w:ascii="Arial" w:eastAsia="Times New Roman" w:hAnsi="Arial" w:cs="Arial"/>
          <w:sz w:val="20"/>
          <w:szCs w:val="20"/>
          <w:lang w:eastAsia="en-GB"/>
        </w:rPr>
        <w:t xml:space="preserve">, which is used by all businesses and other bodies. Furthermore, public accountants and auditors must belong to one or other of two government sponsored bodies: the </w:t>
      </w:r>
      <w:proofErr w:type="spellStart"/>
      <w:r w:rsidRPr="006B3CD9">
        <w:rPr>
          <w:rFonts w:ascii="Arial" w:eastAsia="Times New Roman" w:hAnsi="Arial" w:cs="Arial"/>
          <w:sz w:val="20"/>
          <w:szCs w:val="20"/>
          <w:lang w:eastAsia="en-GB"/>
        </w:rPr>
        <w:t>Ordre</w:t>
      </w:r>
      <w:proofErr w:type="spellEnd"/>
      <w:r w:rsidRPr="006B3CD9">
        <w:rPr>
          <w:rFonts w:ascii="Arial" w:eastAsia="Times New Roman" w:hAnsi="Arial" w:cs="Arial"/>
          <w:sz w:val="20"/>
          <w:szCs w:val="20"/>
          <w:lang w:eastAsia="en-GB"/>
        </w:rPr>
        <w:t xml:space="preserve"> des Experts </w:t>
      </w:r>
      <w:proofErr w:type="spellStart"/>
      <w:r w:rsidRPr="006B3CD9">
        <w:rPr>
          <w:rFonts w:ascii="Arial" w:eastAsia="Times New Roman" w:hAnsi="Arial" w:cs="Arial"/>
          <w:sz w:val="20"/>
          <w:szCs w:val="20"/>
          <w:lang w:eastAsia="en-GB"/>
        </w:rPr>
        <w:t>Comptables</w:t>
      </w:r>
      <w:proofErr w:type="spellEnd"/>
      <w:r w:rsidRPr="006B3CD9">
        <w:rPr>
          <w:rFonts w:ascii="Arial" w:eastAsia="Times New Roman" w:hAnsi="Arial" w:cs="Arial"/>
          <w:sz w:val="20"/>
          <w:szCs w:val="20"/>
          <w:lang w:eastAsia="en-GB"/>
        </w:rPr>
        <w:t xml:space="preserve"> (for accountants) and the </w:t>
      </w:r>
      <w:proofErr w:type="spellStart"/>
      <w:r w:rsidRPr="006B3CD9">
        <w:rPr>
          <w:rFonts w:ascii="Arial" w:eastAsia="Times New Roman" w:hAnsi="Arial" w:cs="Arial"/>
          <w:sz w:val="20"/>
          <w:szCs w:val="20"/>
          <w:lang w:eastAsia="en-GB"/>
        </w:rPr>
        <w:t>Compagnie</w:t>
      </w:r>
      <w:proofErr w:type="spellEnd"/>
      <w:r w:rsidRPr="006B3CD9">
        <w:rPr>
          <w:rFonts w:ascii="Arial" w:eastAsia="Times New Roman" w:hAnsi="Arial" w:cs="Arial"/>
          <w:sz w:val="20"/>
          <w:szCs w:val="20"/>
          <w:lang w:eastAsia="en-GB"/>
        </w:rPr>
        <w:t xml:space="preserve"> des </w:t>
      </w:r>
      <w:proofErr w:type="spellStart"/>
      <w:r w:rsidRPr="006B3CD9">
        <w:rPr>
          <w:rFonts w:ascii="Arial" w:eastAsia="Times New Roman" w:hAnsi="Arial" w:cs="Arial"/>
          <w:sz w:val="20"/>
          <w:szCs w:val="20"/>
          <w:lang w:eastAsia="en-GB"/>
        </w:rPr>
        <w:t>Commissaires</w:t>
      </w:r>
      <w:proofErr w:type="spellEnd"/>
      <w:r w:rsidRPr="006B3CD9">
        <w:rPr>
          <w:rFonts w:ascii="Arial" w:eastAsia="Times New Roman" w:hAnsi="Arial" w:cs="Arial"/>
          <w:sz w:val="20"/>
          <w:szCs w:val="20"/>
          <w:lang w:eastAsia="en-GB"/>
        </w:rPr>
        <w:t xml:space="preserve"> aux </w:t>
      </w:r>
      <w:proofErr w:type="spellStart"/>
      <w:r w:rsidRPr="006B3CD9">
        <w:rPr>
          <w:rFonts w:ascii="Arial" w:eastAsia="Times New Roman" w:hAnsi="Arial" w:cs="Arial"/>
          <w:sz w:val="20"/>
          <w:szCs w:val="20"/>
          <w:lang w:eastAsia="en-GB"/>
        </w:rPr>
        <w:t>Comptes</w:t>
      </w:r>
      <w:proofErr w:type="spellEnd"/>
      <w:r w:rsidRPr="006B3CD9">
        <w:rPr>
          <w:rFonts w:ascii="Arial" w:eastAsia="Times New Roman" w:hAnsi="Arial" w:cs="Arial"/>
          <w:sz w:val="20"/>
          <w:szCs w:val="20"/>
          <w:lang w:eastAsia="en-GB"/>
        </w:rPr>
        <w:t xml:space="preserve"> (for auditors).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Financial reporting by listed companies is supervised by the Commission des </w:t>
      </w:r>
      <w:proofErr w:type="spellStart"/>
      <w:r w:rsidRPr="006B3CD9">
        <w:rPr>
          <w:rFonts w:ascii="Arial" w:eastAsia="Times New Roman" w:hAnsi="Arial" w:cs="Arial"/>
          <w:sz w:val="20"/>
          <w:szCs w:val="20"/>
          <w:lang w:eastAsia="en-GB"/>
        </w:rPr>
        <w:t>Opérations</w:t>
      </w:r>
      <w:proofErr w:type="spellEnd"/>
      <w:r w:rsidRPr="006B3CD9">
        <w:rPr>
          <w:rFonts w:ascii="Arial" w:eastAsia="Times New Roman" w:hAnsi="Arial" w:cs="Arial"/>
          <w:sz w:val="20"/>
          <w:szCs w:val="20"/>
          <w:lang w:eastAsia="en-GB"/>
        </w:rPr>
        <w:t xml:space="preserve"> de Bourse (COB). The COB is very influential in accounting regulation and has extensive powers. Listed companies must submit their choice of auditor to the commission for approval, and it has access to files of peer reviews carried out on audit firms. Accounting in the public sector is different from that in the private sector in all respects, including principles, methods and people. National accounting, the concern of the </w:t>
      </w:r>
      <w:proofErr w:type="spellStart"/>
      <w:r w:rsidRPr="006B3CD9">
        <w:rPr>
          <w:rFonts w:ascii="Arial" w:eastAsia="Times New Roman" w:hAnsi="Arial" w:cs="Arial"/>
          <w:sz w:val="20"/>
          <w:szCs w:val="20"/>
          <w:lang w:eastAsia="en-GB"/>
        </w:rPr>
        <w:t>Institut</w:t>
      </w:r>
      <w:proofErr w:type="spellEnd"/>
      <w:r w:rsidRPr="006B3CD9">
        <w:rPr>
          <w:rFonts w:ascii="Arial" w:eastAsia="Times New Roman" w:hAnsi="Arial" w:cs="Arial"/>
          <w:sz w:val="20"/>
          <w:szCs w:val="20"/>
          <w:lang w:eastAsia="en-GB"/>
        </w:rPr>
        <w:t xml:space="preserve"> National de la </w:t>
      </w:r>
      <w:proofErr w:type="spellStart"/>
      <w:r w:rsidRPr="006B3CD9">
        <w:rPr>
          <w:rFonts w:ascii="Arial" w:eastAsia="Times New Roman" w:hAnsi="Arial" w:cs="Arial"/>
          <w:sz w:val="20"/>
          <w:szCs w:val="20"/>
          <w:lang w:eastAsia="en-GB"/>
        </w:rPr>
        <w:t>Statistique</w:t>
      </w:r>
      <w:proofErr w:type="spellEnd"/>
      <w:r w:rsidRPr="006B3CD9">
        <w:rPr>
          <w:rFonts w:ascii="Arial" w:eastAsia="Times New Roman" w:hAnsi="Arial" w:cs="Arial"/>
          <w:sz w:val="20"/>
          <w:szCs w:val="20"/>
          <w:lang w:eastAsia="en-GB"/>
        </w:rPr>
        <w:t xml:space="preserve"> </w:t>
      </w:r>
      <w:proofErr w:type="gramStart"/>
      <w:r w:rsidRPr="006B3CD9">
        <w:rPr>
          <w:rFonts w:ascii="Arial" w:eastAsia="Times New Roman" w:hAnsi="Arial" w:cs="Arial"/>
          <w:sz w:val="20"/>
          <w:szCs w:val="20"/>
          <w:lang w:eastAsia="en-GB"/>
        </w:rPr>
        <w:t>et</w:t>
      </w:r>
      <w:proofErr w:type="gramEnd"/>
      <w:r w:rsidRPr="006B3CD9">
        <w:rPr>
          <w:rFonts w:ascii="Arial" w:eastAsia="Times New Roman" w:hAnsi="Arial" w:cs="Arial"/>
          <w:sz w:val="20"/>
          <w:szCs w:val="20"/>
          <w:lang w:eastAsia="en-GB"/>
        </w:rPr>
        <w:t xml:space="preserve"> des </w:t>
      </w:r>
      <w:proofErr w:type="spellStart"/>
      <w:r w:rsidRPr="006B3CD9">
        <w:rPr>
          <w:rFonts w:ascii="Arial" w:eastAsia="Times New Roman" w:hAnsi="Arial" w:cs="Arial"/>
          <w:sz w:val="20"/>
          <w:szCs w:val="20"/>
          <w:lang w:eastAsia="en-GB"/>
        </w:rPr>
        <w:t>Ütudes</w:t>
      </w:r>
      <w:proofErr w:type="spellEnd"/>
      <w:r w:rsidRPr="006B3CD9">
        <w:rPr>
          <w:rFonts w:ascii="Arial" w:eastAsia="Times New Roman" w:hAnsi="Arial" w:cs="Arial"/>
          <w:sz w:val="20"/>
          <w:szCs w:val="20"/>
          <w:lang w:eastAsia="en-GB"/>
        </w:rPr>
        <w:t xml:space="preserve"> </w:t>
      </w:r>
      <w:proofErr w:type="spellStart"/>
      <w:r w:rsidRPr="006B3CD9">
        <w:rPr>
          <w:rFonts w:ascii="Arial" w:eastAsia="Times New Roman" w:hAnsi="Arial" w:cs="Arial"/>
          <w:sz w:val="20"/>
          <w:szCs w:val="20"/>
          <w:lang w:eastAsia="en-GB"/>
        </w:rPr>
        <w:t>Üconomiques</w:t>
      </w:r>
      <w:proofErr w:type="spellEnd"/>
      <w:r w:rsidRPr="006B3CD9">
        <w:rPr>
          <w:rFonts w:ascii="Arial" w:eastAsia="Times New Roman" w:hAnsi="Arial" w:cs="Arial"/>
          <w:sz w:val="20"/>
          <w:szCs w:val="20"/>
          <w:lang w:eastAsia="en-GB"/>
        </w:rPr>
        <w:t xml:space="preserve"> (INSEE), has developed its own principles and concepts, which are different from those to be found in the public and private sectors.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Taxation has been and still is a major influence on accounting in France. Since the mid-1970s, however, the financial markets have played a growing role in determining the principles and functions of French accounting.</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i/>
          <w:iCs/>
          <w:sz w:val="20"/>
          <w:lang w:eastAsia="en-GB"/>
        </w:rPr>
        <w:lastRenderedPageBreak/>
        <w:t xml:space="preserve">Jean-Claude </w:t>
      </w:r>
      <w:proofErr w:type="spellStart"/>
      <w:r w:rsidRPr="006B3CD9">
        <w:rPr>
          <w:rFonts w:ascii="Arial" w:eastAsia="Times New Roman" w:hAnsi="Arial" w:cs="Arial"/>
          <w:i/>
          <w:iCs/>
          <w:sz w:val="20"/>
          <w:lang w:eastAsia="en-GB"/>
        </w:rPr>
        <w:t>Scheid</w:t>
      </w:r>
      <w:proofErr w:type="spellEnd"/>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2" name="Picture 32"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Germany</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Due to the Roman law system, German financial accounting is regulated by law in a very detailed manner. The most important part of the accounting law is the </w:t>
      </w:r>
      <w:proofErr w:type="spellStart"/>
      <w:r w:rsidRPr="006B3CD9">
        <w:rPr>
          <w:rFonts w:ascii="Arial" w:eastAsia="Times New Roman" w:hAnsi="Arial" w:cs="Arial"/>
          <w:sz w:val="20"/>
          <w:szCs w:val="20"/>
          <w:lang w:eastAsia="en-GB"/>
        </w:rPr>
        <w:t>Handelsgesetzbuch</w:t>
      </w:r>
      <w:proofErr w:type="spellEnd"/>
      <w:r w:rsidRPr="006B3CD9">
        <w:rPr>
          <w:rFonts w:ascii="Arial" w:eastAsia="Times New Roman" w:hAnsi="Arial" w:cs="Arial"/>
          <w:sz w:val="20"/>
          <w:szCs w:val="20"/>
          <w:lang w:eastAsia="en-GB"/>
        </w:rPr>
        <w:t xml:space="preserve"> (HGB, commercial code), which contains regulations dependent on the legal form of the business, size and sector. In accounting for all events, even unforeseeable ones, the </w:t>
      </w:r>
      <w:proofErr w:type="spellStart"/>
      <w:r w:rsidRPr="006B3CD9">
        <w:rPr>
          <w:rFonts w:ascii="Arial" w:eastAsia="Times New Roman" w:hAnsi="Arial" w:cs="Arial"/>
          <w:sz w:val="20"/>
          <w:szCs w:val="20"/>
          <w:lang w:eastAsia="en-GB"/>
        </w:rPr>
        <w:t>Grundsätze</w:t>
      </w:r>
      <w:proofErr w:type="spellEnd"/>
      <w:r w:rsidRPr="006B3CD9">
        <w:rPr>
          <w:rFonts w:ascii="Arial" w:eastAsia="Times New Roman" w:hAnsi="Arial" w:cs="Arial"/>
          <w:sz w:val="20"/>
          <w:szCs w:val="20"/>
          <w:lang w:eastAsia="en-GB"/>
        </w:rPr>
        <w:t xml:space="preserve"> </w:t>
      </w:r>
      <w:proofErr w:type="spellStart"/>
      <w:r w:rsidRPr="006B3CD9">
        <w:rPr>
          <w:rFonts w:ascii="Arial" w:eastAsia="Times New Roman" w:hAnsi="Arial" w:cs="Arial"/>
          <w:sz w:val="20"/>
          <w:szCs w:val="20"/>
          <w:lang w:eastAsia="en-GB"/>
        </w:rPr>
        <w:t>ordnungsmäÞiger</w:t>
      </w:r>
      <w:proofErr w:type="spellEnd"/>
      <w:r w:rsidRPr="006B3CD9">
        <w:rPr>
          <w:rFonts w:ascii="Arial" w:eastAsia="Times New Roman" w:hAnsi="Arial" w:cs="Arial"/>
          <w:sz w:val="20"/>
          <w:szCs w:val="20"/>
          <w:lang w:eastAsia="en-GB"/>
        </w:rPr>
        <w:t xml:space="preserve"> </w:t>
      </w:r>
      <w:proofErr w:type="spellStart"/>
      <w:r w:rsidRPr="006B3CD9">
        <w:rPr>
          <w:rFonts w:ascii="Arial" w:eastAsia="Times New Roman" w:hAnsi="Arial" w:cs="Arial"/>
          <w:sz w:val="20"/>
          <w:szCs w:val="20"/>
          <w:lang w:eastAsia="en-GB"/>
        </w:rPr>
        <w:t>Buchführung</w:t>
      </w:r>
      <w:proofErr w:type="spellEnd"/>
      <w:r w:rsidRPr="006B3CD9">
        <w:rPr>
          <w:rFonts w:ascii="Arial" w:eastAsia="Times New Roman" w:hAnsi="Arial" w:cs="Arial"/>
          <w:sz w:val="20"/>
          <w:szCs w:val="20"/>
          <w:lang w:eastAsia="en-GB"/>
        </w:rPr>
        <w:t xml:space="preserve"> (</w:t>
      </w:r>
      <w:proofErr w:type="spellStart"/>
      <w:r w:rsidRPr="006B3CD9">
        <w:rPr>
          <w:rFonts w:ascii="Arial" w:eastAsia="Times New Roman" w:hAnsi="Arial" w:cs="Arial"/>
          <w:sz w:val="20"/>
          <w:szCs w:val="20"/>
          <w:lang w:eastAsia="en-GB"/>
        </w:rPr>
        <w:t>GoB</w:t>
      </w:r>
      <w:proofErr w:type="spellEnd"/>
      <w:r w:rsidRPr="006B3CD9">
        <w:rPr>
          <w:rFonts w:ascii="Arial" w:eastAsia="Times New Roman" w:hAnsi="Arial" w:cs="Arial"/>
          <w:sz w:val="20"/>
          <w:szCs w:val="20"/>
          <w:lang w:eastAsia="en-GB"/>
        </w:rPr>
        <w:t xml:space="preserve">, principles of regular accounting) must be followed. Although the </w:t>
      </w:r>
      <w:proofErr w:type="spellStart"/>
      <w:r w:rsidRPr="006B3CD9">
        <w:rPr>
          <w:rFonts w:ascii="Arial" w:eastAsia="Times New Roman" w:hAnsi="Arial" w:cs="Arial"/>
          <w:sz w:val="20"/>
          <w:szCs w:val="20"/>
          <w:lang w:eastAsia="en-GB"/>
        </w:rPr>
        <w:t>GoB</w:t>
      </w:r>
      <w:proofErr w:type="spellEnd"/>
      <w:r w:rsidRPr="006B3CD9">
        <w:rPr>
          <w:rFonts w:ascii="Arial" w:eastAsia="Times New Roman" w:hAnsi="Arial" w:cs="Arial"/>
          <w:sz w:val="20"/>
          <w:szCs w:val="20"/>
          <w:lang w:eastAsia="en-GB"/>
        </w:rPr>
        <w:t xml:space="preserve"> </w:t>
      </w:r>
      <w:proofErr w:type="gramStart"/>
      <w:r w:rsidRPr="006B3CD9">
        <w:rPr>
          <w:rFonts w:ascii="Arial" w:eastAsia="Times New Roman" w:hAnsi="Arial" w:cs="Arial"/>
          <w:sz w:val="20"/>
          <w:szCs w:val="20"/>
          <w:lang w:eastAsia="en-GB"/>
        </w:rPr>
        <w:t>originate</w:t>
      </w:r>
      <w:proofErr w:type="gramEnd"/>
      <w:r w:rsidRPr="006B3CD9">
        <w:rPr>
          <w:rFonts w:ascii="Arial" w:eastAsia="Times New Roman" w:hAnsi="Arial" w:cs="Arial"/>
          <w:sz w:val="20"/>
          <w:szCs w:val="20"/>
          <w:lang w:eastAsia="en-GB"/>
        </w:rPr>
        <w:t xml:space="preserve"> from commercial accounting, they also influence tax accounting, since there is a unified income approach for both commercial and tax purposes. Group accounting is legally (although not in practice) irrelevant for dividends and legally (as well as in practice) irrelevant for taxation.</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financing of German corporations has a number of characteristic features, including a low rate of visible equity financing, a small number of listed corporations, a small number of private shareholders and an ownership structure in which private shareholders play little part. Accordingly, the main objectives of financial accounting in Germany are financial capital maintenance through prudent determination of profit and the generation of information about the net worth and results of a business through either published or unpublished balance sheets. Information is an important aim of financial statements, but the protection of creditors is the dominant concern.</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Limited companies are the only entities required to give a true and fair view of financial statements; this is restricted by the </w:t>
      </w:r>
      <w:proofErr w:type="spellStart"/>
      <w:r w:rsidRPr="006B3CD9">
        <w:rPr>
          <w:rFonts w:ascii="Arial" w:eastAsia="Times New Roman" w:hAnsi="Arial" w:cs="Arial"/>
          <w:sz w:val="20"/>
          <w:szCs w:val="20"/>
          <w:lang w:eastAsia="en-GB"/>
        </w:rPr>
        <w:t>GoB</w:t>
      </w:r>
      <w:proofErr w:type="spellEnd"/>
      <w:r w:rsidRPr="006B3CD9">
        <w:rPr>
          <w:rFonts w:ascii="Arial" w:eastAsia="Times New Roman" w:hAnsi="Arial" w:cs="Arial"/>
          <w:sz w:val="20"/>
          <w:szCs w:val="20"/>
          <w:lang w:eastAsia="en-GB"/>
        </w:rPr>
        <w:t>, which aim to protect creditors by prudent profit determination. This fits with both the reduction of tax bases in order to defer taxes and the financing environment, where loans by banks or groups are a more important source than equity.</w:t>
      </w:r>
    </w:p>
    <w:p w:rsidR="006B3CD9" w:rsidRPr="006B3CD9" w:rsidRDefault="006B3CD9" w:rsidP="006B3CD9">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6B3CD9">
        <w:rPr>
          <w:rFonts w:ascii="Arial" w:eastAsia="Times New Roman" w:hAnsi="Arial" w:cs="Arial"/>
          <w:i/>
          <w:iCs/>
          <w:sz w:val="20"/>
          <w:lang w:eastAsia="en-GB"/>
        </w:rPr>
        <w:t xml:space="preserve">Wolfgang </w:t>
      </w:r>
      <w:proofErr w:type="spellStart"/>
      <w:r w:rsidRPr="006B3CD9">
        <w:rPr>
          <w:rFonts w:ascii="Arial" w:eastAsia="Times New Roman" w:hAnsi="Arial" w:cs="Arial"/>
          <w:i/>
          <w:iCs/>
          <w:sz w:val="20"/>
          <w:lang w:eastAsia="en-GB"/>
        </w:rPr>
        <w:t>Ballwieser</w:t>
      </w:r>
      <w:proofErr w:type="spellEnd"/>
    </w:p>
    <w:p w:rsidR="006B3CD9" w:rsidRPr="006B3CD9" w:rsidRDefault="006B3CD9" w:rsidP="006B3CD9">
      <w:pPr>
        <w:spacing w:after="0" w:line="240" w:lineRule="auto"/>
        <w:rPr>
          <w:rFonts w:ascii="Times New Roman" w:eastAsia="Times New Roman" w:hAnsi="Times New Roman" w:cs="Times New Roman"/>
          <w:sz w:val="36"/>
          <w:szCs w:val="36"/>
          <w:lang w:eastAsia="en-GB"/>
        </w:rPr>
      </w:pP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7" name="Picture 37"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Japan</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Accounting and auditing in Japan, as in other countries, are a reflection of its history and combine many different strands and influences. As far as large, listed companies are concerned, the infrastructure of financial reporting derives from a complete reorganization of the financial markets in the late 1940s. During the reconstruction of the Japanese economy which followed the Second World War, many Western, and particularly US, ideas were adopted. The stock exchange was reformed and laws introduced similar to the US 1933 Securities Act and 1934 Securities and Exchange Act. The Ministry of Finance also set up a committee, whose successor is the current Business Accounting Deliberation Council (BADC), to specify accounting standards for listed companies.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regulations for listed companies were created alongside existing accounting rules for limited liability companies which are in the Commercial Code. Listed companies have therefore to prepare two sets of statements. A further constraint upon reporting is the tax statutes which specify some measurement rules for tax purposes. The combination of these three sets of regulations is known as the triangular legal system, and the necessary interplay of the three does not easily permit the rapid evolution of rules. The accounting rules are, however, largely in line with those used in the rest of the world.</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Auditing was introduced as part of the post-war reforms, when the Ministry of Finance took on responsibility not only for accounting standards but also auditing standards. This responsibility was </w:t>
      </w:r>
      <w:r w:rsidRPr="006B3CD9">
        <w:rPr>
          <w:rFonts w:ascii="Arial" w:eastAsia="Times New Roman" w:hAnsi="Arial" w:cs="Arial"/>
          <w:sz w:val="20"/>
          <w:szCs w:val="20"/>
          <w:lang w:eastAsia="en-GB"/>
        </w:rPr>
        <w:lastRenderedPageBreak/>
        <w:t>passed in 1991 from the BADC to the Japanese Institute of Certified Public Accountants (JICPA). Initially the audit requirement was limited to listed companies, but in 1974 it was extended to large, private companies, and currently some 9,000 companies are subject to independent audit.</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Auditors must be members of JICPA, which was also created in the 1940s. Admission to JICPA is by way of a series of professional examinations. There is a second, related </w:t>
      </w:r>
      <w:proofErr w:type="gramStart"/>
      <w:r w:rsidRPr="006B3CD9">
        <w:rPr>
          <w:rFonts w:ascii="Arial" w:eastAsia="Times New Roman" w:hAnsi="Arial" w:cs="Arial"/>
          <w:sz w:val="20"/>
          <w:szCs w:val="20"/>
          <w:lang w:eastAsia="en-GB"/>
        </w:rPr>
        <w:t>profession, that</w:t>
      </w:r>
      <w:proofErr w:type="gramEnd"/>
      <w:r w:rsidRPr="006B3CD9">
        <w:rPr>
          <w:rFonts w:ascii="Arial" w:eastAsia="Times New Roman" w:hAnsi="Arial" w:cs="Arial"/>
          <w:sz w:val="20"/>
          <w:szCs w:val="20"/>
          <w:lang w:eastAsia="en-GB"/>
        </w:rPr>
        <w:t xml:space="preserve"> of tax practitioner, of which there are about 6,000. Many certified public accountants are also tax practitioners, but they cannot provide both tax and audit services to the same client. JICPA provides technical advice and support to its members, and issues audit standards. It is also active in the international field.</w:t>
      </w:r>
    </w:p>
    <w:p w:rsidR="006B3CD9" w:rsidRDefault="006B3CD9" w:rsidP="006B3CD9">
      <w:pPr>
        <w:spacing w:before="100" w:beforeAutospacing="1" w:after="100" w:afterAutospacing="1" w:line="240" w:lineRule="auto"/>
        <w:rPr>
          <w:rFonts w:ascii="Arial" w:eastAsia="Times New Roman" w:hAnsi="Arial" w:cs="Arial"/>
          <w:i/>
          <w:iCs/>
          <w:sz w:val="20"/>
          <w:szCs w:val="20"/>
          <w:lang w:eastAsia="en-GB"/>
        </w:rPr>
      </w:pPr>
      <w:proofErr w:type="spellStart"/>
      <w:r w:rsidRPr="006B3CD9">
        <w:rPr>
          <w:rFonts w:ascii="Arial" w:eastAsia="Times New Roman" w:hAnsi="Arial" w:cs="Arial"/>
          <w:i/>
          <w:iCs/>
          <w:sz w:val="20"/>
          <w:szCs w:val="20"/>
          <w:lang w:eastAsia="en-GB"/>
        </w:rPr>
        <w:t>Etsuo</w:t>
      </w:r>
      <w:proofErr w:type="spellEnd"/>
      <w:r w:rsidRPr="006B3CD9">
        <w:rPr>
          <w:rFonts w:ascii="Arial" w:eastAsia="Times New Roman" w:hAnsi="Arial" w:cs="Arial"/>
          <w:i/>
          <w:iCs/>
          <w:sz w:val="20"/>
          <w:szCs w:val="20"/>
          <w:lang w:eastAsia="en-GB"/>
        </w:rPr>
        <w:t xml:space="preserve"> </w:t>
      </w:r>
      <w:proofErr w:type="spellStart"/>
      <w:r w:rsidRPr="006B3CD9">
        <w:rPr>
          <w:rFonts w:ascii="Arial" w:eastAsia="Times New Roman" w:hAnsi="Arial" w:cs="Arial"/>
          <w:i/>
          <w:iCs/>
          <w:sz w:val="20"/>
          <w:szCs w:val="20"/>
          <w:lang w:eastAsia="en-GB"/>
        </w:rPr>
        <w:t>Sawa</w:t>
      </w:r>
      <w:proofErr w:type="spellEnd"/>
    </w:p>
    <w:p w:rsidR="006B3CD9" w:rsidRDefault="006B3CD9" w:rsidP="006B3CD9">
      <w:pPr>
        <w:spacing w:before="100" w:beforeAutospacing="1" w:after="100" w:afterAutospacing="1" w:line="240" w:lineRule="auto"/>
        <w:rPr>
          <w:rFonts w:ascii="Arial" w:eastAsia="Times New Roman" w:hAnsi="Arial" w:cs="Arial"/>
          <w:i/>
          <w:iCs/>
          <w:sz w:val="20"/>
          <w:szCs w:val="20"/>
          <w:lang w:eastAsia="en-GB"/>
        </w:rPr>
      </w:pP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8" name="Picture 44"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the United Kingdom</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particular features of UK accounting include a gradual development of financial reporting under the impetus of the Industrial Revolution, with Companies Acts prescribing a minimum of rules and the accounting profession developing generally accepted accounting principles (GAAP). European harmonization and the appearance of creative accounting have led to more state regulation since the mid 1980s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accounting profession is highly organized, with six representative bodies whose examinations are the key to a serious accounting career, whether in audit, business or the public sector. The UK has a new and active standard setter, the Accounting Standards Board (ASB), which is independent of the profession, together with a body for checking compliance, the Financial Reporting Review Panel. Statutory audit is required for all limited liability companies and the audit industry is dominated by the 'Big Six' Anglo-American audit firms and three or four large national firms. The efficacy and independence of auditors has increasingly been questioned in the wake of financial scandals.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Particular features of accounting principles are those that allow for the revaluation of tangible fixed assets, and goodwill arising on consolidation is usually written off directly against reserves. Deferred tax is provided for, but only to the extent that timing differences are likely to crystallize. Assets obtained under finance leases are capitalized in the lessee's accounts. Taxation has a complicated relationship with reported profits but published financial statements are normally the starting point for tax computation. Systematic differences are that tax law fixes depreciation rates, which are applied independently of the company's accounting policies, interest is accounted for on a cash basis for tax, and no general provisions are allowed as an expense for tax purposes.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Public sector accounting has developed independently of commercial accounting and has a tradition of reporting income and expenditure in relation to sources of funds with no distinction between capital and revenue expenditure. Current pressure is towards systems which recognize assets and provide consolidated financial statements.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Accounting in the UK can be characterized as being heavily influenced by the accounting profession and orientated towards the reporting of large, public companies. Accountants operate in an environment where they control entry to their profession, all limited liability companies are subject to statutory audit, and accountants are the main providers of tax advice. Large accounting firms typically provide significant management consulting activity as well. The regulation of accounting has built up around company law and the reporting needs of companies. There are no accounting regulations for unincorporated business, and public sector accounting has until recently been largely ignored by professional firms and educational institutions.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i/>
          <w:iCs/>
          <w:sz w:val="20"/>
          <w:szCs w:val="20"/>
          <w:lang w:eastAsia="en-GB"/>
        </w:rPr>
      </w:pPr>
      <w:r w:rsidRPr="006B3CD9">
        <w:rPr>
          <w:rFonts w:ascii="Arial" w:eastAsia="Times New Roman" w:hAnsi="Arial" w:cs="Arial"/>
          <w:i/>
          <w:iCs/>
          <w:sz w:val="20"/>
          <w:szCs w:val="20"/>
          <w:lang w:eastAsia="en-GB"/>
        </w:rPr>
        <w:lastRenderedPageBreak/>
        <w:t>Peter Walton</w:t>
      </w: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0" name="Picture 50"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in the United States of America</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Accounting and reporting standards in the USA, as elsewhere, are environmentally based. An understanding of these influences is necessary to facilitates financial statement analysis and interpretation when dealing with US-based companies.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While financial statements in the USA are intended to be general purpose, they are heavily influenced by the information needs of private investors, who are the principal providers of external finance in a predominantly free-market economy. Thus financial reports prepared by management seek to provide information that is useful to investors in assessing the amounts, timing and uncertainty of future cash flows that are of interest to them. This contrasts sharply with financial reports that are aimed at complying with statutory reporting requirements of government or fiscal authorities.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Accounting and reporting standards are promulgated largely through the efforts of private professional bodies and enforced through public sector actions. The primary objective is to provide a commercial, as opposed to legalistic, framework for accounting prescriptions. To be effective, they must prove acceptable to the major users of accounting information, with variations in the application of accounting standards being revealed primarily through full and fair disclosure. The major standard-setting body at present is the Financial Accounting Standards Board (FASB); other important bodies include the Financial Accounting Foundation (FAF), which appoints members of the FASB, funds their activities and exercises general oversight, and the Financial Accounting Standards Advisory Council (FASAC), which consults the FASB on major issues and organizes working task forces.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US approach to promulgating accounting standards is a direct consequence of its unique reporting environment. Accounting measurements embodies in US accounting standards differ from those formulated elsewhere for similar reasons. Asset valuation is less conservative and more pragmatic than elsewhere, for example, and the use of discretionary reserves is not permitted, as it is in Germany, Japan, Sweden and Switzerland.</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Independent auditors provide a credibility check on management's financial representations by rendering an opinion as to the reliability and fairness of those representations. They are legally liable to third parties if found negligent in performing their duties. The threat of lawsuits may be viewed as a free-market response to real or perceived audit failures in the USA.</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Accounting and financial reporting in the USA are heavily influenced by the information needs of capital suppliers. This contrasts sharply with financial reports that are designed to serve more macro-oriented needs. In the face of international differences in accounting and reporting, demands for increased accounting uniformity are appealing. Statement readers, however, should not be fooled by international standards that paper over reporting differences that are environmentally-based. While accounts which conform to German, US or other codes can be restated to conform to some internationally </w:t>
      </w:r>
      <w:proofErr w:type="gramStart"/>
      <w:r w:rsidRPr="006B3CD9">
        <w:rPr>
          <w:rFonts w:ascii="Arial" w:eastAsia="Times New Roman" w:hAnsi="Arial" w:cs="Arial"/>
          <w:sz w:val="20"/>
          <w:szCs w:val="20"/>
          <w:lang w:eastAsia="en-GB"/>
        </w:rPr>
        <w:t>accepted</w:t>
      </w:r>
      <w:proofErr w:type="gramEnd"/>
      <w:r w:rsidRPr="006B3CD9">
        <w:rPr>
          <w:rFonts w:ascii="Arial" w:eastAsia="Times New Roman" w:hAnsi="Arial" w:cs="Arial"/>
          <w:sz w:val="20"/>
          <w:szCs w:val="20"/>
          <w:lang w:eastAsia="en-GB"/>
        </w:rPr>
        <w:t xml:space="preserve"> nor, the resulting measures could mislead rather than inform.</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i/>
          <w:iCs/>
          <w:sz w:val="20"/>
          <w:szCs w:val="20"/>
          <w:lang w:eastAsia="en-GB"/>
        </w:rPr>
      </w:pPr>
      <w:r w:rsidRPr="006B3CD9">
        <w:rPr>
          <w:rFonts w:ascii="Arial" w:eastAsia="Times New Roman" w:hAnsi="Arial" w:cs="Arial"/>
          <w:i/>
          <w:iCs/>
          <w:sz w:val="20"/>
          <w:szCs w:val="20"/>
          <w:lang w:eastAsia="en-GB"/>
        </w:rPr>
        <w:t xml:space="preserve">Frederick D. S. </w:t>
      </w:r>
      <w:proofErr w:type="spellStart"/>
      <w:r w:rsidRPr="006B3CD9">
        <w:rPr>
          <w:rFonts w:ascii="Arial" w:eastAsia="Times New Roman" w:hAnsi="Arial" w:cs="Arial"/>
          <w:i/>
          <w:iCs/>
          <w:sz w:val="20"/>
          <w:szCs w:val="20"/>
          <w:lang w:eastAsia="en-GB"/>
        </w:rPr>
        <w:t>Choi</w:t>
      </w:r>
      <w:proofErr w:type="spellEnd"/>
    </w:p>
    <w:p w:rsidR="006B3CD9" w:rsidRDefault="006B3CD9" w:rsidP="006B3CD9">
      <w:pPr>
        <w:spacing w:before="100" w:beforeAutospacing="1" w:after="100" w:afterAutospacing="1" w:line="240" w:lineRule="auto"/>
        <w:rPr>
          <w:rFonts w:ascii="Times New Roman" w:eastAsia="Times New Roman" w:hAnsi="Times New Roman" w:cs="Times New Roman"/>
          <w:sz w:val="24"/>
          <w:szCs w:val="24"/>
          <w:lang w:eastAsia="en-GB"/>
        </w:rPr>
      </w:pPr>
    </w:p>
    <w:p w:rsidR="006B3CD9" w:rsidRPr="006B3CD9" w:rsidRDefault="006B3CD9" w:rsidP="006B3CD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1" name="Picture 56"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6B3CD9">
        <w:rPr>
          <w:rFonts w:ascii="Arial" w:eastAsia="Times New Roman" w:hAnsi="Arial" w:cs="Arial"/>
          <w:color w:val="000080"/>
          <w:sz w:val="36"/>
          <w:szCs w:val="36"/>
          <w:lang w:eastAsia="en-GB"/>
        </w:rPr>
        <w:t>Accounting harmonization</w:t>
      </w:r>
      <w:r w:rsidRPr="006B3CD9">
        <w:rPr>
          <w:rFonts w:ascii="Times New Roman" w:eastAsia="Times New Roman" w:hAnsi="Times New Roman" w:cs="Times New Roman"/>
          <w:sz w:val="20"/>
          <w:szCs w:val="20"/>
          <w:lang w:eastAsia="en-GB"/>
        </w:rPr>
        <w:t xml:space="preserve"> </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lastRenderedPageBreak/>
        <w:t>Current national accounting requirements often differ, with the result that like transactions and events are reported differently in different countries. Such differences can have a significant impact on both the balance sheet and the income statement. This situation is illustrated dramatically by international companies such as SmithKline Beecham and Daimler-Benz, which, for capital market purposes, prepare financial statements based on different requirements and disclose widely different figures for the same transactions and events. These differences make it difficult to distinguish changes in the performance from the effects arising from the use of different accounting requirements.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The aim of accounting harmonization is to make the financial statements of companies comparable with the financial statements of companies in other countries. Accounting harmonization is important because companies want to operate in a business environment in which they can trade, raise capital, list their securities and attract investors in different countries. Investors also want to seek new investment opportunities throughout the world. Accounting harmonization will assist companies and investors and, consequently, the efficient operation of capital markets. Therefore, several major initiatives have been launched to seek harmonization of accounting requirements and the actual reporting practices of companies.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At an international level, the International Accounting Standards Committee (IASC) has developed a set of accounting standards which deal with most of the topics that are important internationally in published financial statements. Compliance with these standards helps to harmonize financial reporting: for example, standards can be used by a national standard setting body as (or as the basis for) national accounting requirements or as a benchmark in developing national requirements, or by a company in its published financial statements in addition to national requirements.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 xml:space="preserve">In the European Union (EU), accounting directives provide a legal framework for the annual accounts and consolidated accounts of companies in member states. </w:t>
      </w:r>
      <w:proofErr w:type="gramStart"/>
      <w:r w:rsidRPr="006B3CD9">
        <w:rPr>
          <w:rFonts w:ascii="Arial" w:eastAsia="Times New Roman" w:hAnsi="Arial" w:cs="Arial"/>
          <w:sz w:val="20"/>
          <w:szCs w:val="20"/>
          <w:lang w:eastAsia="en-GB"/>
        </w:rPr>
        <w:t>The directives are generally consistent with, but less detailed and more flexible than, the international accounting standards.</w:t>
      </w:r>
      <w:proofErr w:type="gramEnd"/>
      <w:r w:rsidRPr="006B3CD9">
        <w:rPr>
          <w:rFonts w:ascii="Arial" w:eastAsia="Times New Roman" w:hAnsi="Arial" w:cs="Arial"/>
          <w:sz w:val="20"/>
          <w:szCs w:val="20"/>
          <w:lang w:eastAsia="en-GB"/>
        </w:rPr>
        <w:t xml:space="preserve"> The flexibility of the directives has restricted the degree of harmonization which has been achieved; nevertheless, the directives have led to significant improvements in financial reporting in the member states and in those central and eastern European countries which have used them as the basis for their accounting laws.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National bodies are also working together to achieve harmonization through the adoption of common improvements in national accounting requirements. Cooperative efforts include a number of joint projects as well as regular consultations among standard setting bodies, the European Commission and the IASC on issues of common interest.</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sz w:val="20"/>
          <w:szCs w:val="20"/>
          <w:lang w:eastAsia="en-GB"/>
        </w:rPr>
      </w:pPr>
      <w:r w:rsidRPr="006B3CD9">
        <w:rPr>
          <w:rFonts w:ascii="Arial" w:eastAsia="Times New Roman" w:hAnsi="Arial" w:cs="Arial"/>
          <w:sz w:val="20"/>
          <w:szCs w:val="20"/>
          <w:lang w:eastAsia="en-GB"/>
        </w:rPr>
        <w:t>Efforts to harmonize accounting requirements are further enhanced and are often led by the actions of companies themselves, particularly European multinationals which have adopted accounting practices that exceed national requirements but which meet international expectations. They have done this because they want access to international capital markets. In the 1970s, many continental European multinationals published consolidated accounts long before they were required to do so. In the 1990s, these same companies started to publish financial statements which conform to international accounting standards even when the requirements of the standards exceed appropriate national requirements.</w:t>
      </w:r>
    </w:p>
    <w:p w:rsidR="006B3CD9" w:rsidRPr="006B3CD9" w:rsidRDefault="006B3CD9" w:rsidP="006B3CD9">
      <w:pPr>
        <w:spacing w:before="100" w:beforeAutospacing="1" w:after="100" w:afterAutospacing="1" w:line="240" w:lineRule="auto"/>
        <w:rPr>
          <w:rFonts w:ascii="Times New Roman" w:eastAsia="Times New Roman" w:hAnsi="Times New Roman" w:cs="Times New Roman"/>
          <w:i/>
          <w:iCs/>
          <w:sz w:val="20"/>
          <w:szCs w:val="20"/>
          <w:lang w:eastAsia="en-GB"/>
        </w:rPr>
      </w:pPr>
      <w:r w:rsidRPr="006B3CD9">
        <w:rPr>
          <w:rFonts w:ascii="Arial" w:eastAsia="Times New Roman" w:hAnsi="Arial" w:cs="Arial"/>
          <w:i/>
          <w:iCs/>
          <w:sz w:val="20"/>
          <w:szCs w:val="20"/>
          <w:lang w:eastAsia="en-GB"/>
        </w:rPr>
        <w:t>David Cairns</w:t>
      </w:r>
    </w:p>
    <w:p w:rsidR="00830D5C" w:rsidRPr="00830D5C" w:rsidRDefault="00830D5C" w:rsidP="00830D5C">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62" name="Picture 62"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830D5C">
        <w:rPr>
          <w:rFonts w:ascii="Arial" w:eastAsia="Times New Roman" w:hAnsi="Arial" w:cs="Arial"/>
          <w:color w:val="000080"/>
          <w:sz w:val="36"/>
          <w:szCs w:val="36"/>
          <w:lang w:eastAsia="en-GB"/>
        </w:rPr>
        <w:t>Accounting and organizations</w:t>
      </w:r>
      <w:r w:rsidRPr="00830D5C">
        <w:rPr>
          <w:rFonts w:ascii="Times New Roman" w:eastAsia="Times New Roman" w:hAnsi="Times New Roman" w:cs="Times New Roman"/>
          <w:sz w:val="20"/>
          <w:szCs w:val="20"/>
          <w:lang w:eastAsia="en-GB"/>
        </w:rPr>
        <w:t xml:space="preserve"> </w:t>
      </w:r>
    </w:p>
    <w:p w:rsidR="00830D5C" w:rsidRPr="00830D5C" w:rsidRDefault="00830D5C" w:rsidP="00830D5C">
      <w:pPr>
        <w:spacing w:before="100" w:beforeAutospacing="1" w:after="100" w:afterAutospacing="1" w:line="240" w:lineRule="auto"/>
        <w:rPr>
          <w:rFonts w:ascii="Times New Roman" w:eastAsia="Times New Roman" w:hAnsi="Times New Roman" w:cs="Times New Roman"/>
          <w:sz w:val="20"/>
          <w:szCs w:val="20"/>
          <w:lang w:eastAsia="en-GB"/>
        </w:rPr>
      </w:pPr>
      <w:r w:rsidRPr="00830D5C">
        <w:rPr>
          <w:rFonts w:ascii="Arial" w:eastAsia="Times New Roman" w:hAnsi="Arial" w:cs="Arial"/>
          <w:sz w:val="20"/>
          <w:szCs w:val="20"/>
          <w:lang w:eastAsia="en-GB"/>
        </w:rPr>
        <w:t xml:space="preserve">Accounting is often presented as a dry, technical subject, so often concerned with precision rather than relevance. However, as it is practised within today's large organizations, accounting is far from dry and technical. Financial calculations are an important ingredient in most organizations' decision-making activities. Finance </w:t>
      </w:r>
      <w:proofErr w:type="gramStart"/>
      <w:r w:rsidRPr="00830D5C">
        <w:rPr>
          <w:rFonts w:ascii="Arial" w:eastAsia="Times New Roman" w:hAnsi="Arial" w:cs="Arial"/>
          <w:sz w:val="20"/>
          <w:szCs w:val="20"/>
          <w:lang w:eastAsia="en-GB"/>
        </w:rPr>
        <w:t>staff are</w:t>
      </w:r>
      <w:proofErr w:type="gramEnd"/>
      <w:r w:rsidRPr="00830D5C">
        <w:rPr>
          <w:rFonts w:ascii="Arial" w:eastAsia="Times New Roman" w:hAnsi="Arial" w:cs="Arial"/>
          <w:sz w:val="20"/>
          <w:szCs w:val="20"/>
          <w:lang w:eastAsia="en-GB"/>
        </w:rPr>
        <w:t xml:space="preserve"> often intimately involved in the allocation of scarce resources (for example, people and money) among competing projects, operating units and departments. Pressure </w:t>
      </w:r>
      <w:r w:rsidRPr="00830D5C">
        <w:rPr>
          <w:rFonts w:ascii="Arial" w:eastAsia="Times New Roman" w:hAnsi="Arial" w:cs="Arial"/>
          <w:sz w:val="20"/>
          <w:szCs w:val="20"/>
          <w:lang w:eastAsia="en-GB"/>
        </w:rPr>
        <w:lastRenderedPageBreak/>
        <w:t>for performance is a common feature of corporate life, and often this is manifest through accountability for financial results. Indeed, careers are often made, or broken, according to line managers' performance against plans and budgets. In short, accounting is actively involved in the management process. It is not merely technical in this view, or neutral in its effects. Rather it influences, and is influenced by, behaviour in organizations.</w:t>
      </w:r>
    </w:p>
    <w:p w:rsidR="00830D5C" w:rsidRPr="00830D5C" w:rsidRDefault="00830D5C" w:rsidP="00830D5C">
      <w:pPr>
        <w:spacing w:before="100" w:beforeAutospacing="1" w:after="100" w:afterAutospacing="1" w:line="240" w:lineRule="auto"/>
        <w:rPr>
          <w:rFonts w:ascii="Times New Roman" w:eastAsia="Times New Roman" w:hAnsi="Times New Roman" w:cs="Times New Roman"/>
          <w:sz w:val="20"/>
          <w:szCs w:val="20"/>
          <w:lang w:eastAsia="en-GB"/>
        </w:rPr>
      </w:pPr>
      <w:r w:rsidRPr="00830D5C">
        <w:rPr>
          <w:rFonts w:ascii="Arial" w:eastAsia="Times New Roman" w:hAnsi="Arial" w:cs="Arial"/>
          <w:sz w:val="20"/>
          <w:szCs w:val="20"/>
          <w:lang w:eastAsia="en-GB"/>
        </w:rPr>
        <w:t>Within organizations, management accounting is distinguished from other activities performed by the finance function. Planning is a central component of management accounting, which seeks to achieve greater co-ordination and control within organizations. How it does so will differ given the technical systems employed, and in particular the nature of the organization. Different contexts give rise to different organizational arrangements, and consequently to different planning and control systems. Firms using functional, divisional or matrix structures, for example, will have quite different planning and control aims and requirements. There are also international differences in organization and control; these differences are not as yet fully understood, but evidence suggests that practices around the world vary considerably. There are noticeable differences between US, Japanese and European styles of control and, within Europe, between Germany, France and the UK</w:t>
      </w:r>
    </w:p>
    <w:p w:rsidR="00830D5C" w:rsidRPr="00830D5C" w:rsidRDefault="00830D5C" w:rsidP="00830D5C">
      <w:pPr>
        <w:spacing w:before="100" w:beforeAutospacing="1" w:after="100" w:afterAutospacing="1" w:line="240" w:lineRule="auto"/>
        <w:rPr>
          <w:rFonts w:ascii="Times New Roman" w:eastAsia="Times New Roman" w:hAnsi="Times New Roman" w:cs="Times New Roman"/>
          <w:sz w:val="20"/>
          <w:szCs w:val="20"/>
          <w:lang w:eastAsia="en-GB"/>
        </w:rPr>
      </w:pPr>
      <w:r w:rsidRPr="00830D5C">
        <w:rPr>
          <w:rFonts w:ascii="Arial" w:eastAsia="Times New Roman" w:hAnsi="Arial" w:cs="Arial"/>
          <w:sz w:val="20"/>
          <w:szCs w:val="20"/>
          <w:lang w:eastAsia="en-GB"/>
        </w:rPr>
        <w:t>At present, accounting and control systems face several challenges. For example, traditional hierarchical control systems do not fit easily with the modern '</w:t>
      </w:r>
      <w:proofErr w:type="spellStart"/>
      <w:r w:rsidRPr="00830D5C">
        <w:rPr>
          <w:rFonts w:ascii="Arial" w:eastAsia="Times New Roman" w:hAnsi="Arial" w:cs="Arial"/>
          <w:sz w:val="20"/>
          <w:szCs w:val="20"/>
          <w:lang w:eastAsia="en-GB"/>
        </w:rPr>
        <w:t>delayered</w:t>
      </w:r>
      <w:proofErr w:type="spellEnd"/>
      <w:r w:rsidRPr="00830D5C">
        <w:rPr>
          <w:rFonts w:ascii="Arial" w:eastAsia="Times New Roman" w:hAnsi="Arial" w:cs="Arial"/>
          <w:sz w:val="20"/>
          <w:szCs w:val="20"/>
          <w:lang w:eastAsia="en-GB"/>
        </w:rPr>
        <w:t>', 'empowered', 'process-oriented' organization. There are also questions as to how short-term financial controls can be consistent with the quest for strategic positioning and the creation of core competencies.</w:t>
      </w:r>
    </w:p>
    <w:p w:rsidR="00830D5C" w:rsidRPr="00830D5C" w:rsidRDefault="00830D5C" w:rsidP="00830D5C">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830D5C">
        <w:rPr>
          <w:rFonts w:ascii="Arial" w:eastAsia="Times New Roman" w:hAnsi="Arial" w:cs="Arial"/>
          <w:i/>
          <w:iCs/>
          <w:sz w:val="20"/>
          <w:szCs w:val="20"/>
          <w:lang w:eastAsia="en-GB"/>
        </w:rPr>
        <w:t>Jeremy F. Dent</w:t>
      </w:r>
    </w:p>
    <w:p w:rsidR="00830D5C" w:rsidRPr="00830D5C" w:rsidRDefault="00830D5C" w:rsidP="00830D5C">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9" name="Picture 2"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Activity-based costing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From the early 1980s, calls have been made for management accounting to undergo changes that considerably exceed the transformations witnessed in the field over the last seventy years. Among the many novel cost management techniques, activity-based costing (ABC) has received by far the most attention. ABC entails the examination of activities across the entire chain of value-adding organizational processes underlying causes (drivers) of cost. It attempts to overcome cost distortions by addressing cost behaviour parameters, which include non-volume cost drivers reflective of production complexity and product diversity in addition to volume-linked drivers of cost. Although one output of ABC calculations is costs based on resource consumption, the actual process of deriving such costs offers a number of monitors which may be useful for a variety of managerial purposes. These include novel performance measures, altered budgeting techniques and a large amount of decision-making information tied to the broader concept of activity-based management.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Prior to the 1980s, some accounting commentators articulated certain of the broad principles which underpin ABC (for a good discussion, see Bromwich and Wang 1993). However, the literature relating to this accounting approach has developed and illustrated its potential primarily since the late 1980s. Partly, this may have been linked to the efforts of the major proponents of ABC and the support of consultants and other distinguished accounting scholars who promoted the technique during the late 1980s and 1990s. The routes for extolling ABC's virtues have been varied and the reception it has been given by accounting academics, practitioners and industry has been significant, especially when compared with that given to other new techniques. There is now much evidence to show that major enterprises across the Western world have begun to exploit ABC's offerings (see </w:t>
      </w:r>
      <w:proofErr w:type="spellStart"/>
      <w:r w:rsidRPr="007D4471">
        <w:rPr>
          <w:rFonts w:ascii="Arial" w:eastAsia="Times New Roman" w:hAnsi="Arial" w:cs="Arial"/>
          <w:sz w:val="20"/>
          <w:szCs w:val="20"/>
          <w:lang w:eastAsia="en-GB"/>
        </w:rPr>
        <w:t>Bhimani</w:t>
      </w:r>
      <w:proofErr w:type="spellEnd"/>
      <w:r w:rsidRPr="007D4471">
        <w:rPr>
          <w:rFonts w:ascii="Arial" w:eastAsia="Times New Roman" w:hAnsi="Arial" w:cs="Arial"/>
          <w:sz w:val="20"/>
          <w:szCs w:val="20"/>
          <w:lang w:eastAsia="en-GB"/>
        </w:rPr>
        <w:t xml:space="preserve"> 1996). This is being done, by all accounts, in a seemingly irreversible manner. Yet it is also true that many organizations - which for a number of years have acknowledged the necessity of investing in accounting resources that reflect the ideas encompassed by ABC - show little evidence of taking action along these lines. The question remains as to why such a seemingly rational accounting technique has failed to gain total and unreserved allegiance from firms which it would seem likely to benefit.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lastRenderedPageBreak/>
        <w:t xml:space="preserve">Al </w:t>
      </w:r>
      <w:proofErr w:type="spellStart"/>
      <w:r w:rsidRPr="007D4471">
        <w:rPr>
          <w:rFonts w:ascii="Arial" w:eastAsia="Times New Roman" w:hAnsi="Arial" w:cs="Arial"/>
          <w:i/>
          <w:iCs/>
          <w:sz w:val="20"/>
          <w:szCs w:val="20"/>
          <w:lang w:eastAsia="en-GB"/>
        </w:rPr>
        <w:t>Bhimani</w:t>
      </w:r>
      <w:proofErr w:type="spellEnd"/>
    </w:p>
    <w:p w:rsidR="006B3CD9" w:rsidRPr="006B3CD9" w:rsidRDefault="006B3CD9" w:rsidP="007D4471">
      <w:pPr>
        <w:spacing w:before="100" w:beforeAutospacing="1" w:after="100" w:afterAutospacing="1" w:line="240" w:lineRule="auto"/>
        <w:rPr>
          <w:rFonts w:ascii="Times New Roman" w:eastAsia="Times New Roman" w:hAnsi="Times New Roman" w:cs="Times New Roman"/>
          <w:i/>
          <w:iCs/>
          <w:sz w:val="20"/>
          <w:szCs w:val="20"/>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2" name="Picture 9"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Asset valuation, depreciation and provisions</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Economic descriptions of enterprises by accountants are based on asset valuations. The usefulness of any valuation method depends upon the scenario in which the valuation takes place. There are two primary scenarios. </w:t>
      </w:r>
      <w:proofErr w:type="gramStart"/>
      <w:r w:rsidRPr="007D4471">
        <w:rPr>
          <w:rFonts w:ascii="Arial" w:eastAsia="Times New Roman" w:hAnsi="Arial" w:cs="Arial"/>
          <w:sz w:val="20"/>
          <w:szCs w:val="20"/>
          <w:lang w:eastAsia="en-GB"/>
        </w:rPr>
        <w:t>A buy and sale setting where a single transaction is concerned, and a going concern setting where valuation is made on the assumption that the asset is controlled over a period of time.</w:t>
      </w:r>
      <w:proofErr w:type="gramEnd"/>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Economic concepts such as capital, profit, liquidity or the growth of an enterprise are made concrete by accounting measures. Despite their different constructs, all these measures are constructed in a similar way. They are based on stocks or flows of goods that are measured in monetary terms. The concept of an asset embraces in a narrow sense stocks of goods with a positive value only, such as tangible assets, intangible assets or financial assets; however, it is often expanded to include liabilities or negative assets as well. In accounting terms, the fact that an asset has value derives from the fact that it will provide future benefits and/or disadvantages to the economic entity controlling the asset. Valuation allows the aggregation of different benefits and advantages and thereby allows more complex measures for describing the situation of the business.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 xml:space="preserve">Dieter </w:t>
      </w:r>
      <w:proofErr w:type="spellStart"/>
      <w:r w:rsidRPr="007D4471">
        <w:rPr>
          <w:rFonts w:ascii="Arial" w:eastAsia="Times New Roman" w:hAnsi="Arial" w:cs="Arial"/>
          <w:i/>
          <w:iCs/>
          <w:sz w:val="20"/>
          <w:szCs w:val="20"/>
          <w:lang w:eastAsia="en-GB"/>
        </w:rPr>
        <w:t>Ordelheide</w:t>
      </w:r>
      <w:proofErr w:type="spellEnd"/>
      <w:r w:rsidRPr="007D4471">
        <w:rPr>
          <w:rFonts w:ascii="Arial" w:eastAsia="Times New Roman" w:hAnsi="Arial" w:cs="Arial"/>
          <w:i/>
          <w:iCs/>
          <w:sz w:val="20"/>
          <w:szCs w:val="20"/>
          <w:lang w:eastAsia="en-GB"/>
        </w:rPr>
        <w:t xml:space="preserve"> and Christian </w:t>
      </w:r>
      <w:proofErr w:type="spellStart"/>
      <w:r w:rsidRPr="007D4471">
        <w:rPr>
          <w:rFonts w:ascii="Arial" w:eastAsia="Times New Roman" w:hAnsi="Arial" w:cs="Arial"/>
          <w:i/>
          <w:iCs/>
          <w:sz w:val="20"/>
          <w:szCs w:val="20"/>
          <w:lang w:eastAsia="en-GB"/>
        </w:rPr>
        <w:t>Leuz</w:t>
      </w:r>
      <w:proofErr w:type="spellEnd"/>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4" name="Picture 14"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Auditing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As we approach the year 2000, there is increasing publicity, fuelled incessantly by major financial scandals (such as BCCI, Barings) concerning auditing and the work of auditors. It is a subject with ever-widening horizons, continually developing, in both the scope of what is regarded as the activity of auditing and the nature of the approaches/practices adopted in undertaking that activity. All those who rely on financial statements are affected by the auditor's work, yet the nature, practice and limitations of auditing are not well known outside the auditing profession.</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To the layperson, auditing has tended to be an obscure or misunderstood subject. What actually is an audit and how does it differ from accounting? The nature of auditing in terms of its underlying principles leads to </w:t>
      </w:r>
      <w:proofErr w:type="spellStart"/>
      <w:r w:rsidRPr="007D4471">
        <w:rPr>
          <w:rFonts w:ascii="Arial" w:eastAsia="Times New Roman" w:hAnsi="Arial" w:cs="Arial"/>
          <w:sz w:val="20"/>
          <w:szCs w:val="20"/>
          <w:lang w:eastAsia="en-GB"/>
        </w:rPr>
        <w:t>to</w:t>
      </w:r>
      <w:proofErr w:type="spellEnd"/>
      <w:r w:rsidRPr="007D4471">
        <w:rPr>
          <w:rFonts w:ascii="Arial" w:eastAsia="Times New Roman" w:hAnsi="Arial" w:cs="Arial"/>
          <w:sz w:val="20"/>
          <w:szCs w:val="20"/>
          <w:lang w:eastAsia="en-GB"/>
        </w:rPr>
        <w:t xml:space="preserve"> questions of why audits should take place at all, who should normally be required to have them and what the basic statutory audit requirements should be. The scope of the audit is highlighted by the various financial statements and accounting records which are subject to an audit. The conduct of audits, auditing standards and the nature of an auditor's report (the only tangible product to outside parties at the end of the audit) are just some of the important issues that need to be addressed.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comments above apply primarily to the external audit of companies. However, the basic points also apply to the audits of other organizations (such as central government, banks, trade unions) although the scope of the audit then required by the relevant statute or organization may stipulate further audit requirements.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It is important to stress that auditing </w:t>
      </w:r>
      <w:proofErr w:type="spellStart"/>
      <w:r w:rsidRPr="007D4471">
        <w:rPr>
          <w:rFonts w:ascii="Arial" w:eastAsia="Times New Roman" w:hAnsi="Arial" w:cs="Arial"/>
          <w:sz w:val="20"/>
          <w:szCs w:val="20"/>
          <w:lang w:eastAsia="en-GB"/>
        </w:rPr>
        <w:t>ahs</w:t>
      </w:r>
      <w:proofErr w:type="spellEnd"/>
      <w:r w:rsidRPr="007D4471">
        <w:rPr>
          <w:rFonts w:ascii="Arial" w:eastAsia="Times New Roman" w:hAnsi="Arial" w:cs="Arial"/>
          <w:sz w:val="20"/>
          <w:szCs w:val="20"/>
          <w:lang w:eastAsia="en-GB"/>
        </w:rPr>
        <w:t xml:space="preserve"> its limitations; an auditor's report is only an opinion that provides a reasonable assurance that accounts can be relied upon, not a guarantee of truth. For example, audited financial information is of value only so long as it is reasonably current. Also, it is not </w:t>
      </w:r>
      <w:r w:rsidRPr="007D4471">
        <w:rPr>
          <w:rFonts w:ascii="Arial" w:eastAsia="Times New Roman" w:hAnsi="Arial" w:cs="Arial"/>
          <w:sz w:val="20"/>
          <w:szCs w:val="20"/>
          <w:lang w:eastAsia="en-GB"/>
        </w:rPr>
        <w:lastRenderedPageBreak/>
        <w:t>the auditor's duty to prevent or detect frauds. Thus, although audited statements are very valuable, they should not be used solely to assess the financial strength of an organization.</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Paul Saw</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9" name="Picture 19"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Budgetary control</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 manager's responsibility is not to forecast the future, it is to contribute to its creation, and to do so means to be continuously mobilizing all resources in the organization to adapt to and exploit the opportunities that appear. Budgets and budgeting are processes and procedures that aim at contributing to such a mission. A budget is a statement, a declaration of actions intended to be carried out in a coordinated way by the various actors in an organization, whether for profit or not. A budget reflects answers to one key question: how are we going to go from where we are to where we want to be? A budget is one of the ways through which energies are mobilized and channelled for the successful implementation of the business strategic intent.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Budgets and budgeting processes have a variety of purposes, all of which must be pursued simultaneously. First, they offer a forum for coordinated decision making, including identifying and allocating the resources necessary to carry out the organization’s mission efficiently and effectively. Second, the promulgation of the budget communicates intent, plans and values, and can then be used to build commitment. Finally, budgets establish benchmarks for performance </w:t>
      </w:r>
      <w:proofErr w:type="gramStart"/>
      <w:r w:rsidRPr="007D4471">
        <w:rPr>
          <w:rFonts w:ascii="Arial" w:eastAsia="Times New Roman" w:hAnsi="Arial" w:cs="Arial"/>
          <w:sz w:val="20"/>
          <w:szCs w:val="20"/>
          <w:lang w:eastAsia="en-GB"/>
        </w:rPr>
        <w:t>measures,</w:t>
      </w:r>
      <w:proofErr w:type="gramEnd"/>
      <w:r w:rsidRPr="007D4471">
        <w:rPr>
          <w:rFonts w:ascii="Arial" w:eastAsia="Times New Roman" w:hAnsi="Arial" w:cs="Arial"/>
          <w:sz w:val="20"/>
          <w:szCs w:val="20"/>
          <w:lang w:eastAsia="en-GB"/>
        </w:rPr>
        <w:t xml:space="preserve"> provide a basis for variance analysis and assist in the management or performance improvement.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Almost all European businesses use some form of budget. Yet many managers are not fully satisfied with their budgeting system. New forms of budgeting are now emerging, and it seems likely that budgeting, like other business tools, will increasingly become subject to processes of continuous adaptation.</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 xml:space="preserve">Michel </w:t>
      </w:r>
      <w:proofErr w:type="spellStart"/>
      <w:r w:rsidRPr="007D4471">
        <w:rPr>
          <w:rFonts w:ascii="Arial" w:eastAsia="Times New Roman" w:hAnsi="Arial" w:cs="Arial"/>
          <w:i/>
          <w:iCs/>
          <w:sz w:val="20"/>
          <w:szCs w:val="20"/>
          <w:lang w:eastAsia="en-GB"/>
        </w:rPr>
        <w:t>Lebas</w:t>
      </w:r>
      <w:proofErr w:type="spellEnd"/>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4" name="Picture 24"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Cash flow accounting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Cash flow accounting (CFA) is a formal term which originated in the UK accounting theory literature of the early 1970s. It has become an important part of the language of worldwide accounting practice. CFA describes a system of accounting designed to provide information about the periodic cash inflows and outflows of a reporting entity.</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CFA statements are communicated to a variety of internal and external decision makers, and take different forms depending on their specific needs. For example, CFA statements for internal management purposes usually include information on forecast and actual cash flows. However, CFA statements for external use are based solely on historical data required by regulation.</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CFA data describe physical movements of cash resources to and from a reporting entity. They are derived from its cash transactions, and accounted for without adjustment for accruals or allocations. CFA avoids many of the measurement problems inherent in conventional accounting. However, CFA data require to be classified for reporting purposes. The main categories of cash flow describe the operating, investing and financing activities of a reporting entity. When articulated in report form, they </w:t>
      </w:r>
      <w:r w:rsidRPr="007D4471">
        <w:rPr>
          <w:rFonts w:ascii="Arial" w:eastAsia="Times New Roman" w:hAnsi="Arial" w:cs="Arial"/>
          <w:sz w:val="20"/>
          <w:szCs w:val="20"/>
          <w:lang w:eastAsia="en-GB"/>
        </w:rPr>
        <w:lastRenderedPageBreak/>
        <w:t>provide a decision maker with information useful for assessing the liquidity performance of the entity and its management. More specifically, a CFA statement describes the extent to which the entity is dependent on internal and external cash funding, and the uses to which such funding is put by its management.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CFA statements are distinguishable from conventional financial statements, which describe a reporting entity's financial performance in terms of profit and financial position. Conventional statements describe its overall financial performance and, in particular, its profitability. CFA statements focus on the liquidity aspects of that performance. Thus, in practice, CFA statements form part of a total package of financial information. However, in theory, they have been considered as a complete system of financial accounting and reporting.</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Tom Lee</w:t>
      </w: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3" name="Picture 29"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Consolidated accounting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Consolidated financial statements are the financial statements of a group of individual entities combined together by a process of consolidation and presented as the statements of the group as if the group were a single enterprise. The consolidation process involves adjusting and combining the individual financial statements of the entities on a line-by-line basis (that is, by adding together corresponding items of assets, liabilities, equity, revenues and expenses). The consolidated statements are the statements of an </w:t>
      </w:r>
      <w:r w:rsidRPr="007D4471">
        <w:rPr>
          <w:rFonts w:ascii="Arial" w:eastAsia="Times New Roman" w:hAnsi="Arial" w:cs="Arial"/>
          <w:i/>
          <w:iCs/>
          <w:sz w:val="20"/>
          <w:szCs w:val="20"/>
          <w:lang w:eastAsia="en-GB"/>
        </w:rPr>
        <w:t xml:space="preserve">economic entity </w:t>
      </w:r>
      <w:r w:rsidRPr="007D4471">
        <w:rPr>
          <w:rFonts w:ascii="Arial" w:eastAsia="Times New Roman" w:hAnsi="Arial" w:cs="Arial"/>
          <w:sz w:val="20"/>
          <w:szCs w:val="20"/>
          <w:lang w:eastAsia="en-GB"/>
        </w:rPr>
        <w:t xml:space="preserve">rather than those of a single legal entity, the economic entity consisting of the combined net assets of a number of legal entities. The consolidated financial statements generally consist of a consolidated balance sheet and a consolidated profit and loss account (income statement) but may include a consolidated cash flow statement. The main entity in the economic entity is referred to as the </w:t>
      </w:r>
      <w:r w:rsidRPr="007D4471">
        <w:rPr>
          <w:rFonts w:ascii="Arial" w:eastAsia="Times New Roman" w:hAnsi="Arial" w:cs="Arial"/>
          <w:i/>
          <w:iCs/>
          <w:sz w:val="20"/>
          <w:szCs w:val="20"/>
          <w:lang w:eastAsia="en-GB"/>
        </w:rPr>
        <w:t xml:space="preserve">parent entity </w:t>
      </w:r>
      <w:r w:rsidRPr="007D4471">
        <w:rPr>
          <w:rFonts w:ascii="Arial" w:eastAsia="Times New Roman" w:hAnsi="Arial" w:cs="Arial"/>
          <w:sz w:val="20"/>
          <w:szCs w:val="20"/>
          <w:lang w:eastAsia="en-GB"/>
        </w:rPr>
        <w:t xml:space="preserve">or parent undertaking, and the other entities as </w:t>
      </w:r>
      <w:r w:rsidRPr="007D4471">
        <w:rPr>
          <w:rFonts w:ascii="Arial" w:eastAsia="Times New Roman" w:hAnsi="Arial" w:cs="Arial"/>
          <w:i/>
          <w:iCs/>
          <w:sz w:val="20"/>
          <w:szCs w:val="20"/>
          <w:lang w:eastAsia="en-GB"/>
        </w:rPr>
        <w:t xml:space="preserve">subsidiaries </w:t>
      </w:r>
      <w:r w:rsidRPr="007D4471">
        <w:rPr>
          <w:rFonts w:ascii="Arial" w:eastAsia="Times New Roman" w:hAnsi="Arial" w:cs="Arial"/>
          <w:sz w:val="20"/>
          <w:szCs w:val="20"/>
          <w:lang w:eastAsia="en-GB"/>
        </w:rPr>
        <w:t>or subsidiary undertakings.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In preparing the consolidated statements, one of the key decisions is determining which entities are to be included in the economic entity. This decision is affected by the objectives of preparing the statements. The consolidation process itself, often undertaken using a worksheet or computer spreadsheet, involves adjusting for investments held by a parent entity in a subsidiary and for transactions between the members of the economic entity. The adjustments for the investment by a parent entity in a subsidiary involve an analysis of the acquisition of shares or other ownership by a parent in a subsidiary, which necessitates an analysis of the fair values of the net assets of the subsidiary at the date of acquisition, including any goodwill in the subsidiary. The relative wealth of the parent entity equity holders apart from the parent entity, called the minority interest, is also reported.</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preparation of consolidated statements throughout the world is not uniform. Legislation and accounting standards in separate countries produce different rules. The use of variations, such as equity accounting, the pooling of interests, method and proportional consolidation, differs between countries.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Ken Leo</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5" name="Picture 35"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Cost–volume–profit relationships</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lastRenderedPageBreak/>
        <w:t>Cost-volume-profit (CVP) analysis provides a model of the relationships between volume sold, costs incurred and profit realized. It relies upon the distinction between variable costs and fixed costs, which is made on the sole basis of volume. There are several forms of this model, including: the basic model, established for single-product firms; an adaptation of this model for companies producing multiple products; several more sophisticated 'probabilistic' models. CVP analysis enables the economic evaluation of short-run decisions. It relies upon simple hypotheses, which necessarily distance the model from reality and thus need validating before relevant usage.</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The development of new management forms, especially in the field of industrial organization, makes the validity of these hypotheses more and more open to question. The basic distinction between variable and fixed costs was indeed consistent with a former strategic logic. The emergence of new approaches has given rise to the search for new cost behaviour patterns and new cost analysis methods. Activity-based costing may be viewed as an enlargement and an enrichment of the basic CVP model, which none the less retains a certain conceptual value.</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proofErr w:type="spellStart"/>
      <w:r w:rsidRPr="007D4471">
        <w:rPr>
          <w:rFonts w:ascii="Arial" w:eastAsia="Times New Roman" w:hAnsi="Arial" w:cs="Arial"/>
          <w:i/>
          <w:iCs/>
          <w:sz w:val="20"/>
          <w:szCs w:val="20"/>
          <w:lang w:eastAsia="en-GB"/>
        </w:rPr>
        <w:t>Annick</w:t>
      </w:r>
      <w:proofErr w:type="spellEnd"/>
      <w:r w:rsidRPr="007D4471">
        <w:rPr>
          <w:rFonts w:ascii="Arial" w:eastAsia="Times New Roman" w:hAnsi="Arial" w:cs="Arial"/>
          <w:i/>
          <w:iCs/>
          <w:sz w:val="20"/>
          <w:szCs w:val="20"/>
          <w:lang w:eastAsia="en-GB"/>
        </w:rPr>
        <w:t xml:space="preserve"> Bourguignon</w:t>
      </w:r>
    </w:p>
    <w:p w:rsidR="006B3CD9" w:rsidRPr="006B3CD9" w:rsidRDefault="006B3CD9" w:rsidP="007D4471">
      <w:pPr>
        <w:spacing w:after="0" w:line="240" w:lineRule="auto"/>
        <w:rPr>
          <w:rFonts w:ascii="Times New Roman" w:eastAsia="Times New Roman" w:hAnsi="Times New Roman" w:cs="Times New Roman"/>
          <w:sz w:val="36"/>
          <w:szCs w:val="36"/>
          <w:lang w:eastAsia="en-GB"/>
        </w:rPr>
      </w:pPr>
    </w:p>
    <w:p w:rsidR="006B3CD9" w:rsidRPr="006B3CD9" w:rsidRDefault="006B3CD9" w:rsidP="006B3CD9">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Arial" w:eastAsia="Times New Roman" w:hAnsi="Arial" w:cs="Arial"/>
          <w:color w:val="000000"/>
          <w:sz w:val="20"/>
          <w:szCs w:val="20"/>
          <w:lang w:eastAsia="en-GB"/>
        </w:rPr>
      </w:pPr>
      <w:r>
        <w:rPr>
          <w:rFonts w:ascii="Arial" w:eastAsia="Times New Roman" w:hAnsi="Arial" w:cs="Arial"/>
          <w:noProof/>
          <w:color w:val="000000"/>
          <w:sz w:val="36"/>
          <w:szCs w:val="36"/>
          <w:lang w:eastAsia="en-GB"/>
        </w:rPr>
        <w:drawing>
          <wp:inline distT="0" distB="0" distL="0" distR="0">
            <wp:extent cx="914400" cy="666750"/>
            <wp:effectExtent l="19050" t="0" r="0" b="0"/>
            <wp:docPr id="41" name="Picture 41"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Costing</w:t>
      </w:r>
      <w:r w:rsidRPr="007D4471">
        <w:rPr>
          <w:rFonts w:ascii="Arial" w:eastAsia="Times New Roman" w:hAnsi="Arial" w:cs="Arial"/>
          <w:color w:val="000000"/>
          <w:sz w:val="20"/>
          <w:szCs w:val="20"/>
          <w:lang w:eastAsia="en-GB"/>
        </w:rPr>
        <w:t xml:space="preserve"> </w:t>
      </w:r>
    </w:p>
    <w:p w:rsidR="007D4471" w:rsidRPr="007D4471" w:rsidRDefault="007D4471" w:rsidP="007D4471">
      <w:pPr>
        <w:spacing w:before="100" w:beforeAutospacing="1" w:after="100" w:afterAutospacing="1" w:line="240" w:lineRule="auto"/>
        <w:rPr>
          <w:rFonts w:ascii="Arial" w:eastAsia="Times New Roman" w:hAnsi="Arial" w:cs="Arial"/>
          <w:color w:val="000000"/>
          <w:sz w:val="20"/>
          <w:szCs w:val="20"/>
          <w:lang w:eastAsia="en-GB"/>
        </w:rPr>
      </w:pPr>
      <w:r w:rsidRPr="007D4471">
        <w:rPr>
          <w:rFonts w:ascii="Arial" w:eastAsia="Times New Roman" w:hAnsi="Arial" w:cs="Arial"/>
          <w:color w:val="000000"/>
          <w:sz w:val="20"/>
          <w:szCs w:val="20"/>
          <w:lang w:eastAsia="en-GB"/>
        </w:rPr>
        <w:t xml:space="preserve">A costing system constitutes one of the most important elements of the managerial information system. Its presence enables the organization to meet three objectives. First, it enables the organization to </w:t>
      </w:r>
      <w:proofErr w:type="gramStart"/>
      <w:r w:rsidRPr="007D4471">
        <w:rPr>
          <w:rFonts w:ascii="Arial" w:eastAsia="Times New Roman" w:hAnsi="Arial" w:cs="Arial"/>
          <w:color w:val="000000"/>
          <w:sz w:val="20"/>
          <w:szCs w:val="20"/>
          <w:lang w:eastAsia="en-GB"/>
        </w:rPr>
        <w:t>effect</w:t>
      </w:r>
      <w:proofErr w:type="gramEnd"/>
      <w:r w:rsidRPr="007D4471">
        <w:rPr>
          <w:rFonts w:ascii="Arial" w:eastAsia="Times New Roman" w:hAnsi="Arial" w:cs="Arial"/>
          <w:color w:val="000000"/>
          <w:sz w:val="20"/>
          <w:szCs w:val="20"/>
          <w:lang w:eastAsia="en-GB"/>
        </w:rPr>
        <w:t xml:space="preserve"> managerial control. Without a costing system, organizations would not be able to make managers at all levels accountable for the costs of the resources they consume and identify whether they have been used efficiently and effectively. Second, cost information is an important element of the planning and decision-making process. Businesses develop, produce and market products and services. Identifying which products and services to bring to market would not be possible without a product costing system. Third, most organizations are legally bound to provide reports to external parties. The costing system serves to facilitate this legal requirement.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D4471">
        <w:rPr>
          <w:rFonts w:ascii="Arial" w:eastAsia="Times New Roman" w:hAnsi="Arial" w:cs="Arial"/>
          <w:color w:val="000000"/>
          <w:sz w:val="20"/>
          <w:szCs w:val="20"/>
          <w:lang w:eastAsia="en-GB"/>
        </w:rPr>
        <w:t>Poorly constructed systems can lead to poor or bad decision making. If the determination of product costs is inadequate, firms may be sourcing inputs inefficiently and producing products that fail to bring them a competitive advantage. Furthermore, the system of responsibility accounting may be rewarding managers for making these poor decisions.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D4471">
        <w:rPr>
          <w:rFonts w:ascii="Arial" w:eastAsia="Times New Roman" w:hAnsi="Arial" w:cs="Arial"/>
          <w:color w:val="000000"/>
          <w:sz w:val="20"/>
          <w:szCs w:val="20"/>
          <w:lang w:eastAsia="en-GB"/>
        </w:rPr>
        <w:t>Decentralization of costing, with the establishment of responsibility centres within the organization, can facilitate managerial planning and control. Responsibility centres are often classified into two types, production centres and service centres. Service centres provide services to other centres, and the costs accumulated in these centres are often reallocated to the responsible production or operating centres. Overhead costs can also be allocated in different ways: the principal ones are absorption costing, where fixed production overheads are considered a product cost, or contribution costing, where overheads are considered a period cost.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D4471">
        <w:rPr>
          <w:rFonts w:ascii="Arial" w:eastAsia="Times New Roman" w:hAnsi="Arial" w:cs="Arial"/>
          <w:color w:val="000000"/>
          <w:sz w:val="20"/>
          <w:szCs w:val="20"/>
          <w:lang w:eastAsia="en-GB"/>
        </w:rPr>
        <w:t xml:space="preserve">The most important costing systems are job costing and process costing. Job costing is literally the costing of each job; this has its drawbacks in that it produces only an estimated product cost, as actual overheads are unknown at the time when the product cost is required. Process costing is used when homogeneous units of output are produced repeatedly through a sequence of processes, but it too produces only an estimate product cost, and neither system takes into account the accumulated costs of other activities such as marketing and distribution. More recently, simpler systems such as </w:t>
      </w:r>
      <w:proofErr w:type="spellStart"/>
      <w:r w:rsidRPr="007D4471">
        <w:rPr>
          <w:rFonts w:ascii="Arial" w:eastAsia="Times New Roman" w:hAnsi="Arial" w:cs="Arial"/>
          <w:color w:val="000000"/>
          <w:sz w:val="20"/>
          <w:szCs w:val="20"/>
          <w:lang w:eastAsia="en-GB"/>
        </w:rPr>
        <w:t>backflush</w:t>
      </w:r>
      <w:proofErr w:type="spellEnd"/>
      <w:r w:rsidRPr="007D4471">
        <w:rPr>
          <w:rFonts w:ascii="Arial" w:eastAsia="Times New Roman" w:hAnsi="Arial" w:cs="Arial"/>
          <w:color w:val="000000"/>
          <w:sz w:val="20"/>
          <w:szCs w:val="20"/>
          <w:lang w:eastAsia="en-GB"/>
        </w:rPr>
        <w:t xml:space="preserve"> costing and operational costing (a hybrid of job and process costing) have come into use. </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7D4471">
        <w:rPr>
          <w:rFonts w:ascii="Arial" w:eastAsia="Times New Roman" w:hAnsi="Arial" w:cs="Arial"/>
          <w:i/>
          <w:iCs/>
          <w:color w:val="000000"/>
          <w:sz w:val="20"/>
          <w:lang w:eastAsia="en-GB"/>
        </w:rPr>
        <w:t>A.R. Appleyard</w:t>
      </w:r>
    </w:p>
    <w:p w:rsidR="007D4471" w:rsidRPr="007D4471" w:rsidRDefault="007D4471" w:rsidP="007D4471">
      <w:pPr>
        <w:spacing w:after="0" w:line="240" w:lineRule="auto"/>
        <w:rPr>
          <w:rFonts w:ascii="Times New Roman" w:eastAsia="Times New Roman" w:hAnsi="Times New Roman" w:cs="Times New Roman"/>
          <w:color w:val="000000"/>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6" name="Picture 46"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Accounting, creative</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Creative accounting is not so much a new phenomenon, but rather a taking to new extremes of what has long been part of the accountant's art. The objectives are generally either to improve reported earnings or to enhance the company's debt/equity ratio. While unadjusted profits often fluctuate from year to year, the market looks for steadily rising earnings, which impact upon both the share price and the market. The debt/equity ratio provides an indication of risk, and is often used by lenders to restrict further borrowing.</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Profit enhancement can be achieved by spreading expenses over several years, by changing depreciation, by manipulation of foreign currency loans and by timing of revenues on long-term contracts. Complex capital instruments blur distinctions between debt and equity and provide many opportunities to improve ratios. This can also be done with off-balance-sheet financing.</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Mergers and acquisitions bring their own problems - and accounting opportunities. Merger accounting avoids the goodwill problem, but fair value adjustments in acquisition accounting provide ways of influencing future profits and the balance sheet. If all else fails, the company can write off all its bad news in one year, as well as provide against future losses to help cushion future profits.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Peter Walton</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51" name="Picture 51"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Financial accounting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beginnings of accounting, which precede even the first use of figures, date from before the time of recorded history. The first attempts at modern corporate accounting, however, are usually traced to the late </w:t>
      </w:r>
      <w:proofErr w:type="gramStart"/>
      <w:r w:rsidRPr="007D4471">
        <w:rPr>
          <w:rFonts w:ascii="Arial" w:eastAsia="Times New Roman" w:hAnsi="Arial" w:cs="Arial"/>
          <w:sz w:val="20"/>
          <w:szCs w:val="20"/>
          <w:lang w:eastAsia="en-GB"/>
        </w:rPr>
        <w:t>Middle</w:t>
      </w:r>
      <w:proofErr w:type="gramEnd"/>
      <w:r w:rsidRPr="007D4471">
        <w:rPr>
          <w:rFonts w:ascii="Arial" w:eastAsia="Times New Roman" w:hAnsi="Arial" w:cs="Arial"/>
          <w:sz w:val="20"/>
          <w:szCs w:val="20"/>
          <w:lang w:eastAsia="en-GB"/>
        </w:rPr>
        <w:t xml:space="preserve"> Ages. Double-entry accounting, now used throughout the world, is not a fixed set of techniques, but rather a system that is continually being perfected and adapted to the needs of firms and their economic environments. Some authors, such as the German economist Werner </w:t>
      </w:r>
      <w:proofErr w:type="spellStart"/>
      <w:r w:rsidRPr="007D4471">
        <w:rPr>
          <w:rFonts w:ascii="Arial" w:eastAsia="Times New Roman" w:hAnsi="Arial" w:cs="Arial"/>
          <w:sz w:val="20"/>
          <w:szCs w:val="20"/>
          <w:lang w:eastAsia="en-GB"/>
        </w:rPr>
        <w:t>Sombart</w:t>
      </w:r>
      <w:proofErr w:type="spellEnd"/>
      <w:r w:rsidRPr="007D4471">
        <w:rPr>
          <w:rFonts w:ascii="Arial" w:eastAsia="Times New Roman" w:hAnsi="Arial" w:cs="Arial"/>
          <w:sz w:val="20"/>
          <w:szCs w:val="20"/>
          <w:lang w:eastAsia="en-GB"/>
        </w:rPr>
        <w:t>, would see it as a major factor in the development of capitalism. Without question, double-entry book-keeping is still the primary information system available to firms.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Today, it is possible to define accounting as a system of producing and communicating information about the firm. This system can be divided into two main sub-systems. The first provides information used within a firm itself for internal management. For this reason, it is called management accounting. The second sub-</w:t>
      </w:r>
      <w:proofErr w:type="gramStart"/>
      <w:r w:rsidRPr="007D4471">
        <w:rPr>
          <w:rFonts w:ascii="Arial" w:eastAsia="Times New Roman" w:hAnsi="Arial" w:cs="Arial"/>
          <w:sz w:val="20"/>
          <w:szCs w:val="20"/>
          <w:lang w:eastAsia="en-GB"/>
        </w:rPr>
        <w:t>system,</w:t>
      </w:r>
      <w:proofErr w:type="gramEnd"/>
      <w:r w:rsidRPr="007D4471">
        <w:rPr>
          <w:rFonts w:ascii="Arial" w:eastAsia="Times New Roman" w:hAnsi="Arial" w:cs="Arial"/>
          <w:sz w:val="20"/>
          <w:szCs w:val="20"/>
          <w:lang w:eastAsia="en-GB"/>
        </w:rPr>
        <w:t xml:space="preserve"> provides information for external use by a firm's economic and social partners. It is called general accounting, or, more frequently, financial accounting.</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Information is provided by financial accountants through a series of documents, including the balance sheet, the income statement, the statement of retained earnings and the cash flow statement. The formats of these tend to be regulated and standardized, depending on the regulatory regime in the country in question. These basic documents have limitations, in that they cannot provide complete information about the firm. Accordingly, new types of report are now beginning to be used, such as methods of accounting for inflation, employee reports and social accounts, reporting on the organization's social programmes.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 xml:space="preserve">Bernard </w:t>
      </w:r>
      <w:proofErr w:type="spellStart"/>
      <w:r w:rsidRPr="007D4471">
        <w:rPr>
          <w:rFonts w:ascii="Arial" w:eastAsia="Times New Roman" w:hAnsi="Arial" w:cs="Arial"/>
          <w:i/>
          <w:iCs/>
          <w:sz w:val="20"/>
          <w:szCs w:val="20"/>
          <w:lang w:eastAsia="en-GB"/>
        </w:rPr>
        <w:t>Colasse</w:t>
      </w:r>
      <w:proofErr w:type="spellEnd"/>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lastRenderedPageBreak/>
        <w:drawing>
          <wp:inline distT="0" distB="0" distL="0" distR="0">
            <wp:extent cx="914400" cy="666750"/>
            <wp:effectExtent l="19050" t="0" r="0" b="0"/>
            <wp:docPr id="16" name="Picture 56"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Financial reporting, social theories of</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Accountability can be defined as the requirement for one party (an agent) to give an 'account' to another (a principal). The principal requires, or is entitled to require, that the agent acts in particular ways and accounts for his actions, thereby providing evidence of the discharge of his duties. Where the relationship is one of financial accountability then the agent will provide financial accounts. However, accountability relations need not always be financial in form; different societies at different times support different forms of corporate and personal accountability. Perhaps the most commonly understood relation of accountability is established by explicit legal contract between two parties. In this case, financial accounting may provide a basis for monitoring compliance with the contract. Alternatively, ideas about accountability may be informed by moral and political frameworks. For example, if society is concerned with accountability for the welfare of future generations then this might require a form of accounting very different from the financial reporting practices which exist currently. The general point is that an accountability structure describes social relations and expresses social values and choices which are either presumed to exist or presumed to be desirable. Social theories of financial accounting are concerned with two aspects of this structure: the identity of principals and agents and the nature of the information </w:t>
      </w:r>
      <w:proofErr w:type="gramStart"/>
      <w:r w:rsidRPr="007D4471">
        <w:rPr>
          <w:rFonts w:ascii="Arial" w:eastAsia="Times New Roman" w:hAnsi="Arial" w:cs="Arial"/>
          <w:sz w:val="20"/>
          <w:szCs w:val="20"/>
          <w:lang w:eastAsia="en-GB"/>
        </w:rPr>
        <w:t>flows</w:t>
      </w:r>
      <w:proofErr w:type="gramEnd"/>
      <w:r w:rsidRPr="007D4471">
        <w:rPr>
          <w:rFonts w:ascii="Arial" w:eastAsia="Times New Roman" w:hAnsi="Arial" w:cs="Arial"/>
          <w:sz w:val="20"/>
          <w:szCs w:val="20"/>
          <w:lang w:eastAsia="en-GB"/>
        </w:rPr>
        <w:t xml:space="preserve"> between them.</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Michael Power</w:t>
      </w: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8" name="Picture 62"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Financial statement analysis</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Financial statement analysis (FSA) is a general term used to describe the activity of interpreting and using, as opposed to preparing, financial statements, </w:t>
      </w:r>
      <w:proofErr w:type="gramStart"/>
      <w:r w:rsidRPr="007D4471">
        <w:rPr>
          <w:rFonts w:ascii="Arial" w:eastAsia="Times New Roman" w:hAnsi="Arial" w:cs="Arial"/>
          <w:sz w:val="20"/>
          <w:szCs w:val="20"/>
          <w:lang w:eastAsia="en-GB"/>
        </w:rPr>
        <w:t>primarily</w:t>
      </w:r>
      <w:proofErr w:type="gramEnd"/>
      <w:r w:rsidRPr="007D4471">
        <w:rPr>
          <w:rFonts w:ascii="Arial" w:eastAsia="Times New Roman" w:hAnsi="Arial" w:cs="Arial"/>
          <w:sz w:val="20"/>
          <w:szCs w:val="20"/>
          <w:lang w:eastAsia="en-GB"/>
        </w:rPr>
        <w:t xml:space="preserve"> accounting data. It therefore extends from professional financial analysts employed at great expense by financial institutions for their skill at 'reading between the lines' of company balance sheets to employees and potential employees who simply want to know things such as how well the firm is doing and who owns it. The traditional tools of FSA are financial ratios, including profitability, activity, the management of working capital, growth, liquidity, the balance sheet, </w:t>
      </w:r>
      <w:proofErr w:type="gramStart"/>
      <w:r w:rsidRPr="007D4471">
        <w:rPr>
          <w:rFonts w:ascii="Arial" w:eastAsia="Times New Roman" w:hAnsi="Arial" w:cs="Arial"/>
          <w:sz w:val="20"/>
          <w:szCs w:val="20"/>
          <w:lang w:eastAsia="en-GB"/>
        </w:rPr>
        <w:t>capital</w:t>
      </w:r>
      <w:proofErr w:type="gramEnd"/>
      <w:r w:rsidRPr="007D4471">
        <w:rPr>
          <w:rFonts w:ascii="Arial" w:eastAsia="Times New Roman" w:hAnsi="Arial" w:cs="Arial"/>
          <w:sz w:val="20"/>
          <w:szCs w:val="20"/>
          <w:lang w:eastAsia="en-GB"/>
        </w:rPr>
        <w:t xml:space="preserve"> structure and investment data. Traditionally, financial analysts have used historical ratios combined with experience and judgement; recently, the development of powerful statistical techniques and databases has resulted in the application of statistical mechanical methods which can be used to make forecasts and predictions.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Paul Barnes</w:t>
      </w: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68" name="Picture 68"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Gender and accounting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What is most often discussed under the heading 'gender and accounting' are the problems of women working as professional </w:t>
      </w:r>
      <w:proofErr w:type="gramStart"/>
      <w:r w:rsidRPr="007D4471">
        <w:rPr>
          <w:rFonts w:ascii="Arial" w:eastAsia="Times New Roman" w:hAnsi="Arial" w:cs="Arial"/>
          <w:sz w:val="20"/>
          <w:szCs w:val="20"/>
          <w:lang w:eastAsia="en-GB"/>
        </w:rPr>
        <w:t>accountants.</w:t>
      </w:r>
      <w:proofErr w:type="gramEnd"/>
      <w:r w:rsidRPr="007D4471">
        <w:rPr>
          <w:rFonts w:ascii="Arial" w:eastAsia="Times New Roman" w:hAnsi="Arial" w:cs="Arial"/>
          <w:sz w:val="20"/>
          <w:szCs w:val="20"/>
          <w:lang w:eastAsia="en-GB"/>
        </w:rPr>
        <w:t xml:space="preserve"> Interest in this topic has grown with the rapid growth of numbers of women entering the accountancy profession since the early 1970s. In the USA, women have made up half the entrants to the profession since the mid-1980s and the debate has moved from being about the lack of qualified women to their problems with lack of promotion and other aspects of discrimination. Elsewhere the numbers of women entering the profession are growing, albeit more slowly.</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Interest from an academic viewpoint in research in gender in accounting has grown since the mid-1980s from an initial focus on discrimination to a wider perspective on gender and accountancy. </w:t>
      </w:r>
      <w:r w:rsidRPr="007D4471">
        <w:rPr>
          <w:rFonts w:ascii="Arial" w:eastAsia="Times New Roman" w:hAnsi="Arial" w:cs="Arial"/>
          <w:sz w:val="20"/>
          <w:szCs w:val="20"/>
          <w:lang w:eastAsia="en-GB"/>
        </w:rPr>
        <w:lastRenderedPageBreak/>
        <w:t>Inspired by feminist writers who argue that the roles 'male' and 'female' are socially constructed, not biologically determined, researchers have discussed how the masculine attributes associated with being an accountant lead to problems for women. Accountancy as a profession is gendered masculine and this has consequences for both the men and the women who work in it. Going further, some feminists consider that accounting techniques embody a fundamentally masculine rationalist and exploitative approach to the world and that accounting is deeply implicated in the creation of the current environmental crisis.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The broad topics which arise from consideration of gender and accounting will be defined here under three headings: first, women in the accountancy profession; second, gender and accountants; and third, accounting as gendered practice.</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Anne Loft</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73" name="Picture 73"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Inflation accounting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Inflation implies a decline in the purchasing power of money. This may distort the information given by accounts that use money as their unit of measurement. Changes in prices of particular commodities may not move exactly in line with one another. Thus, there is a choice between adjusting items in the accounts for specific price changes or for changes in the general price level. It is therefore better to use the broader term, </w:t>
      </w:r>
      <w:r w:rsidRPr="007D4471">
        <w:rPr>
          <w:rFonts w:ascii="Arial" w:eastAsia="Times New Roman" w:hAnsi="Arial" w:cs="Arial"/>
          <w:i/>
          <w:iCs/>
          <w:sz w:val="20"/>
          <w:szCs w:val="20"/>
          <w:lang w:eastAsia="en-GB"/>
        </w:rPr>
        <w:t>price change accounting</w:t>
      </w:r>
      <w:r w:rsidRPr="007D4471">
        <w:rPr>
          <w:rFonts w:ascii="Arial" w:eastAsia="Times New Roman" w:hAnsi="Arial" w:cs="Arial"/>
          <w:sz w:val="20"/>
          <w:szCs w:val="20"/>
          <w:lang w:eastAsia="en-GB"/>
        </w:rPr>
        <w:t>, rather than the narrower term, inflation accounting, the latter implying only general price level adjustment.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The accountant's traditional method of accounting, historical cost accounting (HCA</w:t>
      </w:r>
      <w:proofErr w:type="gramStart"/>
      <w:r w:rsidRPr="007D4471">
        <w:rPr>
          <w:rFonts w:ascii="Arial" w:eastAsia="Times New Roman" w:hAnsi="Arial" w:cs="Arial"/>
          <w:sz w:val="20"/>
          <w:szCs w:val="20"/>
          <w:lang w:eastAsia="en-GB"/>
        </w:rPr>
        <w:t>),</w:t>
      </w:r>
      <w:proofErr w:type="gramEnd"/>
      <w:r w:rsidRPr="007D4471">
        <w:rPr>
          <w:rFonts w:ascii="Arial" w:eastAsia="Times New Roman" w:hAnsi="Arial" w:cs="Arial"/>
          <w:sz w:val="20"/>
          <w:szCs w:val="20"/>
          <w:lang w:eastAsia="en-GB"/>
        </w:rPr>
        <w:t xml:space="preserve"> makes no allowances for general inflation or for changes in the prices of assets that have not been sold. Current purchasing power accounting (CPPA) is a means of adjusting HCA accounts for inflation by using general price level indices. The idea of general index-based CPPA systems owes its origins particularly to the hyperinflation in Germany in the 1920s. The English-speaking world also advocated CPPA as a response to the inflation of the early 1970s, but it was adopted only in Latin America, where its practice continues as a response to hyperinflation.</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Real terms accounting (RTA) is a means of combining revaluations of specific assets at current prices (reflecting specific price changes) with general index adjustments (reflecting the impact of inflation). Current value accounting (CVA) </w:t>
      </w:r>
      <w:proofErr w:type="spellStart"/>
      <w:r w:rsidRPr="007D4471">
        <w:rPr>
          <w:rFonts w:ascii="Arial" w:eastAsia="Times New Roman" w:hAnsi="Arial" w:cs="Arial"/>
          <w:sz w:val="20"/>
          <w:szCs w:val="20"/>
          <w:lang w:eastAsia="en-GB"/>
        </w:rPr>
        <w:t>revalues</w:t>
      </w:r>
      <w:proofErr w:type="spellEnd"/>
      <w:r w:rsidRPr="007D4471">
        <w:rPr>
          <w:rFonts w:ascii="Arial" w:eastAsia="Times New Roman" w:hAnsi="Arial" w:cs="Arial"/>
          <w:sz w:val="20"/>
          <w:szCs w:val="20"/>
          <w:lang w:eastAsia="en-GB"/>
        </w:rPr>
        <w:t xml:space="preserve"> assets at current prices, but makes no general index adjustment. It is therefore a method of price change accounting but not of inflation accounting (since it does not have regard to changes in the general price level).</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Replacement cost accounting (RCA) </w:t>
      </w:r>
      <w:proofErr w:type="spellStart"/>
      <w:r w:rsidRPr="007D4471">
        <w:rPr>
          <w:rFonts w:ascii="Arial" w:eastAsia="Times New Roman" w:hAnsi="Arial" w:cs="Arial"/>
          <w:sz w:val="20"/>
          <w:szCs w:val="20"/>
          <w:lang w:eastAsia="en-GB"/>
        </w:rPr>
        <w:t>revalues</w:t>
      </w:r>
      <w:proofErr w:type="spellEnd"/>
      <w:r w:rsidRPr="007D4471">
        <w:rPr>
          <w:rFonts w:ascii="Arial" w:eastAsia="Times New Roman" w:hAnsi="Arial" w:cs="Arial"/>
          <w:sz w:val="20"/>
          <w:szCs w:val="20"/>
          <w:lang w:eastAsia="en-GB"/>
        </w:rPr>
        <w:t xml:space="preserve"> assets at current replacement cost (a form of current valuation) but also uses a replacement cost index to adjust the owners' capital of the business in calculating whether a profit has been made. This means that appreciation in the value of the firm's operating assets is not recognized as a gain (as it would be in CVA), because the firm needs its assets to maintain its operations and therefore is made no better off if their market value increases, since it has no intention to sell them. RCA is not strictly an inflation accounting method, but a system of price change accounting.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choice between methods of price change accounting is a difficult one. In particular, there is a trade-off between relevance and reliability. Current values, although unreliable, are often regarded as relevant to economic decisions and assessments, whereas historical costs are more reliable (having a basis in verifiable transactions) but are less useful as indicators of the economic condition of a business in times of rapid price changes. The choice of accounting method may also benefit one party with an interest in the firm at the expense of another. General </w:t>
      </w:r>
      <w:proofErr w:type="gramStart"/>
      <w:r w:rsidRPr="007D4471">
        <w:rPr>
          <w:rFonts w:ascii="Arial" w:eastAsia="Times New Roman" w:hAnsi="Arial" w:cs="Arial"/>
          <w:sz w:val="20"/>
          <w:szCs w:val="20"/>
          <w:lang w:eastAsia="en-GB"/>
        </w:rPr>
        <w:t>price</w:t>
      </w:r>
      <w:proofErr w:type="gramEnd"/>
      <w:r w:rsidRPr="007D4471">
        <w:rPr>
          <w:rFonts w:ascii="Arial" w:eastAsia="Times New Roman" w:hAnsi="Arial" w:cs="Arial"/>
          <w:sz w:val="20"/>
          <w:szCs w:val="20"/>
          <w:lang w:eastAsia="en-GB"/>
        </w:rPr>
        <w:t xml:space="preserve"> level adjustments are particularly useful in aiding comparisons across series of years, although it is important that the adjustments be applied consistently. The management accounts of companies, which are used internally for decision </w:t>
      </w:r>
      <w:r w:rsidRPr="007D4471">
        <w:rPr>
          <w:rFonts w:ascii="Arial" w:eastAsia="Times New Roman" w:hAnsi="Arial" w:cs="Arial"/>
          <w:sz w:val="20"/>
          <w:szCs w:val="20"/>
          <w:lang w:eastAsia="en-GB"/>
        </w:rPr>
        <w:lastRenderedPageBreak/>
        <w:t>making and control, may also be affected by price changes. Appropriate adjustments need to be made in order to avoid decisions being based on misleading information. The possibility of taxes or tax reliefs based on price change adjustments has played an important role in determining the adoption in practice of such adjustments.</w:t>
      </w:r>
    </w:p>
    <w:p w:rsidR="007D4471" w:rsidRDefault="007D4471" w:rsidP="007D4471">
      <w:pPr>
        <w:spacing w:before="100" w:beforeAutospacing="1" w:after="100" w:afterAutospacing="1" w:line="240" w:lineRule="auto"/>
        <w:jc w:val="right"/>
        <w:rPr>
          <w:rFonts w:ascii="Arial" w:eastAsia="Times New Roman" w:hAnsi="Arial" w:cs="Arial"/>
          <w:i/>
          <w:iCs/>
          <w:sz w:val="20"/>
          <w:szCs w:val="20"/>
          <w:lang w:eastAsia="en-GB"/>
        </w:rPr>
      </w:pPr>
      <w:r w:rsidRPr="007D4471">
        <w:rPr>
          <w:rFonts w:ascii="Arial" w:eastAsia="Times New Roman" w:hAnsi="Arial" w:cs="Arial"/>
          <w:i/>
          <w:iCs/>
          <w:sz w:val="20"/>
          <w:szCs w:val="20"/>
          <w:lang w:eastAsia="en-GB"/>
        </w:rPr>
        <w:t>Geoffrey Whittington</w:t>
      </w:r>
    </w:p>
    <w:p w:rsidR="007D4471" w:rsidRPr="007D4471" w:rsidRDefault="007D4471" w:rsidP="007D4471">
      <w:pPr>
        <w:spacing w:after="0" w:line="240" w:lineRule="auto"/>
        <w:jc w:val="right"/>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2" name="Picture 90" descr="http://www.tlint.com/emea/drury_7e/student/definition_account/accounting/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tlint.com/emea/drury_7e/student/definition_account/accounting/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Taxation, corporate</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Almost every country in the world levies some kind of tax on company profits. Yet companies are, in a sense, no more than the sum of their employees and shareholders, linked together with customers and suppliers by a web of contracts. Since most of these people will be paying tax themselves, the role of a separate tax on companies is not straightforward. The strongest justification for a separate corporate tax is as a withholding tax on investment income, in the absence of an adequate capital gains tax. Other possible arguments for a separate tax, based on the benefits of limited liability or on the value of public services to the company, are less persuasive.</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key features of any given corporate tax system are the base on which tax is levied, the rate, and the relationship with other parts of the tax system. The immediate effect of the corporate tax is to transfer funds from company to government. But the structure of the tax system can alter real decisions on how much, in what and in which country to invest. It can also alter financial decisions on how to fund </w:t>
      </w:r>
      <w:proofErr w:type="gramStart"/>
      <w:r w:rsidRPr="007D4471">
        <w:rPr>
          <w:rFonts w:ascii="Arial" w:eastAsia="Times New Roman" w:hAnsi="Arial" w:cs="Arial"/>
          <w:sz w:val="20"/>
          <w:szCs w:val="20"/>
          <w:lang w:eastAsia="en-GB"/>
        </w:rPr>
        <w:t>investment,</w:t>
      </w:r>
      <w:proofErr w:type="gramEnd"/>
      <w:r w:rsidRPr="007D4471">
        <w:rPr>
          <w:rFonts w:ascii="Arial" w:eastAsia="Times New Roman" w:hAnsi="Arial" w:cs="Arial"/>
          <w:sz w:val="20"/>
          <w:szCs w:val="20"/>
          <w:lang w:eastAsia="en-GB"/>
        </w:rPr>
        <w:t xml:space="preserve"> and on what proportion of profits to pay out as dividends, as companies try to minimize their tax liability. The actual impact on financial decisions will depend on the level of integration between corporate and personal taxes, and on the relative personal tax burdens on dividends, interest and capital gains. That said</w:t>
      </w:r>
      <w:proofErr w:type="gramStart"/>
      <w:r w:rsidRPr="007D4471">
        <w:rPr>
          <w:rFonts w:ascii="Arial" w:eastAsia="Times New Roman" w:hAnsi="Arial" w:cs="Arial"/>
          <w:sz w:val="20"/>
          <w:szCs w:val="20"/>
          <w:lang w:eastAsia="en-GB"/>
        </w:rPr>
        <w:t>,</w:t>
      </w:r>
      <w:proofErr w:type="gramEnd"/>
      <w:r w:rsidRPr="007D4471">
        <w:rPr>
          <w:rFonts w:ascii="Arial" w:eastAsia="Times New Roman" w:hAnsi="Arial" w:cs="Arial"/>
          <w:sz w:val="20"/>
          <w:szCs w:val="20"/>
          <w:lang w:eastAsia="en-GB"/>
        </w:rPr>
        <w:t xml:space="preserve"> tax is only one of many factors involved. Investment is driven mainly by the likely returns, and managers will always trade-off the benefits of a low-tax financial structure against the non-tax costs. Empirical studies indicate that non-tax factors dominate most important corporate decisions.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The growth of international capital and product markets puts new strains on domestic corporate tax systems: on the one hand, companies have more opportunity to arrange their affairs to reduce their overall tax burden but, on the other, they face new obstacles to seeking out the most profitable investments, as more than one government seeks to share in their profits. Fundamental questions are raised about whether corporate taxes are sustainable in a world capital market and how governments can best cooperate to raise revenue without limiting new investment opportunities.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 xml:space="preserve">Lucy </w:t>
      </w:r>
      <w:proofErr w:type="spellStart"/>
      <w:r w:rsidRPr="007D4471">
        <w:rPr>
          <w:rFonts w:ascii="Arial" w:eastAsia="Times New Roman" w:hAnsi="Arial" w:cs="Arial"/>
          <w:i/>
          <w:iCs/>
          <w:sz w:val="20"/>
          <w:szCs w:val="20"/>
          <w:lang w:eastAsia="en-GB"/>
        </w:rPr>
        <w:t>Chennells</w:t>
      </w:r>
      <w:proofErr w:type="spellEnd"/>
    </w:p>
    <w:p w:rsidR="007D4471" w:rsidRDefault="007D4471" w:rsidP="007D4471">
      <w:pPr>
        <w:spacing w:before="100" w:beforeAutospacing="1" w:after="100" w:afterAutospacing="1" w:line="240" w:lineRule="auto"/>
        <w:jc w:val="right"/>
        <w:rPr>
          <w:rFonts w:ascii="Times New Roman" w:eastAsia="Times New Roman" w:hAnsi="Times New Roman" w:cs="Times New Roman"/>
          <w:sz w:val="24"/>
          <w:szCs w:val="24"/>
          <w:lang w:eastAsia="en-GB"/>
        </w:rPr>
      </w:pPr>
    </w:p>
    <w:p w:rsidR="007D4471" w:rsidRDefault="007D4471" w:rsidP="007D4471">
      <w:pPr>
        <w:spacing w:before="100" w:beforeAutospacing="1" w:after="100" w:afterAutospacing="1" w:line="240" w:lineRule="auto"/>
        <w:jc w:val="right"/>
        <w:rPr>
          <w:rFonts w:ascii="Times New Roman" w:eastAsia="Times New Roman" w:hAnsi="Times New Roman" w:cs="Times New Roman"/>
          <w:sz w:val="24"/>
          <w:szCs w:val="24"/>
          <w:lang w:eastAsia="en-GB"/>
        </w:rPr>
      </w:pPr>
    </w:p>
    <w:p w:rsidR="00C90DE9" w:rsidRDefault="00C90DE9">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7D4471" w:rsidRPr="00C90DE9" w:rsidRDefault="007D4471" w:rsidP="00C90DE9">
      <w:pPr>
        <w:spacing w:before="100" w:beforeAutospacing="1" w:after="100" w:afterAutospacing="1" w:line="240" w:lineRule="auto"/>
        <w:jc w:val="center"/>
        <w:rPr>
          <w:rFonts w:ascii="Times New Roman" w:eastAsia="Times New Roman" w:hAnsi="Times New Roman" w:cs="Times New Roman"/>
          <w:b/>
          <w:sz w:val="24"/>
          <w:szCs w:val="24"/>
          <w:u w:val="single"/>
          <w:lang w:eastAsia="en-GB"/>
        </w:rPr>
      </w:pPr>
      <w:r w:rsidRPr="00C90DE9">
        <w:rPr>
          <w:rFonts w:ascii="Times New Roman" w:eastAsia="Times New Roman" w:hAnsi="Times New Roman" w:cs="Times New Roman"/>
          <w:b/>
          <w:sz w:val="24"/>
          <w:szCs w:val="24"/>
          <w:u w:val="single"/>
          <w:lang w:eastAsia="en-GB"/>
        </w:rPr>
        <w:lastRenderedPageBreak/>
        <w:t>FINANCE DEFINITIONS</w:t>
      </w: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96" name="Picture 96"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Acquisitions and divestments</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In 'Anglo-Saxon' economies with very active stock markets, company expenditure on acquisitions can reach half as much as spending on new fixed investment. Traditionally this massive expenditure has been justified by pointing to the potential gains from transferring control to more able managers or ones more committed to shareholders' interests; or to the gains from scale economies or increased market power. However, evidence of such gains has been questioned by contributors to the industrial organization, finance and management literatures, and new theories focusing on managerial objectives and principal- agent problems have emerged to help explain the disappointing performance of many acquisition programmes and the growing recourse to divestment.</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At first sight, the potential gains to shareholders from turning around companies with flagging performance and for achieving scale economies or enhanced market power seem to justify the immense commitment of owners' funds and mangers' time to acquisition activity. In practice, however, the movements of accounting profits and acquirers' share prices and the large-scale divestment of recent acquisitions raise doubts about the benefits of takeovers. It has been suggested in some quarters that either the problems of assessing, integrating and monitoring acquisitions have been systematically underestimated, or that mangers interests have tended to prevail over those of shareholders.</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G. Meeks</w:t>
      </w: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3" name="Picture 101"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Appraisal methods</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Financial analysis is the means of appraising whether a proposed investment in a commercial activity is likely to be of value from the point of view of the stockholders. Investments in commercial activities are called </w:t>
      </w:r>
      <w:r w:rsidRPr="007D4471">
        <w:rPr>
          <w:rFonts w:ascii="Arial" w:eastAsia="Times New Roman" w:hAnsi="Arial" w:cs="Arial"/>
          <w:i/>
          <w:iCs/>
          <w:sz w:val="20"/>
          <w:szCs w:val="20"/>
          <w:lang w:eastAsia="en-GB"/>
        </w:rPr>
        <w:t>capital projects</w:t>
      </w:r>
      <w:r w:rsidRPr="007D4471">
        <w:rPr>
          <w:rFonts w:ascii="Arial" w:eastAsia="Times New Roman" w:hAnsi="Arial" w:cs="Arial"/>
          <w:sz w:val="20"/>
          <w:szCs w:val="20"/>
          <w:lang w:eastAsia="en-GB"/>
        </w:rPr>
        <w:t>. They usually involve the purchase of a physical asset, such as a machine or a new factory; a capital project may also involve investment in a less tangible asset, such as a new product or an advertising campaign. An essential characteristic of most capital projects is that cash is paid out now or in the near term in order to increase cash returns subsequently. The value of a project's future incremental cash flows to the company can be estimated; using discounted cash flow methods, it is possible to determine whether a project is worth more to the company than it costs.</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r w:rsidRPr="007D4471">
        <w:rPr>
          <w:rFonts w:ascii="Arial" w:eastAsia="Times New Roman" w:hAnsi="Arial" w:cs="Arial"/>
          <w:i/>
          <w:iCs/>
          <w:sz w:val="20"/>
          <w:szCs w:val="20"/>
          <w:lang w:eastAsia="en-GB"/>
        </w:rPr>
        <w:t>Jack Broyles</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5" name="Picture 107"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Auditing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As we approach the year 2000, there is increasing publicity, fuelled incessantly by major financial scandals (such as BCCI, Barings) concerning auditing and the work of auditors. It is a subject with ever-widening horizons, continually developing, in both the scope of what is regarded as the activity of auditing and the nature of the approaches/practices adopted in undertaking that activity. All those who rely on financial statements are affected by the auditor's work, yet the nature, practice and limitations of auditing are not well known outside the auditing profession.</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lastRenderedPageBreak/>
        <w:t xml:space="preserve">To the layperson, auditing has tended to be an obscure or misunderstood subject. What actually is an audit and how does it differ from accounting? The nature of auditing in terms of its underlying principles leads to </w:t>
      </w:r>
      <w:proofErr w:type="spellStart"/>
      <w:r w:rsidRPr="007D4471">
        <w:rPr>
          <w:rFonts w:ascii="Arial" w:eastAsia="Times New Roman" w:hAnsi="Arial" w:cs="Arial"/>
          <w:sz w:val="20"/>
          <w:szCs w:val="20"/>
          <w:lang w:eastAsia="en-GB"/>
        </w:rPr>
        <w:t>to</w:t>
      </w:r>
      <w:proofErr w:type="spellEnd"/>
      <w:r w:rsidRPr="007D4471">
        <w:rPr>
          <w:rFonts w:ascii="Arial" w:eastAsia="Times New Roman" w:hAnsi="Arial" w:cs="Arial"/>
          <w:sz w:val="20"/>
          <w:szCs w:val="20"/>
          <w:lang w:eastAsia="en-GB"/>
        </w:rPr>
        <w:t xml:space="preserve"> questions of why audits should take place at all, who should normally be required to have them and what the basic statutory audit requirements should be. The scope of the audit is highlighted by the various financial statements and accounting records which are subject to an audit. The conduct of audits, auditing standards and the nature of an auditor's report (the only tangible product to outside parties at the end of the audit) are just some of the important issues that need to be addressed.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comments above apply primarily to the external audit of companies. However, the basic points also apply to the audits of other organizations (such as central government, banks, trade unions) although the scope of the audit then required by the relevant statute or organization may stipulate further audit requirements.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It is important to stress that auditing </w:t>
      </w:r>
      <w:proofErr w:type="spellStart"/>
      <w:r w:rsidRPr="007D4471">
        <w:rPr>
          <w:rFonts w:ascii="Arial" w:eastAsia="Times New Roman" w:hAnsi="Arial" w:cs="Arial"/>
          <w:sz w:val="20"/>
          <w:szCs w:val="20"/>
          <w:lang w:eastAsia="en-GB"/>
        </w:rPr>
        <w:t>ahs</w:t>
      </w:r>
      <w:proofErr w:type="spellEnd"/>
      <w:r w:rsidRPr="007D4471">
        <w:rPr>
          <w:rFonts w:ascii="Arial" w:eastAsia="Times New Roman" w:hAnsi="Arial" w:cs="Arial"/>
          <w:sz w:val="20"/>
          <w:szCs w:val="20"/>
          <w:lang w:eastAsia="en-GB"/>
        </w:rPr>
        <w:t xml:space="preserve"> its limitations; an auditor's report is only an opinion that provides a reasonable assurance that accounts can be relied upon, not a guarantee of truth. For example, audited financial information is of value only so long as it is reasonably current. Also, it is not the auditor's duty to prevent or detect frauds. Thus, although audited statements are very valuable, they should not be used solely to assess the financial strength of an organization.</w:t>
      </w:r>
    </w:p>
    <w:p w:rsidR="007D4471" w:rsidRDefault="007D4471" w:rsidP="007D4471">
      <w:pPr>
        <w:spacing w:before="100" w:beforeAutospacing="1" w:after="100" w:afterAutospacing="1" w:line="240" w:lineRule="auto"/>
        <w:rPr>
          <w:rFonts w:ascii="Arial" w:eastAsia="Times New Roman" w:hAnsi="Arial" w:cs="Arial"/>
          <w:i/>
          <w:iCs/>
          <w:sz w:val="20"/>
          <w:szCs w:val="20"/>
          <w:lang w:eastAsia="en-GB"/>
        </w:rPr>
      </w:pPr>
      <w:r w:rsidRPr="007D4471">
        <w:rPr>
          <w:rFonts w:ascii="Arial" w:eastAsia="Times New Roman" w:hAnsi="Arial" w:cs="Arial"/>
          <w:i/>
          <w:iCs/>
          <w:sz w:val="20"/>
          <w:szCs w:val="20"/>
          <w:lang w:eastAsia="en-GB"/>
        </w:rPr>
        <w:t>Paul Saw</w:t>
      </w:r>
    </w:p>
    <w:p w:rsidR="00F04F94" w:rsidRPr="007D4471" w:rsidRDefault="00F04F94" w:rsidP="007D4471">
      <w:pPr>
        <w:spacing w:before="100" w:beforeAutospacing="1" w:after="100" w:afterAutospacing="1" w:line="240" w:lineRule="auto"/>
        <w:rPr>
          <w:rFonts w:ascii="Times New Roman" w:eastAsia="Times New Roman" w:hAnsi="Times New Roman" w:cs="Times New Roman"/>
          <w:i/>
          <w:iCs/>
          <w:sz w:val="20"/>
          <w:szCs w:val="20"/>
          <w:lang w:eastAsia="en-GB"/>
        </w:rPr>
      </w:pPr>
    </w:p>
    <w:p w:rsidR="007D4471" w:rsidRPr="007D4471" w:rsidRDefault="007D4471" w:rsidP="007D4471">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13" name="Picture 113"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7D4471">
        <w:rPr>
          <w:rFonts w:ascii="Arial" w:eastAsia="Times New Roman" w:hAnsi="Arial" w:cs="Arial"/>
          <w:color w:val="000080"/>
          <w:sz w:val="36"/>
          <w:szCs w:val="36"/>
          <w:lang w:eastAsia="en-GB"/>
        </w:rPr>
        <w:t>Banking</w:t>
      </w:r>
      <w:r w:rsidRPr="007D4471">
        <w:rPr>
          <w:rFonts w:ascii="Times New Roman" w:eastAsia="Times New Roman" w:hAnsi="Times New Roman" w:cs="Times New Roman"/>
          <w:sz w:val="20"/>
          <w:szCs w:val="20"/>
          <w:lang w:eastAsia="en-GB"/>
        </w:rPr>
        <w:t xml:space="preserve">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The term 'banking' can be applied to a large range of financial institutions, from savings and loans organizations to the large money-centre commercial banks in the USA, or from the smallest building society to the big four clearing banks in the UK. Many European countries have large regional/cooperative banks. In Japan, the bank with the largest retail network is Sakura, but its main rival is the Post Office.</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provision of deposit and loan products is what normally distinguished banks from other types of financial firms. The deposit products pay out money on demand or after some notice. Additionally, banks are in the business of managing liabilities. In the process they lend money, thereby creating bank assets which must also be managed. Thus, one core activity of banks is to act as intermediaries between depositors and borrowers.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The second core activity of banks is to offer liquidity to their customers. Depositors and borrowers have different liquidity preferences. Typically, firms in the business sector want to borrow funds and repay them in line with the expected returns of an investment project, which may not be realized for several years after the investment. By lending funds, savers are agreeing to forgo present consumption in favour of consumption at some date in the future. However, unexpected events may cause either party to change their mind. By pooling a large number of savers and borrowers, banks can meet the liquidity requirements of both parties. </w:t>
      </w:r>
    </w:p>
    <w:p w:rsidR="007D4471" w:rsidRPr="007D4471" w:rsidRDefault="007D4471" w:rsidP="007D4471">
      <w:pPr>
        <w:spacing w:before="100" w:beforeAutospacing="1" w:after="100" w:afterAutospacing="1" w:line="240" w:lineRule="auto"/>
        <w:rPr>
          <w:rFonts w:ascii="Times New Roman" w:eastAsia="Times New Roman" w:hAnsi="Times New Roman" w:cs="Times New Roman"/>
          <w:sz w:val="20"/>
          <w:szCs w:val="20"/>
          <w:lang w:eastAsia="en-GB"/>
        </w:rPr>
      </w:pPr>
      <w:r w:rsidRPr="007D4471">
        <w:rPr>
          <w:rFonts w:ascii="Arial" w:eastAsia="Times New Roman" w:hAnsi="Arial" w:cs="Arial"/>
          <w:sz w:val="20"/>
          <w:szCs w:val="20"/>
          <w:lang w:eastAsia="en-GB"/>
        </w:rPr>
        <w:t xml:space="preserve">Particularly important, and separate from private banks, are central banks, government institutions responsible for monetary control, prudential control and/or government debt control. There is at time of writing considerable debate over the degree of independence from government that should be given to central banks. </w:t>
      </w:r>
    </w:p>
    <w:p w:rsidR="007D4471" w:rsidRPr="007D4471" w:rsidRDefault="007D4471" w:rsidP="007D4471">
      <w:pPr>
        <w:spacing w:before="100" w:beforeAutospacing="1" w:after="100" w:afterAutospacing="1" w:line="240" w:lineRule="auto"/>
        <w:jc w:val="right"/>
        <w:rPr>
          <w:rFonts w:ascii="Times New Roman" w:eastAsia="Times New Roman" w:hAnsi="Times New Roman" w:cs="Times New Roman"/>
          <w:i/>
          <w:iCs/>
          <w:sz w:val="20"/>
          <w:szCs w:val="20"/>
          <w:lang w:eastAsia="en-GB"/>
        </w:rPr>
      </w:pPr>
      <w:proofErr w:type="spellStart"/>
      <w:r w:rsidRPr="007D4471">
        <w:rPr>
          <w:rFonts w:ascii="Arial" w:eastAsia="Times New Roman" w:hAnsi="Arial" w:cs="Arial"/>
          <w:i/>
          <w:iCs/>
          <w:sz w:val="20"/>
          <w:szCs w:val="20"/>
          <w:lang w:eastAsia="en-GB"/>
        </w:rPr>
        <w:t>Shelagh</w:t>
      </w:r>
      <w:proofErr w:type="spellEnd"/>
      <w:r w:rsidRPr="007D4471">
        <w:rPr>
          <w:rFonts w:ascii="Arial" w:eastAsia="Times New Roman" w:hAnsi="Arial" w:cs="Arial"/>
          <w:i/>
          <w:iCs/>
          <w:sz w:val="20"/>
          <w:szCs w:val="20"/>
          <w:lang w:eastAsia="en-GB"/>
        </w:rPr>
        <w:t xml:space="preserve"> Heffernan</w:t>
      </w: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lastRenderedPageBreak/>
        <w:drawing>
          <wp:inline distT="0" distB="0" distL="0" distR="0">
            <wp:extent cx="914400" cy="666750"/>
            <wp:effectExtent l="19050" t="0" r="0" b="0"/>
            <wp:docPr id="26" name="Picture 118"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Banking, Islamic</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The concept of Islamic banking has attracted considerable attention since the 1970s from both non-Muslims and Muslims. Although less than 1 per cent of all world banking transactions are conducted in accordance with the Islamic </w:t>
      </w:r>
      <w:proofErr w:type="spellStart"/>
      <w:r w:rsidRPr="00F04F94">
        <w:rPr>
          <w:rFonts w:ascii="Arial" w:eastAsia="Times New Roman" w:hAnsi="Arial" w:cs="Arial"/>
          <w:i/>
          <w:iCs/>
          <w:sz w:val="20"/>
          <w:szCs w:val="20"/>
          <w:lang w:eastAsia="en-GB"/>
        </w:rPr>
        <w:t>shariah</w:t>
      </w:r>
      <w:proofErr w:type="spellEnd"/>
      <w:r w:rsidRPr="00F04F94">
        <w:rPr>
          <w:rFonts w:ascii="Arial" w:eastAsia="Times New Roman" w:hAnsi="Arial" w:cs="Arial"/>
          <w:sz w:val="20"/>
          <w:szCs w:val="20"/>
          <w:lang w:eastAsia="en-GB"/>
        </w:rPr>
        <w:t xml:space="preserve"> law, the principle of interest-free financing has caught the imagination of many. Most bankers have heard of the Islamic prohibition of </w:t>
      </w:r>
      <w:proofErr w:type="spellStart"/>
      <w:r w:rsidRPr="00F04F94">
        <w:rPr>
          <w:rFonts w:ascii="Arial" w:eastAsia="Times New Roman" w:hAnsi="Arial" w:cs="Arial"/>
          <w:i/>
          <w:iCs/>
          <w:sz w:val="20"/>
          <w:szCs w:val="20"/>
          <w:lang w:eastAsia="en-GB"/>
        </w:rPr>
        <w:t>riba</w:t>
      </w:r>
      <w:proofErr w:type="spellEnd"/>
      <w:r w:rsidRPr="00F04F94">
        <w:rPr>
          <w:rFonts w:ascii="Arial" w:eastAsia="Times New Roman" w:hAnsi="Arial" w:cs="Arial"/>
          <w:sz w:val="20"/>
          <w:szCs w:val="20"/>
          <w:lang w:eastAsia="en-GB"/>
        </w:rPr>
        <w:t xml:space="preserve"> or interest. Knowledge of the alternatives, however, is much less widespread. The principal alternatives are </w:t>
      </w:r>
      <w:proofErr w:type="spellStart"/>
      <w:r w:rsidRPr="00F04F94">
        <w:rPr>
          <w:rFonts w:ascii="Arial" w:eastAsia="Times New Roman" w:hAnsi="Arial" w:cs="Arial"/>
          <w:i/>
          <w:iCs/>
          <w:sz w:val="20"/>
          <w:szCs w:val="20"/>
          <w:lang w:eastAsia="en-GB"/>
        </w:rPr>
        <w:t>mudrabal</w:t>
      </w:r>
      <w:proofErr w:type="spellEnd"/>
      <w:r w:rsidRPr="00F04F94">
        <w:rPr>
          <w:rFonts w:ascii="Arial" w:eastAsia="Times New Roman" w:hAnsi="Arial" w:cs="Arial"/>
          <w:sz w:val="20"/>
          <w:szCs w:val="20"/>
          <w:lang w:eastAsia="en-GB"/>
        </w:rPr>
        <w:t xml:space="preserve">, in which a bank invests directly in an existing business, and </w:t>
      </w:r>
      <w:proofErr w:type="spellStart"/>
      <w:r w:rsidRPr="00F04F94">
        <w:rPr>
          <w:rFonts w:ascii="Arial" w:eastAsia="Times New Roman" w:hAnsi="Arial" w:cs="Arial"/>
          <w:i/>
          <w:iCs/>
          <w:sz w:val="20"/>
          <w:szCs w:val="20"/>
          <w:lang w:eastAsia="en-GB"/>
        </w:rPr>
        <w:t>musharakah</w:t>
      </w:r>
      <w:proofErr w:type="spellEnd"/>
      <w:r w:rsidRPr="00F04F94">
        <w:rPr>
          <w:rFonts w:ascii="Arial" w:eastAsia="Times New Roman" w:hAnsi="Arial" w:cs="Arial"/>
          <w:sz w:val="20"/>
          <w:szCs w:val="20"/>
          <w:lang w:eastAsia="en-GB"/>
        </w:rPr>
        <w:t>, in which the bank and the business found a new partnership. Both have been used as financing instruments since the time of the Prophet Mohammed, and are well-suited for medium and long –term financing. Islamic banks operate successfully using these instruments both in countries where the entire banking system has been 'Islamized'(Iran and Pakistan) and where Islamic banks compete with conventional banks, as is the case in most Arab states, Turkey, Malaysia and Indonesia.</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Rodney Wilson</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7" name="Picture 124"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Banking in Japan</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The Tokyo financial market is now recognized as one of the largest financial centres in the world. It is significant that the world's five largest commercial banks are all Japanese, although Japan's GNP is only the second largest in the world.</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Modern banking in Japan is, however, comparatively new. It was only in the mid-nineteenth century that the Japanese government began to establish a modern banking system through the introduction of advanced systems from Western countries. As a result, Japanese banking has much in common with its US and European counterparts. Roughly speaking, Japanese commercial banks are very similar to those of Britain or Europe, while financial markets are almost identical to US markets. In addition, the Japanese government has introduced a number of unique features. In the last decade, Japan has been trying to reform its financial system in order to cope with internationalization.</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Financial institutions in </w:t>
      </w:r>
      <w:proofErr w:type="spellStart"/>
      <w:r w:rsidRPr="00F04F94">
        <w:rPr>
          <w:rFonts w:ascii="Arial" w:eastAsia="Times New Roman" w:hAnsi="Arial" w:cs="Arial"/>
          <w:sz w:val="20"/>
          <w:szCs w:val="20"/>
          <w:lang w:eastAsia="en-GB"/>
        </w:rPr>
        <w:t>Japn</w:t>
      </w:r>
      <w:proofErr w:type="spellEnd"/>
      <w:r w:rsidRPr="00F04F94">
        <w:rPr>
          <w:rFonts w:ascii="Arial" w:eastAsia="Times New Roman" w:hAnsi="Arial" w:cs="Arial"/>
          <w:sz w:val="20"/>
          <w:szCs w:val="20"/>
          <w:lang w:eastAsia="en-GB"/>
        </w:rPr>
        <w:t xml:space="preserve"> are classified into private sector and public sector institutions, and institutions in each </w:t>
      </w:r>
      <w:proofErr w:type="spellStart"/>
      <w:r w:rsidRPr="00F04F94">
        <w:rPr>
          <w:rFonts w:ascii="Arial" w:eastAsia="Times New Roman" w:hAnsi="Arial" w:cs="Arial"/>
          <w:sz w:val="20"/>
          <w:szCs w:val="20"/>
          <w:lang w:eastAsia="en-GB"/>
        </w:rPr>
        <w:t>catergory</w:t>
      </w:r>
      <w:proofErr w:type="spellEnd"/>
      <w:r w:rsidRPr="00F04F94">
        <w:rPr>
          <w:rFonts w:ascii="Arial" w:eastAsia="Times New Roman" w:hAnsi="Arial" w:cs="Arial"/>
          <w:sz w:val="20"/>
          <w:szCs w:val="20"/>
          <w:lang w:eastAsia="en-GB"/>
        </w:rPr>
        <w:t xml:space="preserve"> are further divided into depository and non-depository institutions. Private sector depository institutions include commercial banks, foreign banks, long-term credit banks, trust banks and financial institutions for small and medium business, agriculture and fisheries. The commercial banks and long-term credit banks are very active in international operations. Private sector non-depository institutions include firms such as insurance companies, securities firms and finance companies. Public sector institutions include government banks, government </w:t>
      </w:r>
      <w:proofErr w:type="spellStart"/>
      <w:r w:rsidRPr="00F04F94">
        <w:rPr>
          <w:rFonts w:ascii="Arial" w:eastAsia="Times New Roman" w:hAnsi="Arial" w:cs="Arial"/>
          <w:sz w:val="20"/>
          <w:szCs w:val="20"/>
          <w:lang w:eastAsia="en-GB"/>
        </w:rPr>
        <w:t>finace</w:t>
      </w:r>
      <w:proofErr w:type="spellEnd"/>
      <w:r w:rsidRPr="00F04F94">
        <w:rPr>
          <w:rFonts w:ascii="Arial" w:eastAsia="Times New Roman" w:hAnsi="Arial" w:cs="Arial"/>
          <w:sz w:val="20"/>
          <w:szCs w:val="20"/>
          <w:lang w:eastAsia="en-GB"/>
        </w:rPr>
        <w:t xml:space="preserve"> corporations and the Postal Savings service. Wide-scale deregulation of the banking system in Japan took place in 1993–4.</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 xml:space="preserve">Kazuo </w:t>
      </w:r>
      <w:proofErr w:type="spellStart"/>
      <w:r w:rsidRPr="00F04F94">
        <w:rPr>
          <w:rFonts w:ascii="Arial" w:eastAsia="Times New Roman" w:hAnsi="Arial" w:cs="Arial"/>
          <w:i/>
          <w:iCs/>
          <w:sz w:val="20"/>
          <w:szCs w:val="20"/>
          <w:lang w:eastAsia="en-GB"/>
        </w:rPr>
        <w:t>Tatewaki</w:t>
      </w:r>
      <w:proofErr w:type="spellEnd"/>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30" name="Picture 130"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Banking in the United States of America</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Banking in the USA is a large and complex industry facing rapid change in both market forces and regulatory environments. In the USA a bank is a financial institution which accepts demand deposits from the public, provides a payment settlement system based on demand deposit accounts and </w:t>
      </w:r>
      <w:r w:rsidRPr="00F04F94">
        <w:rPr>
          <w:rFonts w:ascii="Arial" w:eastAsia="Times New Roman" w:hAnsi="Arial" w:cs="Arial"/>
          <w:sz w:val="20"/>
          <w:szCs w:val="20"/>
          <w:lang w:eastAsia="en-GB"/>
        </w:rPr>
        <w:lastRenderedPageBreak/>
        <w:t xml:space="preserve">makes commercial loans to business units. However, banks are just one type of financial intermediary; others include other depository institutions, insurance companies, investment companies, pension funds, finance companies and securities companies. Recently, the banks’ share of the financial market has been declining. Two major regulatory constraints, interest rate ceilings on deposits and bank capital requirements, are tending to make banks less competitive in asset-based activities. However, commercial banks have increasingly moved into off-balance </w:t>
      </w:r>
      <w:proofErr w:type="gramStart"/>
      <w:r w:rsidRPr="00F04F94">
        <w:rPr>
          <w:rFonts w:ascii="Arial" w:eastAsia="Times New Roman" w:hAnsi="Arial" w:cs="Arial"/>
          <w:sz w:val="20"/>
          <w:szCs w:val="20"/>
          <w:lang w:eastAsia="en-GB"/>
        </w:rPr>
        <w:t>sheet activities which has</w:t>
      </w:r>
      <w:proofErr w:type="gramEnd"/>
      <w:r w:rsidRPr="00F04F94">
        <w:rPr>
          <w:rFonts w:ascii="Arial" w:eastAsia="Times New Roman" w:hAnsi="Arial" w:cs="Arial"/>
          <w:sz w:val="20"/>
          <w:szCs w:val="20"/>
          <w:lang w:eastAsia="en-GB"/>
        </w:rPr>
        <w:t xml:space="preserve"> helped to halt the decline.</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Depending on their classification, banks are regulated through either the Office of the Comptroller of the Currency, the Federal Reserve System or the Federal Deposit Insurance Corporation. Regulators comply with the Basle Accord on capital adequacy and have procedures for taking corrective action and dealing with bank failure. There has been a considerable weight of banking legislation in the USA in the twentieth century, with eleven major statutes devoted to banking regulation from 1913–94.</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sz w:val="20"/>
          <w:szCs w:val="20"/>
          <w:lang w:eastAsia="en-GB"/>
        </w:rPr>
      </w:pPr>
      <w:proofErr w:type="spellStart"/>
      <w:r w:rsidRPr="00F04F94">
        <w:rPr>
          <w:rFonts w:ascii="Arial" w:eastAsia="Times New Roman" w:hAnsi="Arial" w:cs="Arial"/>
          <w:i/>
          <w:iCs/>
          <w:sz w:val="20"/>
          <w:szCs w:val="20"/>
          <w:lang w:eastAsia="en-GB"/>
        </w:rPr>
        <w:t>Taeho</w:t>
      </w:r>
      <w:proofErr w:type="spellEnd"/>
      <w:r w:rsidRPr="00F04F94">
        <w:rPr>
          <w:rFonts w:ascii="Arial" w:eastAsia="Times New Roman" w:hAnsi="Arial" w:cs="Arial"/>
          <w:i/>
          <w:iCs/>
          <w:sz w:val="20"/>
          <w:szCs w:val="20"/>
          <w:lang w:eastAsia="en-GB"/>
        </w:rPr>
        <w:t xml:space="preserve"> Kim</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35" name="Picture 135"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b/>
          <w:bCs/>
          <w:sz w:val="36"/>
          <w:szCs w:val="36"/>
          <w:lang w:eastAsia="en-GB"/>
        </w:rPr>
        <w:t>Banking in western Europe</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Times New Roman" w:eastAsia="Times New Roman" w:hAnsi="Times New Roman" w:cs="Times New Roman"/>
          <w:sz w:val="20"/>
          <w:szCs w:val="20"/>
          <w:lang w:eastAsia="en-GB"/>
        </w:rPr>
        <w:t xml:space="preserve">The macroeconomic climate experienced by European banks throughout the 1970s and 1980s has been of a much more volatile nature than that of the 1950s and 1960s. The unpredictability of macroeconomic variables such as interest rates, exchange rates, budget deficits and surpluses has resulted in a much more uncertain environment. The degree of uncertainty and the inability of the banks to plan for cyclical downturns </w:t>
      </w:r>
      <w:proofErr w:type="gramStart"/>
      <w:r w:rsidRPr="00F04F94">
        <w:rPr>
          <w:rFonts w:ascii="Times New Roman" w:eastAsia="Times New Roman" w:hAnsi="Times New Roman" w:cs="Times New Roman"/>
          <w:sz w:val="20"/>
          <w:szCs w:val="20"/>
          <w:lang w:eastAsia="en-GB"/>
        </w:rPr>
        <w:t>was</w:t>
      </w:r>
      <w:proofErr w:type="gramEnd"/>
      <w:r w:rsidRPr="00F04F94">
        <w:rPr>
          <w:rFonts w:ascii="Times New Roman" w:eastAsia="Times New Roman" w:hAnsi="Times New Roman" w:cs="Times New Roman"/>
          <w:sz w:val="20"/>
          <w:szCs w:val="20"/>
          <w:lang w:eastAsia="en-GB"/>
        </w:rPr>
        <w:t xml:space="preserve"> reflected in the performance of European banks during the recessionary period of the late 1980s and early 1990s.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Times New Roman" w:eastAsia="Times New Roman" w:hAnsi="Times New Roman" w:cs="Times New Roman"/>
          <w:sz w:val="20"/>
          <w:szCs w:val="20"/>
          <w:lang w:eastAsia="en-GB"/>
        </w:rPr>
        <w:t>After interest rates increased in late 1988 and early 1989, Europe went into recession, and the cost to the banking sector became apparent through extensive bad debts. It has been argued that the main impact of this recessionary period on the banking system was that European banking systems became driven more by profitability than by size. By early 1994, European banks were again operating in favourable conditions with low interest and inflation rates. Banking has become characterized by a de-emphasis on lending, and banks have competed aggressively to retain core deposits. The overall impact has been that fee and commission income have become an increasingly important part of bank earnings. The retail banking market has also become increasingly driven by savings products, with mortgages the principal source of loan growth. An increasing proportion of income has been, and will continue to be, obtained from trading activities.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Times New Roman" w:eastAsia="Times New Roman" w:hAnsi="Times New Roman" w:cs="Times New Roman"/>
          <w:sz w:val="20"/>
          <w:szCs w:val="20"/>
          <w:lang w:eastAsia="en-GB"/>
        </w:rPr>
        <w:t>The European financial services sector as a whole has become more efficient as a result of investment in technology, but this has also generated substantial job losses. Bank management has become more focused on cost and profitability rather than purely on market share and capital standards have improved, resulting from the changed (and changing) nature of business. In addition the role of the state in the banking sector has declined and is expected to continue to diminish, particularly in terms of state ownership of banks.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Times New Roman" w:eastAsia="Times New Roman" w:hAnsi="Times New Roman" w:cs="Times New Roman"/>
          <w:sz w:val="20"/>
          <w:szCs w:val="20"/>
          <w:lang w:eastAsia="en-GB"/>
        </w:rPr>
        <w:t>In addition to the above trends, it also important to note that demarcation lines between markets, intermediaries and lines of business have also been rapidly eroding. The blurring of distinction between bank credit and securities, domestic and international paper, and cash and derivatives products has helped to foster the integration of cross-border investment. The implication of the EU's Second Banking Directive in domestic banking legislation has also established universal banking practice for credit institutions within EU countries, rendering the old distinctions between different types of credit institutions obsolete.</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F04F94">
        <w:rPr>
          <w:rFonts w:ascii="Times New Roman" w:eastAsia="Times New Roman" w:hAnsi="Times New Roman" w:cs="Times New Roman"/>
          <w:i/>
          <w:iCs/>
          <w:sz w:val="20"/>
          <w:szCs w:val="20"/>
          <w:lang w:eastAsia="en-GB"/>
        </w:rPr>
        <w:t xml:space="preserve">Philip </w:t>
      </w:r>
      <w:proofErr w:type="spellStart"/>
      <w:r w:rsidRPr="00F04F94">
        <w:rPr>
          <w:rFonts w:ascii="Times New Roman" w:eastAsia="Times New Roman" w:hAnsi="Times New Roman" w:cs="Times New Roman"/>
          <w:i/>
          <w:iCs/>
          <w:sz w:val="20"/>
          <w:szCs w:val="20"/>
          <w:lang w:eastAsia="en-GB"/>
        </w:rPr>
        <w:t>Molyneux</w:t>
      </w:r>
      <w:proofErr w:type="spellEnd"/>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F04F94" w:rsidRPr="00F04F94" w:rsidRDefault="00F04F94" w:rsidP="00F04F94">
      <w:pPr>
        <w:spacing w:after="0" w:line="240" w:lineRule="auto"/>
        <w:rPr>
          <w:rFonts w:ascii="Arial" w:eastAsia="Times New Roman" w:hAnsi="Arial" w:cs="Arial"/>
          <w:sz w:val="20"/>
          <w:szCs w:val="20"/>
          <w:lang w:eastAsia="en-GB"/>
        </w:rPr>
      </w:pPr>
      <w:r>
        <w:rPr>
          <w:rFonts w:ascii="Arial" w:eastAsia="Times New Roman" w:hAnsi="Arial" w:cs="Arial"/>
          <w:noProof/>
          <w:sz w:val="36"/>
          <w:szCs w:val="36"/>
          <w:lang w:eastAsia="en-GB"/>
        </w:rPr>
        <w:lastRenderedPageBreak/>
        <w:drawing>
          <wp:inline distT="0" distB="0" distL="0" distR="0">
            <wp:extent cx="914400" cy="666750"/>
            <wp:effectExtent l="19050" t="0" r="0" b="0"/>
            <wp:docPr id="28" name="Picture 140"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Capital, cost of</w:t>
      </w:r>
      <w:r w:rsidRPr="00F04F94">
        <w:rPr>
          <w:rFonts w:ascii="Arial" w:eastAsia="Times New Roman" w:hAnsi="Arial" w:cs="Arial"/>
          <w:sz w:val="20"/>
          <w:szCs w:val="20"/>
          <w:lang w:eastAsia="en-GB"/>
        </w:rPr>
        <w:t xml:space="preserve"> </w:t>
      </w:r>
    </w:p>
    <w:p w:rsidR="00F04F94" w:rsidRPr="00F04F94" w:rsidRDefault="00F04F94" w:rsidP="00F04F94">
      <w:pPr>
        <w:spacing w:before="100" w:beforeAutospacing="1" w:after="100" w:afterAutospacing="1" w:line="240" w:lineRule="auto"/>
        <w:rPr>
          <w:rFonts w:ascii="Arial" w:eastAsia="Times New Roman" w:hAnsi="Arial" w:cs="Arial"/>
          <w:sz w:val="20"/>
          <w:szCs w:val="20"/>
          <w:lang w:eastAsia="en-GB"/>
        </w:rPr>
      </w:pPr>
      <w:r w:rsidRPr="00F04F94">
        <w:rPr>
          <w:rFonts w:ascii="Arial" w:eastAsia="Times New Roman" w:hAnsi="Arial" w:cs="Arial"/>
          <w:sz w:val="20"/>
          <w:szCs w:val="20"/>
          <w:lang w:eastAsia="en-GB"/>
        </w:rPr>
        <w:t>The cost of capital is perhaps the single most important strategic variable, providing the principal benchmark for both investment appraisal and performance measurement. The standard measurement of the cost of capital is a weighted average of the costs of debt and equity in which the weights are the respective proportions of intended debt and equity financing; this is known as the weighted average cost of capital (WACC). There are different ways of calculating WACC, however, and it is also possible to adapt the WACC to take account of differing risk levels of projects. It is also important to build in predicted inflation rates, and to do so in a consistent manner; this becomes particularly important and complex when calculating the cost of capital in the appraisal of international projects. Although WACC is a very valuable tool in investment decision making, it is important to realize that each project has its own inherent WACC and not to fall into the trap of using the same WACC for every project.</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4"/>
          <w:szCs w:val="24"/>
          <w:lang w:eastAsia="en-GB"/>
        </w:rPr>
      </w:pPr>
      <w:r w:rsidRPr="00F04F94">
        <w:rPr>
          <w:rFonts w:ascii="Arial" w:eastAsia="Times New Roman" w:hAnsi="Arial" w:cs="Arial"/>
          <w:i/>
          <w:iCs/>
          <w:sz w:val="20"/>
          <w:szCs w:val="20"/>
          <w:lang w:eastAsia="en-GB"/>
        </w:rPr>
        <w:t>Jack Broyles</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46" name="Picture 146"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Capital markets, regulation of</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Regulation of capital markets is needed to prevent 'market failure' in the form of shocks to the financial system and the exploitation of ill-informed customers, but the scope of regulation may also reflect the interests of firms which benefit from the reduction in competition which regulation may cause.</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Regulation brings costs as well as benefits, and it remains to be clearly demonstrated that these costs have been worth bearing in all areas. Undue risk-taking may even be stimulated, as in the case of deposit insurance.</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Regulation now incorporates internationally agreed minimum ratios of bank capital to assets (bank deposit liabilities are so far ignored). This is open to various objections, such as the neglect of correlation between the returns on different assets, the use of book values and the international variety of accounting methods. Positions in financial instruments, however, will be regulated on the basis of market values, reflecting liabilities as well as assets. Regulation may therefore become more complex and costly, perhaps diverting business to less regulated types of firm and to new centres.</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Harold Rose</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0" name="Picture 152"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Capital structure</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The capital structure question is concerned with the factors that determine the optimum balance (if any) of equity and debt used to finance companies. It is one of the key areas in the economics of corporate finance, since it has implications for new security issues, the financing of takeover and buyout activity, and also dividend policy, since retained earnings - the profits retained by a firm after payment of dividends - are a major source of equity funding. The considered view prior to the modern analytical approaches pioneered by Modigliani and Miller in the late 1950s was that a moderate amount of debt finance (in the form of corporate bonds, debentures or loan stock) was beneficial, but that higher levels were not prudent - indeed, high corporate debt levels had been cited as one of the factors causing the great stock market crash of 1929. Their analysis pointed initially to the irrelevancy </w:t>
      </w:r>
      <w:r w:rsidRPr="00F04F94">
        <w:rPr>
          <w:rFonts w:ascii="Arial" w:eastAsia="Times New Roman" w:hAnsi="Arial" w:cs="Arial"/>
          <w:sz w:val="20"/>
          <w:szCs w:val="20"/>
          <w:lang w:eastAsia="en-GB"/>
        </w:rPr>
        <w:lastRenderedPageBreak/>
        <w:t xml:space="preserve">of the debt- equity split, and in later work to advantages to debt finance as a result of corporate tax effects. Miller subsequently integrated personal taxes into the framework and argued that the tax advantages of borrowing were small. In addition to this 'fundamental' analysis of the problem, there have been numerous other theoretical approaches based on information economics, agency theory, </w:t>
      </w:r>
      <w:r w:rsidRPr="00F04F94">
        <w:rPr>
          <w:rFonts w:ascii="Arial" w:eastAsia="Times New Roman" w:hAnsi="Arial" w:cs="Arial"/>
          <w:i/>
          <w:iCs/>
          <w:sz w:val="20"/>
          <w:szCs w:val="20"/>
          <w:lang w:eastAsia="en-GB"/>
        </w:rPr>
        <w:t>ad hoc</w:t>
      </w:r>
      <w:r w:rsidRPr="00F04F94">
        <w:rPr>
          <w:rFonts w:ascii="Arial" w:eastAsia="Times New Roman" w:hAnsi="Arial" w:cs="Arial"/>
          <w:sz w:val="20"/>
          <w:szCs w:val="20"/>
          <w:lang w:eastAsia="en-GB"/>
        </w:rPr>
        <w:t xml:space="preserve"> theories such as the 'pecking order hypothesis' and other ideas. Empirical evidence is weakly supportive of a tax effect but the evidence for the existence of a generalized optimal level of gearing or leverage is weak.</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The main conclusion to be drawn </w:t>
      </w:r>
      <w:proofErr w:type="spellStart"/>
      <w:r w:rsidRPr="00F04F94">
        <w:rPr>
          <w:rFonts w:ascii="Arial" w:eastAsia="Times New Roman" w:hAnsi="Arial" w:cs="Arial"/>
          <w:sz w:val="20"/>
          <w:szCs w:val="20"/>
          <w:lang w:eastAsia="en-GB"/>
        </w:rPr>
        <w:t>form</w:t>
      </w:r>
      <w:proofErr w:type="spellEnd"/>
      <w:r w:rsidRPr="00F04F94">
        <w:rPr>
          <w:rFonts w:ascii="Arial" w:eastAsia="Times New Roman" w:hAnsi="Arial" w:cs="Arial"/>
          <w:sz w:val="20"/>
          <w:szCs w:val="20"/>
          <w:lang w:eastAsia="en-GB"/>
        </w:rPr>
        <w:t xml:space="preserve"> the diverse literature on capital structure and financing decisions is the absence of any universal consensus on optimal financing structure. The four principal theoretical perspectives which emerge are (1) the fundamentalists, who do not agree on any optimal course of action when choosing between debt and equity, (2) agency theory, in which the optimal capital structure is obtained by trading off the agency cost of debt against the benefit of debt, (3) the 'pecking order' theory, whose proponents argue that firms should finance investment through retained earnings as a first choice, then debt and lastly equity, and (4) signalling theory, where information asymmetry is assumed between management and shareholders thus in theory favouring debt over equity.</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 xml:space="preserve">Ian Davidson and Chris </w:t>
      </w:r>
      <w:proofErr w:type="spellStart"/>
      <w:r w:rsidRPr="00F04F94">
        <w:rPr>
          <w:rFonts w:ascii="Arial" w:eastAsia="Times New Roman" w:hAnsi="Arial" w:cs="Arial"/>
          <w:i/>
          <w:iCs/>
          <w:sz w:val="20"/>
          <w:szCs w:val="20"/>
          <w:lang w:eastAsia="en-GB"/>
        </w:rPr>
        <w:t>Mallin</w:t>
      </w:r>
      <w:proofErr w:type="spellEnd"/>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58" name="Picture 158"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Corporate pension fund</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Most employees can now look forward to a retirement lasting twenty years and some will live for more than thirty years after retiring. Income in retirement comes from various sources, with the basic level generally being met by state provision. In a few countries state provision is still sufficient to cover all the needs of most employees, but in most countries the state provides at best only basic cover. Individuals need to look either to their employers or to private savings to provide sufficient income in retirement.</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Companies in many countries have found that to attract and retain a loyal workforce, it has become necessary to offer an attractive occupational pension to supplement state provision. Because of the substantial sums needed (often amounting to several times annual pay by retirement), pension benefits are often the most expensive element of a remuneration package after direct pay itself. A company first needs to satisfy itself why corporate provision should be made for pensions rather than leave the employee wholly to their own devices. Having established this, the next step is to design a package of benefits to meet the requirements of both employee and employer, including not just the quantum of benefit, but also how any investment risks involved should be shared.</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In most countries pension funds are given attractive tax concessions to encourage saving for retirement. Often, limits will be put on the amount of provision that could be made in order to limit the extent of that tax advantage, and account would need to be taken of these limits in designing benefit implications. Because pension benefits will be paid many years after the service giving rise to them was completed, by which time the company may no longer exist, it is usual for contributions to corporate pension funds to be paid to an independent fund and invested over the long interim period. Decisions will need to be made about how such assets should be invested, and how the cost is to be met over time, which will depend in part on accounting principles and practices, and in part on the need for security for members, which may involve minimum levels set by legislation.</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Despite being simple in concept, corporate pensions are complex in practice, because of the various constraints on them. Proper administration and communication with employees is necessary to ensure their worth is appreciated.</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A.F. Wilson</w:t>
      </w:r>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63" name="Picture 163"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Credit management</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Credit is a term usually used to refer to the transfer of money, goods or services on the promise of repayment at a future date. Thus it represents an amount of money that will be paid at some future date, in return for benefits received earlier. Credit is sometimes used to refer to the financial standing or status of a business or individual, that is, an amount of money for which the business/individual can be trusted. More formally, credit can be defined as the capacity that an individual or organization has for getting economic value on trust, in return for an expected future repayment. Credit is both provided (by the creditor) and taken (by the debtor). Credit is thus a cooperative (trust) relationship between seller and buyer or between creditor and debtor in which both parties stand to benefit in some way.</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There are many types of transaction which involve creditors and debtors. It is common to classify different classes of credit as follows. First, trade credit or commercial credit is where businesses deliver goods or services at home or abroad on invoices to be paid later. This represents credit that businesses extend to one another to finance the production and distribution of goods. Second, there is bank credit, which involves long- or short-term financing to individuals or businesses. In the latter case, it finances working capital or the acquisition of plant and equipment. This can be represented by the issuance of bonds or other proofs of indebtedness. A subcategory would be property credit, consisting of mortgages secured on real estate. Finally, there is consumer or personal credit, which comprises advances made to individuals to enable them to purchase goods or services on a deferred payment basis. There is a wide variety of consumer credit products available and financial services companies are always introducing more, but most products can be classified as either revolving credit or fixed-term credit.</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Nicholas Wilson</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1" name="Picture 168"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Dividend policy</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A difficult decision for directors of both public and private limited companies is to determine the appropriate level of dividend to be paid to shareholders, and to decide whether or not to offer non-cash alternatives such as scrip dividends. From the perspective of the theorist, rationalization of the corporate dividend decision (or in its obverse form, the corporate savings function), provides one of the severest difficulties for the development of a unified theory of finance. The 'irrelevance' theory, although logically consistent within its idealized framework, does not explain observed dividend behaviour. As a consequence, a number of partial theories such as those based on 'signalling' and 'agency' models have been developed, but empirical testing of these generally gives disappointing results. However, empirical models of the partial adjustment type work quite well in capturing the time series variation of dividends at both the aggregate and individual company level. Unfortunately, since these models are essentially </w:t>
      </w:r>
      <w:r w:rsidRPr="00F04F94">
        <w:rPr>
          <w:rFonts w:ascii="Arial" w:eastAsia="Times New Roman" w:hAnsi="Arial" w:cs="Arial"/>
          <w:i/>
          <w:iCs/>
          <w:sz w:val="20"/>
          <w:szCs w:val="20"/>
          <w:lang w:eastAsia="en-GB"/>
        </w:rPr>
        <w:t>ad hoc</w:t>
      </w:r>
      <w:r w:rsidRPr="00F04F94">
        <w:rPr>
          <w:rFonts w:ascii="Arial" w:eastAsia="Times New Roman" w:hAnsi="Arial" w:cs="Arial"/>
          <w:sz w:val="20"/>
          <w:szCs w:val="20"/>
          <w:lang w:eastAsia="en-GB"/>
        </w:rPr>
        <w:t>, they do not give any real advice to directors to enable them to arrive at a theoretically justifiable assessment of the appropriate dividend level to set.</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Arguments based on these models could lead, in a given instance, to one level of dividend being preferred to all others. Such a result might come about because of value effects relating directly to the investors' personal circumstances (for example, personal tax); or from the dividend level being interpreted as a signal of the directors' future intentions or degree of confidence of earnings growth. The existence of some share price reaction on dividend announcement prompts an analysis of the evidence for both shareholder clienteles and possible interaction of firms' dividend policies with key activities such as internal investment.</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lastRenderedPageBreak/>
        <w:t>Ian Davidson</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74" name="Picture 174"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Efficient market hypothesis</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The efficient market hypothesis (EMH) holds that capital market prices fully and correctly reflect the knowledge and expectations of all investors. This implies that any publicly available information set, say </w:t>
      </w:r>
      <w:proofErr w:type="gramStart"/>
      <w:r w:rsidRPr="00F04F94">
        <w:rPr>
          <w:rFonts w:ascii="Arial" w:eastAsia="Times New Roman" w:hAnsi="Arial" w:cs="Arial"/>
          <w:sz w:val="20"/>
          <w:szCs w:val="20"/>
          <w:lang w:eastAsia="en-GB"/>
        </w:rPr>
        <w:t>f ,</w:t>
      </w:r>
      <w:proofErr w:type="gramEnd"/>
      <w:r w:rsidRPr="00F04F94">
        <w:rPr>
          <w:rFonts w:ascii="Arial" w:eastAsia="Times New Roman" w:hAnsi="Arial" w:cs="Arial"/>
          <w:sz w:val="20"/>
          <w:szCs w:val="20"/>
          <w:lang w:eastAsia="en-GB"/>
        </w:rPr>
        <w:t xml:space="preserve"> is compounded into share prices in such a speed that there are no trading opportunities for investors to generate economic profits by trading on the basis of f . Under this hypothesis, it is futile to seek undervalued securities or to forecast market movements.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EMH assumes that securities markets are characterized by a large number of profit driven independent individuals where new information regarding securities arrives in a random manner. Under this setting, investors react to new information immediately. They buy and sell the security until they feel the market price reflects correctly the new information. In this market, the process of determining prices is a 'fair game' where there is no way of using the information available at a point in time to earn abnormal return. In such a market share prices are right and reflect all publicly available information regarding the value of the company.</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The efficient market hypothesis has, historically, been subdivided into three categories, each dealing with a different type of information. The first is the weak form market efficiency hypothesis where security prices reflect all security market information including all past prices, volumes, etc. This hypothesis holds that current prices cannot be predicted from past price patterns. The second is the semi-strong form of market efficiency where current share prices fully reflect not only historical information but also all publicly available information relevant to the company's securities. The third is the strong form of market efficiency where market prices fully reflect all public and private information that is known to all market participants about the company.</w:t>
      </w:r>
    </w:p>
    <w:p w:rsidR="00F04F94" w:rsidRPr="00F04F94" w:rsidRDefault="00F04F94" w:rsidP="00F04F94">
      <w:pPr>
        <w:spacing w:before="100" w:beforeAutospacing="1" w:after="100" w:afterAutospacing="1" w:line="240" w:lineRule="auto"/>
        <w:jc w:val="right"/>
        <w:rPr>
          <w:rFonts w:ascii="Times New Roman" w:eastAsia="Times New Roman" w:hAnsi="Times New Roman" w:cs="Times New Roman"/>
          <w:i/>
          <w:iCs/>
          <w:sz w:val="20"/>
          <w:szCs w:val="20"/>
          <w:lang w:eastAsia="en-GB"/>
        </w:rPr>
      </w:pPr>
      <w:proofErr w:type="spellStart"/>
      <w:r w:rsidRPr="00F04F94">
        <w:rPr>
          <w:rFonts w:ascii="Arial" w:eastAsia="Times New Roman" w:hAnsi="Arial" w:cs="Arial"/>
          <w:i/>
          <w:iCs/>
          <w:sz w:val="20"/>
          <w:szCs w:val="20"/>
          <w:lang w:eastAsia="en-GB"/>
        </w:rPr>
        <w:t>Meziane</w:t>
      </w:r>
      <w:proofErr w:type="spellEnd"/>
      <w:r w:rsidRPr="00F04F94">
        <w:rPr>
          <w:rFonts w:ascii="Arial" w:eastAsia="Times New Roman" w:hAnsi="Arial" w:cs="Arial"/>
          <w:i/>
          <w:iCs/>
          <w:sz w:val="20"/>
          <w:szCs w:val="20"/>
          <w:lang w:eastAsia="en-GB"/>
        </w:rPr>
        <w:t xml:space="preserve"> </w:t>
      </w:r>
      <w:proofErr w:type="spellStart"/>
      <w:r w:rsidRPr="00F04F94">
        <w:rPr>
          <w:rFonts w:ascii="Arial" w:eastAsia="Times New Roman" w:hAnsi="Arial" w:cs="Arial"/>
          <w:i/>
          <w:iCs/>
          <w:sz w:val="20"/>
          <w:szCs w:val="20"/>
          <w:lang w:eastAsia="en-GB"/>
        </w:rPr>
        <w:t>Lasfer</w:t>
      </w:r>
      <w:proofErr w:type="spellEnd"/>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3" name="Picture 179"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Exchange rate management</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International financial management would be no different than domestic financial management </w:t>
      </w:r>
      <w:proofErr w:type="gramStart"/>
      <w:r w:rsidRPr="00F04F94">
        <w:rPr>
          <w:rFonts w:ascii="Arial" w:eastAsia="Times New Roman" w:hAnsi="Arial" w:cs="Arial"/>
          <w:sz w:val="20"/>
          <w:szCs w:val="20"/>
          <w:lang w:eastAsia="en-GB"/>
        </w:rPr>
        <w:t>were</w:t>
      </w:r>
      <w:proofErr w:type="gramEnd"/>
      <w:r w:rsidRPr="00F04F94">
        <w:rPr>
          <w:rFonts w:ascii="Arial" w:eastAsia="Times New Roman" w:hAnsi="Arial" w:cs="Arial"/>
          <w:sz w:val="20"/>
          <w:szCs w:val="20"/>
          <w:lang w:eastAsia="en-GB"/>
        </w:rPr>
        <w:t xml:space="preserve"> it not for the fact that at the international level problems are introduced by two factors: the presence of different </w:t>
      </w:r>
      <w:r w:rsidRPr="00F04F94">
        <w:rPr>
          <w:rFonts w:ascii="Arial" w:eastAsia="Times New Roman" w:hAnsi="Arial" w:cs="Arial"/>
          <w:i/>
          <w:iCs/>
          <w:sz w:val="20"/>
          <w:szCs w:val="20"/>
          <w:lang w:eastAsia="en-GB"/>
        </w:rPr>
        <w:t>countries</w:t>
      </w:r>
      <w:r w:rsidRPr="00F04F94">
        <w:rPr>
          <w:rFonts w:ascii="Arial" w:eastAsia="Times New Roman" w:hAnsi="Arial" w:cs="Arial"/>
          <w:sz w:val="20"/>
          <w:szCs w:val="20"/>
          <w:lang w:eastAsia="en-GB"/>
        </w:rPr>
        <w:t xml:space="preserve"> and the presence of different </w:t>
      </w:r>
      <w:r w:rsidRPr="00F04F94">
        <w:rPr>
          <w:rFonts w:ascii="Arial" w:eastAsia="Times New Roman" w:hAnsi="Arial" w:cs="Arial"/>
          <w:i/>
          <w:iCs/>
          <w:sz w:val="20"/>
          <w:szCs w:val="20"/>
          <w:lang w:eastAsia="en-GB"/>
        </w:rPr>
        <w:t>currencies</w:t>
      </w:r>
      <w:r w:rsidRPr="00F04F94">
        <w:rPr>
          <w:rFonts w:ascii="Arial" w:eastAsia="Times New Roman" w:hAnsi="Arial" w:cs="Arial"/>
          <w:sz w:val="20"/>
          <w:szCs w:val="20"/>
          <w:lang w:eastAsia="en-GB"/>
        </w:rPr>
        <w:t>. This is an important distinction, because the domain over which countries are defined (political divisions) is different from the domain over which currencies are defined (currency areas, or areas within which exchange rates are fixed). For example, different countries may use a common currency; Panama and the USA both use the US dollar, and on a larger scale one of the ultimate aims of the European community is to introduce a common currency for all of Europe. Similarly, it is possible to deal in different currencies within a given country; term deposits denominated in various currencies are commonplace in the major international financial centres.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A consequence of the existence of countries and currencies is the need for international financial managers to assess and manage political and exchange rate </w:t>
      </w:r>
      <w:r w:rsidRPr="00F04F94">
        <w:rPr>
          <w:rFonts w:ascii="Arial" w:eastAsia="Times New Roman" w:hAnsi="Arial" w:cs="Arial"/>
          <w:i/>
          <w:iCs/>
          <w:sz w:val="20"/>
          <w:szCs w:val="20"/>
          <w:lang w:eastAsia="en-GB"/>
        </w:rPr>
        <w:t>exposure</w:t>
      </w:r>
      <w:r w:rsidRPr="00F04F94">
        <w:rPr>
          <w:rFonts w:ascii="Arial" w:eastAsia="Times New Roman" w:hAnsi="Arial" w:cs="Arial"/>
          <w:sz w:val="20"/>
          <w:szCs w:val="20"/>
          <w:lang w:eastAsia="en-GB"/>
        </w:rPr>
        <w:t xml:space="preserve"> and </w:t>
      </w:r>
      <w:r w:rsidRPr="00F04F94">
        <w:rPr>
          <w:rFonts w:ascii="Arial" w:eastAsia="Times New Roman" w:hAnsi="Arial" w:cs="Arial"/>
          <w:i/>
          <w:iCs/>
          <w:sz w:val="20"/>
          <w:szCs w:val="20"/>
          <w:lang w:eastAsia="en-GB"/>
        </w:rPr>
        <w:t>risk</w:t>
      </w:r>
      <w:r w:rsidRPr="00F04F94">
        <w:rPr>
          <w:rFonts w:ascii="Arial" w:eastAsia="Times New Roman" w:hAnsi="Arial" w:cs="Arial"/>
          <w:sz w:val="20"/>
          <w:szCs w:val="20"/>
          <w:lang w:eastAsia="en-GB"/>
        </w:rPr>
        <w:t>. As explained below, exposure represents the amount at risk while risk relates to the dispersion of possible outcomes. Exposure and risk are therefore conceptually and even dimensionally different. However, at the same time as countries and currencies create special problems they also create special opportunities, including higher returns and/or better diversification than is possible in any one country or currency. If exposures and risks are to be properly managed, then it is necessary that they be correctly measured. However, while measurement is in principle straightforward, there are major problems in practice.</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lastRenderedPageBreak/>
        <w:t>The key concepts are the balance of payments (the record of transactions between domestic residents and residents of foreign countries over a period of time) and the exchange rate; important issues include the relationship between exchange rate policy and monetary policy, and the link between the balance of payments and the exchange rate. The most prominent models of exchange rate determination are the neoclassical or monetarist model and the Keynesian model, which distinguishes between internal and external equilibrium and makes calculations assuming prices are fixed in the short run. More recent models emphasize the role of international capital movements. Current issues in international finance include the role of the International Monetary Fund and the World Bank, the development of the European Monetary System and whether efficient markets hypothesis can be applied to exchange rates.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t>Maurice Levi</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4" name="Picture 185"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Finance, international</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International finance, or 'open-country macroeconomics', is concerned with a country's international transactions in goods and assets. Several inter-related variables are involved, including balance of payments, exchange rates, real income and consumption over time and short- and long-term interest rates.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The balance of payments (the record of transactions between domestic residents and residents of foreign countries over a given period of time) consists of three elements: the current account, the capital account and official financing items including foreign borrowing by government and drawings on or additions to official reserves. The relationship between balance of payments and other variables is complex. Governments often attempt to manage this relationship through tools such as fixed or targeted exchange rates or manipulating interest rates. Since the collapse of the </w:t>
      </w:r>
      <w:proofErr w:type="spellStart"/>
      <w:r w:rsidRPr="00F04F94">
        <w:rPr>
          <w:rFonts w:ascii="Arial" w:eastAsia="Times New Roman" w:hAnsi="Arial" w:cs="Arial"/>
          <w:sz w:val="20"/>
          <w:szCs w:val="20"/>
          <w:lang w:eastAsia="en-GB"/>
        </w:rPr>
        <w:t>Bretton</w:t>
      </w:r>
      <w:proofErr w:type="spellEnd"/>
      <w:r w:rsidRPr="00F04F94">
        <w:rPr>
          <w:rFonts w:ascii="Arial" w:eastAsia="Times New Roman" w:hAnsi="Arial" w:cs="Arial"/>
          <w:sz w:val="20"/>
          <w:szCs w:val="20"/>
          <w:lang w:eastAsia="en-GB"/>
        </w:rPr>
        <w:t xml:space="preserve"> woods agreement on </w:t>
      </w:r>
      <w:proofErr w:type="spellStart"/>
      <w:r w:rsidRPr="00F04F94">
        <w:rPr>
          <w:rFonts w:ascii="Arial" w:eastAsia="Times New Roman" w:hAnsi="Arial" w:cs="Arial"/>
          <w:sz w:val="20"/>
          <w:szCs w:val="20"/>
          <w:lang w:eastAsia="en-GB"/>
        </w:rPr>
        <w:t>foxed</w:t>
      </w:r>
      <w:proofErr w:type="spellEnd"/>
      <w:r w:rsidRPr="00F04F94">
        <w:rPr>
          <w:rFonts w:ascii="Arial" w:eastAsia="Times New Roman" w:hAnsi="Arial" w:cs="Arial"/>
          <w:sz w:val="20"/>
          <w:szCs w:val="20"/>
          <w:lang w:eastAsia="en-GB"/>
        </w:rPr>
        <w:t xml:space="preserve"> exchange rates on the early 12970s, many countries have been concerned about the negative effect of volatile exchange rates on their economies. In the European </w:t>
      </w:r>
      <w:proofErr w:type="gramStart"/>
      <w:r w:rsidRPr="00F04F94">
        <w:rPr>
          <w:rFonts w:ascii="Arial" w:eastAsia="Times New Roman" w:hAnsi="Arial" w:cs="Arial"/>
          <w:sz w:val="20"/>
          <w:szCs w:val="20"/>
          <w:lang w:eastAsia="en-GB"/>
        </w:rPr>
        <w:t>union</w:t>
      </w:r>
      <w:proofErr w:type="gramEnd"/>
      <w:r w:rsidRPr="00F04F94">
        <w:rPr>
          <w:rFonts w:ascii="Arial" w:eastAsia="Times New Roman" w:hAnsi="Arial" w:cs="Arial"/>
          <w:sz w:val="20"/>
          <w:szCs w:val="20"/>
          <w:lang w:eastAsia="en-GB"/>
        </w:rPr>
        <w:t>, the planned establishment of a currency union between EU members is designed to counteract such influences.</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proofErr w:type="spellStart"/>
      <w:r w:rsidRPr="00F04F94">
        <w:rPr>
          <w:rFonts w:ascii="Arial" w:eastAsia="Times New Roman" w:hAnsi="Arial" w:cs="Arial"/>
          <w:i/>
          <w:iCs/>
          <w:sz w:val="20"/>
          <w:szCs w:val="20"/>
          <w:lang w:eastAsia="en-GB"/>
        </w:rPr>
        <w:t>Shelagh</w:t>
      </w:r>
      <w:proofErr w:type="spellEnd"/>
      <w:r w:rsidRPr="00F04F94">
        <w:rPr>
          <w:rFonts w:ascii="Arial" w:eastAsia="Times New Roman" w:hAnsi="Arial" w:cs="Arial"/>
          <w:i/>
          <w:iCs/>
          <w:sz w:val="20"/>
          <w:szCs w:val="20"/>
          <w:lang w:eastAsia="en-GB"/>
        </w:rPr>
        <w:t xml:space="preserve"> Heffernan</w:t>
      </w:r>
    </w:p>
    <w:p w:rsidR="00F04F94" w:rsidRPr="00F04F94" w:rsidRDefault="00F04F94" w:rsidP="00F04F94">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6" name="Picture 191"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F04F94">
        <w:rPr>
          <w:rFonts w:ascii="Arial" w:eastAsia="Times New Roman" w:hAnsi="Arial" w:cs="Arial"/>
          <w:color w:val="000080"/>
          <w:sz w:val="36"/>
          <w:szCs w:val="36"/>
          <w:lang w:eastAsia="en-GB"/>
        </w:rPr>
        <w:t>Financial management, international</w:t>
      </w:r>
      <w:r w:rsidRPr="00F04F94">
        <w:rPr>
          <w:rFonts w:ascii="Times New Roman" w:eastAsia="Times New Roman" w:hAnsi="Times New Roman" w:cs="Times New Roman"/>
          <w:sz w:val="20"/>
          <w:szCs w:val="20"/>
          <w:lang w:eastAsia="en-GB"/>
        </w:rPr>
        <w:t xml:space="preserve"> </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International financial management is not a separate set of issues from domestic or traditional financial management, but does involve a number of risks and complexities not confronted domestically. International financial management means that all the standard financial activities and decisions within a firm (capital budgeting, capital structure, raising long-term capital, working capital and cash flow management, etc.) will be complicated by the differences in markets, laws and especially currencies of conducting business internationally. This management requires many different activities from those of traditional domestic financial management practices. An added distinction in this area of management is that between a firm which only imports and exports, an </w:t>
      </w:r>
      <w:r w:rsidRPr="00F04F94">
        <w:rPr>
          <w:rFonts w:ascii="Arial" w:eastAsia="Times New Roman" w:hAnsi="Arial" w:cs="Arial"/>
          <w:i/>
          <w:iCs/>
          <w:sz w:val="20"/>
          <w:szCs w:val="20"/>
          <w:lang w:eastAsia="en-GB"/>
        </w:rPr>
        <w:t>international</w:t>
      </w:r>
      <w:r w:rsidRPr="00F04F94">
        <w:rPr>
          <w:rFonts w:ascii="Arial" w:eastAsia="Times New Roman" w:hAnsi="Arial" w:cs="Arial"/>
          <w:sz w:val="20"/>
          <w:szCs w:val="20"/>
          <w:lang w:eastAsia="en-GB"/>
        </w:rPr>
        <w:t xml:space="preserve"> firm, and a firm which not only conducts direct import/export business but also possesses foreign affiliate and subsidiary operations, a </w:t>
      </w:r>
      <w:r w:rsidRPr="00F04F94">
        <w:rPr>
          <w:rFonts w:ascii="Arial" w:eastAsia="Times New Roman" w:hAnsi="Arial" w:cs="Arial"/>
          <w:i/>
          <w:iCs/>
          <w:sz w:val="20"/>
          <w:szCs w:val="20"/>
          <w:lang w:eastAsia="en-GB"/>
        </w:rPr>
        <w:t>multinational</w:t>
      </w:r>
      <w:r w:rsidRPr="00F04F94">
        <w:rPr>
          <w:rFonts w:ascii="Arial" w:eastAsia="Times New Roman" w:hAnsi="Arial" w:cs="Arial"/>
          <w:sz w:val="20"/>
          <w:szCs w:val="20"/>
          <w:lang w:eastAsia="en-GB"/>
        </w:rPr>
        <w:t xml:space="preserve"> firm (sometimes referred to as multi-domestic and transnational).</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sz w:val="20"/>
          <w:szCs w:val="20"/>
          <w:lang w:eastAsia="en-GB"/>
        </w:rPr>
      </w:pPr>
      <w:r w:rsidRPr="00F04F94">
        <w:rPr>
          <w:rFonts w:ascii="Arial" w:eastAsia="Times New Roman" w:hAnsi="Arial" w:cs="Arial"/>
          <w:sz w:val="20"/>
          <w:szCs w:val="20"/>
          <w:lang w:eastAsia="en-GB"/>
        </w:rPr>
        <w:t xml:space="preserve">International financial management requires knowledge of a number of different markets and institutions. These include currency markets, along with </w:t>
      </w:r>
      <w:proofErr w:type="gramStart"/>
      <w:r w:rsidRPr="00F04F94">
        <w:rPr>
          <w:rFonts w:ascii="Arial" w:eastAsia="Times New Roman" w:hAnsi="Arial" w:cs="Arial"/>
          <w:sz w:val="20"/>
          <w:szCs w:val="20"/>
          <w:lang w:eastAsia="en-GB"/>
        </w:rPr>
        <w:t>a knowledge</w:t>
      </w:r>
      <w:proofErr w:type="gramEnd"/>
      <w:r w:rsidRPr="00F04F94">
        <w:rPr>
          <w:rFonts w:ascii="Arial" w:eastAsia="Times New Roman" w:hAnsi="Arial" w:cs="Arial"/>
          <w:sz w:val="20"/>
          <w:szCs w:val="20"/>
          <w:lang w:eastAsia="en-GB"/>
        </w:rPr>
        <w:t xml:space="preserve"> of exchange rate determination and terminology; international money and capital markets; and international debt and equity markets. International financial management activities in turn include international capital budgeting, managing international capital structure, working </w:t>
      </w:r>
      <w:proofErr w:type="spellStart"/>
      <w:r w:rsidRPr="00F04F94">
        <w:rPr>
          <w:rFonts w:ascii="Arial" w:eastAsia="Times New Roman" w:hAnsi="Arial" w:cs="Arial"/>
          <w:sz w:val="20"/>
          <w:szCs w:val="20"/>
          <w:lang w:eastAsia="en-GB"/>
        </w:rPr>
        <w:t>capita</w:t>
      </w:r>
      <w:proofErr w:type="spellEnd"/>
      <w:r w:rsidRPr="00F04F94">
        <w:rPr>
          <w:rFonts w:ascii="Arial" w:eastAsia="Times New Roman" w:hAnsi="Arial" w:cs="Arial"/>
          <w:sz w:val="20"/>
          <w:szCs w:val="20"/>
          <w:lang w:eastAsia="en-GB"/>
        </w:rPr>
        <w:t xml:space="preserve"> management and performance evaluation and control.</w:t>
      </w:r>
    </w:p>
    <w:p w:rsidR="00F04F94" w:rsidRPr="00F04F94" w:rsidRDefault="00F04F94" w:rsidP="00F04F94">
      <w:pPr>
        <w:spacing w:before="100" w:beforeAutospacing="1" w:after="100" w:afterAutospacing="1" w:line="240" w:lineRule="auto"/>
        <w:rPr>
          <w:rFonts w:ascii="Times New Roman" w:eastAsia="Times New Roman" w:hAnsi="Times New Roman" w:cs="Times New Roman"/>
          <w:i/>
          <w:iCs/>
          <w:sz w:val="20"/>
          <w:szCs w:val="20"/>
          <w:lang w:eastAsia="en-GB"/>
        </w:rPr>
      </w:pPr>
      <w:r w:rsidRPr="00F04F94">
        <w:rPr>
          <w:rFonts w:ascii="Arial" w:eastAsia="Times New Roman" w:hAnsi="Arial" w:cs="Arial"/>
          <w:i/>
          <w:iCs/>
          <w:sz w:val="20"/>
          <w:szCs w:val="20"/>
          <w:lang w:eastAsia="en-GB"/>
        </w:rPr>
        <w:lastRenderedPageBreak/>
        <w:t xml:space="preserve">Michael H. Moffett and Bernard </w:t>
      </w:r>
      <w:proofErr w:type="spellStart"/>
      <w:r w:rsidRPr="00F04F94">
        <w:rPr>
          <w:rFonts w:ascii="Arial" w:eastAsia="Times New Roman" w:hAnsi="Arial" w:cs="Arial"/>
          <w:i/>
          <w:iCs/>
          <w:sz w:val="20"/>
          <w:szCs w:val="20"/>
          <w:lang w:eastAsia="en-GB"/>
        </w:rPr>
        <w:t>Yeung</w:t>
      </w:r>
      <w:proofErr w:type="spellEnd"/>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197" name="Picture 197"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Financial markets, international</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In economics, a market is defined as a set of arrangements whereby buyers and sellers contract to exchange goods or services. An international financial market works on exactly the same principles. Financial instruments and services, which range from currencies and private banking services to futures for pork bellies, are traded. A market clearing price is established when demand is just equal to supply. The most important types of international </w:t>
      </w:r>
      <w:proofErr w:type="spellStart"/>
      <w:r w:rsidRPr="00D431AF">
        <w:rPr>
          <w:rFonts w:ascii="Arial" w:eastAsia="Times New Roman" w:hAnsi="Arial" w:cs="Arial"/>
          <w:sz w:val="20"/>
          <w:szCs w:val="20"/>
          <w:lang w:eastAsia="en-GB"/>
        </w:rPr>
        <w:t>fianncial</w:t>
      </w:r>
      <w:proofErr w:type="spellEnd"/>
      <w:r w:rsidRPr="00D431AF">
        <w:rPr>
          <w:rFonts w:ascii="Arial" w:eastAsia="Times New Roman" w:hAnsi="Arial" w:cs="Arial"/>
          <w:sz w:val="20"/>
          <w:szCs w:val="20"/>
          <w:lang w:eastAsia="en-GB"/>
        </w:rPr>
        <w:t xml:space="preserve"> markets are the international money markets, international bond markets, international stock markets and derivative markets. The major global financial centres are London, New York and Tokyo, but there are also important off-shore centres such as Switzerland and Hong Kong.</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Issues for the future include the co-ordination of international financial regulation, along the lines of the Basle agreements on capital adequacy, the increasing domination of global markets by large financial conglomerates and the extent to which rapid financial innovation could undermine the existing system. New technology, which is increasing the speed with which information can be transmitted, may reduce the need for discrete centres such as London and New York, although in fact technology tends rather to increase centralization which could lead to still more concentration.</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sz w:val="24"/>
          <w:szCs w:val="24"/>
          <w:lang w:eastAsia="en-GB"/>
        </w:rPr>
      </w:pPr>
      <w:proofErr w:type="spellStart"/>
      <w:r w:rsidRPr="00D431AF">
        <w:rPr>
          <w:rFonts w:ascii="Arial" w:eastAsia="Times New Roman" w:hAnsi="Arial" w:cs="Arial"/>
          <w:i/>
          <w:iCs/>
          <w:sz w:val="20"/>
          <w:szCs w:val="20"/>
          <w:lang w:eastAsia="en-GB"/>
        </w:rPr>
        <w:t>Shelagh</w:t>
      </w:r>
      <w:proofErr w:type="spellEnd"/>
      <w:r w:rsidRPr="00D431AF">
        <w:rPr>
          <w:rFonts w:ascii="Arial" w:eastAsia="Times New Roman" w:hAnsi="Arial" w:cs="Arial"/>
          <w:i/>
          <w:iCs/>
          <w:sz w:val="20"/>
          <w:szCs w:val="20"/>
          <w:lang w:eastAsia="en-GB"/>
        </w:rPr>
        <w:t xml:space="preserve"> Heffernan</w:t>
      </w: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02" name="Picture 202"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Financial planning</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The consensus view, that of the rational model, of financial planning in mainstream finance is that it is a process that starts with goals, compares these to anticipated achievement to identify any gap, analyses alternatives and monitors progress towards the goals. The basic goal is shareholder wealth maximization. This model, however, is not the only one, and it has been criticized on a number of grounds. An extreme alternative is the 'disjointed </w:t>
      </w:r>
      <w:proofErr w:type="spellStart"/>
      <w:r w:rsidRPr="00D431AF">
        <w:rPr>
          <w:rFonts w:ascii="Arial" w:eastAsia="Times New Roman" w:hAnsi="Arial" w:cs="Arial"/>
          <w:sz w:val="20"/>
          <w:szCs w:val="20"/>
          <w:lang w:eastAsia="en-GB"/>
        </w:rPr>
        <w:t>incrementalism</w:t>
      </w:r>
      <w:proofErr w:type="spellEnd"/>
      <w:r w:rsidRPr="00D431AF">
        <w:rPr>
          <w:rFonts w:ascii="Arial" w:eastAsia="Times New Roman" w:hAnsi="Arial" w:cs="Arial"/>
          <w:sz w:val="20"/>
          <w:szCs w:val="20"/>
          <w:lang w:eastAsia="en-GB"/>
        </w:rPr>
        <w:t>' model, which is based on making only marginal changes to existing policies as problems arise. Other models attempt to combine the strengths of these two models. Procedures and calculations have a role in supporting planners' more intuitive and political skills. Computer models may also be of some help, although they have their shortcomings.</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Robert H. Berry</w:t>
      </w:r>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07" name="Picture 207"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Financial reporting, social theories of</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Accountability can be defined as the requirement for one party (an agent) to give an 'account' to another (a principal). The principal requires, or is entitled to require, that the agent acts in particular ways and accounts for his actions, thereby providing evidence of the discharge of his duties. Where the relationship is one of financial accountability then the agent will provide financial accounts. However, accountability relations need not always be financial in form; different societies at different </w:t>
      </w:r>
      <w:r w:rsidRPr="00D431AF">
        <w:rPr>
          <w:rFonts w:ascii="Arial" w:eastAsia="Times New Roman" w:hAnsi="Arial" w:cs="Arial"/>
          <w:sz w:val="20"/>
          <w:szCs w:val="20"/>
          <w:lang w:eastAsia="en-GB"/>
        </w:rPr>
        <w:lastRenderedPageBreak/>
        <w:t xml:space="preserve">times support different forms of corporate and personal accountability. Perhaps the most commonly understood relation of accountability is established by explicit legal contract between two parties. In this case, financial accounting may provide a basis for monitoring compliance with the contract. Alternatively, ideas about accountability may be informed by moral and political frameworks. For example, if society is concerned with accountability for the welfare of future generations then this might require a form of accounting very different from the financial reporting practices which exist currently. The general point is that an accountability structure describes social relations and expresses social values and choices which are either presumed to exist or presumed to be desirable. Social theories of financial accounting are concerned with two aspects of this structure: the identity of principals and agents and the nature of the information </w:t>
      </w:r>
      <w:proofErr w:type="gramStart"/>
      <w:r w:rsidRPr="00D431AF">
        <w:rPr>
          <w:rFonts w:ascii="Arial" w:eastAsia="Times New Roman" w:hAnsi="Arial" w:cs="Arial"/>
          <w:sz w:val="20"/>
          <w:szCs w:val="20"/>
          <w:lang w:eastAsia="en-GB"/>
        </w:rPr>
        <w:t>flows</w:t>
      </w:r>
      <w:proofErr w:type="gramEnd"/>
      <w:r w:rsidRPr="00D431AF">
        <w:rPr>
          <w:rFonts w:ascii="Arial" w:eastAsia="Times New Roman" w:hAnsi="Arial" w:cs="Arial"/>
          <w:sz w:val="20"/>
          <w:szCs w:val="20"/>
          <w:lang w:eastAsia="en-GB"/>
        </w:rPr>
        <w:t xml:space="preserve"> between them.</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Michael Power</w:t>
      </w:r>
    </w:p>
    <w:p w:rsidR="00F04F94" w:rsidRPr="00F04F94" w:rsidRDefault="00F04F94" w:rsidP="00F04F94">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7" name="Picture 212"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Financial statement analysis</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Financial statement analysis (FSA) is a general term used to describe the activity of interpreting and using, as opposed to preparing, financial statements, </w:t>
      </w:r>
      <w:proofErr w:type="gramStart"/>
      <w:r w:rsidRPr="00D431AF">
        <w:rPr>
          <w:rFonts w:ascii="Arial" w:eastAsia="Times New Roman" w:hAnsi="Arial" w:cs="Arial"/>
          <w:sz w:val="20"/>
          <w:szCs w:val="20"/>
          <w:lang w:eastAsia="en-GB"/>
        </w:rPr>
        <w:t>primarily</w:t>
      </w:r>
      <w:proofErr w:type="gramEnd"/>
      <w:r w:rsidRPr="00D431AF">
        <w:rPr>
          <w:rFonts w:ascii="Arial" w:eastAsia="Times New Roman" w:hAnsi="Arial" w:cs="Arial"/>
          <w:sz w:val="20"/>
          <w:szCs w:val="20"/>
          <w:lang w:eastAsia="en-GB"/>
        </w:rPr>
        <w:t xml:space="preserve"> accounting data. It therefore extends from professional financial analysts employed at great expense by financial institutions for their skill at 'reading between the lines' of company balance sheets to employees and potential employees who simply want to know things such as how well the firm is doing and who owns it. The traditional tools of FSA are financial ratios, including profitability, activity, the management of working capital, growth, liquidity, the balance sheet, </w:t>
      </w:r>
      <w:proofErr w:type="gramStart"/>
      <w:r w:rsidRPr="00D431AF">
        <w:rPr>
          <w:rFonts w:ascii="Arial" w:eastAsia="Times New Roman" w:hAnsi="Arial" w:cs="Arial"/>
          <w:sz w:val="20"/>
          <w:szCs w:val="20"/>
          <w:lang w:eastAsia="en-GB"/>
        </w:rPr>
        <w:t>capital</w:t>
      </w:r>
      <w:proofErr w:type="gramEnd"/>
      <w:r w:rsidRPr="00D431AF">
        <w:rPr>
          <w:rFonts w:ascii="Arial" w:eastAsia="Times New Roman" w:hAnsi="Arial" w:cs="Arial"/>
          <w:sz w:val="20"/>
          <w:szCs w:val="20"/>
          <w:lang w:eastAsia="en-GB"/>
        </w:rPr>
        <w:t xml:space="preserve"> structure and investment data. Traditionally, financial analysts have used historical ratios combined with experience and judgement; recently, the development of powerful statistical techniques and databases has resulted in the application of statistical mechanical methods which can be used to make forecasts and predictions.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Paul Barnes</w:t>
      </w: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18" name="Picture 218"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Forward and futures contracts</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A forward contract is a firm agreement between two counterparties to exchange an asset at some future date for an agreed price. It enables the counterparties to lock into a certain price today for a transaction that will occur in the future. The contract specifies </w:t>
      </w:r>
      <w:r w:rsidRPr="00D431AF">
        <w:rPr>
          <w:rFonts w:ascii="Arial" w:eastAsia="Times New Roman" w:hAnsi="Arial" w:cs="Arial"/>
          <w:i/>
          <w:iCs/>
          <w:sz w:val="20"/>
          <w:szCs w:val="20"/>
          <w:lang w:eastAsia="en-GB"/>
        </w:rPr>
        <w:t>inter alia</w:t>
      </w:r>
      <w:r w:rsidRPr="00D431AF">
        <w:rPr>
          <w:rFonts w:ascii="Arial" w:eastAsia="Times New Roman" w:hAnsi="Arial" w:cs="Arial"/>
          <w:sz w:val="20"/>
          <w:szCs w:val="20"/>
          <w:lang w:eastAsia="en-GB"/>
        </w:rPr>
        <w:t xml:space="preserve"> the type and amount of asset to be exchanged, the price at which the exchange will take place (the 'delivery price') and the date of the exchange (the 'delivery date').</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A futures contract is also an agreement that enables two counterparties to fix the price at which an asset will be exchanged at a certain time in the future. However, futures contracts are standardized with respect to the specification and amount of the asset to be exchanged and require the exchange to occur on one of a limited number of maturity dates each year (often four). This contract standardization enables futures contracts to be traded on regulated exchanges that provide a clearing house mechanism to ensure that contracts will be honoured.</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Forward and future contracts are of major importance in the management of financial and commodity price risk exposure for companies and financial institutions. They offer low-cost and convenient ways of setting up highly-geared positions for speculators seeking bets on movements in financial assets and commodity prices. Institutional investors can use such contracts to alter the allocation of their funds between seven major classes of assets very rapidly and at low cost. </w:t>
      </w:r>
      <w:proofErr w:type="spellStart"/>
      <w:r w:rsidRPr="00D431AF">
        <w:rPr>
          <w:rFonts w:ascii="Arial" w:eastAsia="Times New Roman" w:hAnsi="Arial" w:cs="Arial"/>
          <w:sz w:val="20"/>
          <w:szCs w:val="20"/>
          <w:lang w:eastAsia="en-GB"/>
        </w:rPr>
        <w:t>Th</w:t>
      </w:r>
      <w:proofErr w:type="spellEnd"/>
      <w:r w:rsidRPr="00D431AF">
        <w:rPr>
          <w:rFonts w:ascii="Arial" w:eastAsia="Times New Roman" w:hAnsi="Arial" w:cs="Arial"/>
          <w:sz w:val="20"/>
          <w:szCs w:val="20"/>
          <w:lang w:eastAsia="en-GB"/>
        </w:rPr>
        <w:t xml:space="preserve"> pricing of forward contracts is based on simple arbitrage relationships. When using futures to hedge risk exposures, </w:t>
      </w:r>
      <w:r w:rsidRPr="00D431AF">
        <w:rPr>
          <w:rFonts w:ascii="Arial" w:eastAsia="Times New Roman" w:hAnsi="Arial" w:cs="Arial"/>
          <w:sz w:val="20"/>
          <w:szCs w:val="20"/>
          <w:lang w:eastAsia="en-GB"/>
        </w:rPr>
        <w:lastRenderedPageBreak/>
        <w:t>great care should be taken to eliminate or reduce mismatches between key characteristics of the futures contract and the risk of being hedged.</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 xml:space="preserve">Peter F. Pope and </w:t>
      </w:r>
      <w:proofErr w:type="spellStart"/>
      <w:r w:rsidRPr="00D431AF">
        <w:rPr>
          <w:rFonts w:ascii="Arial" w:eastAsia="Times New Roman" w:hAnsi="Arial" w:cs="Arial"/>
          <w:i/>
          <w:iCs/>
          <w:sz w:val="20"/>
          <w:szCs w:val="20"/>
          <w:lang w:eastAsia="en-GB"/>
        </w:rPr>
        <w:t>Pradeep</w:t>
      </w:r>
      <w:proofErr w:type="spellEnd"/>
      <w:r w:rsidRPr="00D431AF">
        <w:rPr>
          <w:rFonts w:ascii="Arial" w:eastAsia="Times New Roman" w:hAnsi="Arial" w:cs="Arial"/>
          <w:i/>
          <w:iCs/>
          <w:sz w:val="20"/>
          <w:szCs w:val="20"/>
          <w:lang w:eastAsia="en-GB"/>
        </w:rPr>
        <w:t xml:space="preserve"> K. </w:t>
      </w:r>
      <w:proofErr w:type="spellStart"/>
      <w:r w:rsidRPr="00D431AF">
        <w:rPr>
          <w:rFonts w:ascii="Arial" w:eastAsia="Times New Roman" w:hAnsi="Arial" w:cs="Arial"/>
          <w:i/>
          <w:iCs/>
          <w:sz w:val="20"/>
          <w:szCs w:val="20"/>
          <w:lang w:eastAsia="en-GB"/>
        </w:rPr>
        <w:t>Yahav</w:t>
      </w:r>
      <w:proofErr w:type="spellEnd"/>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23" name="Picture 223"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Inflation</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The rate of inflation is generally taken to mean the prevailing annual increase of the average level of prices of consumer goods and services in the country. It is generally agreed that a high or volatile inflation rate is a major economic ill. The problems that arise when inflation is high, or volatile and unpredictable, include distortions of income distribution, bias in investment decisions and inefficient allocation of resources. The control of inflation is therefore an issue of primary concern for policy.</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A number of different markets are involved in determining the rate of inflation: including the market in goods and services, the labour market, the foreign exchange market and world markets for primary commodities and for finished goods. The process by which prices are set is somewhat different in each one. To understand fully the nature of the inflation spiral it is necessary to understand the processes determining price setting in each. The current price level and the going rate of inflation will both be taken into account when prices are set: this is called the 'no money illusion'. The resulting pressures in the economy lead t rapid rises in world prices of primary commodities, overheating in domestic consumer markets and various imperfections in domestic markets.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Policies for preventing high inflation include restructuring an inflationary labour, market, preventing bottlenecks occurring, a voiding damage to productive capacity and avoiding inflation rates significantly higher than those of trading partners. There is some potential for offsetting temporary inflationary pressures through manipulation of the exchange rate.</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The choice of policy options for the cure of inflation is limited. Macroeconomic policies can have a substantial impact on the rate of inflation, but only in certain circumstances will these lead to a persisting reduction in inflation. Government intervention in the operation of the labour market can also influence the rate of inflation.</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 xml:space="preserve">Penelope A. </w:t>
      </w:r>
      <w:proofErr w:type="spellStart"/>
      <w:r w:rsidRPr="00D431AF">
        <w:rPr>
          <w:rFonts w:ascii="Arial" w:eastAsia="Times New Roman" w:hAnsi="Arial" w:cs="Arial"/>
          <w:i/>
          <w:iCs/>
          <w:sz w:val="20"/>
          <w:szCs w:val="20"/>
          <w:lang w:eastAsia="en-GB"/>
        </w:rPr>
        <w:t>Rowlatt</w:t>
      </w:r>
      <w:proofErr w:type="spellEnd"/>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28" name="Picture 228"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Interest rate risk</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A firm or an individual faces an interest rate risk when there is a need to borrow or lend money at a future date. Interest rates, both real (net of inflation) and </w:t>
      </w:r>
      <w:proofErr w:type="gramStart"/>
      <w:r w:rsidRPr="00D431AF">
        <w:rPr>
          <w:rFonts w:ascii="Arial" w:eastAsia="Times New Roman" w:hAnsi="Arial" w:cs="Arial"/>
          <w:sz w:val="20"/>
          <w:szCs w:val="20"/>
          <w:lang w:eastAsia="en-GB"/>
        </w:rPr>
        <w:t>nominal,</w:t>
      </w:r>
      <w:proofErr w:type="gramEnd"/>
      <w:r w:rsidRPr="00D431AF">
        <w:rPr>
          <w:rFonts w:ascii="Arial" w:eastAsia="Times New Roman" w:hAnsi="Arial" w:cs="Arial"/>
          <w:sz w:val="20"/>
          <w:szCs w:val="20"/>
          <w:lang w:eastAsia="en-GB"/>
        </w:rPr>
        <w:t xml:space="preserve"> are volatile. One of the important tasks of financial management is to reduce the exposure of the agent to interest rate risk. If a firm needs to borrow money at a future point in time it can 'hedge' its exposure to an increase in rates in a number of ways. The principal instruments available for the hedging of interest rate risk are: 'forward contracts', which are agreements made now to borrow or lend money in the future at a fixed agreed rate of interest; 'futures contracts', which are standardized forward contracts traded on a futures exchange; and 'option contracts', which give the holder the right to borrow or lend at a fixed rate, but in contrast with forward contracts the holder of the option is not obliged to borrow or lend at the agreed rate if market interest rates change.</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lastRenderedPageBreak/>
        <w:t>Borrowers often require money over longer periods of time (for example, from five years to twenty-five years). To hedge over longer periods borrowers can use an interest rate 'swap contract' or an interest rate 'cap contract'. A swap is a portfolio, or series, of interest rate forward contracts covering successive borrowing periods. Likewise, an interest rate cap is a series of interest rate option contracts. Most interest rate risk management is done through swap and cap contracts.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Many hedging contracts are made between banks and corporate clients on what is known as the over-the-counter market. These contracts are often specially structured to suit the needs of the corporate client. Many are known as 'exotic' or 'complex' derivatives. Examples are diff swaps, binary options, pay-as-you-go options and zero-cost options.</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Richard C. Stapleton</w:t>
      </w: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30" name="Picture 230"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Japanese financial markets</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During the high growth era of 1955 to 1973, the Japanese financial market used to have a character very different from those of the USA and the UK. First, financial intermediaries dominated the corporate financing pattern, while the securities market was less developed. Second, the money market developed in an unbalanced way, due to the underdevelopment of the open market and the importance of the inter-bank market.</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Since the early 1970s, significant changes have occurred in the nature of the Japanese financial market through large </w:t>
      </w:r>
      <w:proofErr w:type="spellStart"/>
      <w:r w:rsidRPr="00D431AF">
        <w:rPr>
          <w:rFonts w:ascii="Arial" w:eastAsia="Times New Roman" w:hAnsi="Arial" w:cs="Arial"/>
          <w:sz w:val="20"/>
          <w:szCs w:val="20"/>
          <w:lang w:eastAsia="en-GB"/>
        </w:rPr>
        <w:t>flotations</w:t>
      </w:r>
      <w:proofErr w:type="spellEnd"/>
      <w:r w:rsidRPr="00D431AF">
        <w:rPr>
          <w:rFonts w:ascii="Arial" w:eastAsia="Times New Roman" w:hAnsi="Arial" w:cs="Arial"/>
          <w:sz w:val="20"/>
          <w:szCs w:val="20"/>
          <w:lang w:eastAsia="en-GB"/>
        </w:rPr>
        <w:t xml:space="preserve"> of bonds caused by a large government deficit, internationalization and the deregulation of the financial market. As a result, Japan's financial market has become comparable with those of the USA and UK, although a few differences still survive. In this transforming process, the Japanese financial system has been facing critical problems: one is the problem of stabilizing the financial system, closely related to that of bad debt; the other concerns corporate governance in so far as the monitoring capability of the main bank has declined, but an alternative system has not been established.</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i/>
          <w:iCs/>
          <w:sz w:val="20"/>
          <w:szCs w:val="20"/>
          <w:lang w:eastAsia="en-GB"/>
        </w:rPr>
        <w:t> </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 xml:space="preserve">Hideaki </w:t>
      </w:r>
      <w:proofErr w:type="spellStart"/>
      <w:r w:rsidRPr="00D431AF">
        <w:rPr>
          <w:rFonts w:ascii="Arial" w:eastAsia="Times New Roman" w:hAnsi="Arial" w:cs="Arial"/>
          <w:i/>
          <w:iCs/>
          <w:sz w:val="20"/>
          <w:szCs w:val="20"/>
          <w:lang w:eastAsia="en-GB"/>
        </w:rPr>
        <w:t>Miyajima</w:t>
      </w:r>
      <w:proofErr w:type="spellEnd"/>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35" name="Picture 235"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Mathematics in finance</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Traditionally, the main mathematical tools used in finance were the techniques of compound interest. However, since about the mid-1960s many other techniques have been introduced to help understand the functioning of capital markets. The valuation of options, in particular, requires special methods from stochastic calculus. Calculations of compound interest make it possible to work out how money grows, how loans are repaid and what is the value of cash flows which will be received in the future. They also make it possible to compare interest rates which may be quoted under quite different conventions. These techniques are also referred to as 'discounted cash flow' (DCF) methods.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In addition to compound interest calculations, other parts of mathematics are particularly useful in finance. Matrices make it possible to represent entire tables of data using algebraic notation, and also to describe algebraic operations on them. This has many applications in finance, particularly related to portfolios consisting of a large number of securities. Matrix algebra is also extremely convenient for describing the calculation of mean-variance efficient portfolios.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lastRenderedPageBreak/>
        <w:t>Calculus deals with calculating the rates of change of function (differentiation</w:t>
      </w:r>
      <w:proofErr w:type="gramStart"/>
      <w:r w:rsidRPr="00D431AF">
        <w:rPr>
          <w:rFonts w:ascii="Arial" w:eastAsia="Times New Roman" w:hAnsi="Arial" w:cs="Arial"/>
          <w:sz w:val="20"/>
          <w:szCs w:val="20"/>
          <w:lang w:eastAsia="en-GB"/>
        </w:rPr>
        <w:t>)(</w:t>
      </w:r>
      <w:proofErr w:type="gramEnd"/>
      <w:r w:rsidRPr="00D431AF">
        <w:rPr>
          <w:rFonts w:ascii="Arial" w:eastAsia="Times New Roman" w:hAnsi="Arial" w:cs="Arial"/>
          <w:sz w:val="20"/>
          <w:szCs w:val="20"/>
          <w:lang w:eastAsia="en-GB"/>
        </w:rPr>
        <w:t>, and also the areas under curves (integration). Stochastic calculus can be used to consider the behaviour of things which evolve randomly through time such as portfolios or the valuation of call options. Finally, the tools of statistics and econometrics are fundamentally important to understanding the behaviour of and returns on securities.</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Stewart Hodges</w:t>
      </w: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40" name="Picture 240"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Modern portfolio theory</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Modern portfolio theory (MPT) is a sophisticated investment decision approach that allows an investor to classify, estimate and control both the kind and amount of expected return and risk. Its roots lie in Markowitz's innovative research in the early 1950s which shows that, by investing in a number of securities (portfolio), an investor can maximize the expected return and minimize the risk. Essential to portfolio theory is its quantification of the relationship between risk and return. The basic assumptions of this theory are that security returns are multivariate normally distributed and that investors are risk averse, thus, they must be compensated for assuming risk and they should attempt to diversify their portfolio rather than hold the single asset with the highest expected return.</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These assumptions imply two features of investment decisions under uncertainty. First, the </w:t>
      </w:r>
      <w:proofErr w:type="gramStart"/>
      <w:r w:rsidRPr="00D431AF">
        <w:rPr>
          <w:rFonts w:ascii="Arial" w:eastAsia="Times New Roman" w:hAnsi="Arial" w:cs="Arial"/>
          <w:sz w:val="20"/>
          <w:szCs w:val="20"/>
          <w:lang w:eastAsia="en-GB"/>
        </w:rPr>
        <w:t>distribution of future returns of a portfolio are</w:t>
      </w:r>
      <w:proofErr w:type="gramEnd"/>
      <w:r w:rsidRPr="00D431AF">
        <w:rPr>
          <w:rFonts w:ascii="Arial" w:eastAsia="Times New Roman" w:hAnsi="Arial" w:cs="Arial"/>
          <w:sz w:val="20"/>
          <w:szCs w:val="20"/>
          <w:lang w:eastAsia="en-GB"/>
        </w:rPr>
        <w:t xml:space="preserve"> only described by the mean and variance of these returns. Second, investors prefer higher expected returns to lower expected returns for a given level of portfolio variance and prefer lower variance to higher variance of portfolio returns for a given level of expected returns.</w:t>
      </w:r>
    </w:p>
    <w:p w:rsidR="00D431AF" w:rsidRPr="00D431AF" w:rsidRDefault="00D431AF" w:rsidP="00D431AF">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 xml:space="preserve">M. </w:t>
      </w:r>
      <w:proofErr w:type="spellStart"/>
      <w:r w:rsidRPr="00D431AF">
        <w:rPr>
          <w:rFonts w:ascii="Arial" w:eastAsia="Times New Roman" w:hAnsi="Arial" w:cs="Arial"/>
          <w:i/>
          <w:iCs/>
          <w:sz w:val="20"/>
          <w:szCs w:val="20"/>
          <w:lang w:eastAsia="en-GB"/>
        </w:rPr>
        <w:t>Ameziane</w:t>
      </w:r>
      <w:proofErr w:type="spellEnd"/>
      <w:r w:rsidRPr="00D431AF">
        <w:rPr>
          <w:rFonts w:ascii="Arial" w:eastAsia="Times New Roman" w:hAnsi="Arial" w:cs="Arial"/>
          <w:i/>
          <w:iCs/>
          <w:sz w:val="20"/>
          <w:szCs w:val="20"/>
          <w:lang w:eastAsia="en-GB"/>
        </w:rPr>
        <w:t xml:space="preserve"> </w:t>
      </w:r>
      <w:proofErr w:type="spellStart"/>
      <w:r w:rsidRPr="00D431AF">
        <w:rPr>
          <w:rFonts w:ascii="Arial" w:eastAsia="Times New Roman" w:hAnsi="Arial" w:cs="Arial"/>
          <w:i/>
          <w:iCs/>
          <w:sz w:val="20"/>
          <w:szCs w:val="20"/>
          <w:lang w:eastAsia="en-GB"/>
        </w:rPr>
        <w:t>Lasfer</w:t>
      </w:r>
      <w:proofErr w:type="spellEnd"/>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4"/>
          <w:szCs w:val="24"/>
          <w:lang w:eastAsia="en-GB"/>
        </w:rPr>
      </w:pPr>
    </w:p>
    <w:p w:rsidR="00D431AF" w:rsidRPr="00D431AF" w:rsidRDefault="00D431AF" w:rsidP="00D431AF">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8" name="Picture 245"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D431AF">
        <w:rPr>
          <w:rFonts w:ascii="Arial" w:eastAsia="Times New Roman" w:hAnsi="Arial" w:cs="Arial"/>
          <w:color w:val="000080"/>
          <w:sz w:val="36"/>
          <w:szCs w:val="36"/>
          <w:lang w:eastAsia="en-GB"/>
        </w:rPr>
        <w:t>Monetarism</w:t>
      </w:r>
      <w:r w:rsidRPr="00D431AF">
        <w:rPr>
          <w:rFonts w:ascii="Times New Roman" w:eastAsia="Times New Roman" w:hAnsi="Times New Roman" w:cs="Times New Roman"/>
          <w:sz w:val="20"/>
          <w:szCs w:val="20"/>
          <w:lang w:eastAsia="en-GB"/>
        </w:rPr>
        <w:t xml:space="preserve"> </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Monetarism is a school of thought in which its members share the view that fluctuations in economic activity are largely governed by fluctuations in the stock of money. While it is broad enough to accommodate disagreements within its ranks with regard to the extent of the influence money has on economic activity, or even the appropriate definition of money that best satisfies the main proposition, the common factor that binds all of the members of this school of thought is the belief that ultimately inflation is caused by excess growth in the money supply. This latter view derives from the 'quantity theory of money'. In its simplest form, it is asserted that a relationship exists between the level of national income (measured in current prices) and the stock of money. Consequently the rate of growth of national income (gross national and domestic product (GNP and GDP), etc.) will be strongly correlated with the rate of growth of the stock of money. If it is additionally asserted that in the long run the real value of national income (national income adjusted for the general price level) grows at a stable rate, then the rate of growth of money in excess of the rate of growth of real national income will result in inflation. In other words, an increase in the money supply will at first benefit economic activity by raising the level of income but over the long period, as real income reverts to its historic rate of growth, the result is inflation. This view is encapsulated in the phrase: 'inflation is caused by too much money chasing too few goods'.</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sz w:val="20"/>
          <w:szCs w:val="20"/>
          <w:lang w:eastAsia="en-GB"/>
        </w:rPr>
      </w:pPr>
      <w:r w:rsidRPr="00D431AF">
        <w:rPr>
          <w:rFonts w:ascii="Arial" w:eastAsia="Times New Roman" w:hAnsi="Arial" w:cs="Arial"/>
          <w:sz w:val="20"/>
          <w:szCs w:val="20"/>
          <w:lang w:eastAsia="en-GB"/>
        </w:rPr>
        <w:t xml:space="preserve">Monetarism has gone through several incarnations. It has a long historical pedigree that strongly influenced pre-Keynesian economic thought. The influence of the monetarist school waned with the </w:t>
      </w:r>
      <w:r w:rsidRPr="00D431AF">
        <w:rPr>
          <w:rFonts w:ascii="Arial" w:eastAsia="Times New Roman" w:hAnsi="Arial" w:cs="Arial"/>
          <w:sz w:val="20"/>
          <w:szCs w:val="20"/>
          <w:lang w:eastAsia="en-GB"/>
        </w:rPr>
        <w:lastRenderedPageBreak/>
        <w:t>development of Keynesian economics. The label 'monetarism' came even later - a term that was invented in the 1960s. It was Milton Friedman who in the 1950s restated the quantity theory as a theory of the demand for money. Monetarism became influential in the late 1960s and the 1970s, when inflation in the developed countries rose to double digit figures. The British monetarist experiment of the 1980s was the closest that any economy has come to following a monetarist macroeconomic policy. Whether the experiment was a success or not is a topic for future historians. However, a key policy recommendation of monetarism is that low monetary growth is a necessary condition for low inflation. Monetary targets have been developed in many developed economies with this aim in mind. The history of monetary targeting has been mixed, but where it has been successful, as in Germany, the result has been a stable monetary environment and low inflation.</w:t>
      </w:r>
    </w:p>
    <w:p w:rsidR="00D431AF" w:rsidRPr="00D431AF" w:rsidRDefault="00D431AF" w:rsidP="00D431AF">
      <w:pPr>
        <w:spacing w:before="100" w:beforeAutospacing="1" w:after="100" w:afterAutospacing="1" w:line="240" w:lineRule="auto"/>
        <w:rPr>
          <w:rFonts w:ascii="Times New Roman" w:eastAsia="Times New Roman" w:hAnsi="Times New Roman" w:cs="Times New Roman"/>
          <w:i/>
          <w:iCs/>
          <w:sz w:val="20"/>
          <w:szCs w:val="20"/>
          <w:lang w:eastAsia="en-GB"/>
        </w:rPr>
      </w:pPr>
      <w:r w:rsidRPr="00D431AF">
        <w:rPr>
          <w:rFonts w:ascii="Arial" w:eastAsia="Times New Roman" w:hAnsi="Arial" w:cs="Arial"/>
          <w:i/>
          <w:iCs/>
          <w:sz w:val="20"/>
          <w:szCs w:val="20"/>
          <w:lang w:eastAsia="en-GB"/>
        </w:rPr>
        <w:t>Kent Matthews</w:t>
      </w:r>
    </w:p>
    <w:p w:rsidR="008F5719" w:rsidRPr="008F5719" w:rsidRDefault="008F5719" w:rsidP="008F571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39" name="Picture 251"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8F5719">
        <w:rPr>
          <w:rFonts w:ascii="Arial" w:eastAsia="Times New Roman" w:hAnsi="Arial" w:cs="Arial"/>
          <w:color w:val="000080"/>
          <w:sz w:val="36"/>
          <w:szCs w:val="36"/>
          <w:lang w:eastAsia="en-GB"/>
        </w:rPr>
        <w:t>Option pricing theory</w:t>
      </w:r>
      <w:r w:rsidRPr="008F5719">
        <w:rPr>
          <w:rFonts w:ascii="Times New Roman" w:eastAsia="Times New Roman" w:hAnsi="Times New Roman" w:cs="Times New Roman"/>
          <w:sz w:val="20"/>
          <w:szCs w:val="20"/>
          <w:lang w:eastAsia="en-GB"/>
        </w:rPr>
        <w:t xml:space="preserve"> </w:t>
      </w:r>
    </w:p>
    <w:p w:rsidR="008F5719" w:rsidRPr="008F5719" w:rsidRDefault="008F5719" w:rsidP="008F5719">
      <w:pPr>
        <w:spacing w:before="100" w:beforeAutospacing="1" w:after="100" w:afterAutospacing="1" w:line="240" w:lineRule="auto"/>
        <w:rPr>
          <w:rFonts w:ascii="Times New Roman" w:eastAsia="Times New Roman" w:hAnsi="Times New Roman" w:cs="Times New Roman"/>
          <w:sz w:val="20"/>
          <w:szCs w:val="20"/>
          <w:lang w:eastAsia="en-GB"/>
        </w:rPr>
      </w:pPr>
      <w:r w:rsidRPr="008F5719">
        <w:rPr>
          <w:rFonts w:ascii="Arial" w:eastAsia="Times New Roman" w:hAnsi="Arial" w:cs="Arial"/>
          <w:sz w:val="20"/>
          <w:szCs w:val="20"/>
          <w:lang w:eastAsia="en-GB"/>
        </w:rPr>
        <w:t>A European style call (put) option is a security giving the holder the right, but not the obligation, to buy (sell) a pre-specified quantity of the underlying asset, at a pre-specified price (the exercise or strike price), on a pre-specified date (the maturity or expiration date). American-style options confer the same privileges to the holder as the European option, but also provide the owner with the right to exercise the option on or after the exercise date. If an option is not exercised on or before the expiration date, then it expires worthless.</w:t>
      </w:r>
    </w:p>
    <w:p w:rsidR="008F5719" w:rsidRPr="008F5719" w:rsidRDefault="008F5719" w:rsidP="008F5719">
      <w:pPr>
        <w:spacing w:before="100" w:beforeAutospacing="1" w:after="100" w:afterAutospacing="1" w:line="240" w:lineRule="auto"/>
        <w:rPr>
          <w:rFonts w:ascii="Times New Roman" w:eastAsia="Times New Roman" w:hAnsi="Times New Roman" w:cs="Times New Roman"/>
          <w:sz w:val="20"/>
          <w:szCs w:val="20"/>
          <w:lang w:eastAsia="en-GB"/>
        </w:rPr>
      </w:pPr>
      <w:r w:rsidRPr="008F5719">
        <w:rPr>
          <w:rFonts w:ascii="Arial" w:eastAsia="Times New Roman" w:hAnsi="Arial" w:cs="Arial"/>
          <w:sz w:val="20"/>
          <w:szCs w:val="20"/>
          <w:lang w:eastAsia="en-GB"/>
        </w:rPr>
        <w:t>Although options (also called contingent claims or derivative instruments) have been traded for centuries, it was only in April 1973 that the first organized market for trading options opened to trade call options on sixteen common stocks. The initial success of the Chicago Board Options Exchange (CBOE) prompted a rapid increase in the number of stocks with listed options and also in exchanges offering them. During the 1980s this was followed by an expansion in markets to include options on fixed-income securities, currencies and a variety of stock and bond indices, as well as a number of commodities. Although these instruments remain relatively specialized, the theory behind their pricing extends across the whole area of financial economic theory, owing to the fact that option-like structures appear in virtually every part of this vast field. The theory has been used to value shares of a firm, business decisions, risky debt, deposit and pension fund insurance, and wage bargaining as well as currency fluctuations.</w:t>
      </w:r>
    </w:p>
    <w:p w:rsidR="008F5719" w:rsidRPr="008F5719" w:rsidRDefault="008F5719" w:rsidP="008F5719">
      <w:pPr>
        <w:spacing w:before="100" w:beforeAutospacing="1" w:after="100" w:afterAutospacing="1" w:line="240" w:lineRule="auto"/>
        <w:rPr>
          <w:rFonts w:ascii="Times New Roman" w:eastAsia="Times New Roman" w:hAnsi="Times New Roman" w:cs="Times New Roman"/>
          <w:i/>
          <w:iCs/>
          <w:sz w:val="20"/>
          <w:szCs w:val="20"/>
          <w:lang w:eastAsia="en-GB"/>
        </w:rPr>
      </w:pPr>
      <w:r w:rsidRPr="008F5719">
        <w:rPr>
          <w:rFonts w:ascii="Arial" w:eastAsia="Times New Roman" w:hAnsi="Arial" w:cs="Arial"/>
          <w:i/>
          <w:iCs/>
          <w:sz w:val="20"/>
          <w:szCs w:val="20"/>
          <w:lang w:eastAsia="en-GB"/>
        </w:rPr>
        <w:t xml:space="preserve">Les </w:t>
      </w:r>
      <w:proofErr w:type="spellStart"/>
      <w:r w:rsidRPr="008F5719">
        <w:rPr>
          <w:rFonts w:ascii="Arial" w:eastAsia="Times New Roman" w:hAnsi="Arial" w:cs="Arial"/>
          <w:i/>
          <w:iCs/>
          <w:sz w:val="20"/>
          <w:szCs w:val="20"/>
          <w:lang w:eastAsia="en-GB"/>
        </w:rPr>
        <w:t>Clewlow</w:t>
      </w:r>
      <w:proofErr w:type="spellEnd"/>
      <w:r w:rsidRPr="008F5719">
        <w:rPr>
          <w:rFonts w:ascii="Arial" w:eastAsia="Times New Roman" w:hAnsi="Arial" w:cs="Arial"/>
          <w:i/>
          <w:iCs/>
          <w:sz w:val="20"/>
          <w:szCs w:val="20"/>
          <w:lang w:eastAsia="en-GB"/>
        </w:rPr>
        <w:t xml:space="preserve"> and Chris Strickland</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0" name="Picture 257"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Real options</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Real options are options which arise in real investments, that is investments in real assets, in which there is flexibility to take decisions in the light of subsequent information. The flexibility may be the choice of either increasing the level of output of a production process now or waiting until later when more is known about the likely level of demand. Real option theory is primarily concerned with valuing this flexibility and determining the optimal timing of such investment decisions.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 xml:space="preserve">The freedom to wait before taking the complete investment decision makes it more difficult to value projects. In the absence of flexibility, the expected values of future cash flows from the investment are estimated and then valued in today's pounds or dollars, allowing a discount for the risk or uncertainty involved. The presence of flexibility makes the estimation of the future cash flows more problematic, and leads us to a different approach, in which we draw an analogy with options in the financial markets, where the investor has flexibility to choose over a period of time whether or not to invest in a certain financial security. Established methods for valuing such options help us value real investments </w:t>
      </w:r>
      <w:r w:rsidRPr="00C90DE9">
        <w:rPr>
          <w:rFonts w:ascii="Arial" w:eastAsia="Times New Roman" w:hAnsi="Arial" w:cs="Arial"/>
          <w:sz w:val="20"/>
          <w:szCs w:val="20"/>
          <w:lang w:eastAsia="en-GB"/>
        </w:rPr>
        <w:lastRenderedPageBreak/>
        <w:t>with flexibility. It is clear that flexibility becomes more valuable as uncertainty about the future increases, other things being equal. This makes real options very different from investments without flexibility where uncertainty may reduce value.</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A major feature of real option methods is that, not only do they put a value on flexibility, but they also tell us the optimal stage at which to exercise the flexibility. For example, as the market price of the output of a production process falls, it is possible to find the optimal point to stop producing. Of course, the presence of costs to interrupting production and uncertainty over the path of future prices may make it rational to continue producing goods even when costs exceed revenues. Likewise, it may be rational to wait before starting to produce until revenues considerably exceed costs. Such circumstances, in which it is economically sensible to produce even when costs exceed revenues or, in different cases, not to produce when revenues exceed costs, is a typical and important feature (called hysteresis) of many real option situations.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C.G.C. Pitts</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2" name="Picture 263"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Securities markets, international</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Until the 1960s, there was no such thing as the international securities market. Securities markets were based in a single country and virtually all primary market new issues and secondary market transactions were undertaken by companies, investment institutions and individuals resident in that country. In consequence, securities firms (</w:t>
      </w:r>
      <w:proofErr w:type="gramStart"/>
      <w:r w:rsidRPr="00C90DE9">
        <w:rPr>
          <w:rFonts w:ascii="Arial" w:eastAsia="Times New Roman" w:hAnsi="Arial" w:cs="Arial"/>
          <w:sz w:val="20"/>
          <w:szCs w:val="20"/>
          <w:lang w:eastAsia="en-GB"/>
        </w:rPr>
        <w:t>except</w:t>
      </w:r>
      <w:proofErr w:type="gramEnd"/>
      <w:r w:rsidRPr="00C90DE9">
        <w:rPr>
          <w:rFonts w:ascii="Arial" w:eastAsia="Times New Roman" w:hAnsi="Arial" w:cs="Arial"/>
          <w:sz w:val="20"/>
          <w:szCs w:val="20"/>
          <w:lang w:eastAsia="en-GB"/>
        </w:rPr>
        <w:t xml:space="preserve"> those in London) dealt only in domestic securities and were unlikely to have overseas branches or subsidiaries.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Governments gave no special consideration to selling bonds to foreign investors since there was no reason to believe that this would reduce the cost of government funding. Indeed, it was more likely to raise it since enticing foreigners into a distant market where information was slow to reach them would require the payment of a premium return. For securities firms, there was little reason to consider overseas branches or subsidiaries since their customers undertook so little overseas business. To the extent that they did, this could be undertaken through commission sharing agreements with, for example, overseas stockbrokers.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The change during the 1970s and 1980s from a domestic perspective on the part of issuers, investors and securities houses, to a global cross-border perspective, arose for a number of reasons. Companies became more multinational in their operations, and consequently investors started to appreciate the advantages of global diversification. Telecommunications systems improved and costs fell; screen-based systems were developed to disseminate information globally. Computing power also fell in cost and allowed easy analysis of information. At the same time, rising government deficits (particularly in the USA) could only be financed at an acceptable cost by widening the investor base to include foreign investors, while the gradual worldwide abolition of exchange controls facilitated cross-border transactions.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By the beginning of the 1990s, there had developed an international financial mechanism comprising internationally oriented investors, global securities houses and market mechanisms facilitating cross-border securities transactions. By the year 2000, it is likely that this mechanism will be greatly refined and will be the major source of funding for international companies, governments and quasi-government bodies.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Brian Scott-Quinn</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lastRenderedPageBreak/>
        <w:drawing>
          <wp:inline distT="0" distB="0" distL="0" distR="0">
            <wp:extent cx="914400" cy="666750"/>
            <wp:effectExtent l="19050" t="0" r="0" b="0"/>
            <wp:docPr id="43" name="Picture 269"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Short-termism</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Short-term pressures (S-TPs) are defined as factors which tend to increase the rate of discount applied and/or which may foreshorten the time limit of revenue and capital investments. Accordingly, short-termism occurs where a firm, or some of its managers, applies an excessive discount rate or a foreshortened time horizon to investments. Revenue investments are particularly susceptible to S-TP because these expenses are charged to the profit and loss account of a period, having been incurred wholly or partly in order to enhance future profitability without affecting current trading. The effects of S-TPs on capital investment, such as investment in fixed assets and new equipment, are generally not as adverse as on revenue investment because the risks are relatively lower, payback period is shorter and the amount spent is often capitalized and therefore does not affect the current period's profit. This definition of short-termism also allows S-TP to include factors like high interest rates and low profitability, which increase the opportunity cost of capital. The effect of these pressures would be to reduce capital investment, in particular revenue investments in research and development and in other intangible assets - such as training or education - with their attendant uncertainty and long-term nature, and to increase the bias towards projects with short-term payback periods.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Short-termism within management can distort decision making and add difficulties in international competition. The counter-argument is that such pressures, to the extent that they are felt at all, are useful because they help to eliminate corporate slack, to the long-term benefit of the businesses. Supporters of industry argue that the financial markets pay more attention to the short term and managers are therefore acting under pressure from the City of London. There is some evidence to support such an argument: the contested takeovers in the UK and suggestions that the financial markets do not understand or that they ignore the technological information given out by companies. Others, who are in favour of the City, claim that the stock market's short-termism is not proven, and argue that the real culprits are the managers who favour short-term decisions quite independently of any spur from the financial markets. Accordingly, the debate on the causes of S-TP focuses on how far they arise from external and internal factors.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i/>
          <w:iCs/>
          <w:sz w:val="20"/>
          <w:szCs w:val="20"/>
          <w:lang w:eastAsia="en-GB"/>
        </w:rPr>
        <w:t>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i/>
          <w:iCs/>
          <w:sz w:val="20"/>
          <w:szCs w:val="20"/>
          <w:lang w:eastAsia="en-GB"/>
        </w:rPr>
        <w:t>External factors</w:t>
      </w:r>
      <w:r w:rsidRPr="00C90DE9">
        <w:rPr>
          <w:rFonts w:ascii="Arial" w:eastAsia="Times New Roman" w:hAnsi="Arial" w:cs="Arial"/>
          <w:sz w:val="20"/>
          <w:szCs w:val="20"/>
          <w:lang w:eastAsia="en-GB"/>
        </w:rPr>
        <w:t xml:space="preserve"> are found outside the organization and include: general economic environment; institutional shareholders (owners of firms) and their objectives; performance evaluation of fund managers acting on behalf of the owners; type of investment and treatment of revenue investments within generally accepted accounting practices and standards; efficiency of financial markets including the quality of information given by the management of companies to their owners; and managers' perception of the financial markets.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i/>
          <w:iCs/>
          <w:sz w:val="20"/>
          <w:szCs w:val="20"/>
          <w:lang w:eastAsia="en-GB"/>
        </w:rPr>
        <w:t>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i/>
          <w:iCs/>
          <w:sz w:val="20"/>
          <w:szCs w:val="20"/>
          <w:lang w:eastAsia="en-GB"/>
        </w:rPr>
        <w:t>Internal factors</w:t>
      </w:r>
      <w:r w:rsidRPr="00C90DE9">
        <w:rPr>
          <w:rFonts w:ascii="Arial" w:eastAsia="Times New Roman" w:hAnsi="Arial" w:cs="Arial"/>
          <w:sz w:val="20"/>
          <w:szCs w:val="20"/>
          <w:lang w:eastAsia="en-GB"/>
        </w:rPr>
        <w:t xml:space="preserve"> are generated within the management itself and include: organization structures and management control styles; performance evaluation measures; and remuneration of top managers.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proofErr w:type="spellStart"/>
      <w:r w:rsidRPr="00C90DE9">
        <w:rPr>
          <w:rFonts w:ascii="Arial" w:eastAsia="Times New Roman" w:hAnsi="Arial" w:cs="Arial"/>
          <w:i/>
          <w:iCs/>
          <w:sz w:val="20"/>
          <w:szCs w:val="20"/>
          <w:lang w:eastAsia="en-GB"/>
        </w:rPr>
        <w:t>Istemi</w:t>
      </w:r>
      <w:proofErr w:type="spellEnd"/>
      <w:r w:rsidRPr="00C90DE9">
        <w:rPr>
          <w:rFonts w:ascii="Arial" w:eastAsia="Times New Roman" w:hAnsi="Arial" w:cs="Arial"/>
          <w:i/>
          <w:iCs/>
          <w:sz w:val="20"/>
          <w:szCs w:val="20"/>
          <w:lang w:eastAsia="en-GB"/>
        </w:rPr>
        <w:t xml:space="preserve"> S. </w:t>
      </w:r>
      <w:proofErr w:type="spellStart"/>
      <w:r w:rsidRPr="00C90DE9">
        <w:rPr>
          <w:rFonts w:ascii="Arial" w:eastAsia="Times New Roman" w:hAnsi="Arial" w:cs="Arial"/>
          <w:i/>
          <w:iCs/>
          <w:sz w:val="20"/>
          <w:szCs w:val="20"/>
          <w:lang w:eastAsia="en-GB"/>
        </w:rPr>
        <w:t>Demirag</w:t>
      </w:r>
      <w:proofErr w:type="spellEnd"/>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4" name="Picture 275"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Small business finance</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 xml:space="preserve">Small businesses dominate enterprise numbers in the economy and make significant contributions to employment and income. They are not just scaled-down versions of larger businesses and their financing has unique features. These include a primary reliance on bank debt as a source of funding, </w:t>
      </w:r>
      <w:r w:rsidRPr="00C90DE9">
        <w:rPr>
          <w:rFonts w:ascii="Arial" w:eastAsia="Times New Roman" w:hAnsi="Arial" w:cs="Arial"/>
          <w:sz w:val="20"/>
          <w:szCs w:val="20"/>
          <w:lang w:eastAsia="en-GB"/>
        </w:rPr>
        <w:lastRenderedPageBreak/>
        <w:t>higher failure rates with associated higher lending margins, and the potential for internal and external constraints on funding in both the debt and equity markets. Such funding 'gaps' are due to informational asymmetries, scale economies in the provision of funds and the greater market power of large businesses over small. Government small firm policies have been largely directed at rectifying these perceived market failures, in particular to obviating funding gaps. However, the empirical evidence suggests that market failures are less widespread than is commonly thought.</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Marc Cowling</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5" name="Picture 281"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Taxation, corporate</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Almost every country in the world levies some kind of tax on company profits. Yet companies are, in a sense, no more than the sum of their employees and shareholders, linked together with customers and suppliers by a web of contracts. Since most of these people will be paying tax themselves, the role of a separate tax on companies is not straightforward. The strongest justification for a separate corporate tax is as a withholding tax on investment income, in the absence of an adequate capital gains tax. Other possible arguments for a separate tax, based on the benefits of limited liability or on the value of public services to the company, are less persuasive.</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 xml:space="preserve">The key features of any given corporate tax system are the base on which tax is levied, the rate, and the relationship with other parts of the tax system. The immediate effect of the corporate tax is to transfer funds from company to government. But the structure of the tax system can alter real decisions on how much, in what and in which country to invest. It can also alter financial decisions on how to fund </w:t>
      </w:r>
      <w:proofErr w:type="gramStart"/>
      <w:r w:rsidRPr="00C90DE9">
        <w:rPr>
          <w:rFonts w:ascii="Arial" w:eastAsia="Times New Roman" w:hAnsi="Arial" w:cs="Arial"/>
          <w:sz w:val="20"/>
          <w:szCs w:val="20"/>
          <w:lang w:eastAsia="en-GB"/>
        </w:rPr>
        <w:t>investment,</w:t>
      </w:r>
      <w:proofErr w:type="gramEnd"/>
      <w:r w:rsidRPr="00C90DE9">
        <w:rPr>
          <w:rFonts w:ascii="Arial" w:eastAsia="Times New Roman" w:hAnsi="Arial" w:cs="Arial"/>
          <w:sz w:val="20"/>
          <w:szCs w:val="20"/>
          <w:lang w:eastAsia="en-GB"/>
        </w:rPr>
        <w:t xml:space="preserve"> and on what proportion of profits to pay out as dividends, as companies try to minimize their tax liability. The actual impact on financial decisions will depend on the level of integration between corporate and personal taxes, and on the relative personal tax burdens on dividends, interest and capital gains. That said</w:t>
      </w:r>
      <w:proofErr w:type="gramStart"/>
      <w:r w:rsidRPr="00C90DE9">
        <w:rPr>
          <w:rFonts w:ascii="Arial" w:eastAsia="Times New Roman" w:hAnsi="Arial" w:cs="Arial"/>
          <w:sz w:val="20"/>
          <w:szCs w:val="20"/>
          <w:lang w:eastAsia="en-GB"/>
        </w:rPr>
        <w:t>,</w:t>
      </w:r>
      <w:proofErr w:type="gramEnd"/>
      <w:r w:rsidRPr="00C90DE9">
        <w:rPr>
          <w:rFonts w:ascii="Arial" w:eastAsia="Times New Roman" w:hAnsi="Arial" w:cs="Arial"/>
          <w:sz w:val="20"/>
          <w:szCs w:val="20"/>
          <w:lang w:eastAsia="en-GB"/>
        </w:rPr>
        <w:t xml:space="preserve"> tax is only one of many factors involved. Investment is driven mainly by the likely returns, and managers will always trade-off the benefits of a low-tax financial structure against the non-tax costs. Empirical studies indicate that non-tax factors dominate most important corporate decisions.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The growth of international capital and product markets puts new strains on domestic corporate tax systems: on the one hand, companies have more opportunity to arrange their affairs to reduce their overall tax burden but, on the other, they face new obstacles to seeking out the most profitable investments, as more than one government seeks to share in their profits. Fundamental questions are raised about whether corporate taxes are sustainable in a world capital market and how governments can best cooperate to raise revenue without limiting new investment opportunities.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 xml:space="preserve">Lucy </w:t>
      </w:r>
      <w:proofErr w:type="spellStart"/>
      <w:r w:rsidRPr="00C90DE9">
        <w:rPr>
          <w:rFonts w:ascii="Arial" w:eastAsia="Times New Roman" w:hAnsi="Arial" w:cs="Arial"/>
          <w:i/>
          <w:iCs/>
          <w:sz w:val="20"/>
          <w:szCs w:val="20"/>
          <w:lang w:eastAsia="en-GB"/>
        </w:rPr>
        <w:t>Chennells</w:t>
      </w:r>
      <w:proofErr w:type="spellEnd"/>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287" name="Picture 287"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Term structure of interest rates</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Financial securities that promise one or more fixed cash payments in the future are known as fixed interest securities. Examples include central government bills and bonds, local government (municipal) bonds, corporate bonds and mortgages. The rates of return offered on these various securities differ for a number of reasons, including the risk of default and the tax treatment of the promised payments. The term structure of interest rates describes the relationship between fixed interest securities that differ only in their time to maturity, that is, the length of time until the principal amount of the loan is repaid. The differences between interest rates for payments at different maturities reflect expectations about future interest rates and the preferences of investors.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lastRenderedPageBreak/>
        <w:t xml:space="preserve">Pure discount (zero </w:t>
      </w:r>
      <w:proofErr w:type="gramStart"/>
      <w:r w:rsidRPr="00C90DE9">
        <w:rPr>
          <w:rFonts w:ascii="Arial" w:eastAsia="Times New Roman" w:hAnsi="Arial" w:cs="Arial"/>
          <w:sz w:val="20"/>
          <w:szCs w:val="20"/>
          <w:lang w:eastAsia="en-GB"/>
        </w:rPr>
        <w:t>coupon</w:t>
      </w:r>
      <w:proofErr w:type="gramEnd"/>
      <w:r w:rsidRPr="00C90DE9">
        <w:rPr>
          <w:rFonts w:ascii="Arial" w:eastAsia="Times New Roman" w:hAnsi="Arial" w:cs="Arial"/>
          <w:sz w:val="20"/>
          <w:szCs w:val="20"/>
          <w:lang w:eastAsia="en-GB"/>
        </w:rPr>
        <w:t>) bonds make a single cash payment at a fixed future date. The rates of return on pure discount bonds are the interest rates that make up the term structure. In many practical situations, the pure discount bond market does not cover the full maturity spectrum of all fixed interest securities, and sophisticated mathematical techniques are required to estimate the term structure. In addition, models have been developed to describe the behaviour of the term structure over time. Knowledge of the term structure is important for the accurate comparison of fixed interest securities, particularly newly issued securities against existing securities, and for understanding the future direction of general interest rate movements.</w:t>
      </w:r>
    </w:p>
    <w:p w:rsidR="00C90DE9" w:rsidRPr="00C90DE9" w:rsidRDefault="00C90DE9" w:rsidP="00C90DE9">
      <w:pPr>
        <w:spacing w:before="100" w:beforeAutospacing="1" w:after="100" w:afterAutospacing="1" w:line="240" w:lineRule="auto"/>
        <w:jc w:val="right"/>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James M. Steeley</w:t>
      </w:r>
    </w:p>
    <w:p w:rsidR="00C90DE9" w:rsidRPr="00C90DE9" w:rsidRDefault="00C90DE9" w:rsidP="00C90DE9">
      <w:pPr>
        <w:spacing w:after="0" w:line="240" w:lineRule="auto"/>
        <w:rPr>
          <w:rFonts w:ascii="Times New Roman" w:eastAsia="Times New Roman" w:hAnsi="Times New Roman" w:cs="Times New Roman"/>
          <w:sz w:val="20"/>
          <w:szCs w:val="20"/>
          <w:lang w:eastAsia="en-GB"/>
        </w:rPr>
      </w:pPr>
      <w:r>
        <w:rPr>
          <w:rFonts w:ascii="Arial" w:eastAsia="Times New Roman" w:hAnsi="Arial" w:cs="Arial"/>
          <w:noProof/>
          <w:sz w:val="36"/>
          <w:szCs w:val="36"/>
          <w:lang w:eastAsia="en-GB"/>
        </w:rPr>
        <w:drawing>
          <wp:inline distT="0" distB="0" distL="0" distR="0">
            <wp:extent cx="914400" cy="666750"/>
            <wp:effectExtent l="19050" t="0" r="0" b="0"/>
            <wp:docPr id="47" name="Picture 289" descr="http://www.tlint.com/emea/drury_7e/student/definition_account/finance/images/ieb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tlint.com/emea/drury_7e/student/definition_account/finance/images/iebmlogo.gif"/>
                    <pic:cNvPicPr>
                      <a:picLocks noChangeAspect="1" noChangeArrowheads="1"/>
                    </pic:cNvPicPr>
                  </pic:nvPicPr>
                  <pic:blipFill>
                    <a:blip r:embed="rId4" cstate="print"/>
                    <a:srcRect/>
                    <a:stretch>
                      <a:fillRect/>
                    </a:stretch>
                  </pic:blipFill>
                  <pic:spPr bwMode="auto">
                    <a:xfrm>
                      <a:off x="0" y="0"/>
                      <a:ext cx="914400" cy="666750"/>
                    </a:xfrm>
                    <a:prstGeom prst="rect">
                      <a:avLst/>
                    </a:prstGeom>
                    <a:noFill/>
                    <a:ln w="9525">
                      <a:noFill/>
                      <a:miter lim="800000"/>
                      <a:headEnd/>
                      <a:tailEnd/>
                    </a:ln>
                  </pic:spPr>
                </pic:pic>
              </a:graphicData>
            </a:graphic>
          </wp:inline>
        </w:drawing>
      </w:r>
      <w:r w:rsidRPr="00C90DE9">
        <w:rPr>
          <w:rFonts w:ascii="Arial" w:eastAsia="Times New Roman" w:hAnsi="Arial" w:cs="Arial"/>
          <w:color w:val="000080"/>
          <w:sz w:val="36"/>
          <w:szCs w:val="36"/>
          <w:lang w:eastAsia="en-GB"/>
        </w:rPr>
        <w:t>Venture capital</w:t>
      </w:r>
      <w:r w:rsidRPr="00C90DE9">
        <w:rPr>
          <w:rFonts w:ascii="Times New Roman" w:eastAsia="Times New Roman" w:hAnsi="Times New Roman" w:cs="Times New Roman"/>
          <w:sz w:val="20"/>
          <w:szCs w:val="20"/>
          <w:lang w:eastAsia="en-GB"/>
        </w:rPr>
        <w:t xml:space="preserve"> </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The impact of venture capital on Western industrial economies, in recent years, has been immense. It has backed new industrial enterprises that could not have taken shape in any other way. Venture capital transactions have facilitated large-scale restructuring by making possible the division of large industrial organizations into smaller, more efficient units. Other transactions have enabled small industrial units to grow. From the point of view of managers of industrial enterprises, venture capital backing has often been regarded as more satisfactory than going to the stock market, with the unpredictable consequences of ownership by large numbers of shareholders.</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sz w:val="20"/>
          <w:szCs w:val="20"/>
          <w:lang w:eastAsia="en-GB"/>
        </w:rPr>
      </w:pPr>
      <w:r w:rsidRPr="00C90DE9">
        <w:rPr>
          <w:rFonts w:ascii="Arial" w:eastAsia="Times New Roman" w:hAnsi="Arial" w:cs="Arial"/>
          <w:sz w:val="20"/>
          <w:szCs w:val="20"/>
          <w:lang w:eastAsia="en-GB"/>
        </w:rPr>
        <w:t>There is no universally accepted definition of venture capital, but for the purposes of this entry it refers to capital that meets four criteria. First, venture capital is provided by institutional investors or by funds, rather than individuals, put together for investment in certain types of transaction. Second, it is invested in companies that are not listed on a stock market. Third, investment opportunities are identified by the managers of the institution or fund as being likely to yield a rate of return commensurate with the risk. Fourth, the essential core of venture capital is equity, which provides the investor with the potential of substantial capital growth. However, equity is commonly geared up with debt, and a range of other financial instruments may be involved.</w:t>
      </w:r>
    </w:p>
    <w:p w:rsidR="00C90DE9" w:rsidRPr="00C90DE9" w:rsidRDefault="00C90DE9" w:rsidP="00C90DE9">
      <w:pPr>
        <w:spacing w:before="100" w:beforeAutospacing="1" w:after="100" w:afterAutospacing="1" w:line="240" w:lineRule="auto"/>
        <w:rPr>
          <w:rFonts w:ascii="Times New Roman" w:eastAsia="Times New Roman" w:hAnsi="Times New Roman" w:cs="Times New Roman"/>
          <w:i/>
          <w:iCs/>
          <w:sz w:val="20"/>
          <w:szCs w:val="20"/>
          <w:lang w:eastAsia="en-GB"/>
        </w:rPr>
      </w:pPr>
      <w:r w:rsidRPr="00C90DE9">
        <w:rPr>
          <w:rFonts w:ascii="Arial" w:eastAsia="Times New Roman" w:hAnsi="Arial" w:cs="Arial"/>
          <w:i/>
          <w:iCs/>
          <w:sz w:val="20"/>
          <w:szCs w:val="20"/>
          <w:lang w:eastAsia="en-GB"/>
        </w:rPr>
        <w:t>Charles R. Richardson</w:t>
      </w:r>
    </w:p>
    <w:p w:rsidR="007D4471" w:rsidRDefault="007D4471" w:rsidP="00C90DE9">
      <w:pPr>
        <w:spacing w:before="100" w:beforeAutospacing="1" w:after="100" w:afterAutospacing="1" w:line="240" w:lineRule="auto"/>
        <w:rPr>
          <w:rFonts w:ascii="Times New Roman" w:eastAsia="Times New Roman" w:hAnsi="Times New Roman" w:cs="Times New Roman"/>
          <w:sz w:val="24"/>
          <w:szCs w:val="24"/>
          <w:lang w:eastAsia="en-GB"/>
        </w:rPr>
      </w:pPr>
    </w:p>
    <w:p w:rsidR="007D4471" w:rsidRPr="007D4471" w:rsidRDefault="007D4471" w:rsidP="007D4471">
      <w:pPr>
        <w:spacing w:before="100" w:beforeAutospacing="1" w:after="100" w:afterAutospacing="1" w:line="240" w:lineRule="auto"/>
        <w:rPr>
          <w:rFonts w:ascii="Times New Roman" w:eastAsia="Times New Roman" w:hAnsi="Times New Roman" w:cs="Times New Roman"/>
          <w:i/>
          <w:iCs/>
          <w:sz w:val="20"/>
          <w:szCs w:val="20"/>
          <w:lang w:eastAsia="en-GB"/>
        </w:rPr>
      </w:pPr>
    </w:p>
    <w:p w:rsidR="007D4471" w:rsidRPr="007D4471" w:rsidRDefault="007D4471" w:rsidP="007D4471">
      <w:pPr>
        <w:spacing w:after="0" w:line="240" w:lineRule="auto"/>
        <w:rPr>
          <w:rFonts w:ascii="Times New Roman" w:eastAsia="Times New Roman" w:hAnsi="Times New Roman" w:cs="Times New Roman"/>
          <w:sz w:val="24"/>
          <w:szCs w:val="24"/>
          <w:lang w:eastAsia="en-GB"/>
        </w:rPr>
      </w:pPr>
    </w:p>
    <w:p w:rsidR="006B3CD9" w:rsidRDefault="006B3CD9" w:rsidP="007D4471"/>
    <w:sectPr w:rsidR="006B3CD9" w:rsidSect="006D623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51BA"/>
    <w:rsid w:val="00054DB5"/>
    <w:rsid w:val="004B49A3"/>
    <w:rsid w:val="00623F0D"/>
    <w:rsid w:val="006B3CD9"/>
    <w:rsid w:val="006D623D"/>
    <w:rsid w:val="007034D6"/>
    <w:rsid w:val="007D4471"/>
    <w:rsid w:val="00830D5C"/>
    <w:rsid w:val="008F5719"/>
    <w:rsid w:val="0098222B"/>
    <w:rsid w:val="00A333D1"/>
    <w:rsid w:val="00B351BA"/>
    <w:rsid w:val="00BA3FE1"/>
    <w:rsid w:val="00C37872"/>
    <w:rsid w:val="00C90DE9"/>
    <w:rsid w:val="00D431AF"/>
    <w:rsid w:val="00F04F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2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51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5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1BA"/>
    <w:rPr>
      <w:rFonts w:ascii="Tahoma" w:hAnsi="Tahoma" w:cs="Tahoma"/>
      <w:sz w:val="16"/>
      <w:szCs w:val="16"/>
    </w:rPr>
  </w:style>
  <w:style w:type="character" w:styleId="Emphasis">
    <w:name w:val="Emphasis"/>
    <w:basedOn w:val="DefaultParagraphFont"/>
    <w:uiPriority w:val="20"/>
    <w:qFormat/>
    <w:rsid w:val="006B3CD9"/>
    <w:rPr>
      <w:i/>
      <w:iCs/>
    </w:rPr>
  </w:style>
</w:styles>
</file>

<file path=word/webSettings.xml><?xml version="1.0" encoding="utf-8"?>
<w:webSettings xmlns:r="http://schemas.openxmlformats.org/officeDocument/2006/relationships" xmlns:w="http://schemas.openxmlformats.org/wordprocessingml/2006/main">
  <w:divs>
    <w:div w:id="12926325">
      <w:bodyDiv w:val="1"/>
      <w:marLeft w:val="0"/>
      <w:marRight w:val="0"/>
      <w:marTop w:val="0"/>
      <w:marBottom w:val="0"/>
      <w:divBdr>
        <w:top w:val="none" w:sz="0" w:space="0" w:color="auto"/>
        <w:left w:val="none" w:sz="0" w:space="0" w:color="auto"/>
        <w:bottom w:val="none" w:sz="0" w:space="0" w:color="auto"/>
        <w:right w:val="none" w:sz="0" w:space="0" w:color="auto"/>
      </w:divBdr>
    </w:div>
    <w:div w:id="83110975">
      <w:bodyDiv w:val="1"/>
      <w:marLeft w:val="0"/>
      <w:marRight w:val="0"/>
      <w:marTop w:val="0"/>
      <w:marBottom w:val="0"/>
      <w:divBdr>
        <w:top w:val="none" w:sz="0" w:space="0" w:color="auto"/>
        <w:left w:val="none" w:sz="0" w:space="0" w:color="auto"/>
        <w:bottom w:val="none" w:sz="0" w:space="0" w:color="auto"/>
        <w:right w:val="none" w:sz="0" w:space="0" w:color="auto"/>
      </w:divBdr>
    </w:div>
    <w:div w:id="433483582">
      <w:bodyDiv w:val="1"/>
      <w:marLeft w:val="0"/>
      <w:marRight w:val="0"/>
      <w:marTop w:val="0"/>
      <w:marBottom w:val="0"/>
      <w:divBdr>
        <w:top w:val="none" w:sz="0" w:space="0" w:color="auto"/>
        <w:left w:val="none" w:sz="0" w:space="0" w:color="auto"/>
        <w:bottom w:val="none" w:sz="0" w:space="0" w:color="auto"/>
        <w:right w:val="none" w:sz="0" w:space="0" w:color="auto"/>
      </w:divBdr>
    </w:div>
    <w:div w:id="433598181">
      <w:bodyDiv w:val="1"/>
      <w:marLeft w:val="0"/>
      <w:marRight w:val="0"/>
      <w:marTop w:val="0"/>
      <w:marBottom w:val="0"/>
      <w:divBdr>
        <w:top w:val="none" w:sz="0" w:space="0" w:color="auto"/>
        <w:left w:val="none" w:sz="0" w:space="0" w:color="auto"/>
        <w:bottom w:val="none" w:sz="0" w:space="0" w:color="auto"/>
        <w:right w:val="none" w:sz="0" w:space="0" w:color="auto"/>
      </w:divBdr>
    </w:div>
    <w:div w:id="491413440">
      <w:bodyDiv w:val="1"/>
      <w:marLeft w:val="0"/>
      <w:marRight w:val="0"/>
      <w:marTop w:val="0"/>
      <w:marBottom w:val="0"/>
      <w:divBdr>
        <w:top w:val="none" w:sz="0" w:space="0" w:color="auto"/>
        <w:left w:val="none" w:sz="0" w:space="0" w:color="auto"/>
        <w:bottom w:val="none" w:sz="0" w:space="0" w:color="auto"/>
        <w:right w:val="none" w:sz="0" w:space="0" w:color="auto"/>
      </w:divBdr>
    </w:div>
    <w:div w:id="559362526">
      <w:bodyDiv w:val="1"/>
      <w:marLeft w:val="0"/>
      <w:marRight w:val="0"/>
      <w:marTop w:val="0"/>
      <w:marBottom w:val="0"/>
      <w:divBdr>
        <w:top w:val="none" w:sz="0" w:space="0" w:color="auto"/>
        <w:left w:val="none" w:sz="0" w:space="0" w:color="auto"/>
        <w:bottom w:val="none" w:sz="0" w:space="0" w:color="auto"/>
        <w:right w:val="none" w:sz="0" w:space="0" w:color="auto"/>
      </w:divBdr>
    </w:div>
    <w:div w:id="666708453">
      <w:bodyDiv w:val="1"/>
      <w:marLeft w:val="0"/>
      <w:marRight w:val="0"/>
      <w:marTop w:val="0"/>
      <w:marBottom w:val="0"/>
      <w:divBdr>
        <w:top w:val="none" w:sz="0" w:space="0" w:color="auto"/>
        <w:left w:val="none" w:sz="0" w:space="0" w:color="auto"/>
        <w:bottom w:val="none" w:sz="0" w:space="0" w:color="auto"/>
        <w:right w:val="none" w:sz="0" w:space="0" w:color="auto"/>
      </w:divBdr>
    </w:div>
    <w:div w:id="772673246">
      <w:bodyDiv w:val="1"/>
      <w:marLeft w:val="0"/>
      <w:marRight w:val="0"/>
      <w:marTop w:val="0"/>
      <w:marBottom w:val="0"/>
      <w:divBdr>
        <w:top w:val="none" w:sz="0" w:space="0" w:color="auto"/>
        <w:left w:val="none" w:sz="0" w:space="0" w:color="auto"/>
        <w:bottom w:val="none" w:sz="0" w:space="0" w:color="auto"/>
        <w:right w:val="none" w:sz="0" w:space="0" w:color="auto"/>
      </w:divBdr>
    </w:div>
    <w:div w:id="949554191">
      <w:bodyDiv w:val="1"/>
      <w:marLeft w:val="0"/>
      <w:marRight w:val="0"/>
      <w:marTop w:val="0"/>
      <w:marBottom w:val="0"/>
      <w:divBdr>
        <w:top w:val="none" w:sz="0" w:space="0" w:color="auto"/>
        <w:left w:val="none" w:sz="0" w:space="0" w:color="auto"/>
        <w:bottom w:val="none" w:sz="0" w:space="0" w:color="auto"/>
        <w:right w:val="none" w:sz="0" w:space="0" w:color="auto"/>
      </w:divBdr>
    </w:div>
    <w:div w:id="962998984">
      <w:bodyDiv w:val="1"/>
      <w:marLeft w:val="0"/>
      <w:marRight w:val="0"/>
      <w:marTop w:val="0"/>
      <w:marBottom w:val="0"/>
      <w:divBdr>
        <w:top w:val="none" w:sz="0" w:space="0" w:color="auto"/>
        <w:left w:val="none" w:sz="0" w:space="0" w:color="auto"/>
        <w:bottom w:val="none" w:sz="0" w:space="0" w:color="auto"/>
        <w:right w:val="none" w:sz="0" w:space="0" w:color="auto"/>
      </w:divBdr>
    </w:div>
    <w:div w:id="966660113">
      <w:bodyDiv w:val="1"/>
      <w:marLeft w:val="0"/>
      <w:marRight w:val="0"/>
      <w:marTop w:val="0"/>
      <w:marBottom w:val="0"/>
      <w:divBdr>
        <w:top w:val="none" w:sz="0" w:space="0" w:color="auto"/>
        <w:left w:val="none" w:sz="0" w:space="0" w:color="auto"/>
        <w:bottom w:val="none" w:sz="0" w:space="0" w:color="auto"/>
        <w:right w:val="none" w:sz="0" w:space="0" w:color="auto"/>
      </w:divBdr>
    </w:div>
    <w:div w:id="977108990">
      <w:bodyDiv w:val="1"/>
      <w:marLeft w:val="0"/>
      <w:marRight w:val="0"/>
      <w:marTop w:val="0"/>
      <w:marBottom w:val="0"/>
      <w:divBdr>
        <w:top w:val="none" w:sz="0" w:space="0" w:color="auto"/>
        <w:left w:val="none" w:sz="0" w:space="0" w:color="auto"/>
        <w:bottom w:val="none" w:sz="0" w:space="0" w:color="auto"/>
        <w:right w:val="none" w:sz="0" w:space="0" w:color="auto"/>
      </w:divBdr>
    </w:div>
    <w:div w:id="1068651539">
      <w:bodyDiv w:val="1"/>
      <w:marLeft w:val="0"/>
      <w:marRight w:val="0"/>
      <w:marTop w:val="0"/>
      <w:marBottom w:val="0"/>
      <w:divBdr>
        <w:top w:val="none" w:sz="0" w:space="0" w:color="auto"/>
        <w:left w:val="none" w:sz="0" w:space="0" w:color="auto"/>
        <w:bottom w:val="none" w:sz="0" w:space="0" w:color="auto"/>
        <w:right w:val="none" w:sz="0" w:space="0" w:color="auto"/>
      </w:divBdr>
    </w:div>
    <w:div w:id="1070348418">
      <w:bodyDiv w:val="1"/>
      <w:marLeft w:val="0"/>
      <w:marRight w:val="0"/>
      <w:marTop w:val="0"/>
      <w:marBottom w:val="0"/>
      <w:divBdr>
        <w:top w:val="none" w:sz="0" w:space="0" w:color="auto"/>
        <w:left w:val="none" w:sz="0" w:space="0" w:color="auto"/>
        <w:bottom w:val="none" w:sz="0" w:space="0" w:color="auto"/>
        <w:right w:val="none" w:sz="0" w:space="0" w:color="auto"/>
      </w:divBdr>
    </w:div>
    <w:div w:id="1100100224">
      <w:bodyDiv w:val="1"/>
      <w:marLeft w:val="0"/>
      <w:marRight w:val="0"/>
      <w:marTop w:val="0"/>
      <w:marBottom w:val="0"/>
      <w:divBdr>
        <w:top w:val="none" w:sz="0" w:space="0" w:color="auto"/>
        <w:left w:val="none" w:sz="0" w:space="0" w:color="auto"/>
        <w:bottom w:val="none" w:sz="0" w:space="0" w:color="auto"/>
        <w:right w:val="none" w:sz="0" w:space="0" w:color="auto"/>
      </w:divBdr>
    </w:div>
    <w:div w:id="1101989593">
      <w:bodyDiv w:val="1"/>
      <w:marLeft w:val="0"/>
      <w:marRight w:val="0"/>
      <w:marTop w:val="0"/>
      <w:marBottom w:val="0"/>
      <w:divBdr>
        <w:top w:val="none" w:sz="0" w:space="0" w:color="auto"/>
        <w:left w:val="none" w:sz="0" w:space="0" w:color="auto"/>
        <w:bottom w:val="none" w:sz="0" w:space="0" w:color="auto"/>
        <w:right w:val="none" w:sz="0" w:space="0" w:color="auto"/>
      </w:divBdr>
    </w:div>
    <w:div w:id="1194073916">
      <w:bodyDiv w:val="1"/>
      <w:marLeft w:val="0"/>
      <w:marRight w:val="0"/>
      <w:marTop w:val="0"/>
      <w:marBottom w:val="0"/>
      <w:divBdr>
        <w:top w:val="none" w:sz="0" w:space="0" w:color="auto"/>
        <w:left w:val="none" w:sz="0" w:space="0" w:color="auto"/>
        <w:bottom w:val="none" w:sz="0" w:space="0" w:color="auto"/>
        <w:right w:val="none" w:sz="0" w:space="0" w:color="auto"/>
      </w:divBdr>
    </w:div>
    <w:div w:id="1281301475">
      <w:bodyDiv w:val="1"/>
      <w:marLeft w:val="0"/>
      <w:marRight w:val="0"/>
      <w:marTop w:val="0"/>
      <w:marBottom w:val="0"/>
      <w:divBdr>
        <w:top w:val="none" w:sz="0" w:space="0" w:color="auto"/>
        <w:left w:val="none" w:sz="0" w:space="0" w:color="auto"/>
        <w:bottom w:val="none" w:sz="0" w:space="0" w:color="auto"/>
        <w:right w:val="none" w:sz="0" w:space="0" w:color="auto"/>
      </w:divBdr>
    </w:div>
    <w:div w:id="1353219185">
      <w:bodyDiv w:val="1"/>
      <w:marLeft w:val="0"/>
      <w:marRight w:val="0"/>
      <w:marTop w:val="0"/>
      <w:marBottom w:val="0"/>
      <w:divBdr>
        <w:top w:val="none" w:sz="0" w:space="0" w:color="auto"/>
        <w:left w:val="none" w:sz="0" w:space="0" w:color="auto"/>
        <w:bottom w:val="none" w:sz="0" w:space="0" w:color="auto"/>
        <w:right w:val="none" w:sz="0" w:space="0" w:color="auto"/>
      </w:divBdr>
    </w:div>
    <w:div w:id="1404059441">
      <w:bodyDiv w:val="1"/>
      <w:marLeft w:val="0"/>
      <w:marRight w:val="0"/>
      <w:marTop w:val="0"/>
      <w:marBottom w:val="0"/>
      <w:divBdr>
        <w:top w:val="none" w:sz="0" w:space="0" w:color="auto"/>
        <w:left w:val="none" w:sz="0" w:space="0" w:color="auto"/>
        <w:bottom w:val="none" w:sz="0" w:space="0" w:color="auto"/>
        <w:right w:val="none" w:sz="0" w:space="0" w:color="auto"/>
      </w:divBdr>
    </w:div>
    <w:div w:id="1432119113">
      <w:bodyDiv w:val="1"/>
      <w:marLeft w:val="0"/>
      <w:marRight w:val="0"/>
      <w:marTop w:val="0"/>
      <w:marBottom w:val="0"/>
      <w:divBdr>
        <w:top w:val="none" w:sz="0" w:space="0" w:color="auto"/>
        <w:left w:val="none" w:sz="0" w:space="0" w:color="auto"/>
        <w:bottom w:val="none" w:sz="0" w:space="0" w:color="auto"/>
        <w:right w:val="none" w:sz="0" w:space="0" w:color="auto"/>
      </w:divBdr>
    </w:div>
    <w:div w:id="1443916978">
      <w:bodyDiv w:val="1"/>
      <w:marLeft w:val="0"/>
      <w:marRight w:val="0"/>
      <w:marTop w:val="0"/>
      <w:marBottom w:val="0"/>
      <w:divBdr>
        <w:top w:val="none" w:sz="0" w:space="0" w:color="auto"/>
        <w:left w:val="none" w:sz="0" w:space="0" w:color="auto"/>
        <w:bottom w:val="none" w:sz="0" w:space="0" w:color="auto"/>
        <w:right w:val="none" w:sz="0" w:space="0" w:color="auto"/>
      </w:divBdr>
    </w:div>
    <w:div w:id="1483234256">
      <w:bodyDiv w:val="1"/>
      <w:marLeft w:val="0"/>
      <w:marRight w:val="0"/>
      <w:marTop w:val="0"/>
      <w:marBottom w:val="0"/>
      <w:divBdr>
        <w:top w:val="none" w:sz="0" w:space="0" w:color="auto"/>
        <w:left w:val="none" w:sz="0" w:space="0" w:color="auto"/>
        <w:bottom w:val="none" w:sz="0" w:space="0" w:color="auto"/>
        <w:right w:val="none" w:sz="0" w:space="0" w:color="auto"/>
      </w:divBdr>
    </w:div>
    <w:div w:id="1607347685">
      <w:bodyDiv w:val="1"/>
      <w:marLeft w:val="0"/>
      <w:marRight w:val="0"/>
      <w:marTop w:val="0"/>
      <w:marBottom w:val="0"/>
      <w:divBdr>
        <w:top w:val="none" w:sz="0" w:space="0" w:color="auto"/>
        <w:left w:val="none" w:sz="0" w:space="0" w:color="auto"/>
        <w:bottom w:val="none" w:sz="0" w:space="0" w:color="auto"/>
        <w:right w:val="none" w:sz="0" w:space="0" w:color="auto"/>
      </w:divBdr>
    </w:div>
    <w:div w:id="1629436870">
      <w:bodyDiv w:val="1"/>
      <w:marLeft w:val="0"/>
      <w:marRight w:val="0"/>
      <w:marTop w:val="0"/>
      <w:marBottom w:val="0"/>
      <w:divBdr>
        <w:top w:val="none" w:sz="0" w:space="0" w:color="auto"/>
        <w:left w:val="none" w:sz="0" w:space="0" w:color="auto"/>
        <w:bottom w:val="none" w:sz="0" w:space="0" w:color="auto"/>
        <w:right w:val="none" w:sz="0" w:space="0" w:color="auto"/>
      </w:divBdr>
    </w:div>
    <w:div w:id="1659112712">
      <w:bodyDiv w:val="1"/>
      <w:marLeft w:val="0"/>
      <w:marRight w:val="0"/>
      <w:marTop w:val="0"/>
      <w:marBottom w:val="0"/>
      <w:divBdr>
        <w:top w:val="none" w:sz="0" w:space="0" w:color="auto"/>
        <w:left w:val="none" w:sz="0" w:space="0" w:color="auto"/>
        <w:bottom w:val="none" w:sz="0" w:space="0" w:color="auto"/>
        <w:right w:val="none" w:sz="0" w:space="0" w:color="auto"/>
      </w:divBdr>
    </w:div>
    <w:div w:id="1745028890">
      <w:bodyDiv w:val="1"/>
      <w:marLeft w:val="0"/>
      <w:marRight w:val="0"/>
      <w:marTop w:val="0"/>
      <w:marBottom w:val="0"/>
      <w:divBdr>
        <w:top w:val="none" w:sz="0" w:space="0" w:color="auto"/>
        <w:left w:val="none" w:sz="0" w:space="0" w:color="auto"/>
        <w:bottom w:val="none" w:sz="0" w:space="0" w:color="auto"/>
        <w:right w:val="none" w:sz="0" w:space="0" w:color="auto"/>
      </w:divBdr>
    </w:div>
    <w:div w:id="1819571545">
      <w:bodyDiv w:val="1"/>
      <w:marLeft w:val="0"/>
      <w:marRight w:val="0"/>
      <w:marTop w:val="0"/>
      <w:marBottom w:val="0"/>
      <w:divBdr>
        <w:top w:val="none" w:sz="0" w:space="0" w:color="auto"/>
        <w:left w:val="none" w:sz="0" w:space="0" w:color="auto"/>
        <w:bottom w:val="none" w:sz="0" w:space="0" w:color="auto"/>
        <w:right w:val="none" w:sz="0" w:space="0" w:color="auto"/>
      </w:divBdr>
    </w:div>
    <w:div w:id="1895458686">
      <w:bodyDiv w:val="1"/>
      <w:marLeft w:val="0"/>
      <w:marRight w:val="0"/>
      <w:marTop w:val="0"/>
      <w:marBottom w:val="0"/>
      <w:divBdr>
        <w:top w:val="none" w:sz="0" w:space="0" w:color="auto"/>
        <w:left w:val="none" w:sz="0" w:space="0" w:color="auto"/>
        <w:bottom w:val="none" w:sz="0" w:space="0" w:color="auto"/>
        <w:right w:val="none" w:sz="0" w:space="0" w:color="auto"/>
      </w:divBdr>
    </w:div>
    <w:div w:id="1912881674">
      <w:bodyDiv w:val="1"/>
      <w:marLeft w:val="0"/>
      <w:marRight w:val="0"/>
      <w:marTop w:val="0"/>
      <w:marBottom w:val="0"/>
      <w:divBdr>
        <w:top w:val="none" w:sz="0" w:space="0" w:color="auto"/>
        <w:left w:val="none" w:sz="0" w:space="0" w:color="auto"/>
        <w:bottom w:val="none" w:sz="0" w:space="0" w:color="auto"/>
        <w:right w:val="none" w:sz="0" w:space="0" w:color="auto"/>
      </w:divBdr>
    </w:div>
    <w:div w:id="1917594282">
      <w:bodyDiv w:val="1"/>
      <w:marLeft w:val="0"/>
      <w:marRight w:val="0"/>
      <w:marTop w:val="0"/>
      <w:marBottom w:val="0"/>
      <w:divBdr>
        <w:top w:val="none" w:sz="0" w:space="0" w:color="auto"/>
        <w:left w:val="none" w:sz="0" w:space="0" w:color="auto"/>
        <w:bottom w:val="none" w:sz="0" w:space="0" w:color="auto"/>
        <w:right w:val="none" w:sz="0" w:space="0" w:color="auto"/>
      </w:divBdr>
    </w:div>
    <w:div w:id="1936133801">
      <w:bodyDiv w:val="1"/>
      <w:marLeft w:val="0"/>
      <w:marRight w:val="0"/>
      <w:marTop w:val="0"/>
      <w:marBottom w:val="0"/>
      <w:divBdr>
        <w:top w:val="none" w:sz="0" w:space="0" w:color="auto"/>
        <w:left w:val="none" w:sz="0" w:space="0" w:color="auto"/>
        <w:bottom w:val="none" w:sz="0" w:space="0" w:color="auto"/>
        <w:right w:val="none" w:sz="0" w:space="0" w:color="auto"/>
      </w:divBdr>
    </w:div>
    <w:div w:id="2117865023">
      <w:bodyDiv w:val="1"/>
      <w:marLeft w:val="0"/>
      <w:marRight w:val="0"/>
      <w:marTop w:val="0"/>
      <w:marBottom w:val="0"/>
      <w:divBdr>
        <w:top w:val="none" w:sz="0" w:space="0" w:color="auto"/>
        <w:left w:val="none" w:sz="0" w:space="0" w:color="auto"/>
        <w:bottom w:val="none" w:sz="0" w:space="0" w:color="auto"/>
        <w:right w:val="none" w:sz="0" w:space="0" w:color="auto"/>
      </w:divBdr>
    </w:div>
    <w:div w:id="212457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17961</Words>
  <Characters>102381</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Cengage Learning</Company>
  <LinksUpToDate>false</LinksUpToDate>
  <CharactersWithSpaces>120102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Ainscow, Annabel</dc:creator>
  <cp:keywords/>
  <dc:description/>
  <cp:lastModifiedBy>Ainscow, Annabel</cp:lastModifiedBy>
  <cp:revision>2</cp:revision>
  <dcterms:created xsi:type="dcterms:W3CDTF">2012-01-15T21:48:00Z</dcterms:created>
  <dcterms:modified xsi:type="dcterms:W3CDTF">2012-01-15T21:48:00Z</dcterms:modified>
</cp:coreProperties>
</file>