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after="0"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after="0" w:line="240" w:lineRule="auto"/>
        <w:ind w:left="-180" w:right="-334" w:firstLine="0"/>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after="0" w:line="240" w:lineRule="auto"/>
        <w:ind w:left="-180" w:right="-334" w:firstLine="0"/>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jc w:val="center"/>
        <w:rPr>
          <w:rFonts w:ascii="Trebuchet MS" w:cs="Trebuchet MS" w:eastAsia="Trebuchet MS" w:hAnsi="Trebuchet MS"/>
          <w:sz w:val="20"/>
          <w:szCs w:val="2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trHeight w:val="614" w:hRule="atLeast"/>
        </w:trPr>
        <w:tc>
          <w:tcPr>
            <w:gridSpan w:val="5"/>
            <w:vAlign w:val="top"/>
          </w:tcPr>
          <w:p w:rsidR="00000000" w:rsidDel="00000000" w:rsidP="00000000" w:rsidRDefault="00000000" w:rsidRPr="00000000" w14:paraId="00000009">
            <w:pPr>
              <w:spacing w:after="0" w:line="240" w:lineRule="auto"/>
              <w:ind w:right="34"/>
              <w:rPr>
                <w:rFonts w:ascii="Arial" w:cs="Arial" w:eastAsia="Arial" w:hAnsi="Arial"/>
              </w:rPr>
            </w:pPr>
            <w:r w:rsidDel="00000000" w:rsidR="00000000" w:rsidRPr="00000000">
              <w:rPr>
                <w:rFonts w:ascii="Arial" w:cs="Arial" w:eastAsia="Arial" w:hAnsi="Arial"/>
                <w:b w:val="1"/>
                <w:rtl w:val="0"/>
              </w:rPr>
              <w:t xml:space="preserve">For completion by the student</w:t>
            </w:r>
            <w:r w:rsidDel="00000000" w:rsidR="00000000" w:rsidRPr="00000000">
              <w:rPr>
                <w:rFonts w:ascii="Arial" w:cs="Arial" w:eastAsia="Arial" w:hAnsi="Arial"/>
                <w:rtl w:val="0"/>
              </w:rPr>
              <w:t xml:space="preserve">:</w:t>
            </w:r>
          </w:p>
        </w:tc>
      </w:tr>
      <w:tr>
        <w:trPr>
          <w:trHeight w:val="718" w:hRule="atLeast"/>
        </w:trPr>
        <w:tc>
          <w:tcPr>
            <w:gridSpan w:val="5"/>
            <w:vAlign w:val="top"/>
          </w:tcPr>
          <w:p w:rsidR="00000000" w:rsidDel="00000000" w:rsidP="00000000" w:rsidRDefault="00000000" w:rsidRPr="00000000" w14:paraId="0000000E">
            <w:pPr>
              <w:spacing w:after="0" w:line="240" w:lineRule="auto"/>
              <w:ind w:right="34"/>
              <w:rPr>
                <w:rFonts w:ascii="Arial" w:cs="Arial" w:eastAsia="Arial" w:hAnsi="Arial"/>
              </w:rPr>
            </w:pPr>
            <w:r w:rsidDel="00000000" w:rsidR="00000000" w:rsidRPr="00000000">
              <w:rPr>
                <w:rFonts w:ascii="Arial" w:cs="Arial" w:eastAsia="Arial" w:hAnsi="Arial"/>
                <w:rtl w:val="0"/>
              </w:rPr>
              <w:t xml:space="preserve">Student Name: Dafydd Pierce</w:t>
            </w:r>
          </w:p>
          <w:p w:rsidR="00000000" w:rsidDel="00000000" w:rsidP="00000000" w:rsidRDefault="00000000" w:rsidRPr="00000000" w14:paraId="0000000F">
            <w:pPr>
              <w:spacing w:after="0" w:line="240" w:lineRule="auto"/>
              <w:ind w:right="34"/>
              <w:rPr>
                <w:rFonts w:ascii="Arial" w:cs="Arial" w:eastAsia="Arial" w:hAnsi="Arial"/>
              </w:rPr>
            </w:pPr>
            <w:r w:rsidDel="00000000" w:rsidR="00000000" w:rsidRPr="00000000">
              <w:rPr>
                <w:rtl w:val="0"/>
              </w:rPr>
            </w:r>
          </w:p>
        </w:tc>
      </w:tr>
      <w:tr>
        <w:trPr>
          <w:trHeight w:val="849" w:hRule="atLeast"/>
        </w:trPr>
        <w:tc>
          <w:tcPr>
            <w:vAlign w:val="top"/>
          </w:tcPr>
          <w:p w:rsidR="00000000" w:rsidDel="00000000" w:rsidP="00000000" w:rsidRDefault="00000000" w:rsidRPr="00000000" w14:paraId="00000014">
            <w:pPr>
              <w:spacing w:after="0" w:line="240" w:lineRule="auto"/>
              <w:ind w:right="34"/>
              <w:rPr>
                <w:rFonts w:ascii="Arial" w:cs="Arial" w:eastAsia="Arial" w:hAnsi="Arial"/>
              </w:rPr>
            </w:pPr>
            <w:r w:rsidDel="00000000" w:rsidR="00000000" w:rsidRPr="00000000">
              <w:rPr>
                <w:rFonts w:ascii="Arial" w:cs="Arial" w:eastAsia="Arial" w:hAnsi="Arial"/>
                <w:rtl w:val="0"/>
              </w:rPr>
              <w:t xml:space="preserve">Module code: HPCA7009</w:t>
            </w:r>
          </w:p>
          <w:p w:rsidR="00000000" w:rsidDel="00000000" w:rsidP="00000000" w:rsidRDefault="00000000" w:rsidRPr="00000000" w14:paraId="00000015">
            <w:pPr>
              <w:spacing w:after="0" w:line="240" w:lineRule="auto"/>
              <w:ind w:right="34"/>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ind w:right="34"/>
              <w:rPr>
                <w:rFonts w:ascii="Arial" w:cs="Arial" w:eastAsia="Arial" w:hAnsi="Arial"/>
              </w:rPr>
            </w:pPr>
            <w:r w:rsidDel="00000000" w:rsidR="00000000" w:rsidRPr="00000000">
              <w:rPr>
                <w:rFonts w:ascii="Arial" w:cs="Arial" w:eastAsia="Arial" w:hAnsi="Arial"/>
                <w:rtl w:val="0"/>
              </w:rPr>
              <w:t xml:space="preserve">Module title: Skyscapes, Cosmology and Archaeology</w:t>
            </w:r>
          </w:p>
          <w:p w:rsidR="00000000" w:rsidDel="00000000" w:rsidP="00000000" w:rsidRDefault="00000000" w:rsidRPr="00000000" w14:paraId="00000017">
            <w:pPr>
              <w:spacing w:after="0" w:line="240" w:lineRule="auto"/>
              <w:ind w:right="34"/>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ind w:right="34"/>
              <w:rPr>
                <w:rFonts w:ascii="Arial" w:cs="Arial" w:eastAsia="Arial" w:hAnsi="Arial"/>
              </w:rPr>
            </w:pPr>
            <w:r w:rsidDel="00000000" w:rsidR="00000000" w:rsidRPr="00000000">
              <w:rPr>
                <w:rtl w:val="0"/>
              </w:rPr>
            </w:r>
          </w:p>
        </w:tc>
        <w:tc>
          <w:tcPr>
            <w:gridSpan w:val="3"/>
            <w:vAlign w:val="top"/>
          </w:tcPr>
          <w:p w:rsidR="00000000" w:rsidDel="00000000" w:rsidP="00000000" w:rsidRDefault="00000000" w:rsidRPr="00000000" w14:paraId="00000019">
            <w:pPr>
              <w:spacing w:after="0" w:line="240" w:lineRule="auto"/>
              <w:ind w:right="34"/>
              <w:rPr>
                <w:rFonts w:ascii="Arial" w:cs="Arial" w:eastAsia="Arial" w:hAnsi="Arial"/>
              </w:rPr>
            </w:pPr>
            <w:r w:rsidDel="00000000" w:rsidR="00000000" w:rsidRPr="00000000">
              <w:rPr>
                <w:rFonts w:ascii="Arial" w:cs="Arial" w:eastAsia="Arial" w:hAnsi="Arial"/>
                <w:rtl w:val="0"/>
              </w:rPr>
              <w:t xml:space="preserve">Student ID number: 1917029</w:t>
            </w:r>
          </w:p>
        </w:tc>
        <w:tc>
          <w:tcPr>
            <w:vAlign w:val="top"/>
          </w:tcPr>
          <w:p w:rsidR="00000000" w:rsidDel="00000000" w:rsidP="00000000" w:rsidRDefault="00000000" w:rsidRPr="00000000" w14:paraId="0000001C">
            <w:pPr>
              <w:spacing w:after="0" w:line="240" w:lineRule="auto"/>
              <w:ind w:right="34"/>
              <w:rPr>
                <w:rFonts w:ascii="Arial" w:cs="Arial" w:eastAsia="Arial" w:hAnsi="Arial"/>
              </w:rPr>
            </w:pPr>
            <w:r w:rsidDel="00000000" w:rsidR="00000000" w:rsidRPr="00000000">
              <w:rPr>
                <w:rFonts w:ascii="Arial" w:cs="Arial" w:eastAsia="Arial" w:hAnsi="Arial"/>
                <w:rtl w:val="0"/>
              </w:rPr>
              <w:t xml:space="preserve">Educational support needs:</w:t>
            </w:r>
          </w:p>
          <w:p w:rsidR="00000000" w:rsidDel="00000000" w:rsidP="00000000" w:rsidRDefault="00000000" w:rsidRPr="00000000" w14:paraId="0000001D">
            <w:pPr>
              <w:spacing w:after="0" w:line="240" w:lineRule="auto"/>
              <w:ind w:right="34"/>
              <w:rPr>
                <w:rFonts w:ascii="Arial" w:cs="Arial" w:eastAsia="Arial" w:hAnsi="Arial"/>
              </w:rPr>
            </w:pPr>
            <w:r w:rsidDel="00000000" w:rsidR="00000000" w:rsidRPr="00000000">
              <w:rPr>
                <w:rFonts w:ascii="Arial" w:cs="Arial" w:eastAsia="Arial" w:hAnsi="Arial"/>
                <w:rtl w:val="0"/>
              </w:rPr>
              <w:t xml:space="preserve">No</w:t>
            </w:r>
          </w:p>
        </w:tc>
      </w:tr>
      <w:tr>
        <w:trPr>
          <w:trHeight w:val="1139" w:hRule="atLeast"/>
        </w:trPr>
        <w:tc>
          <w:tcPr>
            <w:gridSpan w:val="5"/>
            <w:vAlign w:val="top"/>
          </w:tcPr>
          <w:p w:rsidR="00000000" w:rsidDel="00000000" w:rsidP="00000000" w:rsidRDefault="00000000" w:rsidRPr="00000000" w14:paraId="0000001E">
            <w:pPr>
              <w:spacing w:after="0" w:line="240" w:lineRule="auto"/>
              <w:ind w:right="34"/>
              <w:rPr>
                <w:rFonts w:ascii="Arial" w:cs="Arial" w:eastAsia="Arial" w:hAnsi="Arial"/>
              </w:rPr>
            </w:pPr>
            <w:r w:rsidDel="00000000" w:rsidR="00000000" w:rsidRPr="00000000">
              <w:rPr>
                <w:rFonts w:ascii="Arial" w:cs="Arial" w:eastAsia="Arial" w:hAnsi="Arial"/>
                <w:rtl w:val="0"/>
              </w:rPr>
              <w:t xml:space="preserve">Module tutor: Dr Bernadette Brady</w:t>
            </w:r>
          </w:p>
          <w:p w:rsidR="00000000" w:rsidDel="00000000" w:rsidP="00000000" w:rsidRDefault="00000000" w:rsidRPr="00000000" w14:paraId="0000001F">
            <w:pPr>
              <w:spacing w:after="0" w:line="240" w:lineRule="auto"/>
              <w:ind w:right="34"/>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ind w:right="34"/>
              <w:rPr>
                <w:rFonts w:ascii="Arial" w:cs="Arial" w:eastAsia="Arial" w:hAnsi="Arial"/>
              </w:rPr>
            </w:pPr>
            <w:r w:rsidDel="00000000" w:rsidR="00000000" w:rsidRPr="00000000">
              <w:rPr>
                <w:rtl w:val="0"/>
              </w:rPr>
            </w:r>
          </w:p>
          <w:p w:rsidR="00000000" w:rsidDel="00000000" w:rsidP="00000000" w:rsidRDefault="00000000" w:rsidRPr="00000000" w14:paraId="00000021">
            <w:pPr>
              <w:spacing w:after="0" w:line="240" w:lineRule="auto"/>
              <w:ind w:right="34"/>
              <w:rPr>
                <w:rFonts w:ascii="Arial" w:cs="Arial" w:eastAsia="Arial" w:hAnsi="Arial"/>
              </w:rPr>
            </w:pPr>
            <w:r w:rsidDel="00000000" w:rsidR="00000000" w:rsidRPr="00000000">
              <w:rPr>
                <w:rFonts w:ascii="Arial" w:cs="Arial" w:eastAsia="Arial" w:hAnsi="Arial"/>
                <w:rtl w:val="0"/>
              </w:rPr>
              <w:t xml:space="preserve">Assignment due date: 23 March</w:t>
            </w:r>
          </w:p>
        </w:tc>
      </w:tr>
      <w:tr>
        <w:trPr>
          <w:trHeight w:val="978" w:hRule="atLeast"/>
        </w:trPr>
        <w:tc>
          <w:tcPr>
            <w:gridSpan w:val="5"/>
            <w:tcBorders>
              <w:bottom w:color="000000" w:space="0" w:sz="4" w:val="single"/>
            </w:tcBorders>
            <w:vAlign w:val="top"/>
          </w:tcPr>
          <w:p w:rsidR="00000000" w:rsidDel="00000000" w:rsidP="00000000" w:rsidRDefault="00000000" w:rsidRPr="00000000" w14:paraId="00000026">
            <w:pPr>
              <w:spacing w:after="0" w:line="240" w:lineRule="auto"/>
              <w:rPr>
                <w:rFonts w:ascii="Arial" w:cs="Arial" w:eastAsia="Arial" w:hAnsi="Arial"/>
              </w:rPr>
            </w:pPr>
            <w:r w:rsidDel="00000000" w:rsidR="00000000" w:rsidRPr="00000000">
              <w:rPr>
                <w:rFonts w:ascii="Arial" w:cs="Arial" w:eastAsia="Arial" w:hAnsi="Arial"/>
                <w:rtl w:val="0"/>
              </w:rPr>
              <w:t xml:space="preserve">If your module has multiple submissions please indicate which piece of work this is.</w:t>
            </w:r>
          </w:p>
          <w:p w:rsidR="00000000" w:rsidDel="00000000" w:rsidP="00000000" w:rsidRDefault="00000000" w:rsidRPr="00000000" w14:paraId="0000002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rPr>
            </w:pPr>
            <w:r w:rsidDel="00000000" w:rsidR="00000000" w:rsidRPr="00000000">
              <w:rPr>
                <w:rFonts w:ascii="Arial" w:cs="Arial" w:eastAsia="Arial" w:hAnsi="Arial"/>
                <w:rtl w:val="0"/>
              </w:rPr>
              <w:t xml:space="preserve">1</w:t>
            </w:r>
            <w:r w:rsidDel="00000000" w:rsidR="00000000" w:rsidRPr="00000000">
              <w:rPr>
                <w:rFonts w:ascii="Arial" w:cs="Arial" w:eastAsia="Arial" w:hAnsi="Arial"/>
                <w:vertAlign w:val="superscript"/>
                <w:rtl w:val="0"/>
              </w:rPr>
              <w:t xml:space="preserve">st </w:t>
            </w:r>
            <w:bookmarkStart w:colFirst="0" w:colLast="0" w:name="kix.tfqnvqfngvwh" w:id="0"/>
            <w:bookmarkEnd w:id="0"/>
            <w:r w:rsidDel="00000000" w:rsidR="00000000" w:rsidRPr="00000000">
              <w:rPr>
                <w:rFonts w:ascii="Arial" w:cs="Arial" w:eastAsia="Arial" w:hAnsi="Arial"/>
                <w:rtl w:val="0"/>
              </w:rPr>
              <w:t xml:space="preserve">☐ </w:t>
            </w:r>
            <w:bookmarkStart w:colFirst="0" w:colLast="0" w:name="kix.5izoxr8imvf" w:id="1"/>
            <w:bookmarkEnd w:id="1"/>
            <w:bookmarkStart w:colFirst="0" w:colLast="0" w:name="kix.nhrxgsck58u0" w:id="2"/>
            <w:bookmarkEnd w:id="2"/>
            <w:bookmarkStart w:colFirst="0" w:colLast="0" w:name="kix.cb1bslwmlbfx" w:id="3"/>
            <w:bookmarkEnd w:id="3"/>
            <w:bookmarkStart w:colFirst="0" w:colLast="0" w:name="kix.cconmrddz5ot" w:id="4"/>
            <w:bookmarkEnd w:id="4"/>
            <w:bookmarkStart w:colFirst="0" w:colLast="0" w:name="kix.irko596t6jlf" w:id="5"/>
            <w:bookmarkEnd w:id="5"/>
            <w:r w:rsidDel="00000000" w:rsidR="00000000" w:rsidRPr="00000000">
              <w:rPr>
                <w:rFonts w:ascii="Arial" w:cs="Arial" w:eastAsia="Arial" w:hAnsi="Arial"/>
                <w:rtl w:val="0"/>
              </w:rPr>
              <w:t xml:space="preserve"> </w:t>
            </w:r>
          </w:p>
        </w:tc>
      </w:tr>
      <w:tr>
        <w:trPr>
          <w:trHeight w:val="978" w:hRule="atLeast"/>
        </w:trPr>
        <w:tc>
          <w:tcPr>
            <w:gridSpan w:val="5"/>
            <w:shd w:fill="d9d9d9" w:val="clear"/>
            <w:vAlign w:val="top"/>
          </w:tcPr>
          <w:p w:rsidR="00000000" w:rsidDel="00000000" w:rsidP="00000000" w:rsidRDefault="00000000" w:rsidRPr="00000000" w14:paraId="0000002D">
            <w:pPr>
              <w:spacing w:after="0" w:line="240" w:lineRule="auto"/>
              <w:ind w:right="34"/>
              <w:rPr>
                <w:rFonts w:ascii="Arial" w:cs="Arial" w:eastAsia="Arial" w:hAnsi="Arial"/>
              </w:rPr>
            </w:pPr>
            <w:r w:rsidDel="00000000" w:rsidR="00000000" w:rsidRPr="00000000">
              <w:rPr>
                <w:rFonts w:ascii="Arial" w:cs="Arial" w:eastAsia="Arial" w:hAnsi="Arial"/>
                <w:rtl w:val="0"/>
              </w:rPr>
              <w:t xml:space="preserve">I confirm that this is my original work and that I have adhered to the University policy on plagiarism.</w:t>
            </w:r>
          </w:p>
          <w:p w:rsidR="00000000" w:rsidDel="00000000" w:rsidP="00000000" w:rsidRDefault="00000000" w:rsidRPr="00000000" w14:paraId="0000002E">
            <w:pPr>
              <w:spacing w:after="0" w:line="240" w:lineRule="auto"/>
              <w:ind w:right="34"/>
              <w:rPr>
                <w:rFonts w:ascii="Arial" w:cs="Arial" w:eastAsia="Arial" w:hAnsi="Arial"/>
              </w:rPr>
            </w:pPr>
            <w:r w:rsidDel="00000000" w:rsidR="00000000" w:rsidRPr="00000000">
              <w:rPr>
                <w:rFonts w:ascii="Arial" w:cs="Arial" w:eastAsia="Arial" w:hAnsi="Arial"/>
                <w:rtl w:val="0"/>
              </w:rPr>
              <w:t xml:space="preserve">Signed Dafydd Pierce………………………………………………………</w:t>
            </w:r>
          </w:p>
          <w:p w:rsidR="00000000" w:rsidDel="00000000" w:rsidP="00000000" w:rsidRDefault="00000000" w:rsidRPr="00000000" w14:paraId="0000002F">
            <w:pPr>
              <w:spacing w:after="0" w:line="240" w:lineRule="auto"/>
              <w:ind w:right="34"/>
              <w:rPr>
                <w:sz w:val="44"/>
                <w:szCs w:val="44"/>
              </w:rPr>
            </w:pPr>
            <w:r w:rsidDel="00000000" w:rsidR="00000000" w:rsidRPr="00000000">
              <w:rPr>
                <w:b w:val="1"/>
                <w:sz w:val="24"/>
                <w:szCs w:val="24"/>
                <w:rtl w:val="0"/>
              </w:rPr>
              <w:t xml:space="preserve">Email submission: if you are submitting this form via email, please tick this box </w:t>
            </w:r>
            <w:r w:rsidDel="00000000" w:rsidR="00000000" w:rsidRPr="00000000">
              <w:rPr>
                <w:b w:val="1"/>
                <w:sz w:val="44"/>
                <w:szCs w:val="44"/>
                <w:rtl w:val="0"/>
              </w:rPr>
              <w:t xml:space="preserve">x</w:t>
            </w:r>
            <w:r w:rsidDel="00000000" w:rsidR="00000000" w:rsidRPr="00000000">
              <w:rPr>
                <w:rtl w:val="0"/>
              </w:rPr>
            </w:r>
          </w:p>
          <w:p w:rsidR="00000000" w:rsidDel="00000000" w:rsidP="00000000" w:rsidRDefault="00000000" w:rsidRPr="00000000" w14:paraId="00000030">
            <w:pPr>
              <w:spacing w:after="0" w:line="240" w:lineRule="auto"/>
              <w:ind w:right="34"/>
              <w:rPr>
                <w:rFonts w:ascii="Arial" w:cs="Arial" w:eastAsia="Arial" w:hAnsi="Arial"/>
              </w:rPr>
            </w:pPr>
            <w:r w:rsidDel="00000000" w:rsidR="00000000" w:rsidRPr="00000000">
              <w:rPr>
                <w:b w:val="1"/>
                <w:sz w:val="24"/>
                <w:szCs w:val="24"/>
                <w:rtl w:val="0"/>
              </w:rPr>
              <w:t xml:space="preserve">(as a substitute for your signature) to confirm that you agree to the above declaration.</w:t>
            </w:r>
            <w:r w:rsidDel="00000000" w:rsidR="00000000" w:rsidRPr="00000000">
              <w:rPr>
                <w:rtl w:val="0"/>
              </w:rPr>
            </w:r>
          </w:p>
        </w:tc>
      </w:tr>
      <w:tr>
        <w:trPr>
          <w:trHeight w:val="3972" w:hRule="atLeast"/>
        </w:trPr>
        <w:tc>
          <w:tcPr>
            <w:gridSpan w:val="5"/>
            <w:vAlign w:val="top"/>
          </w:tcPr>
          <w:p w:rsidR="00000000" w:rsidDel="00000000" w:rsidP="00000000" w:rsidRDefault="00000000" w:rsidRPr="00000000" w14:paraId="0000003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c>
                <w:tcPr>
                  <w:vAlign w:val="top"/>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sz w:val="20"/>
                      <w:szCs w:val="20"/>
                      <w:vertAlign w:val="superscript"/>
                      <w:rtl w:val="0"/>
                    </w:rPr>
                    <w:t xml:space="preserve">st</w:t>
                  </w:r>
                  <w:r w:rsidDel="00000000" w:rsidR="00000000" w:rsidRPr="00000000">
                    <w:rPr>
                      <w:rFonts w:ascii="Arial" w:cs="Arial" w:eastAsia="Arial" w:hAnsi="Arial"/>
                      <w:sz w:val="20"/>
                      <w:szCs w:val="20"/>
                      <w:rtl w:val="0"/>
                    </w:rPr>
                    <w:t xml:space="preserve"> Marker’s Provisional mark</w:t>
                  </w:r>
                </w:p>
              </w:tc>
              <w:tc>
                <w:tcPr>
                  <w:vAlign w:val="top"/>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tl w:val="0"/>
                    </w:rPr>
                  </w:r>
                </w:p>
              </w:tc>
            </w:tr>
            <w:tr>
              <w:tc>
                <w:tcPr>
                  <w:vAlign w:val="top"/>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r w:rsidDel="00000000" w:rsidR="00000000" w:rsidRPr="00000000">
                    <w:rPr>
                      <w:rFonts w:ascii="Arial" w:cs="Arial" w:eastAsia="Arial" w:hAnsi="Arial"/>
                      <w:sz w:val="20"/>
                      <w:szCs w:val="20"/>
                      <w:vertAlign w:val="superscript"/>
                      <w:rtl w:val="0"/>
                    </w:rPr>
                    <w:t xml:space="preserve">nd</w:t>
                  </w:r>
                  <w:r w:rsidDel="00000000" w:rsidR="00000000" w:rsidRPr="00000000">
                    <w:rPr>
                      <w:rFonts w:ascii="Arial" w:cs="Arial" w:eastAsia="Arial" w:hAnsi="Arial"/>
                      <w:sz w:val="20"/>
                      <w:szCs w:val="20"/>
                      <w:rtl w:val="0"/>
                    </w:rPr>
                    <w:t xml:space="preserve"> Marker’s/Moderator’s provisional mark</w:t>
                  </w:r>
                </w:p>
              </w:tc>
              <w:tc>
                <w:tcPr>
                  <w:vAlign w:val="top"/>
                </w:tcPr>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tl w:val="0"/>
                    </w:rPr>
                  </w:r>
                </w:p>
              </w:tc>
            </w:tr>
            <w:tr>
              <w:tc>
                <w:tcPr>
                  <w:vAlign w:val="top"/>
                </w:tcPr>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Agreed Internal Mark: </w:t>
                  </w:r>
                </w:p>
                <w:p w:rsidR="00000000" w:rsidDel="00000000" w:rsidP="00000000" w:rsidRDefault="00000000" w:rsidRPr="00000000" w14:paraId="0000003E">
                  <w:pPr>
                    <w:spacing w:after="0" w:line="240" w:lineRule="auto"/>
                    <w:rPr>
                      <w:rFonts w:ascii="Arial" w:cs="Arial" w:eastAsia="Arial" w:hAnsi="Arial"/>
                      <w:sz w:val="20"/>
                      <w:szCs w:val="20"/>
                      <w:highlight w:val="yellow"/>
                    </w:rPr>
                  </w:pPr>
                  <w:r w:rsidDel="00000000" w:rsidR="00000000" w:rsidRPr="00000000">
                    <w:rPr>
                      <w:rtl w:val="0"/>
                    </w:rPr>
                  </w:r>
                </w:p>
              </w:tc>
              <w:tc>
                <w:tcPr>
                  <w:vAlign w:val="top"/>
                </w:tcPr>
                <w:p w:rsidR="00000000" w:rsidDel="00000000" w:rsidP="00000000" w:rsidRDefault="00000000" w:rsidRPr="00000000" w14:paraId="0000003F">
                  <w:pPr>
                    <w:spacing w:after="0" w:line="240" w:lineRule="auto"/>
                    <w:rPr>
                      <w:rFonts w:ascii="Arial" w:cs="Arial" w:eastAsia="Arial" w:hAnsi="Arial"/>
                      <w:sz w:val="20"/>
                      <w:szCs w:val="20"/>
                      <w:highlight w:val="yellow"/>
                    </w:rPr>
                  </w:pPr>
                  <w:r w:rsidDel="00000000" w:rsidR="00000000" w:rsidRPr="00000000">
                    <w:rPr>
                      <w:rtl w:val="0"/>
                    </w:rPr>
                  </w:r>
                </w:p>
              </w:tc>
            </w:tr>
            <w:tr>
              <w:tc>
                <w:tcPr>
                  <w:vAlign w:val="top"/>
                </w:tcPr>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External Examiner’s mark (if relevant)</w:t>
                  </w:r>
                </w:p>
              </w:tc>
              <w:tc>
                <w:tcPr>
                  <w:vAlign w:val="top"/>
                </w:tcPr>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tl w:val="0"/>
                    </w:rPr>
                  </w:r>
                </w:p>
              </w:tc>
            </w:tr>
            <w:tr>
              <w:tc>
                <w:tcPr>
                  <w:vAlign w:val="top"/>
                </w:tcPr>
                <w:p w:rsidR="00000000" w:rsidDel="00000000" w:rsidP="00000000" w:rsidRDefault="00000000" w:rsidRPr="00000000" w14:paraId="0000004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Final Mark</w:t>
                  </w: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sz w:val="20"/>
                      <w:szCs w:val="20"/>
                    </w:rPr>
                  </w:pPr>
                  <w:r w:rsidDel="00000000" w:rsidR="00000000" w:rsidRPr="00000000">
                    <w:rPr>
                      <w:rtl w:val="0"/>
                    </w:rPr>
                  </w:r>
                </w:p>
              </w:tc>
              <w:tc>
                <w:tcPr>
                  <w:vAlign w:val="top"/>
                </w:tcPr>
                <w:p w:rsidR="00000000" w:rsidDel="00000000" w:rsidP="00000000" w:rsidRDefault="00000000" w:rsidRPr="00000000" w14:paraId="00000046">
                  <w:pPr>
                    <w:spacing w:after="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47">
            <w:pPr>
              <w:spacing w:after="0" w:line="240" w:lineRule="auto"/>
              <w:ind w:left="142" w:right="34" w:firstLine="0"/>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ind w:left="142" w:right="34" w:firstLine="0"/>
              <w:rPr>
                <w:rFonts w:ascii="Arial" w:cs="Arial" w:eastAsia="Arial" w:hAnsi="Arial"/>
              </w:rPr>
            </w:pPr>
            <w:r w:rsidDel="00000000" w:rsidR="00000000" w:rsidRPr="00000000">
              <w:rPr>
                <w:rFonts w:ascii="Arial" w:cs="Arial" w:eastAsia="Arial" w:hAnsi="Arial"/>
                <w:b w:val="1"/>
                <w:rtl w:val="0"/>
              </w:rPr>
              <w:t xml:space="preserve">NB.</w:t>
            </w:r>
            <w:r w:rsidDel="00000000" w:rsidR="00000000" w:rsidRPr="00000000">
              <w:rPr>
                <w:rFonts w:ascii="Arial" w:cs="Arial" w:eastAsia="Arial" w:hAnsi="Arial"/>
                <w:rtl w:val="0"/>
              </w:rPr>
              <w:t xml:space="preserve">  All marks are provisional until confirmed by the Final Examination Board.</w:t>
            </w:r>
          </w:p>
          <w:p w:rsidR="00000000" w:rsidDel="00000000" w:rsidP="00000000" w:rsidRDefault="00000000" w:rsidRPr="00000000" w14:paraId="0000004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rPr>
            </w:pPr>
            <w:r w:rsidDel="00000000" w:rsidR="00000000" w:rsidRPr="00000000">
              <w:rPr>
                <w:rFonts w:ascii="Arial" w:cs="Arial" w:eastAsia="Arial" w:hAnsi="Arial"/>
                <w:b w:val="1"/>
                <w:rtl w:val="0"/>
              </w:rPr>
              <w:t xml:space="preserve">For completion by Marker 1 :</w:t>
            </w:r>
            <w:r w:rsidDel="00000000" w:rsidR="00000000" w:rsidRPr="00000000">
              <w:rPr>
                <w:rtl w:val="0"/>
              </w:rPr>
            </w:r>
          </w:p>
          <w:p w:rsidR="00000000" w:rsidDel="00000000" w:rsidP="00000000" w:rsidRDefault="00000000" w:rsidRPr="00000000" w14:paraId="0000004E">
            <w:pPr>
              <w:spacing w:after="280" w:before="280" w:line="240" w:lineRule="auto"/>
              <w:rPr>
                <w:rFonts w:ascii="Arial" w:cs="Arial" w:eastAsia="Arial" w:hAnsi="Arial"/>
              </w:rPr>
            </w:pPr>
            <w:r w:rsidDel="00000000" w:rsidR="00000000" w:rsidRPr="00000000">
              <w:rPr>
                <w:rFonts w:ascii="Arial" w:cs="Arial" w:eastAsia="Arial" w:hAnsi="Arial"/>
                <w:rtl w:val="0"/>
              </w:rPr>
              <w:t xml:space="preserve">Comments:</w:t>
            </w:r>
          </w:p>
          <w:p w:rsidR="00000000" w:rsidDel="00000000" w:rsidP="00000000" w:rsidRDefault="00000000" w:rsidRPr="00000000" w14:paraId="0000004F">
            <w:pPr>
              <w:spacing w:after="0" w:before="280" w:line="240" w:lineRule="auto"/>
              <w:rPr>
                <w:rFonts w:ascii="Arial" w:cs="Arial" w:eastAsia="Arial" w:hAnsi="Arial"/>
              </w:rPr>
            </w:pPr>
            <w:r w:rsidDel="00000000" w:rsidR="00000000" w:rsidRPr="00000000">
              <w:rPr>
                <w:rtl w:val="0"/>
              </w:rPr>
            </w:r>
          </w:p>
        </w:tc>
      </w:tr>
      <w:tr>
        <w:trPr>
          <w:trHeight w:val="492" w:hRule="atLeast"/>
        </w:trPr>
        <w:tc>
          <w:tcPr>
            <w:gridSpan w:val="3"/>
            <w:vAlign w:val="top"/>
          </w:tcPr>
          <w:p w:rsidR="00000000" w:rsidDel="00000000" w:rsidP="00000000" w:rsidRDefault="00000000" w:rsidRPr="00000000" w14:paraId="00000054">
            <w:pPr>
              <w:spacing w:after="0" w:line="240" w:lineRule="auto"/>
              <w:ind w:left="142" w:right="34" w:firstLine="0"/>
              <w:rPr>
                <w:rFonts w:ascii="Arial" w:cs="Arial" w:eastAsia="Arial" w:hAnsi="Arial"/>
              </w:rPr>
            </w:pPr>
            <w:r w:rsidDel="00000000" w:rsidR="00000000" w:rsidRPr="00000000">
              <w:rPr>
                <w:rFonts w:ascii="Arial" w:cs="Arial" w:eastAsia="Arial" w:hAnsi="Arial"/>
                <w:rtl w:val="0"/>
              </w:rPr>
              <w:t xml:space="preserve">Marker’s signature:</w:t>
            </w:r>
          </w:p>
        </w:tc>
        <w:tc>
          <w:tcPr>
            <w:gridSpan w:val="2"/>
            <w:vAlign w:val="top"/>
          </w:tcPr>
          <w:p w:rsidR="00000000" w:rsidDel="00000000" w:rsidP="00000000" w:rsidRDefault="00000000" w:rsidRPr="00000000" w14:paraId="00000057">
            <w:pPr>
              <w:spacing w:after="0" w:line="240" w:lineRule="auto"/>
              <w:ind w:left="142" w:right="34" w:firstLine="0"/>
              <w:rPr>
                <w:rFonts w:ascii="Arial" w:cs="Arial" w:eastAsia="Arial" w:hAnsi="Arial"/>
              </w:rPr>
            </w:pPr>
            <w:r w:rsidDel="00000000" w:rsidR="00000000" w:rsidRPr="00000000">
              <w:rPr>
                <w:rFonts w:ascii="Arial" w:cs="Arial" w:eastAsia="Arial" w:hAnsi="Arial"/>
                <w:rtl w:val="0"/>
              </w:rPr>
              <w:t xml:space="preserve">Date:</w:t>
            </w:r>
          </w:p>
        </w:tc>
      </w:tr>
      <w:tr>
        <w:tc>
          <w:tcPr>
            <w:gridSpan w:val="5"/>
            <w:vAlign w:val="top"/>
          </w:tcPr>
          <w:p w:rsidR="00000000" w:rsidDel="00000000" w:rsidP="00000000" w:rsidRDefault="00000000" w:rsidRPr="00000000" w14:paraId="00000059">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240" w:lineRule="auto"/>
              <w:ind w:right="-334"/>
              <w:rPr>
                <w:rFonts w:ascii="Arial" w:cs="Arial" w:eastAsia="Arial" w:hAnsi="Arial"/>
              </w:rPr>
            </w:pPr>
            <w:r w:rsidDel="00000000" w:rsidR="00000000" w:rsidRPr="00000000">
              <w:rPr>
                <w:rFonts w:ascii="Arial" w:cs="Arial" w:eastAsia="Arial" w:hAnsi="Arial"/>
                <w:b w:val="1"/>
                <w:rtl w:val="0"/>
              </w:rPr>
              <w:t xml:space="preserve">For completion by Marker 2/Moderator:</w:t>
            </w:r>
            <w:r w:rsidDel="00000000" w:rsidR="00000000" w:rsidRPr="00000000">
              <w:rPr>
                <w:rtl w:val="0"/>
              </w:rPr>
            </w:r>
          </w:p>
          <w:p w:rsidR="00000000" w:rsidDel="00000000" w:rsidP="00000000" w:rsidRDefault="00000000" w:rsidRPr="00000000" w14:paraId="0000005B">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240" w:lineRule="auto"/>
              <w:ind w:right="-334"/>
              <w:rPr>
                <w:rFonts w:ascii="Arial" w:cs="Arial" w:eastAsia="Arial" w:hAnsi="Arial"/>
              </w:rPr>
            </w:pPr>
            <w:r w:rsidDel="00000000" w:rsidR="00000000" w:rsidRPr="00000000">
              <w:rPr>
                <w:rFonts w:ascii="Arial" w:cs="Arial" w:eastAsia="Arial" w:hAnsi="Arial"/>
                <w:rtl w:val="0"/>
              </w:rPr>
              <w:t xml:space="preserve">Comments:</w:t>
            </w:r>
          </w:p>
          <w:p w:rsidR="00000000" w:rsidDel="00000000" w:rsidP="00000000" w:rsidRDefault="00000000" w:rsidRPr="00000000" w14:paraId="0000005D">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240" w:lineRule="auto"/>
              <w:ind w:right="-334"/>
              <w:rPr>
                <w:rFonts w:ascii="Arial" w:cs="Arial" w:eastAsia="Arial" w:hAnsi="Arial"/>
              </w:rPr>
            </w:pPr>
            <w:r w:rsidDel="00000000" w:rsidR="00000000" w:rsidRPr="00000000">
              <w:rPr>
                <w:rtl w:val="0"/>
              </w:rPr>
            </w:r>
          </w:p>
        </w:tc>
      </w:tr>
      <w:tr>
        <w:trPr>
          <w:trHeight w:val="720" w:hRule="atLeast"/>
        </w:trPr>
        <w:tc>
          <w:tcPr>
            <w:gridSpan w:val="2"/>
            <w:vAlign w:val="top"/>
          </w:tcPr>
          <w:p w:rsidR="00000000" w:rsidDel="00000000" w:rsidP="00000000" w:rsidRDefault="00000000" w:rsidRPr="00000000" w14:paraId="00000064">
            <w:pPr>
              <w:spacing w:after="0" w:line="240" w:lineRule="auto"/>
              <w:ind w:right="-334"/>
              <w:rPr>
                <w:rFonts w:ascii="Arial" w:cs="Arial" w:eastAsia="Arial" w:hAnsi="Arial"/>
              </w:rPr>
            </w:pPr>
            <w:r w:rsidDel="00000000" w:rsidR="00000000" w:rsidRPr="00000000">
              <w:rPr>
                <w:rFonts w:ascii="Arial" w:cs="Arial" w:eastAsia="Arial" w:hAnsi="Arial"/>
                <w:rtl w:val="0"/>
              </w:rPr>
              <w:t xml:space="preserve">Marker’s Signature:</w:t>
            </w:r>
          </w:p>
        </w:tc>
        <w:tc>
          <w:tcPr>
            <w:gridSpan w:val="3"/>
            <w:vAlign w:val="top"/>
          </w:tcPr>
          <w:p w:rsidR="00000000" w:rsidDel="00000000" w:rsidP="00000000" w:rsidRDefault="00000000" w:rsidRPr="00000000" w14:paraId="00000066">
            <w:pPr>
              <w:spacing w:after="0" w:line="240" w:lineRule="auto"/>
              <w:ind w:right="-334"/>
              <w:rPr>
                <w:rFonts w:ascii="Arial" w:cs="Arial" w:eastAsia="Arial" w:hAnsi="Arial"/>
              </w:rPr>
            </w:pPr>
            <w:r w:rsidDel="00000000" w:rsidR="00000000" w:rsidRPr="00000000">
              <w:rPr>
                <w:rFonts w:ascii="Arial" w:cs="Arial" w:eastAsia="Arial" w:hAnsi="Arial"/>
                <w:rtl w:val="0"/>
              </w:rPr>
              <w:t xml:space="preserve">Date:</w:t>
            </w:r>
          </w:p>
        </w:tc>
      </w:tr>
      <w:tr>
        <w:trPr>
          <w:trHeight w:val="720" w:hRule="atLeast"/>
        </w:trPr>
        <w:tc>
          <w:tcPr>
            <w:gridSpan w:val="5"/>
            <w:vAlign w:val="top"/>
          </w:tcPr>
          <w:p w:rsidR="00000000" w:rsidDel="00000000" w:rsidP="00000000" w:rsidRDefault="00000000" w:rsidRPr="00000000" w14:paraId="00000069">
            <w:pPr>
              <w:spacing w:after="0" w:line="240" w:lineRule="auto"/>
              <w:rPr>
                <w:rFonts w:ascii="Arial" w:cs="Arial" w:eastAsia="Arial" w:hAnsi="Arial"/>
              </w:rPr>
            </w:pPr>
            <w:r w:rsidDel="00000000" w:rsidR="00000000" w:rsidRPr="00000000">
              <w:rPr>
                <w:rFonts w:ascii="Arial" w:cs="Arial" w:eastAsia="Arial" w:hAnsi="Arial"/>
                <w:b w:val="1"/>
                <w:rtl w:val="0"/>
              </w:rPr>
              <w:t xml:space="preserve">AGREED INTERNAL MARK (where necessary):</w:t>
            </w: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rPr>
            </w:pPr>
            <w:r w:rsidDel="00000000" w:rsidR="00000000" w:rsidRPr="00000000">
              <w:rPr>
                <w:rFonts w:ascii="Arial" w:cs="Arial" w:eastAsia="Arial" w:hAnsi="Arial"/>
                <w:b w:val="1"/>
                <w:rtl w:val="0"/>
              </w:rPr>
              <w:t xml:space="preserve">Comment on process of arriving at agreed mark:</w:t>
            </w: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rPr>
            </w:pPr>
            <w:r w:rsidDel="00000000" w:rsidR="00000000" w:rsidRPr="00000000">
              <w:rPr>
                <w:rtl w:val="0"/>
              </w:rPr>
            </w:r>
          </w:p>
        </w:tc>
      </w:tr>
      <w:tr>
        <w:trPr>
          <w:trHeight w:val="720" w:hRule="atLeast"/>
        </w:trPr>
        <w:tc>
          <w:tcPr>
            <w:gridSpan w:val="5"/>
            <w:vAlign w:val="top"/>
          </w:tcPr>
          <w:p w:rsidR="00000000" w:rsidDel="00000000" w:rsidP="00000000" w:rsidRDefault="00000000" w:rsidRPr="00000000" w14:paraId="00000078">
            <w:pPr>
              <w:spacing w:after="0" w:line="240" w:lineRule="auto"/>
              <w:rPr>
                <w:rFonts w:ascii="Arial" w:cs="Arial" w:eastAsia="Arial" w:hAnsi="Arial"/>
              </w:rPr>
            </w:pPr>
            <w:r w:rsidDel="00000000" w:rsidR="00000000" w:rsidRPr="00000000">
              <w:rPr>
                <w:rFonts w:ascii="Arial" w:cs="Arial" w:eastAsia="Arial" w:hAnsi="Arial"/>
                <w:b w:val="1"/>
                <w:rtl w:val="0"/>
              </w:rPr>
              <w:t xml:space="preserve">External Examiner’s comments (if relevant)</w:t>
            </w:r>
            <w:r w:rsidDel="00000000" w:rsidR="00000000" w:rsidRPr="00000000">
              <w:rPr>
                <w:rtl w:val="0"/>
              </w:rPr>
            </w:r>
          </w:p>
          <w:p w:rsidR="00000000" w:rsidDel="00000000" w:rsidP="00000000" w:rsidRDefault="00000000" w:rsidRPr="00000000" w14:paraId="00000079">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240" w:lineRule="auto"/>
              <w:ind w:right="-334"/>
              <w:rPr>
                <w:rFonts w:ascii="Arial" w:cs="Arial" w:eastAsia="Arial" w:hAnsi="Arial"/>
              </w:rPr>
            </w:pPr>
            <w:r w:rsidDel="00000000" w:rsidR="00000000" w:rsidRPr="00000000">
              <w:rPr>
                <w:rtl w:val="0"/>
              </w:rPr>
            </w:r>
          </w:p>
          <w:p w:rsidR="00000000" w:rsidDel="00000000" w:rsidP="00000000" w:rsidRDefault="00000000" w:rsidRPr="00000000" w14:paraId="0000007F">
            <w:pPr>
              <w:spacing w:after="0" w:line="240" w:lineRule="auto"/>
              <w:ind w:right="-334"/>
              <w:rPr>
                <w:rFonts w:ascii="Arial" w:cs="Arial" w:eastAsia="Arial" w:hAnsi="Arial"/>
              </w:rPr>
            </w:pPr>
            <w:r w:rsidDel="00000000" w:rsidR="00000000" w:rsidRPr="00000000">
              <w:rPr>
                <w:rtl w:val="0"/>
              </w:rPr>
            </w:r>
          </w:p>
        </w:tc>
      </w:tr>
      <w:tr>
        <w:trPr>
          <w:trHeight w:val="720" w:hRule="atLeast"/>
        </w:trPr>
        <w:tc>
          <w:tcPr>
            <w:gridSpan w:val="2"/>
            <w:vAlign w:val="top"/>
          </w:tcPr>
          <w:p w:rsidR="00000000" w:rsidDel="00000000" w:rsidP="00000000" w:rsidRDefault="00000000" w:rsidRPr="00000000" w14:paraId="00000084">
            <w:pPr>
              <w:spacing w:after="0" w:line="240" w:lineRule="auto"/>
              <w:rPr>
                <w:rFonts w:ascii="Arial" w:cs="Arial" w:eastAsia="Arial" w:hAnsi="Arial"/>
              </w:rPr>
            </w:pPr>
            <w:r w:rsidDel="00000000" w:rsidR="00000000" w:rsidRPr="00000000">
              <w:rPr>
                <w:rFonts w:ascii="Arial" w:cs="Arial" w:eastAsia="Arial" w:hAnsi="Arial"/>
                <w:rtl w:val="0"/>
              </w:rPr>
              <w:t xml:space="preserve">External Examiner’s Signature:</w:t>
            </w:r>
          </w:p>
        </w:tc>
        <w:tc>
          <w:tcPr>
            <w:gridSpan w:val="3"/>
            <w:vAlign w:val="top"/>
          </w:tcPr>
          <w:p w:rsidR="00000000" w:rsidDel="00000000" w:rsidP="00000000" w:rsidRDefault="00000000" w:rsidRPr="00000000" w14:paraId="00000086">
            <w:pPr>
              <w:spacing w:after="0" w:line="240" w:lineRule="auto"/>
              <w:rPr>
                <w:rFonts w:ascii="Arial" w:cs="Arial" w:eastAsia="Arial" w:hAnsi="Arial"/>
              </w:rPr>
            </w:pPr>
            <w:r w:rsidDel="00000000" w:rsidR="00000000" w:rsidRPr="00000000">
              <w:rPr>
                <w:rFonts w:ascii="Arial" w:cs="Arial" w:eastAsia="Arial" w:hAnsi="Arial"/>
                <w:rtl w:val="0"/>
              </w:rPr>
              <w:t xml:space="preserve">Date:</w:t>
            </w:r>
          </w:p>
        </w:tc>
      </w:tr>
    </w:tbl>
    <w:p w:rsidR="00000000" w:rsidDel="00000000" w:rsidP="00000000" w:rsidRDefault="00000000" w:rsidRPr="00000000" w14:paraId="00000089">
      <w:pPr>
        <w:spacing w:after="0" w:line="240" w:lineRule="auto"/>
        <w:ind w:right="-334"/>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pPr>
      <w:r w:rsidDel="00000000" w:rsidR="00000000" w:rsidRPr="00000000">
        <w:rPr>
          <w:rFonts w:ascii="Arial" w:cs="Arial" w:eastAsia="Arial" w:hAnsi="Arial"/>
          <w:sz w:val="22"/>
          <w:szCs w:val="22"/>
          <w:rtl w:val="0"/>
        </w:rPr>
        <w:t xml:space="preserve">Critical Review: Medieval Churches in the UK</w:t>
      </w:r>
      <w:r w:rsidDel="00000000" w:rsidR="00000000" w:rsidRPr="00000000">
        <w:rPr>
          <w:rtl w:val="0"/>
        </w:rPr>
      </w:r>
    </w:p>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Word count: 1491</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This essay is a critical review of two academic papers on the orientation of churches in the United Kingdom; ‘The Orientation of Churches: Some New Evidence’ by Jason R Ali and Peter Cunich and ‘The Orientation of Cistercian Churches in Wales: A Cultural Astronomy Case Study’ by Bernadette Brady, Darrelyn Gunzburg, and Fabio Silva.</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tl w:val="0"/>
        </w:rPr>
      </w:r>
    </w:p>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In 1822 Wordsworth made the claim that churches are oriented towards ‘the point in the horizon at which the sun rose upon the day of the saint to whom the church was dedicated’.</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However, in 2000 Peter Hoare and Caroline Sweet published a study claiming that ‘the widespread and time-honoured support for the various sunrise models is misplaced’.</w:t>
      </w:r>
      <w:r w:rsidDel="00000000" w:rsidR="00000000" w:rsidRPr="00000000">
        <w:rPr>
          <w:rFonts w:ascii="Arial" w:cs="Arial" w:eastAsia="Arial" w:hAnsi="Arial"/>
          <w:sz w:val="22"/>
          <w:szCs w:val="22"/>
          <w:vertAlign w:val="superscript"/>
        </w:rPr>
        <w:footnoteReference w:customMarkFollows="0" w:id="2"/>
      </w:r>
      <w:r w:rsidDel="00000000" w:rsidR="00000000" w:rsidRPr="00000000">
        <w:rPr>
          <w:rFonts w:ascii="Arial" w:cs="Arial" w:eastAsia="Arial" w:hAnsi="Arial"/>
          <w:sz w:val="22"/>
          <w:szCs w:val="22"/>
          <w:rtl w:val="0"/>
        </w:rPr>
        <w:t xml:space="preserve"> The two papers under consideration here represent subsequent attempts to re-examine the issue of church orientation.</w:t>
      </w:r>
    </w:p>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Both papers under review are notable for their use of precision instruments, careful measurements, and corrective scientific data sets, reflecting an academic background in geophysics in the case of Ali, and cultural astronomy in the case of Brady et al.</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However, the varying research interests of each team also acts as a point of departure in terms of methodology. Whilst Ali and Cunich take on a large-scale statistical study of 143 churches and abbeys spanning England and Wales, Brady et al. focus on the churches of two closely related monastic orders within a smaller culturally defined region.</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Fonts w:ascii="Arial" w:cs="Arial" w:eastAsia="Arial" w:hAnsi="Arial"/>
          <w:sz w:val="22"/>
          <w:szCs w:val="22"/>
          <w:rtl w:val="0"/>
        </w:rPr>
        <w:t xml:space="preserve"> Furthermore, Ali and Cunich assume a modern scientific concept of sunrise in assessing orientation, whereas Brady et al. consider the role of local topography in affecting the direction and timing of both sunrise and sunset.</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tl w:val="0"/>
        </w:rPr>
      </w:r>
    </w:p>
    <w:p w:rsidR="00000000" w:rsidDel="00000000" w:rsidP="00000000" w:rsidRDefault="00000000" w:rsidRPr="00000000" w14:paraId="00000091">
      <w:pPr>
        <w:rPr/>
      </w:pPr>
      <w:r w:rsidDel="00000000" w:rsidR="00000000" w:rsidRPr="00000000">
        <w:rPr>
          <w:rFonts w:ascii="Arial" w:cs="Arial" w:eastAsia="Arial" w:hAnsi="Arial"/>
          <w:sz w:val="22"/>
          <w:szCs w:val="22"/>
          <w:rtl w:val="0"/>
        </w:rPr>
        <w:t xml:space="preserve">One factor in determining such different methodologies is the fact that Ali and Cunich had originally designed their study around an altogether different concern. Hypothesising that churches were laid out using a magnetic compass, they hoped to combine founding dates of churches along with precise measurements of orientations to produce new historical geomagnetic data.</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When it became apparent that the magnetic compass was not in fact used to orient these churches, the same data set was then redeployed to test a different hypothesis. Namely, Wordsworth’s claim that churches are oriented towards the sunrise of the patron’s feast day.</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92">
      <w:pPr>
        <w:rPr/>
      </w:pPr>
      <w:r w:rsidDel="00000000" w:rsidR="00000000" w:rsidRPr="00000000">
        <w:rPr>
          <w:rFonts w:ascii="Arial" w:cs="Arial" w:eastAsia="Arial" w:hAnsi="Arial"/>
          <w:sz w:val="22"/>
          <w:szCs w:val="22"/>
          <w:rtl w:val="0"/>
        </w:rPr>
        <w:t xml:space="preserve">Such a large-scale statistical study was undoubtedly appropriate for their original geoscientific hypothesis, built as it was on the sound geological principle of uniformitarianism. That is, the idea that across time and space ‘geological processes acted in the same manner’.</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 However, in substituting one modern scientific concept in their hypothesis for another, Ali and Cunich end up assuming a level of uniformity in sunrise that doesn’t exist: the effect of topography is overlooked in favour of a ‘theoretical flat horizon’.</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Brady et al. demonstrate the effect that this flaw would have in the case of Valle Crucis, where the ‘symbolic sunset’ alignment would fall on 2 April, whereas the ‘actual experience of sunset’ shifts in date to 20 April.</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This represents a potential margin of error far beyond what Ali and Cunich had anticipated, with the result that much of the data they produced should be considered unreliable.</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 Such an error is regrettable, given that projections of modern scientific practice onto past communities, such as the idea of a prehistoric astronomical ‘observatory’ for example, have long been critiqued by archaeoastronomers such as Ruggles, who remarks that ‘this is no longer the 1970s’.</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93">
      <w:pPr>
        <w:rPr/>
      </w:pPr>
      <w:r w:rsidDel="00000000" w:rsidR="00000000" w:rsidRPr="00000000">
        <w:rPr>
          <w:rFonts w:ascii="Arial" w:cs="Arial" w:eastAsia="Arial" w:hAnsi="Arial"/>
          <w:sz w:val="22"/>
          <w:szCs w:val="22"/>
          <w:rtl w:val="0"/>
        </w:rPr>
        <w:t xml:space="preserve">Ruggles has also questioned the value of ‘classical statistical inference’ to archaeoastronomy, arguing for a ‘methodology capable of dealing with variation...without resorting to selecting the evidence that fits and ignoring any that does not’.</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While the scale of analysis adopted by Ali and Cunich is unquestionably suitable to studying the geological past, the smaller scale case study approach of Brady et al. is much more adaptable to the variation characteristic of cultural responses to landscape. Furthermore, this approach also allowed the researchers to go beyond the limitations of statistical inference and embrace a phenomenological approach, with its characteristic ‘stress on the personal experiences of the individual’.</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Fonts w:ascii="Arial" w:cs="Arial" w:eastAsia="Arial" w:hAnsi="Arial"/>
          <w:sz w:val="22"/>
          <w:szCs w:val="22"/>
          <w:rtl w:val="0"/>
        </w:rPr>
        <w:t xml:space="preserve"> By contrast, the sheer size of Ali and Cunich’s study necessitated writing human experience out of the past altogether.</w:t>
      </w:r>
      <w:r w:rsidDel="00000000" w:rsidR="00000000" w:rsidRPr="00000000">
        <w:rPr>
          <w:rtl w:val="0"/>
        </w:rPr>
      </w:r>
    </w:p>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Addressing the limitations of past approaches to archaeoastronomy Campion has described the field as ‘narrowly concerned particularly with the measurement of astronomical phenomena in relation to the built environment’, noting that ‘the wider field of cultural astronomy then necessarily brings in all those disciplines which study culture, chiefly history and anthropology’.</w:t>
      </w:r>
      <w:r w:rsidDel="00000000" w:rsidR="00000000" w:rsidRPr="00000000">
        <w:rPr>
          <w:rFonts w:ascii="Arial" w:cs="Arial" w:eastAsia="Arial" w:hAnsi="Arial"/>
          <w:sz w:val="22"/>
          <w:szCs w:val="22"/>
          <w:vertAlign w:val="superscript"/>
        </w:rPr>
        <w:footnoteReference w:customMarkFollows="0" w:id="15"/>
      </w:r>
      <w:r w:rsidDel="00000000" w:rsidR="00000000" w:rsidRPr="00000000">
        <w:rPr>
          <w:rFonts w:ascii="Arial" w:cs="Arial" w:eastAsia="Arial" w:hAnsi="Arial"/>
          <w:sz w:val="22"/>
          <w:szCs w:val="22"/>
          <w:rtl w:val="0"/>
        </w:rPr>
        <w:t xml:space="preserve"> If Ali and Cunich’s paper was, in its final form, an archaeoastronomical study of church orientations in relation to sunrise, then Brady et al. are clear from the outset that theirs is a ‘cultural astronomy case study’ with the researchers bringing different expertise from archaeology, medieval art history and anthropology to the question of medieval monastic astronomy.</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Although an historian, Cunich’s role is limited to establishing the dates and founding narratives of each church rather than gaining an understanding of the cultural mindsets of the builders.</w:t>
      </w:r>
    </w:p>
    <w:p w:rsidR="00000000" w:rsidDel="00000000" w:rsidP="00000000" w:rsidRDefault="00000000" w:rsidRPr="00000000" w14:paraId="00000095">
      <w:pPr>
        <w:rPr/>
      </w:pPr>
      <w:r w:rsidDel="00000000" w:rsidR="00000000" w:rsidRPr="00000000">
        <w:rPr>
          <w:rFonts w:ascii="Arial" w:cs="Arial" w:eastAsia="Arial" w:hAnsi="Arial"/>
          <w:sz w:val="22"/>
          <w:szCs w:val="22"/>
          <w:rtl w:val="0"/>
        </w:rPr>
        <w:t xml:space="preserve">The two different approaches of Ali and Cunich and Brady et al. can ultimately be defined as etic and emic respectively. Elsewhere, Silva has been emphatic about the importance of this distinction, going as far as stating that ‘we could, and indeed we should, use </w:t>
      </w:r>
      <w:r w:rsidDel="00000000" w:rsidR="00000000" w:rsidRPr="00000000">
        <w:rPr>
          <w:rFonts w:ascii="Arial" w:cs="Arial" w:eastAsia="Arial" w:hAnsi="Arial"/>
          <w:i w:val="1"/>
          <w:sz w:val="22"/>
          <w:szCs w:val="22"/>
          <w:rtl w:val="0"/>
        </w:rPr>
        <w:t xml:space="preserve">emic</w:t>
      </w:r>
      <w:r w:rsidDel="00000000" w:rsidR="00000000" w:rsidRPr="00000000">
        <w:rPr>
          <w:rFonts w:ascii="Arial" w:cs="Arial" w:eastAsia="Arial" w:hAnsi="Arial"/>
          <w:sz w:val="22"/>
          <w:szCs w:val="22"/>
          <w:rtl w:val="0"/>
        </w:rPr>
        <w:t xml:space="preserve"> terms describing a society’s relation to the sky whenever possible’.</w:t>
      </w:r>
      <w:r w:rsidDel="00000000" w:rsidR="00000000" w:rsidRPr="00000000">
        <w:rPr>
          <w:rFonts w:ascii="Arial" w:cs="Arial" w:eastAsia="Arial" w:hAnsi="Arial"/>
          <w:sz w:val="22"/>
          <w:szCs w:val="22"/>
          <w:vertAlign w:val="superscript"/>
        </w:rPr>
        <w:footnoteReference w:customMarkFollows="0" w:id="17"/>
      </w:r>
      <w:r w:rsidDel="00000000" w:rsidR="00000000" w:rsidRPr="00000000">
        <w:rPr>
          <w:rFonts w:ascii="Arial" w:cs="Arial" w:eastAsia="Arial" w:hAnsi="Arial"/>
          <w:sz w:val="22"/>
          <w:szCs w:val="22"/>
          <w:rtl w:val="0"/>
        </w:rPr>
        <w:t xml:space="preserve"> The result is that throughout their paper, Brady et al. demonstrate a consistent concern with recognising and understanding the significance of astronomical phenomena to medieval monks. For example, the equinox in Christianity from the third century onwards, as well as specifically to the Cistercians of medieval Wales, preferences in orientation, for example for the setting sun in the case of Cwmhir, examining evidence of star knowledge amongst medieval French monks and hypothesising its possible deployment in marking out ‘the rising or setting sun for the equinox sun’ on the local horizon.</w:t>
      </w:r>
      <w:r w:rsidDel="00000000" w:rsidR="00000000" w:rsidRPr="00000000">
        <w:rPr>
          <w:rFonts w:ascii="Arial" w:cs="Arial" w:eastAsia="Arial" w:hAnsi="Arial"/>
          <w:sz w:val="22"/>
          <w:szCs w:val="22"/>
          <w:vertAlign w:val="superscript"/>
        </w:rPr>
        <w:footnoteReference w:customMarkFollows="0" w:id="18"/>
      </w:r>
      <w:r w:rsidDel="00000000" w:rsidR="00000000" w:rsidRPr="00000000">
        <w:rPr>
          <w:rFonts w:ascii="Arial" w:cs="Arial" w:eastAsia="Arial" w:hAnsi="Arial"/>
          <w:sz w:val="22"/>
          <w:szCs w:val="22"/>
          <w:rtl w:val="0"/>
        </w:rPr>
        <w:t xml:space="preserve"> In contrast, by projecting modern scientific ideas onto past societies, Ali and Cunich mark out their work as fundamentally etic in character. The problem with this approach however is that medieval church builders simply would not have recognised either of the concepts that they use to test their data. The effect of this approach on the quality of their results has already been noted.</w:t>
      </w:r>
      <w:r w:rsidDel="00000000" w:rsidR="00000000" w:rsidRPr="00000000">
        <w:rPr>
          <w:rtl w:val="0"/>
        </w:rPr>
      </w:r>
    </w:p>
    <w:p w:rsidR="00000000" w:rsidDel="00000000" w:rsidP="00000000" w:rsidRDefault="00000000" w:rsidRPr="00000000" w14:paraId="00000096">
      <w:pPr>
        <w:rPr/>
      </w:pPr>
      <w:r w:rsidDel="00000000" w:rsidR="00000000" w:rsidRPr="00000000">
        <w:rPr>
          <w:rFonts w:ascii="Arial" w:cs="Arial" w:eastAsia="Arial" w:hAnsi="Arial"/>
          <w:sz w:val="22"/>
          <w:szCs w:val="22"/>
          <w:rtl w:val="0"/>
        </w:rPr>
        <w:t xml:space="preserve">The interaction of sunlight and architecture is permitted exploration by the case study approach adopted by Brady et al. where both east and west doors as well as rose windows are considered. Welsh folklorist Marie Trevelyan recorded another example of such an interaction and its significance, in this case presumably a local church: ‘If the sun shines on the altar on Candlemas day, there will be an abundant harvest in the ensuing year.</w:t>
      </w:r>
      <w:r w:rsidDel="00000000" w:rsidR="00000000" w:rsidRPr="00000000">
        <w:rPr>
          <w:rFonts w:ascii="Arial" w:cs="Arial" w:eastAsia="Arial" w:hAnsi="Arial"/>
          <w:sz w:val="22"/>
          <w:szCs w:val="22"/>
          <w:vertAlign w:val="superscript"/>
        </w:rPr>
        <w:footnoteReference w:customMarkFollows="0" w:id="19"/>
      </w:r>
      <w:r w:rsidDel="00000000" w:rsidR="00000000" w:rsidRPr="00000000">
        <w:rPr>
          <w:rFonts w:ascii="Arial" w:cs="Arial" w:eastAsia="Arial" w:hAnsi="Arial"/>
          <w:sz w:val="22"/>
          <w:szCs w:val="22"/>
          <w:rtl w:val="0"/>
        </w:rPr>
        <w:t xml:space="preserve"> Given the researchers observation that the preponderance of St David’s Day/Michaelmas orientations were ‘independent of the founding narratives of the abbey’ it is reasonable to conclude that monastic communities were less insulated from the surrounding culture than official accounts indicate.</w:t>
      </w:r>
      <w:r w:rsidDel="00000000" w:rsidR="00000000" w:rsidRPr="00000000">
        <w:rPr>
          <w:rFonts w:ascii="Arial" w:cs="Arial" w:eastAsia="Arial" w:hAnsi="Arial"/>
          <w:sz w:val="22"/>
          <w:szCs w:val="22"/>
          <w:vertAlign w:val="superscript"/>
        </w:rPr>
        <w:footnoteReference w:customMarkFollows="0" w:id="20"/>
      </w:r>
      <w:r w:rsidDel="00000000" w:rsidR="00000000" w:rsidRPr="00000000">
        <w:rPr>
          <w:rFonts w:ascii="Arial" w:cs="Arial" w:eastAsia="Arial" w:hAnsi="Arial"/>
          <w:sz w:val="22"/>
          <w:szCs w:val="22"/>
          <w:rtl w:val="0"/>
        </w:rPr>
        <w:t xml:space="preserve"> Had the researchers consulted available accounts of welsh folklore, a broader understanding of the cultural astronomy of Cambro-Norman religious communities may have been possible, perhaps producing further lines of inquiry. </w:t>
      </w:r>
      <w:r w:rsidDel="00000000" w:rsidR="00000000" w:rsidRPr="00000000">
        <w:rPr>
          <w:rtl w:val="0"/>
        </w:rPr>
      </w:r>
    </w:p>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In discussing their results Ali and Cunich begin to acknowledge some of the limitations of their original hypothesis, recognising that sunset as well sunrise may have had significance to the church builders and that ‘geographical features’ would have played a role in this.</w:t>
      </w:r>
      <w:r w:rsidDel="00000000" w:rsidR="00000000" w:rsidRPr="00000000">
        <w:rPr>
          <w:rFonts w:ascii="Arial" w:cs="Arial" w:eastAsia="Arial" w:hAnsi="Arial"/>
          <w:sz w:val="22"/>
          <w:szCs w:val="22"/>
          <w:vertAlign w:val="superscript"/>
        </w:rPr>
        <w:footnoteReference w:customMarkFollows="0" w:id="21"/>
      </w:r>
      <w:r w:rsidDel="00000000" w:rsidR="00000000" w:rsidRPr="00000000">
        <w:rPr>
          <w:rFonts w:ascii="Arial" w:cs="Arial" w:eastAsia="Arial" w:hAnsi="Arial"/>
          <w:sz w:val="22"/>
          <w:szCs w:val="22"/>
          <w:rtl w:val="0"/>
        </w:rPr>
        <w:t xml:space="preserve"> However, the researchers do not move beyond the idea of a symbolic sunrise/sunset alignment to consider how this would have been experienced by those inside the church. Similarly, whilst they speculate that ‘the variance between ‘true’ sunrise and ‘observed’ sunrise must, at certain sites, have amounted to several degrees’, Ali and Cunich are reluctant to fully explore the effect of topography on local sunrise/sunset.</w:t>
      </w:r>
      <w:r w:rsidDel="00000000" w:rsidR="00000000" w:rsidRPr="00000000">
        <w:rPr>
          <w:rFonts w:ascii="Arial" w:cs="Arial" w:eastAsia="Arial" w:hAnsi="Arial"/>
          <w:sz w:val="22"/>
          <w:szCs w:val="22"/>
          <w:vertAlign w:val="superscript"/>
        </w:rPr>
        <w:footnoteReference w:customMarkFollows="0" w:id="22"/>
      </w:r>
      <w:r w:rsidDel="00000000" w:rsidR="00000000" w:rsidRPr="00000000">
        <w:rPr>
          <w:rFonts w:ascii="Arial" w:cs="Arial" w:eastAsia="Arial" w:hAnsi="Arial"/>
          <w:sz w:val="22"/>
          <w:szCs w:val="22"/>
          <w:rtl w:val="0"/>
        </w:rPr>
        <w:t xml:space="preserve"> This is despite the fact that as Brady et al. have demonstrated horizon altitude is easily determined using a clinometer.</w:t>
      </w:r>
      <w:r w:rsidDel="00000000" w:rsidR="00000000" w:rsidRPr="00000000">
        <w:rPr>
          <w:rFonts w:ascii="Arial" w:cs="Arial" w:eastAsia="Arial" w:hAnsi="Arial"/>
          <w:sz w:val="22"/>
          <w:szCs w:val="22"/>
          <w:vertAlign w:val="superscript"/>
        </w:rPr>
        <w:footnoteReference w:customMarkFollows="0" w:id="23"/>
      </w:r>
      <w:r w:rsidDel="00000000" w:rsidR="00000000" w:rsidRPr="00000000">
        <w:rPr>
          <w:rFonts w:ascii="Arial" w:cs="Arial" w:eastAsia="Arial" w:hAnsi="Arial"/>
          <w:sz w:val="22"/>
          <w:szCs w:val="22"/>
          <w:rtl w:val="0"/>
        </w:rPr>
        <w:t xml:space="preserve"> In contrast, Brady et al. built such considerations into their original methodology and were able to draw firm conclusions on the basis of reliable data.</w:t>
      </w:r>
      <w:r w:rsidDel="00000000" w:rsidR="00000000" w:rsidRPr="00000000">
        <w:rPr>
          <w:rFonts w:ascii="Arial" w:cs="Arial" w:eastAsia="Arial" w:hAnsi="Arial"/>
          <w:sz w:val="22"/>
          <w:szCs w:val="22"/>
          <w:vertAlign w:val="superscript"/>
        </w:rPr>
        <w:footnoteReference w:customMarkFollows="0" w:id="24"/>
      </w:r>
      <w:r w:rsidDel="00000000" w:rsidR="00000000" w:rsidRPr="00000000">
        <w:rPr>
          <w:rtl w:val="0"/>
        </w:rPr>
      </w:r>
    </w:p>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though the influence of Welsh culture on Cistercian architecture may have been underemphasised, the cultural astronomy case study approach of Brady et al., edified by research and theory from anthropology, post processual archaeology and medieval art history, allowed the researchers to draw original conclusions, contributing important new insights into our understanding of Christian churches and the communities who built and used them. By contrast, in neglecting to make use of the rich seam of relevant theory and research that had appeared over the decades preceding their study, Ali and Cunich condemned themselves to repeating the mistakes of early archaeoastronomers, namely applying modern scientific concepts to past societies. The resulting picture of two-dimensional churches in a two-dimensional landscape fails not only to accurately synthesize the world as it is now, but also to tell us anything useful about the human past. </w:t>
      </w:r>
    </w:p>
    <w:p w:rsidR="00000000" w:rsidDel="00000000" w:rsidP="00000000" w:rsidRDefault="00000000" w:rsidRPr="00000000" w14:paraId="000000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rPr>
          <w:rFonts w:ascii="Arial" w:cs="Arial" w:eastAsia="Arial" w:hAnsi="Arial"/>
        </w:rPr>
      </w:pPr>
      <w:r w:rsidDel="00000000" w:rsidR="00000000" w:rsidRPr="00000000">
        <w:rPr>
          <w:rtl w:val="0"/>
        </w:rPr>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tl w:val="0"/>
        </w:rPr>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tl w:val="0"/>
        </w:rPr>
      </w:r>
    </w:p>
    <w:p w:rsidR="00000000" w:rsidDel="00000000" w:rsidP="00000000" w:rsidRDefault="00000000" w:rsidRPr="00000000" w14:paraId="0000009F">
      <w:pPr>
        <w:rPr>
          <w:rFonts w:ascii="Arial" w:cs="Arial" w:eastAsia="Arial" w:hAnsi="Arial"/>
        </w:rPr>
      </w:pP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tl w:val="0"/>
        </w:rPr>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Bibliography</w:t>
      </w:r>
    </w:p>
    <w:p w:rsidR="00000000" w:rsidDel="00000000" w:rsidP="00000000" w:rsidRDefault="00000000" w:rsidRPr="00000000" w14:paraId="000000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Ali JR, Cunich P, ‘The Orientation of Churches: Some New Evidence’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Antiquaries Journal,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81 (2001) 155-193</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Brady B, Gunzburg D, and Silva F, ‘The Orientation of Cistercian Churches in Wales: A Cultural Astronomy Case Study’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Cîteaux - Commentarii cistercienses,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67(3-4) (2016) 275-302</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Campion, N ‘Skyscapes: Locating Archaeoastronomy within Academia‘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Skyscapes: The Role and Importance of the Sky in Archaeology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ed. by Fabio Silva and Nicholas Campion (Oxbow Books, 2015)</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Renfrew, C and Bahn, P ‘Archaeology: Theories, Methods and Practice’ (London and New York: Thames and Hudson, 1991)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Ruggles, C Astronomy in Prehistoric Britain and Ireland (New Haven and London: Yale University Press 1999)</w:t>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Ruggles, C ‘Pushing Back the Frontiers or Still Running Around the Same Circles? ‘Interpretative Archaeoastronomy’ Thirty Years On’ Proceedings IAU Symposium No 278 (2011) pp1-18</w:t>
      </w:r>
    </w:p>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sz w:val="22"/>
          <w:szCs w:val="22"/>
          <w:rtl w:val="0"/>
        </w:rPr>
        <w:t xml:space="preserve">Trevelyan, M ’Folk-Lore and Folk Stories of Wales’ (London: Elliot Stock, 1909)</w:t>
      </w:r>
      <w:r w:rsidDel="00000000" w:rsidR="00000000" w:rsidRPr="00000000">
        <w:rPr>
          <w:rtl w:val="0"/>
        </w:rPr>
      </w:r>
    </w:p>
    <w:p w:rsidR="00000000" w:rsidDel="00000000" w:rsidP="00000000" w:rsidRDefault="00000000" w:rsidRPr="00000000" w14:paraId="000000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br w:type="textWrapping"/>
      </w:r>
    </w:p>
    <w:p w:rsidR="00000000" w:rsidDel="00000000" w:rsidP="00000000" w:rsidRDefault="00000000" w:rsidRPr="00000000" w14:paraId="000000B3">
      <w:pPr>
        <w:rPr/>
      </w:pPr>
      <w:r w:rsidDel="00000000" w:rsidR="00000000" w:rsidRPr="00000000">
        <w:rPr>
          <w:rtl w:val="0"/>
        </w:rPr>
      </w:r>
    </w:p>
    <w:sectPr>
      <w:headerReference r:id="rId8" w:type="default"/>
      <w:footerReference r:id="rId9" w:type="default"/>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rebuchet MS"/>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2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9"/>
      <w:gridCol w:w="3009"/>
      <w:gridCol w:w="3009"/>
      <w:tblGridChange w:id="0">
        <w:tblGrid>
          <w:gridCol w:w="3009"/>
          <w:gridCol w:w="3009"/>
          <w:gridCol w:w="3009"/>
        </w:tblGrid>
      </w:tblGridChange>
    </w:tblGrid>
    <w:tr>
      <w:tc>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Jason R Ali, Peter Cunich, ‘The Orientation of Churches: Some New Evidence’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The Antiquaries Journal,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81 (2001) 155-193</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22222"/>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Bernadette Brady, Darrelyn Gunzburg and Fabio Silva, ‘The Orientation of Cistercian Churches in Wales: A Cultural Astronomy Case Study’ </w:t>
      </w:r>
      <w:r w:rsidDel="00000000" w:rsidR="00000000" w:rsidRPr="00000000">
        <w:rPr>
          <w:rFonts w:ascii="Arial" w:cs="Arial" w:eastAsia="Arial" w:hAnsi="Arial"/>
          <w:b w:val="0"/>
          <w:i w:val="1"/>
          <w:smallCaps w:val="0"/>
          <w:strike w:val="0"/>
          <w:color w:val="222222"/>
          <w:sz w:val="21"/>
          <w:szCs w:val="21"/>
          <w:u w:val="none"/>
          <w:shd w:fill="auto" w:val="clear"/>
          <w:vertAlign w:val="baseline"/>
          <w:rtl w:val="0"/>
        </w:rPr>
        <w:t xml:space="preserve">Cîteaux - Commentarii cistercienses,</w:t>
      </w:r>
      <w:r w:rsidDel="00000000" w:rsidR="00000000" w:rsidRPr="00000000">
        <w:rPr>
          <w:rFonts w:ascii="Arial" w:cs="Arial" w:eastAsia="Arial" w:hAnsi="Arial"/>
          <w:b w:val="0"/>
          <w:i w:val="0"/>
          <w:smallCaps w:val="0"/>
          <w:strike w:val="0"/>
          <w:color w:val="222222"/>
          <w:sz w:val="21"/>
          <w:szCs w:val="21"/>
          <w:u w:val="none"/>
          <w:shd w:fill="auto" w:val="clear"/>
          <w:vertAlign w:val="baseline"/>
          <w:rtl w:val="0"/>
        </w:rPr>
        <w:t xml:space="preserve"> 67(3-4) (2016) 275-302</w:t>
      </w:r>
    </w:p>
  </w:footnote>
  <w:footnote w:id="1">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William Wordsworth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‘The Poetical Works of William Wordsworth’</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ed by William Knight (London 1896) VII, 8 vols pp114-16 cited in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p154</w:t>
      </w:r>
    </w:p>
  </w:footnote>
  <w:footnote w:id="2">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Hoare P G and Sweet C S, ‘The Orientation of Early Medieval Churches in England’,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Journal of Historical Geography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26 (2000) 162-73 cited in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p188</w:t>
      </w:r>
    </w:p>
  </w:footnote>
  <w:footnote w:id="3">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p158-160</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p282-3</w:t>
      </w:r>
    </w:p>
  </w:footnote>
  <w:footnote w:id="4">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p155</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p275</w:t>
      </w:r>
    </w:p>
  </w:footnote>
  <w:footnote w:id="5">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Orientation of Churches p168</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Brady, Gunzburg and Silva Orientation of Cistercian Churches p275</w:t>
      </w:r>
    </w:p>
  </w:footnote>
  <w:footnote w:id="6">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p155</w:t>
      </w:r>
    </w:p>
  </w:footnote>
  <w:footnote w:id="7">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p155</w:t>
      </w:r>
    </w:p>
  </w:footnote>
  <w:footnote w:id="8">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https://www.britannica.com/science/uniformitarianism</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[accessed March 22, 2020]</w:t>
      </w:r>
    </w:p>
  </w:footnote>
  <w:footnote w:id="9">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p275</w:t>
      </w:r>
    </w:p>
  </w:footnote>
  <w:footnote w:id="10">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p279</w:t>
      </w:r>
    </w:p>
  </w:footnote>
  <w:footnote w:id="11">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p159</w:t>
      </w:r>
    </w:p>
  </w:footnote>
  <w:footnote w:id="12">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Clive Ruggles ’Pushing Back the Frontiers or Still Running Around the Same Circles? ’Interpretative Archaeoastronomy’ Thirty Years On’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Proceeding IAU Symposium No.278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2011) p3</w:t>
      </w:r>
    </w:p>
  </w:footnote>
  <w:footnote w:id="13">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Clive Ruggles ’Astronomy in Prehistoric Britain and Ireland’ (New Haven and London: Yale University Press, 1999) p161</w:t>
      </w:r>
    </w:p>
  </w:footnote>
  <w:footnote w:id="14">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Colin Renfrew and Paul Bahn ’Archaeology: Theories, Methods and Practice’ (London and New York: Thames and Hudson, 1991) p44</w:t>
      </w:r>
    </w:p>
  </w:footnote>
  <w:footnote w:id="15">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Nicholas Campion ‘Skyscapes: Locating Archaeoastronomy within Academia‘ in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Skyscapes: The Role and Importance of the Sky in Archaeology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ed. by Fabio Silva and Nicholas Campion (Oxbow Books, 2015) p17 </w:t>
      </w:r>
    </w:p>
  </w:footnote>
  <w:footnote w:id="16">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p275</w:t>
      </w:r>
    </w:p>
  </w:footnote>
  <w:footnote w:id="17">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Fabio Silva ’Defining Skyscape’ </w:t>
      </w:r>
      <w:hyperlink r:id="rId2">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https://sophiacentrepress.com/2017/04/22/defining-skyscape/</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[accessed March 22, 2020]</w:t>
      </w:r>
    </w:p>
  </w:footnote>
  <w:footnote w:id="18">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p276-291</w:t>
      </w:r>
    </w:p>
  </w:footnote>
  <w:footnote w:id="19">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Marie Trevelyan ’Folk-Lore and Folk Stories of Wales’ (London: Elliot Stock, 1909) p244</w:t>
      </w:r>
    </w:p>
  </w:footnote>
  <w:footnote w:id="20">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p298</w:t>
      </w:r>
    </w:p>
  </w:footnote>
  <w:footnote w:id="21">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p173</w:t>
      </w:r>
    </w:p>
  </w:footnote>
  <w:footnote w:id="22">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Ali and Cunich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p171</w:t>
      </w:r>
    </w:p>
  </w:footnote>
  <w:footnote w:id="23">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p282</w:t>
      </w:r>
    </w:p>
  </w:footnote>
  <w:footnote w:id="24">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Brady, Gunzburg and Silva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Orientation of Cistercian Churches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p300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902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9"/>
      <w:gridCol w:w="3009"/>
      <w:gridCol w:w="3009"/>
      <w:tblGridChange w:id="0">
        <w:tblGrid>
          <w:gridCol w:w="3009"/>
          <w:gridCol w:w="3009"/>
          <w:gridCol w:w="3009"/>
        </w:tblGrid>
      </w:tblGridChange>
    </w:tblGrid>
    <w:tr>
      <w:tc>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Dafydd Pierce 1917029</w:t>
          </w:r>
        </w:p>
      </w:tc>
      <w:tc>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science/uniformitarianism" TargetMode="External"/><Relationship Id="rId2" Type="http://schemas.openxmlformats.org/officeDocument/2006/relationships/hyperlink" Target="https://sophiacentrepress.com/2017/04/22/defining-skysc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