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19F70" w14:textId="6ABA4C33" w:rsidR="004D3E2E" w:rsidRDefault="001450A9">
      <w:r>
        <w:rPr>
          <w:noProof/>
        </w:rPr>
        <w:drawing>
          <wp:inline distT="0" distB="0" distL="0" distR="0" wp14:anchorId="5FBF8FDD" wp14:editId="52FF0666">
            <wp:extent cx="4286250" cy="17049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286250" cy="1704975"/>
                    </a:xfrm>
                    <a:prstGeom prst="rect">
                      <a:avLst/>
                    </a:prstGeom>
                  </pic:spPr>
                </pic:pic>
              </a:graphicData>
            </a:graphic>
          </wp:inline>
        </w:drawing>
      </w:r>
    </w:p>
    <w:p w14:paraId="080A247C" w14:textId="0826685D" w:rsidR="00E9695D" w:rsidRDefault="00E9695D"/>
    <w:p w14:paraId="447E7DEB" w14:textId="77777777" w:rsidR="00E9695D" w:rsidRDefault="00E9695D"/>
    <w:p w14:paraId="0739629B" w14:textId="0CD4B4E4" w:rsidR="001450A9" w:rsidRPr="00147A93" w:rsidRDefault="001450A9" w:rsidP="001450A9">
      <w:pPr>
        <w:rPr>
          <w:rFonts w:ascii="Arial" w:hAnsi="Arial" w:cs="Arial"/>
          <w:sz w:val="24"/>
          <w:szCs w:val="24"/>
        </w:rPr>
      </w:pPr>
      <w:r w:rsidRPr="007B4D09">
        <w:rPr>
          <w:rFonts w:ascii="Arial" w:hAnsi="Arial" w:cs="Arial"/>
          <w:b/>
          <w:bCs/>
        </w:rPr>
        <w:t>Module</w:t>
      </w:r>
      <w:r w:rsidRPr="007B4D09">
        <w:rPr>
          <w:rFonts w:ascii="Arial" w:hAnsi="Arial" w:cs="Arial"/>
        </w:rPr>
        <w:t>:</w:t>
      </w:r>
      <w:r w:rsidR="00E42D02" w:rsidRPr="00E42D02">
        <w:rPr>
          <w:rFonts w:ascii="Arial" w:hAnsi="Arial" w:cs="Arial"/>
          <w:sz w:val="24"/>
          <w:szCs w:val="24"/>
        </w:rPr>
        <w:t xml:space="preserve"> </w:t>
      </w:r>
      <w:r w:rsidR="00E42D02" w:rsidRPr="00985783">
        <w:rPr>
          <w:rFonts w:ascii="Arial" w:hAnsi="Arial" w:cs="Arial"/>
          <w:sz w:val="24"/>
          <w:szCs w:val="24"/>
        </w:rPr>
        <w:t>Developing workplace critical thinking</w:t>
      </w:r>
      <w:r w:rsidRPr="007B4D09">
        <w:rPr>
          <w:rFonts w:ascii="Arial" w:hAnsi="Arial" w:cs="Arial"/>
        </w:rPr>
        <w:t xml:space="preserve"> </w:t>
      </w:r>
    </w:p>
    <w:p w14:paraId="3F888E4E" w14:textId="617D772E" w:rsidR="001450A9" w:rsidRPr="002128FA" w:rsidRDefault="001450A9" w:rsidP="001450A9">
      <w:pPr>
        <w:tabs>
          <w:tab w:val="left" w:pos="1260"/>
        </w:tabs>
        <w:spacing w:line="360" w:lineRule="auto"/>
        <w:rPr>
          <w:rFonts w:ascii="Arial" w:hAnsi="Arial" w:cs="Arial"/>
          <w:b/>
          <w:bCs/>
          <w:sz w:val="24"/>
          <w:szCs w:val="24"/>
        </w:rPr>
      </w:pPr>
      <w:r w:rsidRPr="007B4D09">
        <w:rPr>
          <w:rFonts w:ascii="Arial" w:hAnsi="Arial" w:cs="Arial"/>
          <w:b/>
          <w:bCs/>
        </w:rPr>
        <w:t>Module code:</w:t>
      </w:r>
      <w:r w:rsidRPr="007B4D09">
        <w:rPr>
          <w:rFonts w:ascii="Arial" w:hAnsi="Arial" w:cs="Arial"/>
        </w:rPr>
        <w:t xml:space="preserve"> </w:t>
      </w:r>
      <w:r w:rsidRPr="002128FA">
        <w:rPr>
          <w:rFonts w:ascii="Arial" w:hAnsi="Arial" w:cs="Arial"/>
          <w:sz w:val="24"/>
          <w:szCs w:val="24"/>
        </w:rPr>
        <w:t>BMSW</w:t>
      </w:r>
      <w:r>
        <w:rPr>
          <w:rFonts w:ascii="Arial" w:hAnsi="Arial" w:cs="Arial"/>
          <w:sz w:val="24"/>
          <w:szCs w:val="24"/>
        </w:rPr>
        <w:t>5101</w:t>
      </w:r>
    </w:p>
    <w:p w14:paraId="74C81070" w14:textId="2853D14D" w:rsidR="001450A9" w:rsidRPr="00FF7052" w:rsidRDefault="001450A9" w:rsidP="001450A9">
      <w:pPr>
        <w:tabs>
          <w:tab w:val="left" w:pos="1260"/>
        </w:tabs>
        <w:spacing w:line="360" w:lineRule="auto"/>
        <w:rPr>
          <w:rFonts w:ascii="Arial" w:hAnsi="Arial" w:cs="Arial"/>
          <w:sz w:val="24"/>
          <w:szCs w:val="24"/>
        </w:rPr>
      </w:pPr>
      <w:r w:rsidRPr="007B4D09">
        <w:rPr>
          <w:rFonts w:ascii="Arial" w:hAnsi="Arial" w:cs="Arial"/>
          <w:b/>
          <w:bCs/>
        </w:rPr>
        <w:t xml:space="preserve">Lecture </w:t>
      </w:r>
      <w:r>
        <w:rPr>
          <w:rFonts w:ascii="Arial" w:hAnsi="Arial" w:cs="Arial"/>
          <w:b/>
          <w:bCs/>
        </w:rPr>
        <w:t>N</w:t>
      </w:r>
      <w:r w:rsidRPr="007B4D09">
        <w:rPr>
          <w:rFonts w:ascii="Arial" w:hAnsi="Arial" w:cs="Arial"/>
          <w:b/>
          <w:bCs/>
        </w:rPr>
        <w:t>ame</w:t>
      </w:r>
      <w:r w:rsidRPr="00147A93">
        <w:rPr>
          <w:rFonts w:ascii="Arial" w:hAnsi="Arial" w:cs="Arial"/>
          <w:b/>
          <w:bCs/>
          <w:sz w:val="24"/>
          <w:szCs w:val="24"/>
        </w:rPr>
        <w:t>:</w:t>
      </w:r>
      <w:r w:rsidRPr="00147A93">
        <w:rPr>
          <w:sz w:val="24"/>
          <w:szCs w:val="24"/>
        </w:rPr>
        <w:t xml:space="preserve"> </w:t>
      </w:r>
      <w:r w:rsidR="007260FB" w:rsidRPr="00FF7052">
        <w:rPr>
          <w:rFonts w:ascii="Arial" w:hAnsi="Arial" w:cs="Arial"/>
          <w:sz w:val="24"/>
          <w:szCs w:val="24"/>
        </w:rPr>
        <w:t>Akinseye Aluko</w:t>
      </w:r>
    </w:p>
    <w:p w14:paraId="151FD760" w14:textId="49422B10" w:rsidR="00655654" w:rsidRPr="00985783" w:rsidRDefault="001450A9" w:rsidP="00655654">
      <w:pPr>
        <w:tabs>
          <w:tab w:val="left" w:pos="1260"/>
        </w:tabs>
        <w:spacing w:line="360" w:lineRule="auto"/>
        <w:rPr>
          <w:rFonts w:ascii="Arial" w:hAnsi="Arial" w:cs="Arial"/>
          <w:sz w:val="24"/>
          <w:szCs w:val="24"/>
        </w:rPr>
      </w:pPr>
      <w:r w:rsidRPr="007B4D09">
        <w:rPr>
          <w:rFonts w:ascii="Arial" w:hAnsi="Arial" w:cs="Arial"/>
          <w:b/>
          <w:bCs/>
        </w:rPr>
        <w:t>Assignment Title</w:t>
      </w:r>
      <w:r w:rsidR="00655654" w:rsidRPr="00442A2D">
        <w:rPr>
          <w:rFonts w:ascii="Arial" w:hAnsi="Arial" w:cs="Arial"/>
          <w:b/>
          <w:bCs/>
          <w:sz w:val="24"/>
          <w:szCs w:val="24"/>
        </w:rPr>
        <w:t>:</w:t>
      </w:r>
      <w:r w:rsidR="00655654" w:rsidRPr="00442A2D">
        <w:rPr>
          <w:rFonts w:ascii="Arial" w:hAnsi="Arial" w:cs="Arial"/>
          <w:sz w:val="24"/>
          <w:szCs w:val="24"/>
        </w:rPr>
        <w:t xml:space="preserve"> </w:t>
      </w:r>
    </w:p>
    <w:p w14:paraId="01964BA8" w14:textId="34C4A9C8" w:rsidR="00655654" w:rsidRPr="00985783" w:rsidRDefault="00C75D51" w:rsidP="00655654">
      <w:pPr>
        <w:tabs>
          <w:tab w:val="left" w:pos="1260"/>
        </w:tabs>
        <w:spacing w:line="360" w:lineRule="auto"/>
        <w:rPr>
          <w:rFonts w:ascii="Arial" w:hAnsi="Arial" w:cs="Arial"/>
          <w:sz w:val="24"/>
          <w:szCs w:val="24"/>
        </w:rPr>
      </w:pPr>
      <w:r w:rsidRPr="00985783">
        <w:rPr>
          <w:rFonts w:ascii="Arial" w:hAnsi="Arial" w:cs="Arial"/>
          <w:sz w:val="24"/>
          <w:szCs w:val="24"/>
        </w:rPr>
        <w:t>Part 1</w:t>
      </w:r>
      <w:r w:rsidR="00007B2E">
        <w:rPr>
          <w:rFonts w:ascii="Arial" w:hAnsi="Arial" w:cs="Arial"/>
          <w:sz w:val="24"/>
          <w:szCs w:val="24"/>
        </w:rPr>
        <w:t xml:space="preserve">: </w:t>
      </w:r>
      <w:r w:rsidR="00655654" w:rsidRPr="00985783">
        <w:rPr>
          <w:rFonts w:ascii="Arial" w:hAnsi="Arial" w:cs="Arial"/>
          <w:sz w:val="24"/>
          <w:szCs w:val="24"/>
        </w:rPr>
        <w:t>Individual Business Report “How do organisational beliefs, attitudes, and value systems affect workplace behaviour? How will workplace changes for the post lockdown business environment tackle the new business challenges, and create more resilient businesses in future?”</w:t>
      </w:r>
      <w:r w:rsidR="00655654">
        <w:rPr>
          <w:rFonts w:ascii="Arial" w:hAnsi="Arial" w:cs="Arial"/>
          <w:sz w:val="24"/>
          <w:szCs w:val="24"/>
        </w:rPr>
        <w:t xml:space="preserve"> </w:t>
      </w:r>
      <w:r w:rsidR="004231E3">
        <w:rPr>
          <w:rFonts w:ascii="Arial" w:hAnsi="Arial" w:cs="Arial"/>
          <w:sz w:val="24"/>
          <w:szCs w:val="24"/>
        </w:rPr>
        <w:t>-</w:t>
      </w:r>
      <w:r w:rsidR="000C11E6">
        <w:rPr>
          <w:rFonts w:ascii="Arial" w:hAnsi="Arial" w:cs="Arial"/>
          <w:sz w:val="24"/>
          <w:szCs w:val="24"/>
        </w:rPr>
        <w:t xml:space="preserve"> </w:t>
      </w:r>
      <w:r w:rsidR="000C11E6" w:rsidRPr="00985783">
        <w:rPr>
          <w:rFonts w:ascii="Arial" w:hAnsi="Arial" w:cs="Arial"/>
          <w:sz w:val="24"/>
          <w:szCs w:val="24"/>
        </w:rPr>
        <w:t>2500</w:t>
      </w:r>
      <w:r w:rsidR="000C11E6">
        <w:rPr>
          <w:rFonts w:ascii="Arial" w:hAnsi="Arial" w:cs="Arial"/>
          <w:sz w:val="24"/>
          <w:szCs w:val="24"/>
        </w:rPr>
        <w:t xml:space="preserve"> words</w:t>
      </w:r>
    </w:p>
    <w:p w14:paraId="3A2B8B2E" w14:textId="0D78D161" w:rsidR="001450A9" w:rsidRPr="001450A9" w:rsidRDefault="001450A9" w:rsidP="001450A9">
      <w:pPr>
        <w:tabs>
          <w:tab w:val="left" w:pos="1260"/>
        </w:tabs>
        <w:spacing w:line="360" w:lineRule="auto"/>
        <w:rPr>
          <w:rFonts w:ascii="Arial" w:hAnsi="Arial" w:cs="Arial"/>
          <w:sz w:val="24"/>
          <w:szCs w:val="24"/>
        </w:rPr>
      </w:pPr>
      <w:r w:rsidRPr="00442A2D">
        <w:rPr>
          <w:rFonts w:ascii="Arial" w:hAnsi="Arial" w:cs="Arial"/>
          <w:sz w:val="24"/>
          <w:szCs w:val="24"/>
        </w:rPr>
        <w:t xml:space="preserve"> </w:t>
      </w:r>
      <w:r w:rsidRPr="001450A9">
        <w:rPr>
          <w:rFonts w:ascii="Arial" w:hAnsi="Arial" w:cs="Arial"/>
          <w:sz w:val="24"/>
          <w:szCs w:val="24"/>
        </w:rPr>
        <w:t>Part 2</w:t>
      </w:r>
      <w:r w:rsidR="00007B2E">
        <w:rPr>
          <w:rFonts w:ascii="Arial" w:hAnsi="Arial" w:cs="Arial"/>
          <w:sz w:val="24"/>
          <w:szCs w:val="24"/>
        </w:rPr>
        <w:t xml:space="preserve">: </w:t>
      </w:r>
      <w:r w:rsidRPr="001450A9">
        <w:rPr>
          <w:rFonts w:ascii="Arial" w:hAnsi="Arial" w:cs="Arial"/>
          <w:sz w:val="24"/>
          <w:szCs w:val="24"/>
        </w:rPr>
        <w:t>Reflective Journal</w:t>
      </w:r>
      <w:r>
        <w:rPr>
          <w:rFonts w:ascii="Arial" w:hAnsi="Arial" w:cs="Arial"/>
          <w:sz w:val="24"/>
          <w:szCs w:val="24"/>
        </w:rPr>
        <w:t>, 2000 words</w:t>
      </w:r>
    </w:p>
    <w:p w14:paraId="33872C2B" w14:textId="77777777" w:rsidR="001450A9" w:rsidRPr="00073DBB" w:rsidRDefault="001450A9" w:rsidP="001450A9">
      <w:pPr>
        <w:spacing w:line="360" w:lineRule="auto"/>
        <w:rPr>
          <w:rFonts w:ascii="Arial" w:hAnsi="Arial" w:cs="Arial"/>
          <w:b/>
          <w:bCs/>
          <w:sz w:val="24"/>
          <w:szCs w:val="24"/>
        </w:rPr>
      </w:pPr>
      <w:r w:rsidRPr="007B4D09">
        <w:rPr>
          <w:rFonts w:ascii="Arial" w:hAnsi="Arial" w:cs="Arial"/>
          <w:b/>
          <w:bCs/>
        </w:rPr>
        <w:t>Student Number</w:t>
      </w:r>
      <w:r w:rsidRPr="00073DBB">
        <w:rPr>
          <w:rFonts w:ascii="Arial" w:hAnsi="Arial" w:cs="Arial"/>
          <w:sz w:val="24"/>
          <w:szCs w:val="24"/>
        </w:rPr>
        <w:t>: 2023024</w:t>
      </w:r>
    </w:p>
    <w:p w14:paraId="63B639E5" w14:textId="77777777" w:rsidR="001450A9" w:rsidRDefault="001450A9" w:rsidP="001450A9">
      <w:pPr>
        <w:rPr>
          <w:rFonts w:ascii="Arial" w:hAnsi="Arial" w:cs="Arial"/>
          <w:sz w:val="24"/>
          <w:szCs w:val="24"/>
        </w:rPr>
      </w:pPr>
      <w:r w:rsidRPr="007B4D09">
        <w:rPr>
          <w:rFonts w:ascii="Arial" w:hAnsi="Arial" w:cs="Arial"/>
          <w:b/>
          <w:bCs/>
        </w:rPr>
        <w:t>Student Name</w:t>
      </w:r>
      <w:r>
        <w:rPr>
          <w:rFonts w:ascii="Arial" w:hAnsi="Arial" w:cs="Arial"/>
          <w:b/>
          <w:bCs/>
        </w:rPr>
        <w:t xml:space="preserve">: </w:t>
      </w:r>
      <w:r w:rsidRPr="00147A93">
        <w:rPr>
          <w:rFonts w:ascii="Arial" w:hAnsi="Arial" w:cs="Arial"/>
          <w:sz w:val="24"/>
          <w:szCs w:val="24"/>
        </w:rPr>
        <w:t>Maria Vitoroi</w:t>
      </w:r>
    </w:p>
    <w:p w14:paraId="60D802F2" w14:textId="77777777" w:rsidR="001450A9" w:rsidRDefault="001450A9" w:rsidP="001450A9">
      <w:pPr>
        <w:rPr>
          <w:rFonts w:ascii="Arial" w:hAnsi="Arial" w:cs="Arial"/>
          <w:sz w:val="24"/>
          <w:szCs w:val="24"/>
        </w:rPr>
      </w:pPr>
    </w:p>
    <w:p w14:paraId="59F5E850" w14:textId="77777777" w:rsidR="001450A9" w:rsidRDefault="001450A9" w:rsidP="001450A9">
      <w:pPr>
        <w:rPr>
          <w:rFonts w:ascii="Arial" w:hAnsi="Arial" w:cs="Arial"/>
          <w:sz w:val="24"/>
          <w:szCs w:val="24"/>
        </w:rPr>
      </w:pPr>
    </w:p>
    <w:p w14:paraId="53BE5E23" w14:textId="43C47CC4" w:rsidR="001450A9" w:rsidRDefault="001450A9"/>
    <w:p w14:paraId="63F33C33" w14:textId="055957EF" w:rsidR="004C6854" w:rsidRDefault="004C6854"/>
    <w:p w14:paraId="4F8F1269" w14:textId="3EC234E4" w:rsidR="004C6854" w:rsidRDefault="004C6854"/>
    <w:p w14:paraId="3B73D423" w14:textId="659E1D3A" w:rsidR="004C6854" w:rsidRDefault="004C6854"/>
    <w:p w14:paraId="7DD42417" w14:textId="4E798762" w:rsidR="004C6854" w:rsidRDefault="004C6854"/>
    <w:p w14:paraId="274B8C5A" w14:textId="185412B1" w:rsidR="004C6854" w:rsidRDefault="004C6854"/>
    <w:p w14:paraId="6C5DDA67" w14:textId="679093E8" w:rsidR="004C6854" w:rsidRDefault="004C6854"/>
    <w:p w14:paraId="30871A1A" w14:textId="4A0123B9" w:rsidR="004C6854" w:rsidRDefault="004C6854"/>
    <w:p w14:paraId="28C4469A" w14:textId="0CD545FC" w:rsidR="004C6854" w:rsidRDefault="004C6854"/>
    <w:p w14:paraId="6CEA8553" w14:textId="7C09A481" w:rsidR="004C6854" w:rsidRDefault="004C6854"/>
    <w:p w14:paraId="18F8E3AC" w14:textId="1F430C3D" w:rsidR="004C6854" w:rsidRDefault="004C6854"/>
    <w:p w14:paraId="6A392FF6" w14:textId="2EF1EC3A" w:rsidR="004C6854" w:rsidRDefault="004C6854"/>
    <w:p w14:paraId="12002A37" w14:textId="2B603BDA" w:rsidR="004C6854" w:rsidRDefault="004C6854"/>
    <w:p w14:paraId="25E4D2B1" w14:textId="2432130B" w:rsidR="004C6854" w:rsidRDefault="004C6854"/>
    <w:p w14:paraId="30114964" w14:textId="22395B3F" w:rsidR="00100678" w:rsidRDefault="00100678"/>
    <w:sdt>
      <w:sdtPr>
        <w:rPr>
          <w:rFonts w:asciiTheme="minorHAnsi" w:eastAsiaTheme="minorHAnsi" w:hAnsiTheme="minorHAnsi" w:cstheme="minorBidi"/>
          <w:color w:val="auto"/>
          <w:sz w:val="22"/>
          <w:szCs w:val="22"/>
          <w:lang w:val="el-GR" w:eastAsia="en-US"/>
        </w:rPr>
        <w:id w:val="-1864498054"/>
        <w:docPartObj>
          <w:docPartGallery w:val="Table of Contents"/>
          <w:docPartUnique/>
        </w:docPartObj>
      </w:sdtPr>
      <w:sdtEndPr/>
      <w:sdtContent>
        <w:p w14:paraId="69906260" w14:textId="77777777" w:rsidR="00100678" w:rsidRDefault="00100678" w:rsidP="00100678">
          <w:pPr>
            <w:pStyle w:val="TOCHeading"/>
            <w:spacing w:before="0" w:line="360" w:lineRule="auto"/>
            <w:jc w:val="both"/>
            <w:rPr>
              <w:rFonts w:ascii="Arial" w:hAnsi="Arial" w:cs="Arial"/>
              <w:b/>
              <w:bCs/>
              <w:color w:val="auto"/>
              <w:sz w:val="28"/>
              <w:szCs w:val="28"/>
              <w:lang w:val="en-US"/>
            </w:rPr>
          </w:pPr>
          <w:r>
            <w:rPr>
              <w:rFonts w:ascii="Arial" w:hAnsi="Arial" w:cs="Arial"/>
              <w:b/>
              <w:bCs/>
              <w:color w:val="auto"/>
              <w:sz w:val="28"/>
              <w:szCs w:val="28"/>
              <w:lang w:val="en-US"/>
            </w:rPr>
            <w:t>TABLE OF CONTENTS</w:t>
          </w:r>
        </w:p>
        <w:p w14:paraId="631ADEA8" w14:textId="6F55972D" w:rsidR="00100678" w:rsidRDefault="00100678" w:rsidP="00100678">
          <w:pPr>
            <w:pStyle w:val="TOC1"/>
            <w:tabs>
              <w:tab w:val="right" w:leader="dot" w:pos="8296"/>
            </w:tabs>
            <w:rPr>
              <w:rFonts w:eastAsiaTheme="minorEastAsia"/>
              <w:noProof/>
              <w:lang w:eastAsia="de-DE"/>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9" w:anchor="_Toc100279461" w:history="1">
            <w:r>
              <w:rPr>
                <w:rStyle w:val="Hyperlink"/>
                <w:rFonts w:ascii="Arial" w:hAnsi="Arial" w:cs="Arial"/>
                <w:b/>
                <w:bCs/>
                <w:noProof/>
              </w:rPr>
              <w:t>PART 1</w:t>
            </w:r>
            <w:r>
              <w:rPr>
                <w:rStyle w:val="Hyperlink"/>
                <w:noProof/>
                <w:webHidden/>
                <w:color w:val="auto"/>
                <w:u w:val="none"/>
              </w:rPr>
              <w:tab/>
            </w:r>
            <w:r>
              <w:rPr>
                <w:rStyle w:val="Hyperlink"/>
                <w:noProof/>
                <w:webHidden/>
                <w:color w:val="auto"/>
                <w:u w:val="none"/>
              </w:rPr>
              <w:fldChar w:fldCharType="begin"/>
            </w:r>
            <w:r>
              <w:rPr>
                <w:rStyle w:val="Hyperlink"/>
                <w:noProof/>
                <w:webHidden/>
                <w:color w:val="auto"/>
                <w:u w:val="none"/>
              </w:rPr>
              <w:instrText xml:space="preserve"> PAGEREF _Toc100279461 \h </w:instrText>
            </w:r>
            <w:r>
              <w:rPr>
                <w:rStyle w:val="Hyperlink"/>
                <w:noProof/>
                <w:webHidden/>
                <w:color w:val="auto"/>
                <w:u w:val="none"/>
              </w:rPr>
            </w:r>
            <w:r>
              <w:rPr>
                <w:rStyle w:val="Hyperlink"/>
                <w:noProof/>
                <w:webHidden/>
                <w:color w:val="auto"/>
                <w:u w:val="none"/>
              </w:rPr>
              <w:fldChar w:fldCharType="separate"/>
            </w:r>
            <w:r w:rsidR="00681374">
              <w:rPr>
                <w:rStyle w:val="Hyperlink"/>
                <w:noProof/>
                <w:webHidden/>
                <w:color w:val="auto"/>
                <w:u w:val="none"/>
              </w:rPr>
              <w:t>3</w:t>
            </w:r>
            <w:r>
              <w:rPr>
                <w:rStyle w:val="Hyperlink"/>
                <w:noProof/>
                <w:webHidden/>
                <w:color w:val="auto"/>
                <w:u w:val="none"/>
              </w:rPr>
              <w:fldChar w:fldCharType="end"/>
            </w:r>
          </w:hyperlink>
        </w:p>
        <w:p w14:paraId="18DCAE72" w14:textId="20CF2364" w:rsidR="00100678" w:rsidRDefault="00C91A36" w:rsidP="00100678">
          <w:pPr>
            <w:pStyle w:val="TOC2"/>
            <w:tabs>
              <w:tab w:val="right" w:leader="dot" w:pos="8296"/>
            </w:tabs>
            <w:rPr>
              <w:rFonts w:cstheme="minorBidi"/>
              <w:noProof/>
            </w:rPr>
          </w:pPr>
          <w:hyperlink r:id="rId10" w:anchor="_Toc100279462" w:history="1">
            <w:r w:rsidR="00100678">
              <w:rPr>
                <w:rStyle w:val="Hyperlink"/>
                <w:rFonts w:ascii="Arial" w:hAnsi="Arial" w:cs="Arial"/>
                <w:b/>
                <w:bCs/>
                <w:noProof/>
              </w:rPr>
              <w:t>INTRODUCTION:</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_Toc100279462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3</w:t>
            </w:r>
            <w:r w:rsidR="00100678">
              <w:rPr>
                <w:rStyle w:val="Hyperlink"/>
                <w:noProof/>
                <w:webHidden/>
                <w:color w:val="auto"/>
                <w:u w:val="none"/>
              </w:rPr>
              <w:fldChar w:fldCharType="end"/>
            </w:r>
          </w:hyperlink>
        </w:p>
        <w:p w14:paraId="651D15F7" w14:textId="5C5A6242" w:rsidR="00100678" w:rsidRDefault="00C91A36" w:rsidP="00100678">
          <w:pPr>
            <w:pStyle w:val="TOC2"/>
            <w:tabs>
              <w:tab w:val="right" w:leader="dot" w:pos="8296"/>
            </w:tabs>
            <w:rPr>
              <w:rFonts w:cstheme="minorBidi"/>
              <w:noProof/>
            </w:rPr>
          </w:pPr>
          <w:hyperlink r:id="rId11" w:anchor="_Toc100279463" w:history="1">
            <w:r w:rsidR="00100678">
              <w:rPr>
                <w:rStyle w:val="Hyperlink"/>
                <w:rFonts w:ascii="Arial" w:hAnsi="Arial" w:cs="Arial"/>
                <w:b/>
                <w:bCs/>
                <w:noProof/>
                <w:lang w:val="en-US"/>
              </w:rPr>
              <w:t>BELIEFS, VALUES AND ATTITUDE IN WORKPLACE</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_Toc100279463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4</w:t>
            </w:r>
            <w:r w:rsidR="00100678">
              <w:rPr>
                <w:rStyle w:val="Hyperlink"/>
                <w:noProof/>
                <w:webHidden/>
                <w:color w:val="auto"/>
                <w:u w:val="none"/>
              </w:rPr>
              <w:fldChar w:fldCharType="end"/>
            </w:r>
          </w:hyperlink>
        </w:p>
        <w:p w14:paraId="27E09AAB" w14:textId="2E6617BF" w:rsidR="00100678" w:rsidRDefault="00C91A36" w:rsidP="00100678">
          <w:pPr>
            <w:pStyle w:val="TOC2"/>
            <w:tabs>
              <w:tab w:val="right" w:leader="dot" w:pos="8296"/>
            </w:tabs>
            <w:rPr>
              <w:rFonts w:cstheme="minorBidi"/>
              <w:noProof/>
            </w:rPr>
          </w:pPr>
          <w:hyperlink r:id="rId12" w:anchor="_Toc100279464" w:history="1">
            <w:r w:rsidR="00100678">
              <w:rPr>
                <w:rStyle w:val="Hyperlink"/>
                <w:rFonts w:ascii="Arial" w:hAnsi="Arial" w:cs="Arial"/>
                <w:b/>
                <w:bCs/>
                <w:noProof/>
                <w:lang w:val="en-US"/>
              </w:rPr>
              <w:t>ORGANISATION’S BELIEFS, VALUES AND ATTITUDE</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_Toc100279464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5</w:t>
            </w:r>
            <w:r w:rsidR="00100678">
              <w:rPr>
                <w:rStyle w:val="Hyperlink"/>
                <w:noProof/>
                <w:webHidden/>
                <w:color w:val="auto"/>
                <w:u w:val="none"/>
              </w:rPr>
              <w:fldChar w:fldCharType="end"/>
            </w:r>
          </w:hyperlink>
        </w:p>
        <w:p w14:paraId="6E9A6836" w14:textId="1331D56F" w:rsidR="00100678" w:rsidRDefault="00C91A36" w:rsidP="00100678">
          <w:pPr>
            <w:pStyle w:val="TOC2"/>
            <w:tabs>
              <w:tab w:val="right" w:leader="dot" w:pos="8296"/>
            </w:tabs>
            <w:rPr>
              <w:rFonts w:cstheme="minorBidi"/>
              <w:noProof/>
            </w:rPr>
          </w:pPr>
          <w:hyperlink r:id="rId13" w:anchor="_Toc100279465" w:history="1">
            <w:r w:rsidR="00100678">
              <w:rPr>
                <w:rStyle w:val="Hyperlink"/>
                <w:rFonts w:ascii="Arial" w:hAnsi="Arial" w:cs="Arial"/>
                <w:b/>
                <w:bCs/>
                <w:noProof/>
                <w:lang w:val="en-US"/>
              </w:rPr>
              <w:t>ELTON MAYO’S MANAGEMENT THEORY</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_Toc100279465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6</w:t>
            </w:r>
            <w:r w:rsidR="00100678">
              <w:rPr>
                <w:rStyle w:val="Hyperlink"/>
                <w:noProof/>
                <w:webHidden/>
                <w:color w:val="auto"/>
                <w:u w:val="none"/>
              </w:rPr>
              <w:fldChar w:fldCharType="end"/>
            </w:r>
          </w:hyperlink>
        </w:p>
        <w:p w14:paraId="349CD482" w14:textId="157C978A" w:rsidR="00100678" w:rsidRDefault="00C91A36" w:rsidP="00100678">
          <w:pPr>
            <w:pStyle w:val="TOC2"/>
            <w:tabs>
              <w:tab w:val="right" w:leader="dot" w:pos="8296"/>
            </w:tabs>
            <w:rPr>
              <w:rFonts w:cstheme="minorBidi"/>
              <w:noProof/>
            </w:rPr>
          </w:pPr>
          <w:hyperlink r:id="rId14" w:anchor="_Toc100279466" w:history="1">
            <w:r w:rsidR="00100678">
              <w:rPr>
                <w:rStyle w:val="Hyperlink"/>
                <w:rFonts w:ascii="Arial" w:hAnsi="Arial" w:cs="Arial"/>
                <w:b/>
                <w:bCs/>
                <w:noProof/>
                <w:lang w:val="en-US"/>
              </w:rPr>
              <w:t>CRITICAL THINKING MODEL</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_Toc100279466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7</w:t>
            </w:r>
            <w:r w:rsidR="00100678">
              <w:rPr>
                <w:rStyle w:val="Hyperlink"/>
                <w:noProof/>
                <w:webHidden/>
                <w:color w:val="auto"/>
                <w:u w:val="none"/>
              </w:rPr>
              <w:fldChar w:fldCharType="end"/>
            </w:r>
          </w:hyperlink>
        </w:p>
        <w:p w14:paraId="7F91407C" w14:textId="6CAA8D58" w:rsidR="00100678" w:rsidRDefault="00C91A36" w:rsidP="00100678">
          <w:pPr>
            <w:pStyle w:val="TOC2"/>
            <w:tabs>
              <w:tab w:val="right" w:leader="dot" w:pos="8296"/>
            </w:tabs>
            <w:rPr>
              <w:rFonts w:cstheme="minorBidi"/>
              <w:noProof/>
            </w:rPr>
          </w:pPr>
          <w:hyperlink r:id="rId15" w:anchor="_Toc100279467" w:history="1">
            <w:r w:rsidR="00100678">
              <w:rPr>
                <w:rStyle w:val="Hyperlink"/>
                <w:rFonts w:ascii="Arial" w:hAnsi="Arial" w:cs="Arial"/>
                <w:b/>
                <w:bCs/>
                <w:noProof/>
                <w:lang w:val="en-US"/>
              </w:rPr>
              <w:t>RECOMMENDATIONS:</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_Toc100279467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8</w:t>
            </w:r>
            <w:r w:rsidR="00100678">
              <w:rPr>
                <w:rStyle w:val="Hyperlink"/>
                <w:noProof/>
                <w:webHidden/>
                <w:color w:val="auto"/>
                <w:u w:val="none"/>
              </w:rPr>
              <w:fldChar w:fldCharType="end"/>
            </w:r>
          </w:hyperlink>
        </w:p>
        <w:p w14:paraId="0263DD45" w14:textId="428DF334" w:rsidR="00100678" w:rsidRDefault="00C91A36" w:rsidP="00100678">
          <w:pPr>
            <w:pStyle w:val="TOC2"/>
            <w:tabs>
              <w:tab w:val="right" w:leader="dot" w:pos="8296"/>
            </w:tabs>
            <w:rPr>
              <w:rFonts w:cstheme="minorBidi"/>
              <w:noProof/>
            </w:rPr>
          </w:pPr>
          <w:hyperlink r:id="rId16" w:anchor="_Toc100279468" w:history="1">
            <w:r w:rsidR="00100678">
              <w:rPr>
                <w:rStyle w:val="Hyperlink"/>
                <w:rFonts w:ascii="Arial" w:hAnsi="Arial" w:cs="Arial"/>
                <w:b/>
                <w:bCs/>
                <w:noProof/>
                <w:lang w:val="en-US"/>
              </w:rPr>
              <w:t>CONCLUSION:</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_Toc100279468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8</w:t>
            </w:r>
            <w:r w:rsidR="00100678">
              <w:rPr>
                <w:rStyle w:val="Hyperlink"/>
                <w:noProof/>
                <w:webHidden/>
                <w:color w:val="auto"/>
                <w:u w:val="none"/>
              </w:rPr>
              <w:fldChar w:fldCharType="end"/>
            </w:r>
          </w:hyperlink>
        </w:p>
        <w:p w14:paraId="4C2C5C3C" w14:textId="59C4BA2B" w:rsidR="00100678" w:rsidRDefault="00C91A36" w:rsidP="00100678">
          <w:pPr>
            <w:pStyle w:val="TOC1"/>
            <w:tabs>
              <w:tab w:val="right" w:leader="dot" w:pos="8296"/>
            </w:tabs>
            <w:rPr>
              <w:rFonts w:eastAsiaTheme="minorEastAsia"/>
              <w:noProof/>
              <w:lang w:eastAsia="de-DE"/>
            </w:rPr>
          </w:pPr>
          <w:hyperlink r:id="rId17" w:anchor="_Toc100279469" w:history="1">
            <w:r w:rsidR="00100678">
              <w:rPr>
                <w:rStyle w:val="Hyperlink"/>
                <w:rFonts w:ascii="Arial" w:hAnsi="Arial" w:cs="Arial"/>
                <w:b/>
                <w:bCs/>
                <w:noProof/>
                <w:lang w:val="en-US"/>
              </w:rPr>
              <w:t>REFLECTIVE JOURNAL: PART 2</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_Toc100279469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8</w:t>
            </w:r>
            <w:r w:rsidR="00100678">
              <w:rPr>
                <w:rStyle w:val="Hyperlink"/>
                <w:noProof/>
                <w:webHidden/>
                <w:color w:val="auto"/>
                <w:u w:val="none"/>
              </w:rPr>
              <w:fldChar w:fldCharType="end"/>
            </w:r>
          </w:hyperlink>
        </w:p>
        <w:p w14:paraId="5CDB3E2B" w14:textId="5015C67E" w:rsidR="00100678" w:rsidRDefault="00C91A36" w:rsidP="00100678">
          <w:pPr>
            <w:pStyle w:val="TOC2"/>
            <w:tabs>
              <w:tab w:val="right" w:leader="dot" w:pos="8296"/>
            </w:tabs>
            <w:rPr>
              <w:rFonts w:cstheme="minorBidi"/>
              <w:noProof/>
            </w:rPr>
          </w:pPr>
          <w:hyperlink r:id="rId18" w:anchor="_Toc100279470" w:history="1">
            <w:r w:rsidR="00100678">
              <w:rPr>
                <w:rStyle w:val="Hyperlink"/>
                <w:rFonts w:ascii="Arial" w:hAnsi="Arial" w:cs="Arial"/>
                <w:b/>
                <w:bCs/>
                <w:noProof/>
                <w:lang w:val="en-US"/>
              </w:rPr>
              <w:t>INTRODUCTION:</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_Toc100279470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8</w:t>
            </w:r>
            <w:r w:rsidR="00100678">
              <w:rPr>
                <w:rStyle w:val="Hyperlink"/>
                <w:noProof/>
                <w:webHidden/>
                <w:color w:val="auto"/>
                <w:u w:val="none"/>
              </w:rPr>
              <w:fldChar w:fldCharType="end"/>
            </w:r>
          </w:hyperlink>
        </w:p>
        <w:p w14:paraId="61ECD654" w14:textId="590185B9" w:rsidR="00100678" w:rsidRDefault="00C91A36" w:rsidP="00100678">
          <w:pPr>
            <w:pStyle w:val="TOC2"/>
            <w:tabs>
              <w:tab w:val="right" w:leader="dot" w:pos="8296"/>
            </w:tabs>
            <w:rPr>
              <w:rFonts w:cstheme="minorBidi"/>
              <w:noProof/>
            </w:rPr>
          </w:pPr>
          <w:hyperlink r:id="rId19" w:anchor="_Toc100279471" w:history="1">
            <w:r w:rsidR="00100678">
              <w:rPr>
                <w:rStyle w:val="Hyperlink"/>
                <w:rFonts w:ascii="Arial" w:hAnsi="Arial" w:cs="Arial"/>
                <w:b/>
                <w:bCs/>
                <w:noProof/>
                <w:lang w:val="en-US"/>
              </w:rPr>
              <w:t>REFLECTIONS:</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_Toc100279471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9</w:t>
            </w:r>
            <w:r w:rsidR="00100678">
              <w:rPr>
                <w:rStyle w:val="Hyperlink"/>
                <w:noProof/>
                <w:webHidden/>
                <w:color w:val="auto"/>
                <w:u w:val="none"/>
              </w:rPr>
              <w:fldChar w:fldCharType="end"/>
            </w:r>
          </w:hyperlink>
        </w:p>
        <w:p w14:paraId="55E74522" w14:textId="3EBAC718" w:rsidR="00100678" w:rsidRDefault="00C91A36" w:rsidP="00100678">
          <w:pPr>
            <w:pStyle w:val="TOC2"/>
            <w:tabs>
              <w:tab w:val="right" w:leader="dot" w:pos="8296"/>
            </w:tabs>
            <w:rPr>
              <w:rFonts w:cstheme="minorBidi"/>
              <w:noProof/>
            </w:rPr>
          </w:pPr>
          <w:hyperlink r:id="rId20" w:anchor="_Toc100279472" w:history="1">
            <w:r w:rsidR="00100678">
              <w:rPr>
                <w:rStyle w:val="Hyperlink"/>
                <w:rFonts w:ascii="Arial" w:hAnsi="Arial" w:cs="Arial"/>
                <w:b/>
                <w:bCs/>
                <w:noProof/>
                <w:lang w:val="en-US"/>
              </w:rPr>
              <w:t>CONCLUSION:</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_Toc100279472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12</w:t>
            </w:r>
            <w:r w:rsidR="00100678">
              <w:rPr>
                <w:rStyle w:val="Hyperlink"/>
                <w:noProof/>
                <w:webHidden/>
                <w:color w:val="auto"/>
                <w:u w:val="none"/>
              </w:rPr>
              <w:fldChar w:fldCharType="end"/>
            </w:r>
          </w:hyperlink>
        </w:p>
        <w:p w14:paraId="2454036B" w14:textId="01761328" w:rsidR="00100678" w:rsidRDefault="00C91A36" w:rsidP="00100678">
          <w:pPr>
            <w:pStyle w:val="TOC1"/>
            <w:tabs>
              <w:tab w:val="right" w:leader="dot" w:pos="8296"/>
            </w:tabs>
            <w:rPr>
              <w:rFonts w:eastAsiaTheme="minorEastAsia"/>
              <w:noProof/>
              <w:lang w:eastAsia="de-DE"/>
            </w:rPr>
          </w:pPr>
          <w:hyperlink r:id="rId21" w:anchor="_Toc100279473" w:history="1">
            <w:r w:rsidR="00100678">
              <w:rPr>
                <w:rStyle w:val="Hyperlink"/>
                <w:rFonts w:ascii="Arial" w:hAnsi="Arial" w:cs="Arial"/>
                <w:b/>
                <w:bCs/>
                <w:noProof/>
                <w:lang w:val="en-US"/>
              </w:rPr>
              <w:t>REFERENCES:</w:t>
            </w:r>
            <w:r w:rsidR="00100678">
              <w:rPr>
                <w:rStyle w:val="Hyperlink"/>
                <w:noProof/>
                <w:webHidden/>
                <w:color w:val="auto"/>
                <w:u w:val="none"/>
              </w:rPr>
              <w:tab/>
            </w:r>
            <w:r w:rsidR="00100678">
              <w:rPr>
                <w:rStyle w:val="Hyperlink"/>
                <w:noProof/>
                <w:webHidden/>
                <w:color w:val="auto"/>
                <w:u w:val="none"/>
              </w:rPr>
              <w:fldChar w:fldCharType="begin"/>
            </w:r>
            <w:r w:rsidR="00100678">
              <w:rPr>
                <w:rStyle w:val="Hyperlink"/>
                <w:noProof/>
                <w:webHidden/>
                <w:color w:val="auto"/>
                <w:u w:val="none"/>
              </w:rPr>
              <w:instrText xml:space="preserve"> PAGEREF _Toc100279473 \h </w:instrText>
            </w:r>
            <w:r w:rsidR="00100678">
              <w:rPr>
                <w:rStyle w:val="Hyperlink"/>
                <w:noProof/>
                <w:webHidden/>
                <w:color w:val="auto"/>
                <w:u w:val="none"/>
              </w:rPr>
            </w:r>
            <w:r w:rsidR="00100678">
              <w:rPr>
                <w:rStyle w:val="Hyperlink"/>
                <w:noProof/>
                <w:webHidden/>
                <w:color w:val="auto"/>
                <w:u w:val="none"/>
              </w:rPr>
              <w:fldChar w:fldCharType="separate"/>
            </w:r>
            <w:r w:rsidR="00681374">
              <w:rPr>
                <w:rStyle w:val="Hyperlink"/>
                <w:noProof/>
                <w:webHidden/>
                <w:color w:val="auto"/>
                <w:u w:val="none"/>
              </w:rPr>
              <w:t>13</w:t>
            </w:r>
            <w:r w:rsidR="00100678">
              <w:rPr>
                <w:rStyle w:val="Hyperlink"/>
                <w:noProof/>
                <w:webHidden/>
                <w:color w:val="auto"/>
                <w:u w:val="none"/>
              </w:rPr>
              <w:fldChar w:fldCharType="end"/>
            </w:r>
          </w:hyperlink>
        </w:p>
        <w:p w14:paraId="4613E016" w14:textId="77777777" w:rsidR="00100678" w:rsidRDefault="00100678" w:rsidP="00100678">
          <w:pPr>
            <w:spacing w:after="0" w:line="360" w:lineRule="auto"/>
            <w:jc w:val="both"/>
            <w:rPr>
              <w:b/>
              <w:bCs/>
              <w:lang w:val="el-GR"/>
            </w:rPr>
          </w:pPr>
          <w:r>
            <w:rPr>
              <w:rFonts w:ascii="Arial" w:hAnsi="Arial" w:cs="Arial"/>
              <w:b/>
              <w:bCs/>
              <w:lang w:val="el-GR"/>
            </w:rPr>
            <w:fldChar w:fldCharType="end"/>
          </w:r>
        </w:p>
      </w:sdtContent>
    </w:sdt>
    <w:p w14:paraId="0D6E322B" w14:textId="1353C896" w:rsidR="00100678" w:rsidRDefault="00100678"/>
    <w:p w14:paraId="1042E2F0" w14:textId="7108BD64" w:rsidR="001C032D" w:rsidRDefault="001C032D"/>
    <w:p w14:paraId="7756ABF9" w14:textId="53105908" w:rsidR="001C032D" w:rsidRDefault="001C032D"/>
    <w:p w14:paraId="35345F33" w14:textId="3534F275" w:rsidR="001C032D" w:rsidRDefault="001C032D"/>
    <w:p w14:paraId="4B463E8E" w14:textId="60DAB56F" w:rsidR="001C032D" w:rsidRDefault="001C032D"/>
    <w:p w14:paraId="416F5A16" w14:textId="67DFD402" w:rsidR="001C032D" w:rsidRDefault="001C032D"/>
    <w:p w14:paraId="10D53EA6" w14:textId="5FD12BB0" w:rsidR="001C032D" w:rsidRDefault="001C032D"/>
    <w:p w14:paraId="7685E06B" w14:textId="08FF4EC7" w:rsidR="001C032D" w:rsidRDefault="001C032D"/>
    <w:p w14:paraId="5F9CBAA0" w14:textId="77777777" w:rsidR="00415F1A" w:rsidRDefault="00415F1A" w:rsidP="00415F1A">
      <w:pPr>
        <w:pStyle w:val="Heading1"/>
        <w:spacing w:before="0" w:line="360" w:lineRule="auto"/>
        <w:jc w:val="both"/>
        <w:rPr>
          <w:rFonts w:ascii="Arial" w:hAnsi="Arial" w:cs="Arial"/>
          <w:b/>
          <w:bCs/>
          <w:color w:val="auto"/>
          <w:sz w:val="24"/>
          <w:szCs w:val="24"/>
        </w:rPr>
      </w:pPr>
      <w:bookmarkStart w:id="0" w:name="_Toc100279461"/>
      <w:r>
        <w:rPr>
          <w:rFonts w:ascii="Arial" w:hAnsi="Arial" w:cs="Arial"/>
          <w:b/>
          <w:bCs/>
          <w:color w:val="auto"/>
          <w:sz w:val="24"/>
          <w:szCs w:val="24"/>
        </w:rPr>
        <w:lastRenderedPageBreak/>
        <w:t>PART 1</w:t>
      </w:r>
      <w:bookmarkEnd w:id="0"/>
    </w:p>
    <w:p w14:paraId="1AB06CB6" w14:textId="77777777" w:rsidR="00415F1A" w:rsidRDefault="00415F1A" w:rsidP="00415F1A">
      <w:pPr>
        <w:pStyle w:val="Heading2"/>
        <w:spacing w:before="0" w:line="360" w:lineRule="auto"/>
        <w:jc w:val="both"/>
        <w:rPr>
          <w:rFonts w:ascii="Arial" w:hAnsi="Arial" w:cs="Arial"/>
          <w:b/>
          <w:bCs/>
          <w:color w:val="auto"/>
          <w:sz w:val="22"/>
          <w:szCs w:val="22"/>
        </w:rPr>
      </w:pPr>
      <w:bookmarkStart w:id="1" w:name="_Toc100279462"/>
      <w:r>
        <w:rPr>
          <w:rFonts w:ascii="Arial" w:hAnsi="Arial" w:cs="Arial"/>
          <w:b/>
          <w:bCs/>
          <w:color w:val="auto"/>
          <w:sz w:val="22"/>
          <w:szCs w:val="22"/>
        </w:rPr>
        <w:t>INTRODUCTION:</w:t>
      </w:r>
      <w:bookmarkEnd w:id="1"/>
      <w:r>
        <w:rPr>
          <w:rFonts w:ascii="Arial" w:hAnsi="Arial" w:cs="Arial"/>
          <w:b/>
          <w:bCs/>
          <w:color w:val="auto"/>
          <w:sz w:val="22"/>
          <w:szCs w:val="22"/>
        </w:rPr>
        <w:t xml:space="preserve"> </w:t>
      </w:r>
    </w:p>
    <w:p w14:paraId="7D473AC2" w14:textId="77777777" w:rsidR="00415F1A" w:rsidRDefault="00415F1A" w:rsidP="00415F1A">
      <w:pPr>
        <w:pStyle w:val="ergasia"/>
        <w:contextualSpacing/>
        <w:rPr>
          <w:rFonts w:cs="Arial"/>
          <w:lang w:val="en-US"/>
        </w:rPr>
      </w:pPr>
      <w:r>
        <w:rPr>
          <w:rFonts w:cs="Arial"/>
          <w:lang w:val="en-US"/>
        </w:rPr>
        <w:t xml:space="preserve">  The hotel "Ibis" in Shoreditch of London is a three-star hotel that belongs to Accor company, which is a worldwide hotel chain. “Ibis” hotels are not incidentally positioned in a commercial district or in a location with easy access to public transit in major cities but is part of the company's strategy. Ibis' overall business strategy is to provide clients with the opportunity to stay in an international grade hotel at a reasonable price. As a result, Ibis customers may receive good value for their money. The conveniences in the rooms are designed to satisfy the demands of the customers to the maximum extent possible customized to the need of every customer. </w:t>
      </w:r>
    </w:p>
    <w:p w14:paraId="30A630F8" w14:textId="77777777" w:rsidR="00415F1A" w:rsidRDefault="00415F1A" w:rsidP="00415F1A">
      <w:pPr>
        <w:pStyle w:val="ergasia"/>
        <w:contextualSpacing/>
        <w:rPr>
          <w:rFonts w:cs="Arial"/>
          <w:lang w:val="en-US"/>
        </w:rPr>
      </w:pPr>
      <w:r>
        <w:rPr>
          <w:rFonts w:cs="Arial"/>
          <w:lang w:val="en-US"/>
        </w:rPr>
        <w:t xml:space="preserve">  According to Huda (2016) Ibis is Europe's most well-known hotel economy brand, with market leadership in 12 countries and a focus on budget travelers, including families and business travelers. Ibis is a customer-focused company that uses data to plan, build, and improve its hotel amenities and services for its customers. </w:t>
      </w:r>
    </w:p>
    <w:p w14:paraId="72B163BF" w14:textId="77777777" w:rsidR="00415F1A" w:rsidRDefault="00415F1A" w:rsidP="00415F1A">
      <w:pPr>
        <w:pStyle w:val="ergasia"/>
        <w:contextualSpacing/>
        <w:rPr>
          <w:rFonts w:cs="Arial"/>
          <w:lang w:val="en-US"/>
        </w:rPr>
      </w:pPr>
      <w:r>
        <w:rPr>
          <w:rFonts w:cs="Arial"/>
          <w:lang w:val="en-US"/>
        </w:rPr>
        <w:t xml:space="preserve">  With the arrival of the Covid-19, governments all over the world, including England, took measures to minimize the virus's spread. One of them is the lockdown, which prevented you from leaving the house, much less traveling. Because this situation persisted for such a long time, tourism businesses were unable to function without customers and were forced to cut prices. </w:t>
      </w:r>
    </w:p>
    <w:p w14:paraId="1A4C856F" w14:textId="77777777" w:rsidR="00415F1A" w:rsidRDefault="00415F1A" w:rsidP="00415F1A">
      <w:pPr>
        <w:pStyle w:val="ergasia"/>
        <w:contextualSpacing/>
        <w:rPr>
          <w:rFonts w:cs="Arial"/>
          <w:lang w:val="en-US"/>
        </w:rPr>
      </w:pPr>
      <w:r>
        <w:rPr>
          <w:rFonts w:cs="Arial"/>
          <w:lang w:val="en-US"/>
        </w:rPr>
        <w:t xml:space="preserve">  More specifically, the government attempted to assist the impacted organizations, such as “Ibis” hotel for a brief time by contributing in the payment of the employees, but for a long period, the organization accumulated expenses without receiving any revenue. For this reason, the company was obligated to a hiring freeze in place and many others employees have been furloughed. (MarketResearch.com, 2020). </w:t>
      </w:r>
    </w:p>
    <w:p w14:paraId="04A7AE4C" w14:textId="77777777" w:rsidR="00415F1A" w:rsidRDefault="00415F1A" w:rsidP="00415F1A">
      <w:pPr>
        <w:pStyle w:val="ergasia"/>
        <w:contextualSpacing/>
        <w:rPr>
          <w:rFonts w:cs="Arial"/>
          <w:lang w:val="en-US"/>
        </w:rPr>
      </w:pPr>
      <w:r>
        <w:rPr>
          <w:rFonts w:cs="Arial"/>
          <w:lang w:val="en-US"/>
        </w:rPr>
        <w:t xml:space="preserve">  On the other hand, employees with hospital bills related to Covid-19, as well as those who didn't have any social security or healthcare coverage have been covered by the company. The fund also helped furloughed employees who were in serious financial need, as well as individual partners who were having financial difficulties (GTP,2020).</w:t>
      </w:r>
    </w:p>
    <w:p w14:paraId="2FD64B37" w14:textId="77777777" w:rsidR="00415F1A" w:rsidRDefault="00415F1A" w:rsidP="00415F1A">
      <w:pPr>
        <w:pStyle w:val="ergasia"/>
        <w:contextualSpacing/>
        <w:rPr>
          <w:rFonts w:cs="Arial"/>
          <w:lang w:val="en-US"/>
        </w:rPr>
      </w:pPr>
      <w:r>
        <w:rPr>
          <w:rFonts w:cs="Arial"/>
          <w:lang w:val="en-US"/>
        </w:rPr>
        <w:t xml:space="preserve">  In order to ensure the safety of customers, the Accor company, including the "Ibis" hotel, as it is one of the members of the company, had established the greatest levels of hygiene and disinfecting in all of its hotels. In addition, the company was provided with two certifications by Bureau Veritas and by ALLSAFE, which guaranteed the new cleaning and prevention standards of the hotels (Accor, 2020).</w:t>
      </w:r>
    </w:p>
    <w:p w14:paraId="4B1039E6" w14:textId="77777777" w:rsidR="00415F1A" w:rsidRDefault="00415F1A" w:rsidP="00415F1A">
      <w:pPr>
        <w:pStyle w:val="ergasia"/>
        <w:contextualSpacing/>
        <w:rPr>
          <w:lang w:val="en-US"/>
        </w:rPr>
      </w:pPr>
      <w:r>
        <w:rPr>
          <w:rFonts w:cs="Arial"/>
          <w:lang w:val="en-US"/>
        </w:rPr>
        <w:t xml:space="preserve">  More specifically some of the processes and measures that Accor had conducted were advanced sanitation methods for spaces, utilizing cleaning chemicals that achieve the disinfection mandated by the World Health Organization and an advanced cleaning program </w:t>
      </w:r>
      <w:r>
        <w:rPr>
          <w:rFonts w:cs="Arial"/>
          <w:lang w:val="en-US"/>
        </w:rPr>
        <w:lastRenderedPageBreak/>
        <w:t>was established across the hotel's public and communal areas, with frequent disinfection of all high-contact surfaces.</w:t>
      </w:r>
      <w:r>
        <w:rPr>
          <w:lang w:val="en-US"/>
        </w:rPr>
        <w:t xml:space="preserve"> </w:t>
      </w:r>
    </w:p>
    <w:p w14:paraId="4889F9E1" w14:textId="77777777" w:rsidR="00415F1A" w:rsidRDefault="00415F1A" w:rsidP="00415F1A">
      <w:pPr>
        <w:pStyle w:val="ergasia"/>
        <w:contextualSpacing/>
        <w:rPr>
          <w:lang w:val="en-US"/>
        </w:rPr>
      </w:pPr>
      <w:r>
        <w:rPr>
          <w:lang w:val="en-US"/>
        </w:rPr>
        <w:t xml:space="preserve">  Furthermore, COVID-19 has put a lot of pressure on professionals to immediately reskill their workforce. To survive, all firms had to train their employees to meet the virus's new needs in a short amount of time. </w:t>
      </w:r>
      <w:r>
        <w:rPr>
          <w:rFonts w:cs="Arial"/>
          <w:lang w:val="en-US"/>
        </w:rPr>
        <w:t>The hotel industry has begun to embrace technology more extensively, according to Sharma et al. (2021), resulting considerable changes that allow hotels to better care their customers and eventually help them feel secure. AccorHotels company took advantage of its mobile app “Accor All-Hotel booking”, which was created in 2011, in order to respond to the new customer requirements because of Covid-19.</w:t>
      </w:r>
    </w:p>
    <w:p w14:paraId="704417F5"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2" w:name="_Toc100279463"/>
      <w:r>
        <w:rPr>
          <w:rFonts w:ascii="Arial" w:hAnsi="Arial" w:cs="Arial"/>
          <w:b/>
          <w:bCs/>
          <w:color w:val="auto"/>
          <w:sz w:val="22"/>
          <w:szCs w:val="22"/>
          <w:lang w:val="en-US"/>
        </w:rPr>
        <w:t>BELIEFS, VALUES AND ATTITUDE IN WORKPLACE</w:t>
      </w:r>
      <w:bookmarkEnd w:id="2"/>
    </w:p>
    <w:p w14:paraId="7F580F6E"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Moise (2014) beliefs are primarily assumptions that everyone makes about themselves, others, and various phenomena that occur in their immediate environment.  A person's belief can be based on a variety of factors, such as: personal experiences, adoption of social and cultural standards (religion) and what other people share or express (education or mentoring).</w:t>
      </w:r>
    </w:p>
    <w:p w14:paraId="7054F1DC"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 person's belief can be founded on certainties, probabilities, or faith. Even if a belief is unverified or unreasonable, it is an inner sensation that something might be correct. A person's potential belief remains with him until he embraces it as truth and incorporates it into his personal belief system. In his own manner, each person assesses and explores reasonable arguments or evidence for these prospective beliefs. </w:t>
      </w:r>
    </w:p>
    <w:p w14:paraId="05CF6B5A"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Altman (2011) supports that when the risks are enormous, our beliefs have the strongest impact. Workplace cultures is the sum of the employees' emotions, attitudes, beliefs, values, and behaviors, as well as the organization itself and have a significant impact on and reinforcement of beliefs in individuals. Thus, it is vital to understand the beliefs that affect our thinking in order to comprehend our employees' performance.</w:t>
      </w:r>
    </w:p>
    <w:p w14:paraId="01561ADD" w14:textId="77777777" w:rsidR="00415F1A" w:rsidRDefault="00415F1A" w:rsidP="00415F1A">
      <w:pPr>
        <w:spacing w:after="0" w:line="360" w:lineRule="auto"/>
        <w:jc w:val="both"/>
        <w:rPr>
          <w:rFonts w:ascii="Arial" w:hAnsi="Arial" w:cs="Arial"/>
          <w:lang w:val="en-US"/>
        </w:rPr>
      </w:pPr>
      <w:r>
        <w:rPr>
          <w:rFonts w:ascii="Arial" w:hAnsi="Arial" w:cs="Arial"/>
          <w:lang w:val="en-US"/>
        </w:rPr>
        <w:t>Unquestioned ideas are constantly leading or constraining our purpose, impacting our interactions, and determining our reactions to change.</w:t>
      </w:r>
    </w:p>
    <w:p w14:paraId="5F51487B"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Personal values, according to Schwartz (1992), are broad and appealing aims that serve different purposes in people's lives. According to Sagiv and Roccas, these characteristics of values have ramifications for people's actions and behavior (2017).</w:t>
      </w:r>
    </w:p>
    <w:p w14:paraId="4C56795D" w14:textId="77777777" w:rsidR="00415F1A" w:rsidRDefault="00415F1A" w:rsidP="00415F1A">
      <w:pPr>
        <w:spacing w:after="0" w:line="360" w:lineRule="auto"/>
        <w:jc w:val="both"/>
        <w:rPr>
          <w:rFonts w:ascii="Arial" w:hAnsi="Arial" w:cs="Arial"/>
          <w:lang w:val="en-US"/>
        </w:rPr>
      </w:pPr>
      <w:r>
        <w:rPr>
          <w:rFonts w:ascii="Arial" w:hAnsi="Arial" w:cs="Arial"/>
          <w:lang w:val="en-US"/>
        </w:rPr>
        <w:t>According to Arieli et al. (2018) values represent personal choices for what is deemed desirable and significant. As a result, values serve as a significant motivator for action. Individuals want to act in ways that promote their core values and help them achieve their objectives.</w:t>
      </w:r>
    </w:p>
    <w:p w14:paraId="2C7AD28E"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Purc and Laguna (2019) support that employees are willing to accept responsibility, take acts, and defend their actions based on their personal principles. Job burnout is positively </w:t>
      </w:r>
      <w:r>
        <w:rPr>
          <w:rFonts w:ascii="Arial" w:hAnsi="Arial" w:cs="Arial"/>
          <w:lang w:val="en-US"/>
        </w:rPr>
        <w:lastRenderedPageBreak/>
        <w:t>connected to incapacity to apply and actualize personal values in the workplace, whereas job satisfaction is adversely related. People's innovation and creative performance can be influenced by their personal values, which serve as guiding principles in their lives.</w:t>
      </w:r>
    </w:p>
    <w:p w14:paraId="7EEC6F65"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addition, personal values are ranked in order of subjective significance in hierarchy. The more significant a value is to a person, the more determined they are to use it as a fundamental light. People vary in the values that lead them to behave, despite the fact that most people value all values to some level. Finally, people use their values to construct standards and requirements that they use to analyze and interpret their own and others' choices and behaviors. When achievement ideals are emphasized, for example, people are more inclined to value hard work and personal ambition. As a result, someone who prioritizes these values is more likely to appraise others based on how determined they are in their pursuit of achievement and how ambitious their decisions are.</w:t>
      </w:r>
    </w:p>
    <w:p w14:paraId="561A7AD0" w14:textId="77777777" w:rsidR="001A748F" w:rsidRDefault="00415F1A" w:rsidP="00415F1A">
      <w:pPr>
        <w:spacing w:after="0" w:line="360" w:lineRule="auto"/>
        <w:jc w:val="both"/>
        <w:rPr>
          <w:rFonts w:ascii="Arial" w:hAnsi="Arial" w:cs="Arial"/>
          <w:lang w:val="en-US"/>
        </w:rPr>
      </w:pPr>
      <w:r>
        <w:rPr>
          <w:rFonts w:ascii="Arial" w:hAnsi="Arial" w:cs="Arial"/>
          <w:lang w:val="en-US"/>
        </w:rPr>
        <w:t xml:space="preserve">  Vecchione et al. (2016) explain that personal values are formed by a combination of inherent (temperament, needs) and social influences (family, social and cultural environment). The values in the workplace context are the most essential guiding principles when it comes to how to work. These strongly held ideas influence crucial judgments and career paths, allowing to pick between right and wrong ways of performing.</w:t>
      </w:r>
    </w:p>
    <w:p w14:paraId="24AB4ABD" w14:textId="3DE54410" w:rsidR="00415F1A" w:rsidRDefault="001A748F" w:rsidP="00415F1A">
      <w:pPr>
        <w:spacing w:after="0" w:line="360" w:lineRule="auto"/>
        <w:jc w:val="both"/>
        <w:rPr>
          <w:rFonts w:ascii="Arial" w:hAnsi="Arial" w:cs="Arial"/>
          <w:lang w:val="en-US"/>
        </w:rPr>
      </w:pPr>
      <w:r w:rsidRPr="001A748F">
        <w:rPr>
          <w:rFonts w:ascii="Arial" w:hAnsi="Arial" w:cs="Arial"/>
          <w:lang w:val="en-US"/>
        </w:rPr>
        <w:t xml:space="preserve">According to Gomendio (2017), attitudes may be described as an individual's reaction to the acts of others and external situations, as well as the </w:t>
      </w:r>
      <w:r w:rsidR="009F0774" w:rsidRPr="001A748F">
        <w:rPr>
          <w:rFonts w:ascii="Arial" w:hAnsi="Arial" w:cs="Arial"/>
          <w:lang w:val="en-US"/>
        </w:rPr>
        <w:t>behaviors</w:t>
      </w:r>
      <w:r w:rsidRPr="001A748F">
        <w:rPr>
          <w:rFonts w:ascii="Arial" w:hAnsi="Arial" w:cs="Arial"/>
          <w:lang w:val="en-US"/>
        </w:rPr>
        <w:t xml:space="preserve"> that people have learned as a result of their beliefs and values. Our attitude may be shown in how we react to situations and how we act. We may, however, change our conduct in ways that contradict our ideas and ideals. A person's attitude is the manner in which he or she expresses or reflects his or her ideas and ideals via words and actions.</w:t>
      </w:r>
      <w:r w:rsidR="00415F1A">
        <w:rPr>
          <w:rFonts w:ascii="Arial" w:hAnsi="Arial" w:cs="Arial"/>
          <w:lang w:val="en-US"/>
        </w:rPr>
        <w:t xml:space="preserve"> </w:t>
      </w:r>
    </w:p>
    <w:p w14:paraId="5A5EF758" w14:textId="74BFE220" w:rsidR="00415F1A" w:rsidRDefault="00415F1A" w:rsidP="00415F1A">
      <w:pPr>
        <w:spacing w:after="0" w:line="360" w:lineRule="auto"/>
        <w:jc w:val="both"/>
        <w:rPr>
          <w:rFonts w:ascii="Arial" w:hAnsi="Arial" w:cs="Arial"/>
          <w:lang w:val="en-US"/>
        </w:rPr>
      </w:pPr>
      <w:r>
        <w:rPr>
          <w:rFonts w:ascii="Arial" w:hAnsi="Arial" w:cs="Arial"/>
          <w:lang w:val="en-US"/>
        </w:rPr>
        <w:t xml:space="preserve">  In addition, Kim et al. (2022) explain that </w:t>
      </w:r>
      <w:r w:rsidR="009B4789">
        <w:rPr>
          <w:rFonts w:ascii="Arial" w:hAnsi="Arial" w:cs="Arial"/>
          <w:lang w:val="en-US"/>
        </w:rPr>
        <w:t>opinion</w:t>
      </w:r>
      <w:r>
        <w:rPr>
          <w:rFonts w:ascii="Arial" w:hAnsi="Arial" w:cs="Arial"/>
          <w:lang w:val="en-US"/>
        </w:rPr>
        <w:t xml:space="preserve"> might </w:t>
      </w:r>
      <w:r w:rsidR="008A3E1A">
        <w:rPr>
          <w:rFonts w:ascii="Arial" w:hAnsi="Arial" w:cs="Arial"/>
          <w:lang w:val="en-US"/>
        </w:rPr>
        <w:t>express</w:t>
      </w:r>
      <w:r>
        <w:rPr>
          <w:rFonts w:ascii="Arial" w:hAnsi="Arial" w:cs="Arial"/>
          <w:lang w:val="en-US"/>
        </w:rPr>
        <w:t xml:space="preserve"> itself in a good or negative assessment of things, situations, activities, or concepts in one's </w:t>
      </w:r>
      <w:r w:rsidR="0055317B">
        <w:rPr>
          <w:rFonts w:ascii="Arial" w:hAnsi="Arial" w:cs="Arial"/>
          <w:lang w:val="en-US"/>
        </w:rPr>
        <w:t>situation</w:t>
      </w:r>
      <w:r>
        <w:rPr>
          <w:rFonts w:ascii="Arial" w:hAnsi="Arial" w:cs="Arial"/>
          <w:lang w:val="en-US"/>
        </w:rPr>
        <w:t>. For example, when an employee has a favorable attitude toward his or her job, he or she will be more worried about it. As a result, work attitudes are directly linked to an organization's or an individual's performance. Job satisfaction and organizational commitment are the most prevalent variables used to quantify work attitudes.</w:t>
      </w:r>
    </w:p>
    <w:p w14:paraId="0843DE23"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It is critical for both the organization and the employees to share their values and beliefs, since this contributes to a pleasant and healthy work environment. Behavior and attitudes can be influenced by significant differences in beliefs and values.</w:t>
      </w:r>
    </w:p>
    <w:p w14:paraId="2EAD9F29"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3" w:name="_Toc100279464"/>
      <w:r>
        <w:rPr>
          <w:rFonts w:ascii="Arial" w:hAnsi="Arial" w:cs="Arial"/>
          <w:b/>
          <w:bCs/>
          <w:color w:val="auto"/>
          <w:sz w:val="22"/>
          <w:szCs w:val="22"/>
          <w:lang w:val="en-US"/>
        </w:rPr>
        <w:t>ORGANISATION’S BELIEFS, VALUES AND ATTITUDE</w:t>
      </w:r>
      <w:bookmarkEnd w:id="3"/>
    </w:p>
    <w:p w14:paraId="55BFB572"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The company's philosophy that when people are connected, the world becomes a more hospitable place. As a result, it focuses on what people have in common rather than what makes them different. Its core belief is that by embracing diversity, exchanging cultures, and connecting with people, the world can be a better place. Another of its beliefs is the constant </w:t>
      </w:r>
      <w:r>
        <w:rPr>
          <w:rFonts w:ascii="Arial" w:hAnsi="Arial" w:cs="Arial"/>
          <w:lang w:val="en-US"/>
        </w:rPr>
        <w:lastRenderedPageBreak/>
        <w:t>progression of being better every day, as the future is shaped by evolution and development (Accor, 2020).</w:t>
      </w:r>
    </w:p>
    <w:p w14:paraId="36A0B02E" w14:textId="084EDCD5" w:rsidR="00415F1A" w:rsidRDefault="00415F1A" w:rsidP="00415F1A">
      <w:pPr>
        <w:spacing w:after="0" w:line="360" w:lineRule="auto"/>
        <w:jc w:val="both"/>
        <w:rPr>
          <w:rFonts w:ascii="Arial" w:hAnsi="Arial" w:cs="Arial"/>
          <w:lang w:val="en-US"/>
        </w:rPr>
      </w:pPr>
      <w:r>
        <w:rPr>
          <w:rFonts w:ascii="Arial" w:hAnsi="Arial" w:cs="Arial"/>
          <w:lang w:val="en-US"/>
        </w:rPr>
        <w:t xml:space="preserve">  One of the most important principles that the "Ibis" hotel promotes as a customer-centric company is the guest passion. Their acts and decisions are guided by their </w:t>
      </w:r>
      <w:r w:rsidR="00BD38F0">
        <w:rPr>
          <w:rFonts w:ascii="Arial" w:hAnsi="Arial" w:cs="Arial"/>
          <w:lang w:val="en-US"/>
        </w:rPr>
        <w:t>visitors,</w:t>
      </w:r>
      <w:r>
        <w:rPr>
          <w:rFonts w:ascii="Arial" w:hAnsi="Arial" w:cs="Arial"/>
          <w:lang w:val="en-US"/>
        </w:rPr>
        <w:t xml:space="preserve"> and they prioritize them and look after them.</w:t>
      </w:r>
    </w:p>
    <w:p w14:paraId="4D939F6A"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Respect is another value shown by the organization, since it believes that the globe is connected, that mixing cultures is fun, and that people should be proud of their differences. Another significant value is trust, because the hospitality industry is a team effort, and people are stronger when they trust and support one another.</w:t>
      </w:r>
    </w:p>
    <w:p w14:paraId="33578305"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Another significant value is the long-term success, which demonstrates that hospitality has the potential to uncover a brighter future. They work for the greater good by supporting and empowering the communities in which they live, as well as protecting the planet customers are visiting. Finally, the company reflects another value: innovation, as they welcome it and challenge themselves to do things better and faster. They take chances, imagine the impossible, and make it happen (Accor, 2020).</w:t>
      </w:r>
    </w:p>
    <w:p w14:paraId="3F4A24AB"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Chaturvedi (2021), Accor has recovered from the pandemic significantly stronger and is seeking for new chances. Employees who were furloughed in some nations are now being rehired. The company's market share has never been higher, and it outperforms in the majority of the markets it serves.</w:t>
      </w:r>
    </w:p>
    <w:p w14:paraId="1A6D8366"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4" w:name="_Toc100279465"/>
      <w:r>
        <w:rPr>
          <w:rFonts w:ascii="Arial" w:hAnsi="Arial" w:cs="Arial"/>
          <w:b/>
          <w:bCs/>
          <w:color w:val="auto"/>
          <w:sz w:val="22"/>
          <w:szCs w:val="22"/>
          <w:lang w:val="en-US"/>
        </w:rPr>
        <w:t>ELTON MAYO’S MANAGEMENT THEORY</w:t>
      </w:r>
      <w:bookmarkEnd w:id="4"/>
    </w:p>
    <w:p w14:paraId="76569A45"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Sarachek (1968) according to Elton Mayo's management ideas, explain that human and social elements are the primary causes of industrial difficulties. As a result, human relations are the primary means of resolving industrial issues. Workers' attitudes are influenced by workplace processes and regulations, while workers' attitudes affect the features of the unofficial regulations within workplace social groupings. Interactions with coworkers and managers can induce stress and anxiety, and if group attitudes are bad, informal norms may take precedence over official regulations, lowering productivity. Furthermore, a lack of attention devoted to workers can lead to deliberate underproduction. As a result, managers and supervisors should devote sufficient time and attention to personnel.</w:t>
      </w:r>
    </w:p>
    <w:p w14:paraId="73694E70"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Employee satisfaction, teamwork, and personal and collective attitudes about work have all a significant impact on motivation and productivity, even though work environment and benefits remain vital. Team spirit is improved via increased communication and collaboration. In addition, appreciation, commitment, and cooperation are more important than physical workplace conditions for job satisfaction, motivation, and productivity. Employees should be given the chance to share personal and work problems, to share their opinions, to have opportunities for social interaction and team building, to have the autonomy to evaluate their </w:t>
      </w:r>
      <w:r>
        <w:rPr>
          <w:rFonts w:ascii="Arial" w:hAnsi="Arial" w:cs="Arial"/>
          <w:lang w:val="en-US"/>
        </w:rPr>
        <w:lastRenderedPageBreak/>
        <w:t>own work environment, and the right to establish their own output standards in order to increase job satisfaction, motivation, and productivity.</w:t>
      </w:r>
    </w:p>
    <w:p w14:paraId="29F304D1"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Managers and supervisors should be trained in order to have listening and communicating skills so that they can understand and handle the personal and social difficulties that employees face, and they should be able to use these abilities at all times. </w:t>
      </w:r>
    </w:p>
    <w:p w14:paraId="6B0C8F94" w14:textId="7D7B363A" w:rsidR="00415F1A" w:rsidRDefault="00415F1A" w:rsidP="00415F1A">
      <w:pPr>
        <w:spacing w:after="0" w:line="360" w:lineRule="auto"/>
        <w:jc w:val="both"/>
        <w:rPr>
          <w:rFonts w:ascii="Arial" w:hAnsi="Arial" w:cs="Arial"/>
          <w:lang w:val="en-US"/>
        </w:rPr>
      </w:pPr>
      <w:r>
        <w:rPr>
          <w:rFonts w:ascii="Arial" w:hAnsi="Arial" w:cs="Arial"/>
          <w:lang w:val="en-US"/>
        </w:rPr>
        <w:t xml:space="preserve">  On the other hand, someone with different beliefs, attitudes, and values can interpret the theory differently, especially during Covid-19, when many companies closed and have been forced to fire their employment. In other words, companies that didn’t care about their employees preferred to </w:t>
      </w:r>
      <w:r w:rsidR="00BD38F0">
        <w:rPr>
          <w:rFonts w:ascii="Arial" w:hAnsi="Arial" w:cs="Arial"/>
          <w:lang w:val="en-US"/>
        </w:rPr>
        <w:t>fire</w:t>
      </w:r>
      <w:r>
        <w:rPr>
          <w:rFonts w:ascii="Arial" w:hAnsi="Arial" w:cs="Arial"/>
          <w:lang w:val="en-US"/>
        </w:rPr>
        <w:t xml:space="preserve"> them rather than to cut off the costs from another part of the company. In addition, Jonas and Comfort (2020) mention that this situation provoked to thousands of people in the tourism sector to lose their jobs and to fall into poverty, while others have experienced significant employment insecurity and the psychologically and physically risks that come with it.</w:t>
      </w:r>
    </w:p>
    <w:p w14:paraId="5BED0FCF"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5" w:name="_Toc100279466"/>
      <w:r>
        <w:rPr>
          <w:rFonts w:ascii="Arial" w:hAnsi="Arial" w:cs="Arial"/>
          <w:b/>
          <w:bCs/>
          <w:color w:val="auto"/>
          <w:sz w:val="22"/>
          <w:szCs w:val="22"/>
          <w:lang w:val="en-US"/>
        </w:rPr>
        <w:t>CRITICAL THINKING MODEL</w:t>
      </w:r>
      <w:bookmarkEnd w:id="5"/>
    </w:p>
    <w:p w14:paraId="30845988"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Critical thinking is needed in the workplace today, according to Saptura et al. (2019), since everyone should be able to acquire critical thinking abilities in stay competitive in the workplace and is regarded as a combination of intellectual skills and psychological habits that enables to resolve issues, explore facts, and effectively communicate. Everyone can learn critical thinking abilities, one of which is through education, because education plays a significant part in creating one's attitudes, knowledge, and skills.</w:t>
      </w:r>
    </w:p>
    <w:p w14:paraId="606B8E5F"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w:t>
      </w:r>
      <w:bookmarkStart w:id="6" w:name="_Hlk100186490"/>
      <w:r>
        <w:rPr>
          <w:rFonts w:ascii="Arial" w:hAnsi="Arial" w:cs="Arial"/>
          <w:sz w:val="20"/>
          <w:szCs w:val="20"/>
          <w:lang w:val="en-US"/>
        </w:rPr>
        <w:t>Wulandari</w:t>
      </w:r>
      <w:r>
        <w:rPr>
          <w:rFonts w:ascii="Arial" w:hAnsi="Arial" w:cs="Arial"/>
          <w:lang w:val="en-US"/>
        </w:rPr>
        <w:t xml:space="preserve"> et al. (2021) RED Model’s critical thinking consists of three parts: recognize assumptions, evaluate arguments and draw conclusions.</w:t>
      </w:r>
      <w:bookmarkEnd w:id="6"/>
    </w:p>
    <w:p w14:paraId="1941B5CB" w14:textId="1B5B43A9" w:rsidR="00415F1A" w:rsidRDefault="00415F1A" w:rsidP="00415F1A">
      <w:pPr>
        <w:spacing w:after="0" w:line="360" w:lineRule="auto"/>
        <w:jc w:val="both"/>
        <w:rPr>
          <w:rFonts w:ascii="Arial" w:hAnsi="Arial" w:cs="Arial"/>
          <w:b/>
          <w:bCs/>
          <w:lang w:val="en-US"/>
        </w:rPr>
      </w:pPr>
      <w:r>
        <w:rPr>
          <w:rFonts w:ascii="Arial" w:hAnsi="Arial" w:cs="Arial"/>
          <w:b/>
          <w:bCs/>
          <w:lang w:val="en-US"/>
        </w:rPr>
        <w:t>Recognize assumptions</w:t>
      </w:r>
    </w:p>
    <w:p w14:paraId="5FB81C70" w14:textId="77777777" w:rsidR="008B286B" w:rsidRPr="00DB7AAC" w:rsidRDefault="008B286B" w:rsidP="008B286B">
      <w:pPr>
        <w:spacing w:after="0" w:line="360" w:lineRule="auto"/>
        <w:jc w:val="both"/>
        <w:rPr>
          <w:rFonts w:ascii="Arial" w:hAnsi="Arial" w:cs="Arial"/>
          <w:lang w:val="en-US"/>
        </w:rPr>
      </w:pPr>
      <w:r w:rsidRPr="00DB7AAC">
        <w:rPr>
          <w:rFonts w:ascii="Arial" w:hAnsi="Arial" w:cs="Arial"/>
          <w:lang w:val="en-US"/>
        </w:rPr>
        <w:t>The capacity to detect assumptions is required for critical thinking skill development. In order to separate evidence from illogical thinking, it is necessary to question assumptions. It is vital to differentiate between assumptions, facts, and views.</w:t>
      </w:r>
    </w:p>
    <w:p w14:paraId="173F6AFC" w14:textId="3527E455" w:rsidR="008B286B" w:rsidRPr="00DB7AAC" w:rsidRDefault="008B286B" w:rsidP="008B286B">
      <w:pPr>
        <w:spacing w:after="0" w:line="360" w:lineRule="auto"/>
        <w:jc w:val="both"/>
        <w:rPr>
          <w:rFonts w:ascii="Arial" w:hAnsi="Arial" w:cs="Arial"/>
          <w:lang w:val="en-US"/>
        </w:rPr>
      </w:pPr>
      <w:r w:rsidRPr="00DB7AAC">
        <w:rPr>
          <w:rFonts w:ascii="Arial" w:hAnsi="Arial" w:cs="Arial"/>
          <w:lang w:val="en-US"/>
        </w:rPr>
        <w:t>Assumptions must also be examined from a variety of angles.</w:t>
      </w:r>
    </w:p>
    <w:p w14:paraId="08D962E9" w14:textId="7AA020F8" w:rsidR="00415F1A" w:rsidRDefault="00415F1A" w:rsidP="00415F1A">
      <w:pPr>
        <w:spacing w:after="0" w:line="360" w:lineRule="auto"/>
        <w:jc w:val="both"/>
        <w:rPr>
          <w:rFonts w:ascii="Arial" w:hAnsi="Arial" w:cs="Arial"/>
          <w:b/>
          <w:bCs/>
          <w:lang w:val="en-US"/>
        </w:rPr>
      </w:pPr>
      <w:r>
        <w:rPr>
          <w:rFonts w:ascii="Arial" w:hAnsi="Arial" w:cs="Arial"/>
          <w:b/>
          <w:bCs/>
          <w:lang w:val="en-US"/>
        </w:rPr>
        <w:t>Evaluate arguments</w:t>
      </w:r>
    </w:p>
    <w:p w14:paraId="16B43AAC" w14:textId="2B20E678" w:rsidR="00415F1A" w:rsidRPr="00C90A0A" w:rsidRDefault="00C90A0A" w:rsidP="00415F1A">
      <w:pPr>
        <w:spacing w:after="0" w:line="360" w:lineRule="auto"/>
        <w:jc w:val="both"/>
        <w:rPr>
          <w:rFonts w:ascii="Arial" w:hAnsi="Arial" w:cs="Arial"/>
          <w:b/>
          <w:bCs/>
          <w:lang w:val="en-US"/>
        </w:rPr>
      </w:pPr>
      <w:r w:rsidRPr="00C90A0A">
        <w:rPr>
          <w:rFonts w:ascii="Arial" w:hAnsi="Arial" w:cs="Arial"/>
          <w:lang w:val="en-US"/>
        </w:rPr>
        <w:t>The ability to examine arguments is essential. An impartial study of facts and ideas, as well as evidence analysis, are essential to support and clarify the veracity of an argument</w:t>
      </w:r>
      <w:r w:rsidRPr="00C90A0A">
        <w:rPr>
          <w:rFonts w:ascii="Arial" w:hAnsi="Arial" w:cs="Arial"/>
          <w:b/>
          <w:bCs/>
          <w:lang w:val="en-US"/>
        </w:rPr>
        <w:t>.</w:t>
      </w:r>
    </w:p>
    <w:p w14:paraId="1B3B8A8A" w14:textId="77777777" w:rsidR="00415F1A" w:rsidRDefault="00415F1A" w:rsidP="00415F1A">
      <w:pPr>
        <w:spacing w:after="0" w:line="360" w:lineRule="auto"/>
        <w:jc w:val="both"/>
        <w:rPr>
          <w:rFonts w:ascii="Arial" w:hAnsi="Arial" w:cs="Arial"/>
          <w:b/>
          <w:bCs/>
          <w:lang w:val="en-US"/>
        </w:rPr>
      </w:pPr>
      <w:r>
        <w:rPr>
          <w:rFonts w:ascii="Arial" w:hAnsi="Arial" w:cs="Arial"/>
          <w:b/>
          <w:bCs/>
          <w:lang w:val="en-US"/>
        </w:rPr>
        <w:t>Draw conclusions</w:t>
      </w:r>
    </w:p>
    <w:p w14:paraId="563E907F" w14:textId="6778E95A" w:rsidR="00415F1A" w:rsidRDefault="00525E84" w:rsidP="00415F1A">
      <w:pPr>
        <w:spacing w:after="0" w:line="360" w:lineRule="auto"/>
        <w:jc w:val="both"/>
        <w:rPr>
          <w:rFonts w:ascii="Arial" w:hAnsi="Arial" w:cs="Arial"/>
          <w:lang w:val="en-US"/>
        </w:rPr>
      </w:pPr>
      <w:r>
        <w:rPr>
          <w:rFonts w:ascii="Arial" w:hAnsi="Arial" w:cs="Arial"/>
          <w:lang w:val="en-US"/>
        </w:rPr>
        <w:t>Outline</w:t>
      </w:r>
      <w:r w:rsidR="00415F1A">
        <w:rPr>
          <w:rFonts w:ascii="Arial" w:hAnsi="Arial" w:cs="Arial"/>
          <w:lang w:val="en-US"/>
        </w:rPr>
        <w:t xml:space="preserve"> conclusions is a final step that </w:t>
      </w:r>
      <w:r w:rsidR="008048EA">
        <w:rPr>
          <w:rFonts w:ascii="Arial" w:hAnsi="Arial" w:cs="Arial"/>
          <w:lang w:val="en-US"/>
        </w:rPr>
        <w:t>should</w:t>
      </w:r>
      <w:r w:rsidR="00415F1A">
        <w:rPr>
          <w:rFonts w:ascii="Arial" w:hAnsi="Arial" w:cs="Arial"/>
          <w:lang w:val="en-US"/>
        </w:rPr>
        <w:t xml:space="preserve"> be met with precision. We arrive at a logically defined conclusion supported by evidence after the process of accurately identifying the assumptions and objectively examining the arguments.</w:t>
      </w:r>
    </w:p>
    <w:p w14:paraId="393A331A"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7" w:name="_Toc100279467"/>
      <w:r>
        <w:rPr>
          <w:rFonts w:ascii="Arial" w:hAnsi="Arial" w:cs="Arial"/>
          <w:b/>
          <w:bCs/>
          <w:color w:val="auto"/>
          <w:sz w:val="22"/>
          <w:szCs w:val="22"/>
          <w:lang w:val="en-US"/>
        </w:rPr>
        <w:t>RECOMMENDATIONS:</w:t>
      </w:r>
      <w:bookmarkEnd w:id="7"/>
    </w:p>
    <w:p w14:paraId="08C7338E"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order to help employees, improve their professional performance, employers must extend their human resources management practices to support them in their personal life. During a </w:t>
      </w:r>
      <w:r>
        <w:rPr>
          <w:rFonts w:ascii="Arial" w:hAnsi="Arial" w:cs="Arial"/>
          <w:lang w:val="en-US"/>
        </w:rPr>
        <w:lastRenderedPageBreak/>
        <w:t>situation like Covid-19, training, coaching, and mentoring are especially important because they increase employees' cognitive and psychological strength to deal with the crisis's loss of resources. As a result, training and development can be tailored to match the specific requirements of personnel.</w:t>
      </w:r>
    </w:p>
    <w:p w14:paraId="5D119085"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his research, Agarwal (2020) discovered that how hotels respond to societal requirements has an impact on wellbeing. Employees of today are emotionally committed in helping those who are less fortunate. As a result, investing in society can help hotels indirectly by improving employee well-being and fostering goodwill among staff, which leads to improved performance.</w:t>
      </w:r>
    </w:p>
    <w:p w14:paraId="05E23887"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Many organizations have to prioritized workforce well-being in the face of the present epidemic. This pandemic has created new issues for human resources departments, particularly in terms of recruitment and selection, training and development, and layoffs due to low productivity. One of the most difficult concerns for human resource managers is how to actively integrate employees in the current circumstances, the COVID-19 pandemic is also affecting the organization's production processes and services.</w:t>
      </w:r>
    </w:p>
    <w:p w14:paraId="529F5055"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8" w:name="_Toc100279468"/>
      <w:r>
        <w:rPr>
          <w:rFonts w:ascii="Arial" w:hAnsi="Arial" w:cs="Arial"/>
          <w:b/>
          <w:bCs/>
          <w:color w:val="auto"/>
          <w:sz w:val="22"/>
          <w:szCs w:val="22"/>
          <w:lang w:val="en-US"/>
        </w:rPr>
        <w:t>CONCLUSION:</w:t>
      </w:r>
      <w:bookmarkEnd w:id="8"/>
    </w:p>
    <w:p w14:paraId="44D9BD0C"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Every component and activity in an organization requires people. A manager will not be able to fulfill his or her objectives, if his or her employees lack the necessary knowledge, skills, and attitude. According to Bailey et al. (2016), if knowledge is not actively shared among employees, their intellectual resources will be undervalued within the team. When information is not shared, not only personal performance suffers, but so does organizational performance. A knowledge-sharing culture enables an individual to share his or her expertise with the team and, as a result, achieve success.</w:t>
      </w:r>
    </w:p>
    <w:p w14:paraId="70364BF9" w14:textId="77777777" w:rsidR="00415F1A" w:rsidRDefault="00415F1A" w:rsidP="00415F1A">
      <w:pPr>
        <w:spacing w:line="360" w:lineRule="auto"/>
        <w:jc w:val="both"/>
        <w:rPr>
          <w:rFonts w:ascii="Arial" w:hAnsi="Arial" w:cs="Arial"/>
          <w:lang w:val="en-US"/>
        </w:rPr>
      </w:pPr>
      <w:r>
        <w:rPr>
          <w:rFonts w:ascii="Arial" w:hAnsi="Arial" w:cs="Arial"/>
          <w:lang w:val="en-US"/>
        </w:rPr>
        <w:t xml:space="preserve">  Pandemics are having a negative impact on global economy, but they also present new chances for businesses. Organizations must now consider how to take advantage of the opportunity. In the current environment, knowledge sharing could be a reasonable solution for keeping staff engaged. Employees exchanging information and corporations keeping it in systems and visualizing it, using an artificial intelligence system could assist organizations in bringing innovation to their services and products.</w:t>
      </w:r>
    </w:p>
    <w:p w14:paraId="6E0D8EC2" w14:textId="77777777" w:rsidR="00415F1A" w:rsidRDefault="00415F1A" w:rsidP="00415F1A">
      <w:pPr>
        <w:pStyle w:val="Heading1"/>
        <w:spacing w:before="0" w:line="360" w:lineRule="auto"/>
        <w:jc w:val="both"/>
        <w:rPr>
          <w:rFonts w:ascii="Arial" w:hAnsi="Arial" w:cs="Arial"/>
          <w:b/>
          <w:bCs/>
          <w:color w:val="auto"/>
          <w:sz w:val="24"/>
          <w:szCs w:val="24"/>
          <w:lang w:val="en-US"/>
        </w:rPr>
      </w:pPr>
      <w:bookmarkStart w:id="9" w:name="_Toc100279469"/>
      <w:r>
        <w:rPr>
          <w:rFonts w:ascii="Arial" w:hAnsi="Arial" w:cs="Arial"/>
          <w:b/>
          <w:bCs/>
          <w:color w:val="auto"/>
          <w:sz w:val="24"/>
          <w:szCs w:val="24"/>
          <w:lang w:val="en-US"/>
        </w:rPr>
        <w:t>REFLECTIVE JOURNAL: PART 2</w:t>
      </w:r>
      <w:bookmarkEnd w:id="9"/>
    </w:p>
    <w:p w14:paraId="192A99B2"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10" w:name="_Toc100279470"/>
      <w:r>
        <w:rPr>
          <w:rFonts w:ascii="Arial" w:hAnsi="Arial" w:cs="Arial"/>
          <w:b/>
          <w:bCs/>
          <w:color w:val="auto"/>
          <w:sz w:val="22"/>
          <w:szCs w:val="22"/>
          <w:lang w:val="en-US"/>
        </w:rPr>
        <w:t>INTRODUCTION:</w:t>
      </w:r>
      <w:bookmarkEnd w:id="10"/>
      <w:r>
        <w:rPr>
          <w:rFonts w:ascii="Arial" w:hAnsi="Arial" w:cs="Arial"/>
          <w:b/>
          <w:bCs/>
          <w:color w:val="auto"/>
          <w:sz w:val="22"/>
          <w:szCs w:val="22"/>
          <w:lang w:val="en-US"/>
        </w:rPr>
        <w:t xml:space="preserve"> </w:t>
      </w:r>
    </w:p>
    <w:p w14:paraId="125706D3"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The COVID-19 pandemic is one of the most important occurrences in modern history. On a worldwide scale, the social and economic consequences are significant. Many organizations around the world were compelled to adapt to severe changes in the work environment as a result of the COVID-19 outbreak. Despite past years' advances in connection to technological advances and digitalization, the pandemic's sudden alterations necessitate rapid retraining. </w:t>
      </w:r>
      <w:r>
        <w:rPr>
          <w:rFonts w:ascii="Arial" w:hAnsi="Arial" w:cs="Arial"/>
          <w:lang w:val="en-US"/>
        </w:rPr>
        <w:lastRenderedPageBreak/>
        <w:t xml:space="preserve">More collaborative ways to solve complicated challenges are required as the world recovers from the lockdown. </w:t>
      </w:r>
    </w:p>
    <w:p w14:paraId="2FAD993B"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Both the organization and the employees are important to share their values and beliefs, since this helps to create a pleasant and healthy work environment. Significant differences in beliefs and values can influence behavior and attitudes and create conflicts. A revaluation of management theories plays a significant role for organizations, as are used to assist organizations to improve their performance and efficiency, but the integration of approaches in the work environment are utilized by a single idea of few managers.</w:t>
      </w:r>
    </w:p>
    <w:p w14:paraId="31DC3856"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addition, Shaw et al. (2019) point out that in the twenty-first century, critical thinking has been recognized as a critical universal talent that contributes to personal and professional advancement. The development of critical thinking skill should be learned at young age, as it consists to be vital, in order to survive in the contemporary competitive workplace.</w:t>
      </w:r>
    </w:p>
    <w:p w14:paraId="686A1527"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It's critical to shift toward methods to sustainable innovation that effectively consider community, environment, and economic concerns, as to overcome the severe social and environmental issues of today.</w:t>
      </w:r>
    </w:p>
    <w:p w14:paraId="48BA782C"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11" w:name="_Toc100279471"/>
      <w:r>
        <w:rPr>
          <w:rFonts w:ascii="Arial" w:hAnsi="Arial" w:cs="Arial"/>
          <w:b/>
          <w:bCs/>
          <w:color w:val="auto"/>
          <w:sz w:val="22"/>
          <w:szCs w:val="22"/>
          <w:lang w:val="en-US"/>
        </w:rPr>
        <w:t>REFLECTIONS:</w:t>
      </w:r>
      <w:bookmarkEnd w:id="11"/>
    </w:p>
    <w:p w14:paraId="34A10541"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Porter (2000) beliefs, values and attitudes affect the peoples' life and influence their behavior. They are developed and bound over time and are influenced of family, society and friends. Peoples’ beliefs are based on assumptions about themselves, others, and numerous occurrences that occur in their immediate surroundings and are influenced of their experience, society and culture (Moise, 2014).</w:t>
      </w:r>
      <w:r>
        <w:rPr>
          <w:lang w:val="en-US"/>
        </w:rPr>
        <w:t xml:space="preserve"> </w:t>
      </w:r>
      <w:r>
        <w:rPr>
          <w:rFonts w:ascii="Arial" w:hAnsi="Arial" w:cs="Arial"/>
          <w:lang w:val="en-US"/>
        </w:rPr>
        <w:t>Sharma et al. (2018) argue that values are extremely important in all cultures and are fundamental to human existence, as they bring people together despite their diversity. They tend to generate an attitude of confidence, transparency, compassion, and cooperation, as they reflect valuable personality characteristics such as honesty, tolerance, responsibility, and empathy. Attitude is described by Riemer et al. (2014) as how people respond to situations and how they act. More specifically, the authors support that the way a person expresses or reflects their beliefs and values through words and actions is referred to as their attitude.</w:t>
      </w:r>
    </w:p>
    <w:p w14:paraId="20535D37"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Rebele and Pierre (2019) explain that critical thinking is a process that involves examining the assumptions that underpin common, conventional ways of thinking and doing. Based on critical questioning, a person is willing to behave and think different from perspectives. According to Fahim and Eslamdoost, (2014) an open mind, justice, and empathy are characteristics of a critical thinker. These individuals value others and are capable of imagining another's opinion, attitudes, values, and thinking. They are intellectually humble and acknowledge when they don't have knowledge about something. Furthermore, they collaborate successfully with others to solve complicated problems without being excessively influenced by others' perspectives on the subject.</w:t>
      </w:r>
    </w:p>
    <w:p w14:paraId="392BCF36" w14:textId="77777777" w:rsidR="00415F1A" w:rsidRDefault="00415F1A" w:rsidP="00415F1A">
      <w:pPr>
        <w:spacing w:after="0" w:line="360" w:lineRule="auto"/>
        <w:jc w:val="both"/>
        <w:rPr>
          <w:rFonts w:ascii="Arial" w:hAnsi="Arial" w:cs="Arial"/>
          <w:lang w:val="en-US"/>
        </w:rPr>
      </w:pPr>
      <w:r>
        <w:rPr>
          <w:rFonts w:ascii="Arial" w:hAnsi="Arial" w:cs="Arial"/>
          <w:lang w:val="en-US"/>
        </w:rPr>
        <w:lastRenderedPageBreak/>
        <w:t xml:space="preserve">  In addition, Mahanal et al. (2019) point out that critical thinking serves an important social and economic function, as in times of economic difficulty, a critically aware public is more likely to engage in political engagement, and critically active and creative employees is vital for a nation. Finally, it constitutes a beneficial and pleasant operation that makes a person more creative, self-assured, energetic, and committed in their lives and at work. It contributes to a greater understanding of the world's diversification of beliefs, behaviors, and social systems.</w:t>
      </w:r>
    </w:p>
    <w:p w14:paraId="60B9285A"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Different critical models have been established in order to obtain and enhance the critical thinking skill. RED Model’s critical thinking, which consists of three parts: recognize assumptions, evaluate arguments and draw conclusions Wulandari et al. (2021). De Bono's 6 thinking hats method, which was invented by Dr. Edward de Bono in 1980s, is an approach of ensuring that a wide range of opinions and thinking processes are represented in creative interactions. Teams can more easily organize thinking skills for improved efficiency and productivity by using six roles (hats) and roles should be rotated so that teams may think from a variety of perspectives Göçmen and Coşkun (2019).</w:t>
      </w:r>
    </w:p>
    <w:p w14:paraId="3A4DE774"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Problem-solving is a mental process in which the brain investigates the cause of a problem or devises a method for comprehending a certain objective. This method entails observation method and critical thinking in order to identify a suitable solution or path to the desired outcome.  In problem-solving, the brain employs the highest levels of cognitive skills such as rational thinking, as well as, critical thinking, decision-making, and reflective thinking. It's one of the most important abilities that organizations look for in job candidates (Rahman, 2019).</w:t>
      </w:r>
    </w:p>
    <w:p w14:paraId="59B5100D"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Making decisions entails making options, solving difficulties, and selecting the best option. By examining the research findings and using judgment to determine an accurate and effective plan of action, employee's decision-making abilities help to recognize a suitable assumption. Employees are able to evaluate the solution's effectiveness and they are ready constantly to reevaluate and improve their methods (Rahman, 2019).</w:t>
      </w:r>
    </w:p>
    <w:p w14:paraId="1235A46F"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Management theories appeared from "scientific" and "bureaucratic" management that centered activities on measurement, processes, and routines. Organizations created hierarchies in order to impose regulations to the workplace and penalize employees who did not obey them. Companies began prioritizing individual workers as a result of the "human relations" approach. Modern management theories, such as system theory and contingency theory and chaos theory place a strong emphasis on the entire company, including people as a critical component (Tabatadze, 2019).</w:t>
      </w:r>
    </w:p>
    <w:p w14:paraId="2EF1E468"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Cole (2015) the theory of bureaucracy was developed by German sociologist Max Weber. The theory is built on rigid rules and regulations that ignore interpersonal communication feelings and human characteristics. The bureaucratic paradigm has several flaws, including rigidity, indifferent and robotic relationships, increased control costs, and the </w:t>
      </w:r>
      <w:r>
        <w:rPr>
          <w:rFonts w:ascii="Arial" w:hAnsi="Arial" w:cs="Arial"/>
          <w:lang w:val="en-US"/>
        </w:rPr>
        <w:lastRenderedPageBreak/>
        <w:t>need for administrators. In addition, there is a lack of communication and interpersonal interactions, as well as a blind reliance in norms and regulations.</w:t>
      </w:r>
    </w:p>
    <w:p w14:paraId="10D43876"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Federick W. Taylor introduced scientific management as a management theory. It analyzes the most effective production process in order to boost productivity using scientific approaches. More specifically, Taylor's management theory supported that organizations should choose approaches that are scientifically accurate. They should assign jobs to employees based on their skills and train them to operate at maximum efficiency. </w:t>
      </w:r>
    </w:p>
    <w:p w14:paraId="3886AFB4"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addition, they should focus on how well their employees are performing and evaluate their employees' productivity and, if necessary, provide more training to ensure that they are functioning efficiently. Another important step for the management theory is that organizations should divide the responsibility between employees and managers in a fair and reasonable manner, as managers should develop and train, whereas the employees should put what they've learned into practice (McGrath and Bates, 2013).</w:t>
      </w:r>
    </w:p>
    <w:p w14:paraId="220F6602"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The Human Relations Approach to Management Theory is attributed to Elton Mayo. Employee attitudes, interpersonal interactions, teamwork, and management styles are all important in establishing organizational performance, according to this broad management approach. </w:t>
      </w:r>
    </w:p>
    <w:p w14:paraId="43C9177E"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Mayo discovered that social aspects play a significant role in job performance and productivity, and that employees appreciate a supportive attitude from their managers than authority. To understand employee difficulties, communication between management and employees is critical.  The Mayo's experiments, known as the Hawthorne Effect, were conducted to evaluate the attitudes and behavioral responses of employees in working circumstances. According to his findings, individuals who were given special attention performed more effectively (Watkins, 2017).</w:t>
      </w:r>
    </w:p>
    <w:p w14:paraId="14972287"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Contingency theory describes how management choices and actions are influenced by internal and external determinants and the need of organizations to adapt to these changes, in order to meet the demand.  The external environment is consisted of political, economic, social, technological, environmental and legal factors.  All of these elements should be considered by organizations since they have an impact on their ability to access resources (Childs et al., 2022).</w:t>
      </w:r>
    </w:p>
    <w:p w14:paraId="05146226"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Organizations are viewed as social systems composed of sub-units that should interact in a balanced way for the organization to be successful, according to systems theory. The collaborations among constituents, their integration, and the results arising from their interactions are the emphasis of the systems theory approach. While the most evident trait of systems theory is its holistic perspective, a systems approach does not ignore the examination of individual elements. Both levels must be comprehended. The necessity of feedback is also recognized in systems theory (Teece, 2018).</w:t>
      </w:r>
    </w:p>
    <w:p w14:paraId="7A05FBC1" w14:textId="77777777" w:rsidR="00415F1A" w:rsidRDefault="00415F1A" w:rsidP="00415F1A">
      <w:pPr>
        <w:spacing w:after="0" w:line="360" w:lineRule="auto"/>
        <w:jc w:val="both"/>
        <w:rPr>
          <w:rFonts w:ascii="Arial" w:hAnsi="Arial" w:cs="Arial"/>
          <w:lang w:val="en-US"/>
        </w:rPr>
      </w:pPr>
      <w:r>
        <w:rPr>
          <w:rFonts w:ascii="Arial" w:hAnsi="Arial" w:cs="Arial"/>
          <w:lang w:val="en-US"/>
        </w:rPr>
        <w:lastRenderedPageBreak/>
        <w:t xml:space="preserve">  One of a company's most vital components are the people that work inside. Departments, work teams, and functional areas are all important components of an organization's growth. According to system theory management, managers should assess trends and changes in their organizations in order to develop the appropriate management strategy. To be able to collaborate on various projects, allowing them to work as a group rather than as individual entities.</w:t>
      </w:r>
    </w:p>
    <w:p w14:paraId="529824E8"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According to Anderson et al. (2014) at workplace, creativity and innovation are the approach, results, and products of discovering and implement new and improved ways of doing things. The first stage of this process is creative thinking, and the second is innovation, which is the process of turning ideas into better methods, practices, or products. New technology and their applications, improved industry practices, fulfilling changing client wants or needs, and enhanced systems and procedures are all examples of innovation.</w:t>
      </w:r>
    </w:p>
    <w:p w14:paraId="31CCB39F"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Hughes et al. (2018) support that creativity and innovation propel organizations forward and help them preserve their competitive advantage. An organization that embrace the innovation has the opportunity to improve its performance in the strategy and planning, marketing, technological process, quality management, logistics and human resources. Innovative organizations amplify their employees’ motivation. Employees, in particular, are more willing to enhance the product and the overall performance of the organization. They are constantly educated and encouraged to be creative.</w:t>
      </w:r>
    </w:p>
    <w:p w14:paraId="15139E5A"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In addition, organizations should take into consideration as a significant parameter the sustainable development.  Sustainability entails fulfilling our own demands without endangering future generations' efforts to satisfy their own. The four components of sustainability are the environmental component, the economic component, the social component, and the political component. In order to accomplish a sustainability change that meets human needs and reduces poverty and starvation while conserving the planet's vital systems, are required important changes in human values, attitudes, and behaviors (Mensah, 2019).</w:t>
      </w:r>
    </w:p>
    <w:p w14:paraId="2CAE9007"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Finally, companies should recognize the future-proofing process, which is the act of planning for the future and designing techniques for reducing the negative impacts while maximizing the beneficial effects of future surprises and pressures (Rehman et al. (2017).</w:t>
      </w:r>
    </w:p>
    <w:p w14:paraId="3FD83243" w14:textId="77777777" w:rsidR="00415F1A" w:rsidRDefault="00415F1A" w:rsidP="00415F1A">
      <w:pPr>
        <w:pStyle w:val="Heading2"/>
        <w:spacing w:before="0" w:line="360" w:lineRule="auto"/>
        <w:jc w:val="both"/>
        <w:rPr>
          <w:rFonts w:ascii="Arial" w:hAnsi="Arial" w:cs="Arial"/>
          <w:b/>
          <w:bCs/>
          <w:color w:val="auto"/>
          <w:sz w:val="22"/>
          <w:szCs w:val="22"/>
          <w:lang w:val="en-US"/>
        </w:rPr>
      </w:pPr>
      <w:bookmarkStart w:id="12" w:name="_Toc100279472"/>
      <w:r>
        <w:rPr>
          <w:rFonts w:ascii="Arial" w:hAnsi="Arial" w:cs="Arial"/>
          <w:b/>
          <w:bCs/>
          <w:color w:val="auto"/>
          <w:sz w:val="22"/>
          <w:szCs w:val="22"/>
          <w:lang w:val="en-US"/>
        </w:rPr>
        <w:t>CONCLUSION:</w:t>
      </w:r>
      <w:bookmarkEnd w:id="12"/>
    </w:p>
    <w:p w14:paraId="640D0662"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Attitudes are formed by our internal values and ideas. They have an impact on how you think, what you do, and how you go about doing it.  It is critical for the organization and its employees to share their values and views, since this contributes in the creation of a positive and productive work environment. Significant differences in beliefs and values can have an impact on behavior and attitudes, resulting in conflict.</w:t>
      </w:r>
    </w:p>
    <w:p w14:paraId="62BAD9D5" w14:textId="77777777" w:rsidR="00415F1A" w:rsidRDefault="00415F1A" w:rsidP="00415F1A">
      <w:pPr>
        <w:spacing w:after="0" w:line="360" w:lineRule="auto"/>
        <w:jc w:val="both"/>
        <w:rPr>
          <w:rFonts w:ascii="Arial" w:hAnsi="Arial" w:cs="Arial"/>
          <w:lang w:val="en-US"/>
        </w:rPr>
      </w:pPr>
      <w:r>
        <w:rPr>
          <w:rFonts w:ascii="Arial" w:hAnsi="Arial" w:cs="Arial"/>
          <w:lang w:val="en-US"/>
        </w:rPr>
        <w:lastRenderedPageBreak/>
        <w:t xml:space="preserve">  In an increasingly dynamic and competitive socioeconomic, cultural and work environment, it is not enough for employees to be provided with only theoretical and practical knowledge, but as Pollit (2001) states, there is a need to create a more flexible workforce, able to adapt in different environments, responsible and able to think for himself. Employers require their workforce to be able to apply their critical thinking skills, problem-solving skills, and decision-making skills in the work environment.</w:t>
      </w:r>
    </w:p>
    <w:p w14:paraId="3543A05D" w14:textId="77777777" w:rsidR="00415F1A" w:rsidRDefault="00415F1A" w:rsidP="00415F1A">
      <w:pPr>
        <w:spacing w:after="0" w:line="360" w:lineRule="auto"/>
        <w:jc w:val="both"/>
        <w:rPr>
          <w:rFonts w:ascii="Arial" w:hAnsi="Arial" w:cs="Arial"/>
          <w:lang w:val="en-US"/>
        </w:rPr>
      </w:pPr>
      <w:r>
        <w:rPr>
          <w:rFonts w:ascii="Arial" w:hAnsi="Arial" w:cs="Arial"/>
          <w:lang w:val="en-US"/>
        </w:rPr>
        <w:t xml:space="preserve">  The needs of the global audience are constantly changing, while technological advancements create a changing environment in which organizations must constantly adapt and grow. The organizations should reevaluate their management focusing on their employees. The evolution of management theories has proved that the key component in an organization is the employee. </w:t>
      </w:r>
    </w:p>
    <w:p w14:paraId="7E6BDD68" w14:textId="34E1DCB2" w:rsidR="00415F1A" w:rsidRDefault="00415F1A" w:rsidP="00415F1A">
      <w:pPr>
        <w:spacing w:after="0" w:line="360" w:lineRule="auto"/>
        <w:jc w:val="both"/>
        <w:rPr>
          <w:rFonts w:ascii="Arial" w:hAnsi="Arial" w:cs="Arial"/>
          <w:lang w:val="en-US"/>
        </w:rPr>
      </w:pPr>
      <w:r>
        <w:rPr>
          <w:rFonts w:ascii="Arial" w:hAnsi="Arial" w:cs="Arial"/>
          <w:lang w:val="en-US"/>
        </w:rPr>
        <w:t xml:space="preserve">  Ensuring employees protected and contented contributes to improved organizational performance. When employees believe the organization is looking out for their best interests, they are more willing to </w:t>
      </w:r>
      <w:r w:rsidR="005C7A79">
        <w:rPr>
          <w:rFonts w:ascii="Arial" w:hAnsi="Arial" w:cs="Arial"/>
          <w:lang w:val="en-US"/>
        </w:rPr>
        <w:t>provide for</w:t>
      </w:r>
      <w:r>
        <w:rPr>
          <w:rFonts w:ascii="Arial" w:hAnsi="Arial" w:cs="Arial"/>
          <w:lang w:val="en-US"/>
        </w:rPr>
        <w:t xml:space="preserve"> its mission and work hard to help it reach its goals. Another issue that an organization should consider is the use of innovative approaches, sustainability, and </w:t>
      </w:r>
      <w:r w:rsidR="00666031">
        <w:rPr>
          <w:rFonts w:ascii="Arial" w:hAnsi="Arial" w:cs="Arial"/>
          <w:lang w:val="en-US"/>
        </w:rPr>
        <w:t>futureproofing</w:t>
      </w:r>
      <w:r>
        <w:rPr>
          <w:rFonts w:ascii="Arial" w:hAnsi="Arial" w:cs="Arial"/>
          <w:lang w:val="en-US"/>
        </w:rPr>
        <w:t xml:space="preserve"> in order to avoid negative consequences in the future.</w:t>
      </w:r>
    </w:p>
    <w:p w14:paraId="0B19E5E1" w14:textId="77777777" w:rsidR="00415F1A" w:rsidRDefault="00415F1A" w:rsidP="00415F1A">
      <w:pPr>
        <w:pStyle w:val="Heading1"/>
        <w:spacing w:before="0" w:line="360" w:lineRule="auto"/>
        <w:jc w:val="both"/>
        <w:rPr>
          <w:rFonts w:ascii="Arial" w:hAnsi="Arial" w:cs="Arial"/>
          <w:b/>
          <w:bCs/>
          <w:color w:val="auto"/>
          <w:sz w:val="24"/>
          <w:szCs w:val="24"/>
          <w:lang w:val="en-US"/>
        </w:rPr>
      </w:pPr>
    </w:p>
    <w:p w14:paraId="7B94AF64" w14:textId="77777777" w:rsidR="00415F1A" w:rsidRDefault="00415F1A" w:rsidP="00415F1A">
      <w:pPr>
        <w:pStyle w:val="Heading1"/>
        <w:spacing w:before="0" w:line="360" w:lineRule="auto"/>
        <w:jc w:val="both"/>
        <w:rPr>
          <w:rFonts w:ascii="Arial" w:hAnsi="Arial" w:cs="Arial"/>
          <w:b/>
          <w:bCs/>
          <w:color w:val="auto"/>
          <w:sz w:val="24"/>
          <w:szCs w:val="24"/>
          <w:lang w:val="en-US"/>
        </w:rPr>
      </w:pPr>
      <w:bookmarkStart w:id="13" w:name="_Toc100279473"/>
      <w:r>
        <w:rPr>
          <w:rFonts w:ascii="Arial" w:hAnsi="Arial" w:cs="Arial"/>
          <w:b/>
          <w:bCs/>
          <w:color w:val="auto"/>
          <w:sz w:val="24"/>
          <w:szCs w:val="24"/>
          <w:lang w:val="en-US"/>
        </w:rPr>
        <w:t>REFERENCES:</w:t>
      </w:r>
      <w:bookmarkEnd w:id="13"/>
    </w:p>
    <w:p w14:paraId="12199A8C"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Agarwal, P. (2020). </w:t>
      </w:r>
      <w:r>
        <w:rPr>
          <w:rFonts w:ascii="Arial" w:hAnsi="Arial" w:cs="Arial"/>
          <w:i/>
          <w:iCs/>
          <w:sz w:val="20"/>
          <w:szCs w:val="20"/>
          <w:lang w:val="en-US"/>
        </w:rPr>
        <w:t>“Shattered but Smiling: Human Resource Management and the Wellbeing of Hotel Employees during COVID-19” International Journal of Hospitality Management</w:t>
      </w:r>
      <w:r>
        <w:rPr>
          <w:rFonts w:ascii="Arial" w:hAnsi="Arial" w:cs="Arial"/>
          <w:sz w:val="20"/>
          <w:szCs w:val="20"/>
          <w:lang w:val="en-US"/>
        </w:rPr>
        <w:t>, pp. 102-765.</w:t>
      </w:r>
    </w:p>
    <w:p w14:paraId="7B4AB337"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Anderson, N., Potočnik, K. and Zhou, J. (2014) “</w:t>
      </w:r>
      <w:r>
        <w:rPr>
          <w:rFonts w:ascii="Arial" w:hAnsi="Arial" w:cs="Arial"/>
          <w:i/>
          <w:iCs/>
          <w:sz w:val="20"/>
          <w:szCs w:val="20"/>
          <w:lang w:val="en-US"/>
        </w:rPr>
        <w:t>Innovation and creativity in organizations: A state-of-the-science review and prospective commentary” Journal of Management</w:t>
      </w:r>
      <w:r>
        <w:rPr>
          <w:rFonts w:ascii="Arial" w:hAnsi="Arial" w:cs="Arial"/>
          <w:sz w:val="20"/>
          <w:szCs w:val="20"/>
          <w:lang w:val="en-US"/>
        </w:rPr>
        <w:t>, 40 (5), pp. 1297–1333.</w:t>
      </w:r>
    </w:p>
    <w:p w14:paraId="7BCA3452"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Arieli, S., Sagiv, L., and Roccas, S. (2018) </w:t>
      </w:r>
      <w:r>
        <w:rPr>
          <w:rFonts w:ascii="Arial" w:hAnsi="Arial" w:cs="Arial"/>
          <w:i/>
          <w:iCs/>
          <w:sz w:val="20"/>
          <w:szCs w:val="20"/>
          <w:lang w:val="en-US"/>
        </w:rPr>
        <w:t>“Values at Work: The Impact of Personal Values in Organizations” Applied Psychology</w:t>
      </w:r>
      <w:r>
        <w:rPr>
          <w:rFonts w:ascii="Arial" w:hAnsi="Arial" w:cs="Arial"/>
          <w:sz w:val="20"/>
          <w:szCs w:val="20"/>
          <w:lang w:val="en-US"/>
        </w:rPr>
        <w:t>.</w:t>
      </w:r>
    </w:p>
    <w:p w14:paraId="17462AFF"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Bailey, AA., Albassami, F. and Al-Meshal, S. (2016)</w:t>
      </w:r>
      <w:r>
        <w:rPr>
          <w:rFonts w:ascii="Arial" w:hAnsi="Arial" w:cs="Arial"/>
          <w:i/>
          <w:iCs/>
          <w:sz w:val="20"/>
          <w:szCs w:val="20"/>
          <w:lang w:val="en-US"/>
        </w:rPr>
        <w:t xml:space="preserve"> “The roles of employee job satisfaction and organizational commitment in the internal marketing-employee bank identification relationship” International Journal of Bank Marketing, </w:t>
      </w:r>
      <w:r>
        <w:rPr>
          <w:rFonts w:ascii="Arial" w:hAnsi="Arial" w:cs="Arial"/>
          <w:sz w:val="20"/>
          <w:szCs w:val="20"/>
          <w:lang w:val="en-US"/>
        </w:rPr>
        <w:t>34 (6), pp. 21–40.</w:t>
      </w:r>
    </w:p>
    <w:p w14:paraId="79EC4031"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Berzonsky, M. D., Cieciuch, J., Duriez, B. and Soenens, B. (2011) </w:t>
      </w:r>
      <w:r>
        <w:rPr>
          <w:rFonts w:ascii="Arial" w:hAnsi="Arial" w:cs="Arial"/>
          <w:i/>
          <w:iCs/>
          <w:sz w:val="20"/>
          <w:szCs w:val="20"/>
          <w:lang w:val="en-US"/>
        </w:rPr>
        <w:t>“The how and what of identity formation: Associations between identity styles and value orientations” Personality and Individual Differences</w:t>
      </w:r>
      <w:r>
        <w:rPr>
          <w:rFonts w:ascii="Arial" w:hAnsi="Arial" w:cs="Arial"/>
          <w:sz w:val="20"/>
          <w:szCs w:val="20"/>
          <w:lang w:val="en-US"/>
        </w:rPr>
        <w:t>, 50(2), pp. 295-299.</w:t>
      </w:r>
    </w:p>
    <w:p w14:paraId="7767838B"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Childs, M., Turner, T., Sneed, C. and Berry, A. (2022) </w:t>
      </w:r>
      <w:r>
        <w:rPr>
          <w:rFonts w:ascii="Arial" w:hAnsi="Arial" w:cs="Arial"/>
          <w:i/>
          <w:iCs/>
          <w:sz w:val="20"/>
          <w:szCs w:val="20"/>
          <w:lang w:val="en-US"/>
        </w:rPr>
        <w:t>“A Contingency Theory Approach to Understanding Small Retail Business Continuity During COVID-19. Family and Consumer” Sciences Research Journal</w:t>
      </w:r>
      <w:r>
        <w:rPr>
          <w:rFonts w:ascii="Arial" w:hAnsi="Arial" w:cs="Arial"/>
          <w:sz w:val="20"/>
          <w:szCs w:val="20"/>
          <w:lang w:val="en-US"/>
        </w:rPr>
        <w:t>, 50 (3), pp.216–230.</w:t>
      </w:r>
    </w:p>
    <w:p w14:paraId="592E737D"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Cole, G.A. (2015) </w:t>
      </w:r>
      <w:r>
        <w:rPr>
          <w:rFonts w:ascii="Arial" w:hAnsi="Arial" w:cs="Arial"/>
          <w:i/>
          <w:iCs/>
          <w:sz w:val="20"/>
          <w:szCs w:val="20"/>
          <w:lang w:val="en-US"/>
        </w:rPr>
        <w:t>“Management Theory and Practice”,</w:t>
      </w:r>
      <w:r>
        <w:rPr>
          <w:rFonts w:ascii="Arial" w:hAnsi="Arial" w:cs="Arial"/>
          <w:sz w:val="20"/>
          <w:szCs w:val="20"/>
          <w:lang w:val="en-US"/>
        </w:rPr>
        <w:t xml:space="preserve"> Sixth Edition, North River Press.</w:t>
      </w:r>
    </w:p>
    <w:p w14:paraId="66117652"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Fahim, M. and Eslamdoost, S. (2014) </w:t>
      </w:r>
      <w:r>
        <w:rPr>
          <w:rFonts w:ascii="Arial" w:hAnsi="Arial" w:cs="Arial"/>
          <w:i/>
          <w:iCs/>
          <w:sz w:val="20"/>
          <w:szCs w:val="20"/>
          <w:lang w:val="en-US"/>
        </w:rPr>
        <w:t>“Critical Thinking: Frameworks and Models for Teaching” English Language Teaching</w:t>
      </w:r>
      <w:r>
        <w:rPr>
          <w:rFonts w:ascii="Arial" w:hAnsi="Arial" w:cs="Arial"/>
          <w:sz w:val="20"/>
          <w:szCs w:val="20"/>
          <w:lang w:val="en-US"/>
        </w:rPr>
        <w:t>, 7 (7).</w:t>
      </w:r>
    </w:p>
    <w:p w14:paraId="46F527EB"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Göçmen, Ö. and Coşkun, H. (2019) </w:t>
      </w:r>
      <w:r>
        <w:rPr>
          <w:rFonts w:ascii="Arial" w:hAnsi="Arial" w:cs="Arial"/>
          <w:i/>
          <w:iCs/>
          <w:sz w:val="20"/>
          <w:szCs w:val="20"/>
          <w:lang w:val="en-US"/>
        </w:rPr>
        <w:t>“The Effects of the Six Thinking Hats and Speed on Creativity in Brainstorming” Thinking Skills and Creativity</w:t>
      </w:r>
      <w:r>
        <w:rPr>
          <w:rFonts w:ascii="Arial" w:hAnsi="Arial" w:cs="Arial"/>
          <w:sz w:val="20"/>
          <w:szCs w:val="20"/>
          <w:lang w:val="en-US"/>
        </w:rPr>
        <w:t>, 31, pp. 284-295.</w:t>
      </w:r>
    </w:p>
    <w:p w14:paraId="46092D13"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lastRenderedPageBreak/>
        <w:t xml:space="preserve">Gomendio, M. (2017) </w:t>
      </w:r>
      <w:r>
        <w:rPr>
          <w:rFonts w:ascii="Arial" w:hAnsi="Arial" w:cs="Arial"/>
          <w:i/>
          <w:iCs/>
          <w:sz w:val="20"/>
          <w:szCs w:val="20"/>
          <w:lang w:val="en-US"/>
        </w:rPr>
        <w:t>“Empowering and Enabling Teachers to Improve Equity and Outcomes for All” International Summit on the Teaching Profession</w:t>
      </w:r>
      <w:r>
        <w:rPr>
          <w:rFonts w:ascii="Arial" w:hAnsi="Arial" w:cs="Arial"/>
          <w:sz w:val="20"/>
          <w:szCs w:val="20"/>
          <w:lang w:val="en-US"/>
        </w:rPr>
        <w:t>, OECD Publishing, Paris.</w:t>
      </w:r>
    </w:p>
    <w:p w14:paraId="69130F69"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Huda, M. A. (2016) </w:t>
      </w:r>
      <w:r>
        <w:rPr>
          <w:rFonts w:ascii="Arial" w:hAnsi="Arial" w:cs="Arial"/>
          <w:i/>
          <w:iCs/>
          <w:sz w:val="20"/>
          <w:szCs w:val="20"/>
          <w:lang w:val="en-US"/>
        </w:rPr>
        <w:t>“Marketing Audit; Ibis Hotels as a part of Accor Hotel Management Group” Academia.edu.</w:t>
      </w:r>
    </w:p>
    <w:p w14:paraId="1B43235C"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Hughes, D. J., Lee, A., Tian, A. W., Newman, A. and Legood, A. (2018) </w:t>
      </w:r>
      <w:r>
        <w:rPr>
          <w:rFonts w:ascii="Arial" w:hAnsi="Arial" w:cs="Arial"/>
          <w:i/>
          <w:iCs/>
          <w:sz w:val="20"/>
          <w:szCs w:val="20"/>
          <w:lang w:val="en-US"/>
        </w:rPr>
        <w:t>“Leadership, creativity, and innovation: A critical review and practical recommendations” The Leadership Quarterly</w:t>
      </w:r>
      <w:r>
        <w:rPr>
          <w:rFonts w:ascii="Arial" w:hAnsi="Arial" w:cs="Arial"/>
          <w:sz w:val="20"/>
          <w:szCs w:val="20"/>
          <w:lang w:val="en-US"/>
        </w:rPr>
        <w:t>, 29 (5), pp. 549-569.</w:t>
      </w:r>
    </w:p>
    <w:p w14:paraId="79B04FB1"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Jones, P. and Comfort D. (2020) </w:t>
      </w:r>
      <w:r>
        <w:rPr>
          <w:rFonts w:ascii="Arial" w:hAnsi="Arial" w:cs="Arial"/>
          <w:i/>
          <w:iCs/>
          <w:sz w:val="20"/>
          <w:szCs w:val="20"/>
          <w:lang w:val="en-US"/>
        </w:rPr>
        <w:t>“The COVID-19 crisis, tourism and sustainable development” Athens Journal of Tourism</w:t>
      </w:r>
      <w:r>
        <w:rPr>
          <w:rFonts w:ascii="Arial" w:hAnsi="Arial" w:cs="Arial"/>
          <w:sz w:val="20"/>
          <w:szCs w:val="20"/>
          <w:lang w:val="en-US"/>
        </w:rPr>
        <w:t>, 7 (2), pp. 75-86.</w:t>
      </w:r>
    </w:p>
    <w:p w14:paraId="7BEE403E"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Kim, H., Yu, M. and Hyun, S.S. (2022) </w:t>
      </w:r>
      <w:r>
        <w:rPr>
          <w:rFonts w:ascii="Arial" w:hAnsi="Arial" w:cs="Arial"/>
          <w:i/>
          <w:iCs/>
          <w:sz w:val="20"/>
          <w:szCs w:val="20"/>
          <w:lang w:val="en-US"/>
        </w:rPr>
        <w:t>“Strategies to Improve Work Attitude and Mental Health of Problem Employees: Focusing on Airline Cabin Crew” International Journal Environmental Research</w:t>
      </w:r>
      <w:r>
        <w:rPr>
          <w:rFonts w:ascii="Arial" w:hAnsi="Arial" w:cs="Arial"/>
          <w:sz w:val="20"/>
          <w:szCs w:val="20"/>
          <w:lang w:val="en-US"/>
        </w:rPr>
        <w:t>, 19, p. 768.</w:t>
      </w:r>
    </w:p>
    <w:p w14:paraId="7E238FF8" w14:textId="77777777" w:rsidR="00415F1A" w:rsidRDefault="00415F1A" w:rsidP="00415F1A">
      <w:pPr>
        <w:spacing w:after="0" w:line="360" w:lineRule="auto"/>
        <w:jc w:val="both"/>
        <w:rPr>
          <w:rStyle w:val="markedcontent"/>
        </w:rPr>
      </w:pPr>
      <w:r>
        <w:rPr>
          <w:rStyle w:val="markedcontent"/>
          <w:rFonts w:ascii="Arial" w:hAnsi="Arial" w:cs="Arial"/>
          <w:sz w:val="20"/>
          <w:szCs w:val="20"/>
          <w:lang w:val="en-US"/>
        </w:rPr>
        <w:t xml:space="preserve">Mahanal, S., Zubaidah, S., Sumiati, I. D., Sari, T. M. and Ismirawati, N. (2019) </w:t>
      </w:r>
      <w:r>
        <w:rPr>
          <w:rStyle w:val="markedcontent"/>
          <w:rFonts w:ascii="Arial" w:hAnsi="Arial" w:cs="Arial"/>
          <w:i/>
          <w:iCs/>
          <w:sz w:val="20"/>
          <w:szCs w:val="20"/>
          <w:lang w:val="en-US"/>
        </w:rPr>
        <w:t>“RICOSRE: A</w:t>
      </w:r>
      <w:r>
        <w:rPr>
          <w:rFonts w:ascii="Arial" w:hAnsi="Arial" w:cs="Arial"/>
          <w:i/>
          <w:iCs/>
          <w:sz w:val="20"/>
          <w:szCs w:val="20"/>
          <w:lang w:val="en-US"/>
        </w:rPr>
        <w:t xml:space="preserve"> </w:t>
      </w:r>
      <w:r>
        <w:rPr>
          <w:rStyle w:val="markedcontent"/>
          <w:rFonts w:ascii="Arial" w:hAnsi="Arial" w:cs="Arial"/>
          <w:i/>
          <w:iCs/>
          <w:sz w:val="20"/>
          <w:szCs w:val="20"/>
          <w:lang w:val="en-US"/>
        </w:rPr>
        <w:t>Learning Model to Develop Critical Thinking Skills for Students with Different Academic Abilities”</w:t>
      </w:r>
      <w:r>
        <w:rPr>
          <w:rFonts w:ascii="Arial" w:hAnsi="Arial" w:cs="Arial"/>
          <w:i/>
          <w:iCs/>
          <w:sz w:val="20"/>
          <w:szCs w:val="20"/>
          <w:lang w:val="en-US"/>
        </w:rPr>
        <w:t xml:space="preserve"> </w:t>
      </w:r>
      <w:r>
        <w:rPr>
          <w:rStyle w:val="markedcontent"/>
          <w:rFonts w:ascii="Arial" w:hAnsi="Arial" w:cs="Arial"/>
          <w:i/>
          <w:iCs/>
          <w:sz w:val="20"/>
          <w:szCs w:val="20"/>
          <w:lang w:val="en-US"/>
        </w:rPr>
        <w:t>International Journal of Instruction</w:t>
      </w:r>
      <w:r>
        <w:rPr>
          <w:rStyle w:val="markedcontent"/>
          <w:rFonts w:ascii="Arial" w:hAnsi="Arial" w:cs="Arial"/>
          <w:sz w:val="20"/>
          <w:szCs w:val="20"/>
          <w:lang w:val="en-US"/>
        </w:rPr>
        <w:t>, 12 (2), pp. 417-434.</w:t>
      </w:r>
    </w:p>
    <w:p w14:paraId="35570A44" w14:textId="77777777" w:rsidR="00415F1A" w:rsidRDefault="00415F1A" w:rsidP="00415F1A">
      <w:pPr>
        <w:spacing w:after="0" w:line="360" w:lineRule="auto"/>
        <w:jc w:val="both"/>
      </w:pPr>
      <w:r>
        <w:rPr>
          <w:rFonts w:ascii="Arial" w:hAnsi="Arial" w:cs="Arial"/>
          <w:sz w:val="20"/>
          <w:szCs w:val="20"/>
          <w:lang w:val="en-US"/>
        </w:rPr>
        <w:t xml:space="preserve">McGrath, J. and Bates, B. (2013) </w:t>
      </w:r>
      <w:r>
        <w:rPr>
          <w:rFonts w:ascii="Arial" w:hAnsi="Arial" w:cs="Arial"/>
          <w:i/>
          <w:iCs/>
          <w:sz w:val="20"/>
          <w:szCs w:val="20"/>
          <w:lang w:val="en-US"/>
        </w:rPr>
        <w:t xml:space="preserve">The Little Book of Big Management Theories: and How to Use them Paperbac, </w:t>
      </w:r>
      <w:r>
        <w:rPr>
          <w:rFonts w:ascii="Arial" w:hAnsi="Arial" w:cs="Arial"/>
          <w:sz w:val="20"/>
          <w:szCs w:val="20"/>
          <w:lang w:val="en-US"/>
        </w:rPr>
        <w:t>North River Press.</w:t>
      </w:r>
    </w:p>
    <w:p w14:paraId="67319F34"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Mensah, J. (2019) </w:t>
      </w:r>
      <w:r>
        <w:rPr>
          <w:rFonts w:ascii="Arial" w:hAnsi="Arial" w:cs="Arial"/>
          <w:i/>
          <w:iCs/>
          <w:sz w:val="20"/>
          <w:szCs w:val="20"/>
          <w:lang w:val="en-US"/>
        </w:rPr>
        <w:t>“Sustainable development: Meaning, history, principles, pillars, and implications for human action: Literature review” Cogent Social Sciences</w:t>
      </w:r>
      <w:r>
        <w:rPr>
          <w:rFonts w:ascii="Arial" w:hAnsi="Arial" w:cs="Arial"/>
          <w:sz w:val="20"/>
          <w:szCs w:val="20"/>
          <w:lang w:val="en-US"/>
        </w:rPr>
        <w:t>, 5 (1).</w:t>
      </w:r>
    </w:p>
    <w:p w14:paraId="75B5792F"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Moise, C. (2014) </w:t>
      </w:r>
      <w:r>
        <w:rPr>
          <w:rFonts w:ascii="Arial" w:hAnsi="Arial" w:cs="Arial"/>
          <w:i/>
          <w:iCs/>
          <w:sz w:val="20"/>
          <w:szCs w:val="20"/>
          <w:lang w:val="en-US"/>
        </w:rPr>
        <w:t>“Importance of Beliefs, Attitudes and Values in the Frame of Human Resource Motivation” Annals of Spiru Haret University Economic Series</w:t>
      </w:r>
      <w:r>
        <w:rPr>
          <w:rFonts w:ascii="Arial" w:hAnsi="Arial" w:cs="Arial"/>
          <w:sz w:val="20"/>
          <w:szCs w:val="20"/>
          <w:lang w:val="en-US"/>
        </w:rPr>
        <w:t>,14 (2), p.17.</w:t>
      </w:r>
    </w:p>
    <w:p w14:paraId="4DF70479" w14:textId="77777777" w:rsidR="00415F1A" w:rsidRDefault="00415F1A" w:rsidP="00415F1A">
      <w:pPr>
        <w:spacing w:after="0" w:line="360" w:lineRule="auto"/>
        <w:jc w:val="both"/>
        <w:rPr>
          <w:rFonts w:ascii="Arial" w:hAnsi="Arial" w:cs="Arial"/>
          <w:sz w:val="20"/>
          <w:szCs w:val="20"/>
        </w:rPr>
      </w:pPr>
      <w:r>
        <w:rPr>
          <w:rFonts w:ascii="Arial" w:hAnsi="Arial" w:cs="Arial"/>
          <w:sz w:val="20"/>
          <w:szCs w:val="20"/>
        </w:rPr>
        <w:t>Pollit, D. (2001)</w:t>
      </w:r>
      <w:r>
        <w:rPr>
          <w:rFonts w:ascii="Arial" w:hAnsi="Arial" w:cs="Arial"/>
          <w:i/>
          <w:iCs/>
          <w:sz w:val="20"/>
          <w:szCs w:val="20"/>
        </w:rPr>
        <w:t xml:space="preserve"> “A flexible workforce for the modern economy; the role of education and training” Education and Training, </w:t>
      </w:r>
      <w:r>
        <w:rPr>
          <w:rFonts w:ascii="Arial" w:hAnsi="Arial" w:cs="Arial"/>
          <w:sz w:val="20"/>
          <w:szCs w:val="20"/>
        </w:rPr>
        <w:t>43 (7), pp. 345</w:t>
      </w:r>
      <w:r>
        <w:rPr>
          <w:rFonts w:ascii="Cambria Math" w:hAnsi="Cambria Math" w:cs="Cambria Math"/>
          <w:sz w:val="20"/>
          <w:szCs w:val="20"/>
        </w:rPr>
        <w:t>‐</w:t>
      </w:r>
      <w:r>
        <w:rPr>
          <w:rFonts w:ascii="Arial" w:hAnsi="Arial" w:cs="Arial"/>
          <w:sz w:val="20"/>
          <w:szCs w:val="20"/>
        </w:rPr>
        <w:t>376.</w:t>
      </w:r>
    </w:p>
    <w:p w14:paraId="18736E4D"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Porter, M. E. (2000) </w:t>
      </w:r>
      <w:r>
        <w:rPr>
          <w:rFonts w:ascii="Arial" w:hAnsi="Arial" w:cs="Arial"/>
          <w:i/>
          <w:iCs/>
          <w:sz w:val="20"/>
          <w:szCs w:val="20"/>
          <w:lang w:val="en-US"/>
        </w:rPr>
        <w:t>“Attitudes, Values, Beliefs, and the Microeconomics of Prosperity” Culture Matters,</w:t>
      </w:r>
      <w:r>
        <w:rPr>
          <w:rFonts w:ascii="Arial" w:hAnsi="Arial" w:cs="Arial"/>
          <w:sz w:val="20"/>
          <w:szCs w:val="20"/>
          <w:lang w:val="en-US"/>
        </w:rPr>
        <w:t xml:space="preserve"> pp. 14-18.</w:t>
      </w:r>
    </w:p>
    <w:p w14:paraId="1F5B395F"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Purc, E., and Laguna, M. (2019) </w:t>
      </w:r>
      <w:r>
        <w:rPr>
          <w:rFonts w:ascii="Arial" w:hAnsi="Arial" w:cs="Arial"/>
          <w:i/>
          <w:iCs/>
          <w:sz w:val="20"/>
          <w:szCs w:val="20"/>
          <w:lang w:val="en-US"/>
        </w:rPr>
        <w:t>“Personal Values and Innovative Behavior of Employees” Frontiers in Psychology</w:t>
      </w:r>
      <w:r>
        <w:rPr>
          <w:rFonts w:ascii="Arial" w:hAnsi="Arial" w:cs="Arial"/>
          <w:sz w:val="20"/>
          <w:szCs w:val="20"/>
          <w:lang w:val="en-US"/>
        </w:rPr>
        <w:t>, 10.</w:t>
      </w:r>
    </w:p>
    <w:p w14:paraId="09B4AA3C"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Rahman, M. (2019) </w:t>
      </w:r>
      <w:r>
        <w:rPr>
          <w:rFonts w:ascii="Arial" w:hAnsi="Arial" w:cs="Arial"/>
          <w:i/>
          <w:iCs/>
          <w:sz w:val="20"/>
          <w:szCs w:val="20"/>
          <w:lang w:val="en-US"/>
        </w:rPr>
        <w:t>“21st Century Skill “Problem Solving”: Defining the Concept” Asian Journal of Interdisciplinary Research</w:t>
      </w:r>
      <w:r>
        <w:rPr>
          <w:rFonts w:ascii="Arial" w:hAnsi="Arial" w:cs="Arial"/>
          <w:sz w:val="20"/>
          <w:szCs w:val="20"/>
          <w:lang w:val="en-US"/>
        </w:rPr>
        <w:t>, 2 (1), pp. 64-74.</w:t>
      </w:r>
    </w:p>
    <w:p w14:paraId="72F38687"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Rebele, J. E. and St. Pierre, E. K. (2019) </w:t>
      </w:r>
      <w:r>
        <w:rPr>
          <w:rFonts w:ascii="Arial" w:hAnsi="Arial" w:cs="Arial"/>
          <w:i/>
          <w:iCs/>
          <w:sz w:val="20"/>
          <w:szCs w:val="20"/>
          <w:lang w:val="en-US"/>
        </w:rPr>
        <w:t>“A commentary on learning objectives for accounting education programs: The importance of soft skills and technical knowledge” Journal of Accounting Education.</w:t>
      </w:r>
      <w:r>
        <w:rPr>
          <w:rFonts w:ascii="Arial" w:hAnsi="Arial" w:cs="Arial"/>
          <w:sz w:val="20"/>
          <w:szCs w:val="20"/>
          <w:lang w:val="en-US"/>
        </w:rPr>
        <w:t xml:space="preserve">  </w:t>
      </w:r>
    </w:p>
    <w:p w14:paraId="037CD4DE"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Rehman, O. U., Ryan, M. J. and Efatmaneshnik, M. (2017</w:t>
      </w:r>
      <w:r>
        <w:rPr>
          <w:rFonts w:ascii="Arial" w:hAnsi="Arial" w:cs="Arial"/>
          <w:i/>
          <w:iCs/>
          <w:sz w:val="20"/>
          <w:szCs w:val="20"/>
          <w:lang w:val="en-US"/>
        </w:rPr>
        <w:t>) “Future Proofing Process” INCOSE International Symposium</w:t>
      </w:r>
      <w:r>
        <w:rPr>
          <w:rFonts w:ascii="Arial" w:hAnsi="Arial" w:cs="Arial"/>
          <w:sz w:val="20"/>
          <w:szCs w:val="20"/>
          <w:lang w:val="en-US"/>
        </w:rPr>
        <w:t>, 27 (1), pp. 921–934.</w:t>
      </w:r>
    </w:p>
    <w:p w14:paraId="66FF0ACF"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Riemer, H., Shavitt, S., Koo, M. and Markus, H. R. (2014) </w:t>
      </w:r>
      <w:r>
        <w:rPr>
          <w:rFonts w:ascii="Arial" w:hAnsi="Arial" w:cs="Arial"/>
          <w:i/>
          <w:iCs/>
          <w:sz w:val="20"/>
          <w:szCs w:val="20"/>
          <w:lang w:val="en-US"/>
        </w:rPr>
        <w:t>“Preferences don’t have to be personal: Expanding attitude theorizing with a cross-cultural perspective” Psychological Review</w:t>
      </w:r>
      <w:r>
        <w:rPr>
          <w:rFonts w:ascii="Arial" w:hAnsi="Arial" w:cs="Arial"/>
          <w:sz w:val="20"/>
          <w:szCs w:val="20"/>
          <w:lang w:val="en-US"/>
        </w:rPr>
        <w:t>, 121 (4), pp. 619–648.</w:t>
      </w:r>
    </w:p>
    <w:p w14:paraId="614E8FF2"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Sagiv, L. and Roccas, S. (2017) </w:t>
      </w:r>
      <w:r>
        <w:rPr>
          <w:rFonts w:ascii="Arial" w:hAnsi="Arial" w:cs="Arial"/>
          <w:i/>
          <w:iCs/>
          <w:sz w:val="20"/>
          <w:szCs w:val="20"/>
          <w:lang w:val="en-US"/>
        </w:rPr>
        <w:t xml:space="preserve">What personal values are and what they are not: Taking a cross-cultural perspective </w:t>
      </w:r>
      <w:r>
        <w:rPr>
          <w:rFonts w:ascii="Arial" w:hAnsi="Arial" w:cs="Arial"/>
          <w:sz w:val="20"/>
          <w:szCs w:val="20"/>
          <w:lang w:val="en-US"/>
        </w:rPr>
        <w:t>In S. Roccas &amp; L. Sagiv (Eds.), Values and behavior: Taking a cross-cultural perspective (pp. 3-13). Springer, Cham.</w:t>
      </w:r>
    </w:p>
    <w:p w14:paraId="1DF53492"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lastRenderedPageBreak/>
        <w:t xml:space="preserve">Saputra, M. D., Joyoatmojo, S., Wardani, D. K. and Sangka, K. B. (2019) </w:t>
      </w:r>
      <w:r>
        <w:rPr>
          <w:rFonts w:ascii="Arial" w:hAnsi="Arial" w:cs="Arial"/>
          <w:i/>
          <w:iCs/>
          <w:sz w:val="20"/>
          <w:szCs w:val="20"/>
          <w:lang w:val="en-US"/>
        </w:rPr>
        <w:t>“Developing Critical-Thinking Skills through the Collaboration of Jigsaw Model with Problem-Based Learning Model” International Journal of Instruction</w:t>
      </w:r>
      <w:r>
        <w:rPr>
          <w:rFonts w:ascii="Arial" w:hAnsi="Arial" w:cs="Arial"/>
          <w:sz w:val="20"/>
          <w:szCs w:val="20"/>
          <w:lang w:val="en-US"/>
        </w:rPr>
        <w:t>, 12 (1), pp. 1077-1094.</w:t>
      </w:r>
    </w:p>
    <w:p w14:paraId="62EE8FF7"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Sarachek, B. (1968) </w:t>
      </w:r>
      <w:r>
        <w:rPr>
          <w:rFonts w:ascii="Arial" w:hAnsi="Arial" w:cs="Arial"/>
          <w:i/>
          <w:iCs/>
          <w:sz w:val="20"/>
          <w:szCs w:val="20"/>
          <w:lang w:val="en-US"/>
        </w:rPr>
        <w:t>“Elton Mayo's Social Psychology and Human Relations” Academy of Management Journal,</w:t>
      </w:r>
      <w:r>
        <w:rPr>
          <w:rFonts w:ascii="Arial" w:hAnsi="Arial" w:cs="Arial"/>
          <w:sz w:val="20"/>
          <w:szCs w:val="20"/>
          <w:lang w:val="en-US"/>
        </w:rPr>
        <w:t xml:space="preserve"> 11 (2), pp. 189-197.</w:t>
      </w:r>
    </w:p>
    <w:p w14:paraId="7515E925"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Sharma, A., Khandelwal, U. and Agrawal, R. (2018) </w:t>
      </w:r>
      <w:r>
        <w:rPr>
          <w:rFonts w:ascii="Arial" w:hAnsi="Arial" w:cs="Arial"/>
          <w:i/>
          <w:iCs/>
          <w:sz w:val="20"/>
          <w:szCs w:val="20"/>
          <w:lang w:val="en-US"/>
        </w:rPr>
        <w:t>“Addressing Workplace Values in the organization: learning from different perspectives” International Journal of Business Ethics in Developing Economies</w:t>
      </w:r>
      <w:r>
        <w:rPr>
          <w:rFonts w:ascii="Arial" w:hAnsi="Arial" w:cs="Arial"/>
          <w:sz w:val="20"/>
          <w:szCs w:val="20"/>
          <w:lang w:val="en-US"/>
        </w:rPr>
        <w:t>, 7 (2), pp. 09-12.</w:t>
      </w:r>
    </w:p>
    <w:p w14:paraId="649E184A"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Sharma, A., Shin, H., Santa-Maria, M. and Nicolau, J. (2021) </w:t>
      </w:r>
      <w:r>
        <w:rPr>
          <w:rFonts w:ascii="Arial" w:hAnsi="Arial" w:cs="Arial"/>
          <w:i/>
          <w:iCs/>
          <w:sz w:val="20"/>
          <w:szCs w:val="20"/>
          <w:lang w:val="en-US"/>
        </w:rPr>
        <w:t>“Hotels' COVID-19 innovation and performance” Annals of Tourism Research</w:t>
      </w:r>
      <w:r>
        <w:rPr>
          <w:rFonts w:ascii="Arial" w:hAnsi="Arial" w:cs="Arial"/>
          <w:sz w:val="20"/>
          <w:szCs w:val="20"/>
          <w:lang w:val="en-US"/>
        </w:rPr>
        <w:t>, Vol 88.</w:t>
      </w:r>
    </w:p>
    <w:p w14:paraId="2016C5CC"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Shaw, A., Liu, O. L., Gu, L., Kardonova, E., Chirikov, I., Li, G. and Loyalka, P. (2019) </w:t>
      </w:r>
      <w:r>
        <w:rPr>
          <w:rFonts w:ascii="Arial" w:hAnsi="Arial" w:cs="Arial"/>
          <w:i/>
          <w:iCs/>
          <w:sz w:val="20"/>
          <w:szCs w:val="20"/>
          <w:lang w:val="en-US"/>
        </w:rPr>
        <w:t xml:space="preserve">“Thinking critically about critical thinking: validating the Russian HEIghten critical thinking assessment” Studies in Higher Education, </w:t>
      </w:r>
      <w:r>
        <w:rPr>
          <w:rFonts w:ascii="Arial" w:hAnsi="Arial" w:cs="Arial"/>
          <w:sz w:val="20"/>
          <w:szCs w:val="20"/>
          <w:lang w:val="en-US"/>
        </w:rPr>
        <w:t>pp. 1–16.</w:t>
      </w:r>
    </w:p>
    <w:p w14:paraId="24AEE0B4"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Schwartz, S. H. (1992) </w:t>
      </w:r>
      <w:r>
        <w:rPr>
          <w:rFonts w:ascii="Arial" w:hAnsi="Arial" w:cs="Arial"/>
          <w:i/>
          <w:iCs/>
          <w:sz w:val="20"/>
          <w:szCs w:val="20"/>
          <w:lang w:val="en-US"/>
        </w:rPr>
        <w:t>Universals in the content and structure of values: Theoretical advances and empirical tests in 20 countries,</w:t>
      </w:r>
      <w:r>
        <w:rPr>
          <w:rFonts w:ascii="Arial" w:hAnsi="Arial" w:cs="Arial"/>
          <w:sz w:val="20"/>
          <w:szCs w:val="20"/>
          <w:lang w:val="en-US"/>
        </w:rPr>
        <w:t xml:space="preserve"> In M. Zanna (Ed.), Advances in experimental social psychology (Vol. 25, pp. 1–65). New York, NY: Academic Press.</w:t>
      </w:r>
    </w:p>
    <w:p w14:paraId="63EF18B4"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Tabatadze, L. (2019) </w:t>
      </w:r>
      <w:r>
        <w:rPr>
          <w:rFonts w:ascii="Arial" w:hAnsi="Arial" w:cs="Arial"/>
          <w:i/>
          <w:iCs/>
          <w:sz w:val="20"/>
          <w:szCs w:val="20"/>
          <w:lang w:val="en-US"/>
        </w:rPr>
        <w:t>“The evolution of Management Theories” The New Economist</w:t>
      </w:r>
      <w:r>
        <w:rPr>
          <w:rFonts w:ascii="Arial" w:hAnsi="Arial" w:cs="Arial"/>
          <w:sz w:val="20"/>
          <w:szCs w:val="20"/>
          <w:lang w:val="en-US"/>
        </w:rPr>
        <w:t>, 54-55 (3/4), pp. 27-30.</w:t>
      </w:r>
    </w:p>
    <w:p w14:paraId="66939DE2"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Teece, D. J. (2018) </w:t>
      </w:r>
      <w:r>
        <w:rPr>
          <w:rFonts w:ascii="Arial" w:hAnsi="Arial" w:cs="Arial"/>
          <w:i/>
          <w:iCs/>
          <w:sz w:val="20"/>
          <w:szCs w:val="20"/>
          <w:lang w:val="en-US"/>
        </w:rPr>
        <w:t>“Dynamic capabilities as (workable) management systems theory” Journal of Management and Organization</w:t>
      </w:r>
      <w:r>
        <w:rPr>
          <w:rFonts w:ascii="Arial" w:hAnsi="Arial" w:cs="Arial"/>
          <w:sz w:val="20"/>
          <w:szCs w:val="20"/>
          <w:lang w:val="en-US"/>
        </w:rPr>
        <w:t>, 24 (3), pp. 359–368.</w:t>
      </w:r>
    </w:p>
    <w:p w14:paraId="481CE7E7"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Vecchione, M., Schwartz, S., Alessandri, G., Döring, A. K., Castellani, V. and Caprara, M. G. (2016) </w:t>
      </w:r>
      <w:r>
        <w:rPr>
          <w:rFonts w:ascii="Arial" w:hAnsi="Arial" w:cs="Arial"/>
          <w:i/>
          <w:iCs/>
          <w:sz w:val="20"/>
          <w:szCs w:val="20"/>
          <w:lang w:val="en-US"/>
        </w:rPr>
        <w:t>“Stability and change of basic personal values in early adulthood: An 8-year longitudinal study” Journal of Research in Personality</w:t>
      </w:r>
      <w:r>
        <w:rPr>
          <w:rFonts w:ascii="Arial" w:hAnsi="Arial" w:cs="Arial"/>
          <w:sz w:val="20"/>
          <w:szCs w:val="20"/>
          <w:lang w:val="en-US"/>
        </w:rPr>
        <w:t>, 63, pp. 111-122.</w:t>
      </w:r>
    </w:p>
    <w:p w14:paraId="17F96BFA"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Watkins, M. (2017) </w:t>
      </w:r>
      <w:r>
        <w:rPr>
          <w:rFonts w:ascii="Arial" w:hAnsi="Arial" w:cs="Arial"/>
          <w:i/>
          <w:iCs/>
          <w:sz w:val="20"/>
          <w:szCs w:val="20"/>
          <w:lang w:val="en-US"/>
        </w:rPr>
        <w:t>The First 90 Days: Critical Success Strategies</w:t>
      </w:r>
      <w:r>
        <w:rPr>
          <w:rFonts w:ascii="Arial" w:hAnsi="Arial" w:cs="Arial"/>
          <w:sz w:val="20"/>
          <w:szCs w:val="20"/>
          <w:lang w:val="en-US"/>
        </w:rPr>
        <w:t>, Harvard Business Review Press.</w:t>
      </w:r>
    </w:p>
    <w:p w14:paraId="56B00E3E"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Wulandari, R., Baedhowi and Hindrayani, A. (2021) </w:t>
      </w:r>
      <w:r>
        <w:rPr>
          <w:rFonts w:ascii="Arial" w:hAnsi="Arial" w:cs="Arial"/>
          <w:i/>
          <w:iCs/>
          <w:sz w:val="20"/>
          <w:szCs w:val="20"/>
          <w:lang w:val="en-US"/>
        </w:rPr>
        <w:t>“Measuring Critical Thinking Skills with the RED Model” Journal of Physics: Conference Series</w:t>
      </w:r>
      <w:r>
        <w:rPr>
          <w:rFonts w:ascii="Arial" w:hAnsi="Arial" w:cs="Arial"/>
          <w:sz w:val="20"/>
          <w:szCs w:val="20"/>
          <w:lang w:val="en-US"/>
        </w:rPr>
        <w:t>, 1808, pp. 12-30.</w:t>
      </w:r>
    </w:p>
    <w:p w14:paraId="3B1F31BF" w14:textId="77777777" w:rsidR="00415F1A" w:rsidRDefault="00415F1A" w:rsidP="00415F1A">
      <w:pPr>
        <w:spacing w:after="0" w:line="360" w:lineRule="auto"/>
        <w:jc w:val="both"/>
        <w:rPr>
          <w:rFonts w:ascii="Arial" w:hAnsi="Arial" w:cs="Arial"/>
          <w:b/>
          <w:bCs/>
          <w:i/>
          <w:iCs/>
          <w:sz w:val="20"/>
          <w:szCs w:val="20"/>
          <w:lang w:val="en-US"/>
        </w:rPr>
      </w:pPr>
      <w:r>
        <w:rPr>
          <w:rFonts w:ascii="Arial" w:hAnsi="Arial" w:cs="Arial"/>
          <w:b/>
          <w:bCs/>
          <w:i/>
          <w:iCs/>
          <w:sz w:val="20"/>
          <w:szCs w:val="20"/>
          <w:lang w:val="en-US"/>
        </w:rPr>
        <w:t>Online sources:</w:t>
      </w:r>
    </w:p>
    <w:p w14:paraId="36C44255"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Accor (2020) </w:t>
      </w:r>
      <w:r>
        <w:rPr>
          <w:rFonts w:ascii="Arial" w:hAnsi="Arial" w:cs="Arial"/>
          <w:i/>
          <w:iCs/>
          <w:sz w:val="20"/>
          <w:szCs w:val="20"/>
          <w:lang w:val="en-US"/>
        </w:rPr>
        <w:t>Who We Are? Traditional Hospitality and Beyond?</w:t>
      </w:r>
      <w:r>
        <w:rPr>
          <w:rFonts w:ascii="Arial" w:hAnsi="Arial" w:cs="Arial"/>
          <w:sz w:val="20"/>
          <w:szCs w:val="20"/>
          <w:lang w:val="en-US"/>
        </w:rPr>
        <w:t xml:space="preserve"> Available at: </w:t>
      </w:r>
      <w:hyperlink r:id="rId22" w:history="1">
        <w:r>
          <w:rPr>
            <w:rStyle w:val="Hyperlink"/>
            <w:rFonts w:ascii="Arial" w:hAnsi="Arial" w:cs="Arial"/>
            <w:sz w:val="20"/>
            <w:szCs w:val="20"/>
            <w:lang w:val="en-US"/>
          </w:rPr>
          <w:t>https://careers.accor.com/global/en/who-we-are</w:t>
        </w:r>
      </w:hyperlink>
      <w:r>
        <w:rPr>
          <w:rFonts w:ascii="Arial" w:hAnsi="Arial" w:cs="Arial"/>
          <w:sz w:val="20"/>
          <w:szCs w:val="20"/>
          <w:lang w:val="en-US"/>
        </w:rPr>
        <w:t xml:space="preserve"> (Accessed: 29 March 2022).</w:t>
      </w:r>
    </w:p>
    <w:p w14:paraId="22317778"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Altman, L., 2011. </w:t>
      </w:r>
      <w:r>
        <w:rPr>
          <w:rFonts w:ascii="Arial" w:hAnsi="Arial" w:cs="Arial"/>
          <w:i/>
          <w:iCs/>
          <w:sz w:val="20"/>
          <w:szCs w:val="20"/>
          <w:lang w:val="en-US"/>
        </w:rPr>
        <w:t>Intentional Communication Consultants.</w:t>
      </w:r>
      <w:r>
        <w:rPr>
          <w:rFonts w:ascii="Arial" w:hAnsi="Arial" w:cs="Arial"/>
          <w:sz w:val="20"/>
          <w:szCs w:val="20"/>
          <w:lang w:val="en-US"/>
        </w:rPr>
        <w:t xml:space="preserve"> Available at: </w:t>
      </w:r>
      <w:hyperlink r:id="rId23" w:history="1">
        <w:r>
          <w:rPr>
            <w:rStyle w:val="Hyperlink"/>
            <w:rFonts w:ascii="Arial" w:hAnsi="Arial" w:cs="Arial"/>
            <w:sz w:val="20"/>
            <w:szCs w:val="20"/>
            <w:lang w:val="en-US"/>
          </w:rPr>
          <w:t>https://www.intentionalcommunication.com/the-power-of-beliefs-at-work/</w:t>
        </w:r>
      </w:hyperlink>
      <w:r>
        <w:rPr>
          <w:rFonts w:ascii="Arial" w:hAnsi="Arial" w:cs="Arial"/>
          <w:sz w:val="20"/>
          <w:szCs w:val="20"/>
          <w:lang w:val="en-US"/>
        </w:rPr>
        <w:t xml:space="preserve"> (Accessed: 5 April 2022).</w:t>
      </w:r>
    </w:p>
    <w:p w14:paraId="5EC10019"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Chaturvedi, A. (2021). </w:t>
      </w:r>
      <w:r>
        <w:rPr>
          <w:rFonts w:ascii="Arial" w:hAnsi="Arial" w:cs="Arial"/>
          <w:i/>
          <w:iCs/>
          <w:sz w:val="20"/>
          <w:szCs w:val="20"/>
          <w:lang w:val="en-US"/>
        </w:rPr>
        <w:t>Accor could see revenues almost returning to 2019 levels by Q4 2022 if Covid doesn't spiral out of control in India, says top executive</w:t>
      </w:r>
      <w:r>
        <w:rPr>
          <w:rFonts w:ascii="Arial" w:hAnsi="Arial" w:cs="Arial"/>
          <w:sz w:val="20"/>
          <w:szCs w:val="20"/>
          <w:lang w:val="en-US"/>
        </w:rPr>
        <w:t xml:space="preserve">. The Economic Times Industry. Available at: </w:t>
      </w:r>
      <w:hyperlink r:id="rId24" w:history="1">
        <w:r>
          <w:rPr>
            <w:rStyle w:val="Hyperlink"/>
            <w:rFonts w:ascii="Arial" w:hAnsi="Arial" w:cs="Arial"/>
            <w:sz w:val="20"/>
            <w:szCs w:val="20"/>
            <w:lang w:val="en-US"/>
          </w:rPr>
          <w:t>https://economictimes.indiatimes.com/industry/services/hotels-/-restaurants/accor-could-see-revenues-almost-returning-to-2019-levels-by-q4-2022-if-covid-doesnt-spiral-out-of-control-in-india-says-top-executive/articleshow/88468781.cms</w:t>
        </w:r>
      </w:hyperlink>
      <w:r>
        <w:rPr>
          <w:rFonts w:ascii="Arial" w:hAnsi="Arial" w:cs="Arial"/>
          <w:sz w:val="20"/>
          <w:szCs w:val="20"/>
          <w:lang w:val="en-US"/>
        </w:rPr>
        <w:t xml:space="preserve"> (Accessed: 31 March 2022).</w:t>
      </w:r>
    </w:p>
    <w:p w14:paraId="2D2DA031" w14:textId="77777777" w:rsidR="00415F1A" w:rsidRDefault="00415F1A" w:rsidP="00415F1A">
      <w:pPr>
        <w:spacing w:after="0" w:line="360" w:lineRule="auto"/>
        <w:jc w:val="both"/>
        <w:rPr>
          <w:rFonts w:ascii="Arial" w:hAnsi="Arial" w:cs="Arial"/>
          <w:sz w:val="20"/>
          <w:szCs w:val="20"/>
          <w:lang w:val="en-US"/>
        </w:rPr>
      </w:pPr>
      <w:r>
        <w:rPr>
          <w:rFonts w:ascii="Arial" w:hAnsi="Arial" w:cs="Arial"/>
          <w:sz w:val="20"/>
          <w:szCs w:val="20"/>
          <w:lang w:val="en-US"/>
        </w:rPr>
        <w:t xml:space="preserve">GTP (2020) </w:t>
      </w:r>
      <w:r>
        <w:rPr>
          <w:rFonts w:ascii="Arial" w:hAnsi="Arial" w:cs="Arial"/>
          <w:i/>
          <w:iCs/>
          <w:sz w:val="20"/>
          <w:szCs w:val="20"/>
          <w:lang w:val="en-US"/>
        </w:rPr>
        <w:t>Accor Creates Fund to Help Staff Affected by Covid-19</w:t>
      </w:r>
      <w:r>
        <w:rPr>
          <w:rFonts w:ascii="Arial" w:hAnsi="Arial" w:cs="Arial"/>
          <w:sz w:val="20"/>
          <w:szCs w:val="20"/>
          <w:lang w:val="en-US"/>
        </w:rPr>
        <w:t xml:space="preserve">. Available at: </w:t>
      </w:r>
      <w:hyperlink r:id="rId25" w:history="1">
        <w:r>
          <w:rPr>
            <w:rStyle w:val="Hyperlink"/>
            <w:rFonts w:ascii="Arial" w:hAnsi="Arial" w:cs="Arial"/>
            <w:sz w:val="20"/>
            <w:szCs w:val="20"/>
            <w:lang w:val="en-US"/>
          </w:rPr>
          <w:t>https://news.gtp.gr/2020/04/03/accor-creates-fund-to-help-staff-affected-by-covid-19/</w:t>
        </w:r>
      </w:hyperlink>
      <w:r>
        <w:rPr>
          <w:rFonts w:ascii="Arial" w:hAnsi="Arial" w:cs="Arial"/>
          <w:sz w:val="20"/>
          <w:szCs w:val="20"/>
          <w:lang w:val="en-US"/>
        </w:rPr>
        <w:t xml:space="preserve"> (Accessed: 2 April 2022).</w:t>
      </w:r>
    </w:p>
    <w:p w14:paraId="4A673ADC" w14:textId="77777777" w:rsidR="00415F1A" w:rsidRDefault="00415F1A" w:rsidP="00415F1A">
      <w:pPr>
        <w:spacing w:after="0" w:line="360" w:lineRule="auto"/>
        <w:jc w:val="both"/>
        <w:rPr>
          <w:rFonts w:ascii="Arial" w:hAnsi="Arial" w:cs="Arial"/>
          <w:color w:val="0563C1" w:themeColor="hyperlink"/>
          <w:sz w:val="20"/>
          <w:szCs w:val="20"/>
          <w:u w:val="single"/>
          <w:lang w:val="en-US"/>
        </w:rPr>
      </w:pPr>
      <w:r>
        <w:rPr>
          <w:rFonts w:ascii="Arial" w:hAnsi="Arial" w:cs="Arial"/>
          <w:sz w:val="20"/>
          <w:szCs w:val="20"/>
          <w:lang w:val="en-US"/>
        </w:rPr>
        <w:lastRenderedPageBreak/>
        <w:t xml:space="preserve">MarketResearch.com (2020) </w:t>
      </w:r>
      <w:r>
        <w:rPr>
          <w:rFonts w:ascii="Arial" w:hAnsi="Arial" w:cs="Arial"/>
          <w:i/>
          <w:iCs/>
          <w:sz w:val="20"/>
          <w:szCs w:val="20"/>
          <w:lang w:val="en-US"/>
        </w:rPr>
        <w:t>Impact of COVID-19 on Accor and its response: Coronavirus (COVID-19)</w:t>
      </w:r>
      <w:r>
        <w:rPr>
          <w:rFonts w:ascii="Arial" w:hAnsi="Arial" w:cs="Arial"/>
          <w:sz w:val="20"/>
          <w:szCs w:val="20"/>
          <w:lang w:val="en-US"/>
        </w:rPr>
        <w:t xml:space="preserve">. Available at: </w:t>
      </w:r>
      <w:hyperlink r:id="rId26" w:history="1">
        <w:r>
          <w:rPr>
            <w:rStyle w:val="Hyperlink"/>
            <w:rFonts w:ascii="Arial" w:hAnsi="Arial" w:cs="Arial"/>
            <w:sz w:val="20"/>
            <w:szCs w:val="20"/>
            <w:lang w:val="en-US"/>
          </w:rPr>
          <w:t>https://www.marketresearch.com/GlobalData-v3648/Impact-COVID-Accor-response-Coronavirus-13347610/</w:t>
        </w:r>
      </w:hyperlink>
      <w:r>
        <w:rPr>
          <w:rStyle w:val="Hyperlink"/>
          <w:rFonts w:ascii="Arial" w:hAnsi="Arial" w:cs="Arial"/>
          <w:sz w:val="20"/>
          <w:szCs w:val="20"/>
          <w:lang w:val="en-US"/>
        </w:rPr>
        <w:t xml:space="preserve"> </w:t>
      </w:r>
      <w:r>
        <w:rPr>
          <w:rStyle w:val="Hyperlink"/>
          <w:rFonts w:ascii="Arial" w:hAnsi="Arial" w:cs="Arial"/>
          <w:color w:val="auto"/>
          <w:sz w:val="20"/>
          <w:szCs w:val="20"/>
          <w:lang w:val="en-US"/>
        </w:rPr>
        <w:t>(Accessed: 29 March 2022).</w:t>
      </w:r>
      <w:r>
        <w:rPr>
          <w:rFonts w:ascii="Arial" w:hAnsi="Arial" w:cs="Arial"/>
          <w:color w:val="0563C1" w:themeColor="hyperlink"/>
          <w:sz w:val="20"/>
          <w:szCs w:val="20"/>
          <w:u w:val="single"/>
          <w:lang w:val="en-US"/>
        </w:rPr>
        <w:t xml:space="preserve">  </w:t>
      </w:r>
    </w:p>
    <w:p w14:paraId="7549F990" w14:textId="77777777" w:rsidR="00415F1A" w:rsidRDefault="00415F1A" w:rsidP="00415F1A">
      <w:pPr>
        <w:spacing w:after="0" w:line="360" w:lineRule="auto"/>
        <w:jc w:val="both"/>
        <w:rPr>
          <w:rFonts w:ascii="Arial" w:hAnsi="Arial" w:cs="Arial"/>
          <w:color w:val="0563C1" w:themeColor="hyperlink"/>
          <w:sz w:val="20"/>
          <w:szCs w:val="20"/>
          <w:u w:val="single"/>
          <w:lang w:val="en-US"/>
        </w:rPr>
      </w:pPr>
      <w:r>
        <w:rPr>
          <w:rFonts w:ascii="Arial" w:hAnsi="Arial" w:cs="Arial"/>
          <w:sz w:val="20"/>
          <w:szCs w:val="20"/>
          <w:lang w:val="en-US"/>
        </w:rPr>
        <w:t>Press Accor (2014)</w:t>
      </w:r>
      <w:r>
        <w:rPr>
          <w:rFonts w:ascii="Arial" w:hAnsi="Arial" w:cs="Arial"/>
          <w:i/>
          <w:iCs/>
          <w:sz w:val="20"/>
          <w:szCs w:val="20"/>
          <w:lang w:val="en-US"/>
        </w:rPr>
        <w:t xml:space="preserve"> Ibis family reaches over 1,700 hotels and pursues its pioneering revolution.</w:t>
      </w:r>
      <w:r>
        <w:rPr>
          <w:rFonts w:ascii="Arial" w:hAnsi="Arial" w:cs="Arial"/>
          <w:sz w:val="20"/>
          <w:szCs w:val="20"/>
          <w:lang w:val="en-US"/>
        </w:rPr>
        <w:t xml:space="preserve"> Available at:  </w:t>
      </w:r>
      <w:hyperlink r:id="rId27" w:history="1">
        <w:r>
          <w:rPr>
            <w:rStyle w:val="Hyperlink"/>
            <w:rFonts w:ascii="Arial" w:hAnsi="Arial" w:cs="Arial"/>
            <w:sz w:val="20"/>
            <w:szCs w:val="20"/>
            <w:lang w:val="en-US"/>
          </w:rPr>
          <w:t>https://press.accor.com/la-famille-ibis-depasse-les-1-700-hotels-et-poursuit-sa-revolution-pionniere_5714_5714/?lang=en</w:t>
        </w:r>
      </w:hyperlink>
      <w:r>
        <w:rPr>
          <w:rFonts w:ascii="Arial" w:hAnsi="Arial" w:cs="Arial"/>
          <w:sz w:val="20"/>
          <w:szCs w:val="20"/>
          <w:lang w:val="en-US"/>
        </w:rPr>
        <w:t xml:space="preserve"> (Accessed: 30 March 2022).</w:t>
      </w:r>
    </w:p>
    <w:p w14:paraId="31F7FBE1" w14:textId="77777777" w:rsidR="00415F1A" w:rsidRDefault="00415F1A" w:rsidP="00415F1A">
      <w:pPr>
        <w:spacing w:after="0" w:line="360" w:lineRule="auto"/>
        <w:jc w:val="both"/>
        <w:rPr>
          <w:rFonts w:ascii="Arial" w:hAnsi="Arial" w:cs="Arial"/>
          <w:sz w:val="20"/>
          <w:szCs w:val="20"/>
          <w:lang w:val="en-US"/>
        </w:rPr>
      </w:pPr>
    </w:p>
    <w:p w14:paraId="1186B63E" w14:textId="77777777" w:rsidR="00415F1A" w:rsidRDefault="00415F1A" w:rsidP="00415F1A">
      <w:pPr>
        <w:spacing w:after="0" w:line="360" w:lineRule="auto"/>
        <w:jc w:val="both"/>
        <w:rPr>
          <w:rFonts w:ascii="Arial" w:hAnsi="Arial" w:cs="Arial"/>
          <w:sz w:val="20"/>
          <w:szCs w:val="20"/>
          <w:lang w:val="en-US"/>
        </w:rPr>
      </w:pPr>
    </w:p>
    <w:p w14:paraId="780A1148" w14:textId="77777777" w:rsidR="00415F1A" w:rsidRDefault="00415F1A" w:rsidP="00415F1A">
      <w:pPr>
        <w:spacing w:after="0" w:line="360" w:lineRule="auto"/>
        <w:jc w:val="both"/>
        <w:rPr>
          <w:rFonts w:ascii="Arial" w:hAnsi="Arial" w:cs="Arial"/>
          <w:lang w:val="en-US"/>
        </w:rPr>
      </w:pPr>
    </w:p>
    <w:p w14:paraId="2451A535" w14:textId="77777777" w:rsidR="001C032D" w:rsidRDefault="001C032D"/>
    <w:sectPr w:rsidR="001C032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144FC" w14:textId="77777777" w:rsidR="00C91A36" w:rsidRDefault="00C91A36" w:rsidP="000C0F36">
      <w:pPr>
        <w:spacing w:after="0" w:line="240" w:lineRule="auto"/>
      </w:pPr>
      <w:r>
        <w:separator/>
      </w:r>
    </w:p>
  </w:endnote>
  <w:endnote w:type="continuationSeparator" w:id="0">
    <w:p w14:paraId="3AA70C5C" w14:textId="77777777" w:rsidR="00C91A36" w:rsidRDefault="00C91A36" w:rsidP="000C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028934"/>
      <w:docPartObj>
        <w:docPartGallery w:val="Page Numbers (Bottom of Page)"/>
        <w:docPartUnique/>
      </w:docPartObj>
    </w:sdtPr>
    <w:sdtEndPr>
      <w:rPr>
        <w:noProof/>
      </w:rPr>
    </w:sdtEndPr>
    <w:sdtContent>
      <w:p w14:paraId="3712F4DD" w14:textId="140ABB47" w:rsidR="000C0F36" w:rsidRDefault="000C0F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FE30E4" w14:textId="77777777" w:rsidR="000C0F36" w:rsidRDefault="000C0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159F5" w14:textId="77777777" w:rsidR="00C91A36" w:rsidRDefault="00C91A36" w:rsidP="000C0F36">
      <w:pPr>
        <w:spacing w:after="0" w:line="240" w:lineRule="auto"/>
      </w:pPr>
      <w:r>
        <w:separator/>
      </w:r>
    </w:p>
  </w:footnote>
  <w:footnote w:type="continuationSeparator" w:id="0">
    <w:p w14:paraId="17CED962" w14:textId="77777777" w:rsidR="00C91A36" w:rsidRDefault="00C91A36" w:rsidP="000C0F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0A9"/>
    <w:rsid w:val="00007B2E"/>
    <w:rsid w:val="000C0F36"/>
    <w:rsid w:val="000C11E6"/>
    <w:rsid w:val="00100678"/>
    <w:rsid w:val="001450A9"/>
    <w:rsid w:val="001A748F"/>
    <w:rsid w:val="001C032D"/>
    <w:rsid w:val="00415F1A"/>
    <w:rsid w:val="004231E3"/>
    <w:rsid w:val="004C6854"/>
    <w:rsid w:val="004D3E2E"/>
    <w:rsid w:val="00513C6B"/>
    <w:rsid w:val="00525E84"/>
    <w:rsid w:val="0055317B"/>
    <w:rsid w:val="005C7A79"/>
    <w:rsid w:val="005F14A4"/>
    <w:rsid w:val="00655654"/>
    <w:rsid w:val="00666031"/>
    <w:rsid w:val="00681374"/>
    <w:rsid w:val="00696564"/>
    <w:rsid w:val="007260FB"/>
    <w:rsid w:val="008048EA"/>
    <w:rsid w:val="008A3E1A"/>
    <w:rsid w:val="008B286B"/>
    <w:rsid w:val="009B4789"/>
    <w:rsid w:val="009F0774"/>
    <w:rsid w:val="00BD38F0"/>
    <w:rsid w:val="00C75D51"/>
    <w:rsid w:val="00C90A0A"/>
    <w:rsid w:val="00C91A36"/>
    <w:rsid w:val="00D47A8B"/>
    <w:rsid w:val="00DB7AAC"/>
    <w:rsid w:val="00E42D02"/>
    <w:rsid w:val="00E95EE4"/>
    <w:rsid w:val="00E9695D"/>
    <w:rsid w:val="00FF7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7E728"/>
  <w15:chartTrackingRefBased/>
  <w15:docId w15:val="{5E2C4749-C4D4-4511-9512-F4847124C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5F1A"/>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0678"/>
    <w:rPr>
      <w:color w:val="0563C1" w:themeColor="hyperlink"/>
      <w:u w:val="single"/>
    </w:rPr>
  </w:style>
  <w:style w:type="paragraph" w:styleId="TOC1">
    <w:name w:val="toc 1"/>
    <w:basedOn w:val="Normal"/>
    <w:next w:val="Normal"/>
    <w:autoRedefine/>
    <w:uiPriority w:val="39"/>
    <w:semiHidden/>
    <w:unhideWhenUsed/>
    <w:rsid w:val="00100678"/>
    <w:pPr>
      <w:spacing w:after="100" w:line="256" w:lineRule="auto"/>
    </w:pPr>
    <w:rPr>
      <w:lang w:val="de-DE"/>
    </w:rPr>
  </w:style>
  <w:style w:type="paragraph" w:styleId="TOC2">
    <w:name w:val="toc 2"/>
    <w:basedOn w:val="Normal"/>
    <w:next w:val="Normal"/>
    <w:autoRedefine/>
    <w:uiPriority w:val="39"/>
    <w:semiHidden/>
    <w:unhideWhenUsed/>
    <w:rsid w:val="00100678"/>
    <w:pPr>
      <w:spacing w:after="100" w:line="256" w:lineRule="auto"/>
      <w:ind w:left="220"/>
    </w:pPr>
    <w:rPr>
      <w:rFonts w:eastAsiaTheme="minorEastAsia" w:cs="Times New Roman"/>
      <w:lang w:val="de-DE" w:eastAsia="de-DE"/>
    </w:rPr>
  </w:style>
  <w:style w:type="character" w:customStyle="1" w:styleId="Heading1Char">
    <w:name w:val="Heading 1 Char"/>
    <w:basedOn w:val="DefaultParagraphFont"/>
    <w:link w:val="Heading1"/>
    <w:uiPriority w:val="9"/>
    <w:rsid w:val="00100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100678"/>
    <w:pPr>
      <w:spacing w:line="256" w:lineRule="auto"/>
      <w:outlineLvl w:val="9"/>
    </w:pPr>
    <w:rPr>
      <w:lang w:val="de-DE" w:eastAsia="de-DE"/>
    </w:rPr>
  </w:style>
  <w:style w:type="character" w:customStyle="1" w:styleId="Heading2Char">
    <w:name w:val="Heading 2 Char"/>
    <w:basedOn w:val="DefaultParagraphFont"/>
    <w:link w:val="Heading2"/>
    <w:uiPriority w:val="9"/>
    <w:semiHidden/>
    <w:rsid w:val="00415F1A"/>
    <w:rPr>
      <w:rFonts w:asciiTheme="majorHAnsi" w:eastAsiaTheme="majorEastAsia" w:hAnsiTheme="majorHAnsi" w:cstheme="majorBidi"/>
      <w:color w:val="2F5496" w:themeColor="accent1" w:themeShade="BF"/>
      <w:sz w:val="26"/>
      <w:szCs w:val="26"/>
      <w:lang w:val="de-DE"/>
    </w:rPr>
  </w:style>
  <w:style w:type="paragraph" w:customStyle="1" w:styleId="ergasia">
    <w:name w:val="ergasia"/>
    <w:qFormat/>
    <w:rsid w:val="00415F1A"/>
    <w:pPr>
      <w:spacing w:line="360" w:lineRule="auto"/>
      <w:jc w:val="both"/>
    </w:pPr>
    <w:rPr>
      <w:rFonts w:ascii="Arial" w:hAnsi="Arial"/>
      <w:lang w:val="de-DE"/>
    </w:rPr>
  </w:style>
  <w:style w:type="character" w:customStyle="1" w:styleId="markedcontent">
    <w:name w:val="markedcontent"/>
    <w:basedOn w:val="DefaultParagraphFont"/>
    <w:rsid w:val="00415F1A"/>
  </w:style>
  <w:style w:type="paragraph" w:styleId="Header">
    <w:name w:val="header"/>
    <w:basedOn w:val="Normal"/>
    <w:link w:val="HeaderChar"/>
    <w:uiPriority w:val="99"/>
    <w:unhideWhenUsed/>
    <w:rsid w:val="000C0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F36"/>
  </w:style>
  <w:style w:type="paragraph" w:styleId="Footer">
    <w:name w:val="footer"/>
    <w:basedOn w:val="Normal"/>
    <w:link w:val="FooterChar"/>
    <w:uiPriority w:val="99"/>
    <w:unhideWhenUsed/>
    <w:rsid w:val="000C0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646996">
      <w:bodyDiv w:val="1"/>
      <w:marLeft w:val="0"/>
      <w:marRight w:val="0"/>
      <w:marTop w:val="0"/>
      <w:marBottom w:val="0"/>
      <w:divBdr>
        <w:top w:val="none" w:sz="0" w:space="0" w:color="auto"/>
        <w:left w:val="none" w:sz="0" w:space="0" w:color="auto"/>
        <w:bottom w:val="none" w:sz="0" w:space="0" w:color="auto"/>
        <w:right w:val="none" w:sz="0" w:space="0" w:color="auto"/>
      </w:divBdr>
    </w:div>
    <w:div w:id="186705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file:///C:\Users\maria\Downloads\Lucrare.docx" TargetMode="External"/><Relationship Id="rId18" Type="http://schemas.openxmlformats.org/officeDocument/2006/relationships/hyperlink" Target="file:///C:\Users\maria\Downloads\Lucrare.docx" TargetMode="External"/><Relationship Id="rId26" Type="http://schemas.openxmlformats.org/officeDocument/2006/relationships/hyperlink" Target="https://www.marketresearch.com/GlobalData-v3648/Impact-COVID-Accor-response-Coronavirus-13347610/" TargetMode="External"/><Relationship Id="rId3" Type="http://schemas.openxmlformats.org/officeDocument/2006/relationships/settings" Target="settings.xml"/><Relationship Id="rId21" Type="http://schemas.openxmlformats.org/officeDocument/2006/relationships/hyperlink" Target="file:///C:\Users\maria\Downloads\Lucrare.docx" TargetMode="External"/><Relationship Id="rId7" Type="http://schemas.openxmlformats.org/officeDocument/2006/relationships/image" Target="media/image1.png"/><Relationship Id="rId12" Type="http://schemas.openxmlformats.org/officeDocument/2006/relationships/hyperlink" Target="file:///C:\Users\maria\Downloads\Lucrare.docx" TargetMode="External"/><Relationship Id="rId17" Type="http://schemas.openxmlformats.org/officeDocument/2006/relationships/hyperlink" Target="file:///C:\Users\maria\Downloads\Lucrare.docx" TargetMode="External"/><Relationship Id="rId25" Type="http://schemas.openxmlformats.org/officeDocument/2006/relationships/hyperlink" Target="https://news.gtp.gr/2020/04/03/accor-creates-fund-to-help-staff-affected-by-covid-19/" TargetMode="External"/><Relationship Id="rId2" Type="http://schemas.openxmlformats.org/officeDocument/2006/relationships/styles" Target="styles.xml"/><Relationship Id="rId16" Type="http://schemas.openxmlformats.org/officeDocument/2006/relationships/hyperlink" Target="file:///C:\Users\maria\Downloads\Lucrare.docx" TargetMode="External"/><Relationship Id="rId20" Type="http://schemas.openxmlformats.org/officeDocument/2006/relationships/hyperlink" Target="file:///C:\Users\maria\Downloads\Lucrare.doc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maria\Downloads\Lucrare.docx" TargetMode="External"/><Relationship Id="rId24" Type="http://schemas.openxmlformats.org/officeDocument/2006/relationships/hyperlink" Target="https://economictimes.indiatimes.com/industry/services/hotels-/-restaurants/accor-could-see-revenues-almost-returning-to-2019-levels-by-q4-2022-if-covid-doesnt-spiral-out-of-control-in-india-says-top-executive/articleshow/88468781.cms" TargetMode="External"/><Relationship Id="rId5" Type="http://schemas.openxmlformats.org/officeDocument/2006/relationships/footnotes" Target="footnotes.xml"/><Relationship Id="rId15" Type="http://schemas.openxmlformats.org/officeDocument/2006/relationships/hyperlink" Target="file:///C:\Users\maria\Downloads\Lucrare.docx" TargetMode="External"/><Relationship Id="rId23" Type="http://schemas.openxmlformats.org/officeDocument/2006/relationships/hyperlink" Target="https://www.intentionalcommunication.com/the-power-of-beliefs-at-work/" TargetMode="External"/><Relationship Id="rId28" Type="http://schemas.openxmlformats.org/officeDocument/2006/relationships/footer" Target="footer1.xml"/><Relationship Id="rId10" Type="http://schemas.openxmlformats.org/officeDocument/2006/relationships/hyperlink" Target="file:///C:\Users\maria\Downloads\Lucrare.docx" TargetMode="External"/><Relationship Id="rId19" Type="http://schemas.openxmlformats.org/officeDocument/2006/relationships/hyperlink" Target="file:///C:\Users\maria\Downloads\Lucrare.docx" TargetMode="External"/><Relationship Id="rId4" Type="http://schemas.openxmlformats.org/officeDocument/2006/relationships/webSettings" Target="webSettings.xml"/><Relationship Id="rId9" Type="http://schemas.openxmlformats.org/officeDocument/2006/relationships/hyperlink" Target="file:///C:\Users\maria\Downloads\Lucrare.docx" TargetMode="External"/><Relationship Id="rId14" Type="http://schemas.openxmlformats.org/officeDocument/2006/relationships/hyperlink" Target="file:///C:\Users\maria\Downloads\Lucrare.docx" TargetMode="External"/><Relationship Id="rId22" Type="http://schemas.openxmlformats.org/officeDocument/2006/relationships/hyperlink" Target="https://careers.accor.com/global/en/who-we-are" TargetMode="External"/><Relationship Id="rId27" Type="http://schemas.openxmlformats.org/officeDocument/2006/relationships/hyperlink" Target="https://press.accor.com/la-famille-ibis-depasse-les-1-700-hotels-et-poursuit-sa-revolution-pionniere_5714_5714/?lang=e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D5A160-7DC0-4145-9ED2-D86931368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16</Pages>
  <Words>6242</Words>
  <Characters>35584</Characters>
  <Application>Microsoft Office Word</Application>
  <DocSecurity>0</DocSecurity>
  <Lines>296</Lines>
  <Paragraphs>83</Paragraphs>
  <ScaleCrop>false</ScaleCrop>
  <Company/>
  <LinksUpToDate>false</LinksUpToDate>
  <CharactersWithSpaces>41743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cp:lastModifiedBy>
  <cp:revision>33</cp:revision>
  <dcterms:created xsi:type="dcterms:W3CDTF">2022-02-27T23:39:00Z</dcterms:created>
  <dcterms:modified xsi:type="dcterms:W3CDTF">2022-04-09T21:01:00Z</dcterms:modified>
</cp:coreProperties>
</file>