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BE8B18" w14:textId="77777777" w:rsidR="00CB712A" w:rsidRDefault="009516F7" w:rsidP="00CB712A">
      <w:pPr>
        <w:spacing w:line="360" w:lineRule="auto"/>
        <w:rPr>
          <w:rFonts w:ascii="Calibri" w:hAnsi="Calibri" w:cs="Calibri"/>
          <w:sz w:val="24"/>
          <w:szCs w:val="24"/>
        </w:rPr>
      </w:pPr>
      <w:r w:rsidRPr="00CB712A">
        <w:rPr>
          <w:rFonts w:ascii="Calibri" w:hAnsi="Calibri" w:cs="Calibri"/>
          <w:sz w:val="24"/>
          <w:szCs w:val="24"/>
        </w:rPr>
        <w:tab/>
      </w:r>
    </w:p>
    <w:p w14:paraId="2A1C42CB" w14:textId="77777777" w:rsidR="00CB712A" w:rsidRDefault="00CB712A" w:rsidP="00CB712A">
      <w:pPr>
        <w:spacing w:line="360" w:lineRule="auto"/>
        <w:rPr>
          <w:rFonts w:ascii="Calibri" w:hAnsi="Calibri" w:cs="Calibri"/>
          <w:sz w:val="24"/>
          <w:szCs w:val="24"/>
        </w:rPr>
      </w:pPr>
    </w:p>
    <w:p w14:paraId="10007ACE" w14:textId="77777777" w:rsidR="00CB712A" w:rsidRDefault="00CB712A" w:rsidP="00CB712A">
      <w:pPr>
        <w:spacing w:line="360" w:lineRule="auto"/>
        <w:rPr>
          <w:rFonts w:ascii="Calibri" w:hAnsi="Calibri" w:cs="Calibri"/>
          <w:sz w:val="24"/>
          <w:szCs w:val="24"/>
        </w:rPr>
      </w:pPr>
    </w:p>
    <w:p w14:paraId="65D07747" w14:textId="77777777" w:rsidR="00CB712A" w:rsidRDefault="00CB712A" w:rsidP="00CB712A">
      <w:pPr>
        <w:spacing w:line="360" w:lineRule="auto"/>
        <w:rPr>
          <w:rFonts w:ascii="Calibri" w:hAnsi="Calibri" w:cs="Calibri"/>
          <w:sz w:val="24"/>
          <w:szCs w:val="24"/>
        </w:rPr>
      </w:pPr>
    </w:p>
    <w:p w14:paraId="74AC85A6" w14:textId="77777777" w:rsidR="00CB712A" w:rsidRDefault="00CB712A" w:rsidP="00CB712A">
      <w:pPr>
        <w:pStyle w:val="Title"/>
        <w:jc w:val="center"/>
        <w:rPr>
          <w:b/>
          <w:bCs/>
        </w:rPr>
      </w:pPr>
    </w:p>
    <w:p w14:paraId="47A369C5" w14:textId="77777777" w:rsidR="00CB712A" w:rsidRDefault="00CB712A" w:rsidP="00CB712A">
      <w:pPr>
        <w:pStyle w:val="Title"/>
        <w:jc w:val="center"/>
        <w:rPr>
          <w:b/>
          <w:bCs/>
        </w:rPr>
      </w:pPr>
    </w:p>
    <w:p w14:paraId="7E5EFC19" w14:textId="77777777" w:rsidR="00CB712A" w:rsidRDefault="00CB712A" w:rsidP="00CB712A">
      <w:pPr>
        <w:pStyle w:val="Title"/>
        <w:jc w:val="center"/>
        <w:rPr>
          <w:b/>
          <w:bCs/>
        </w:rPr>
      </w:pPr>
    </w:p>
    <w:p w14:paraId="466C809E" w14:textId="77777777" w:rsidR="00CB712A" w:rsidRDefault="00CB712A" w:rsidP="00CB712A">
      <w:pPr>
        <w:pStyle w:val="Title"/>
        <w:jc w:val="center"/>
        <w:rPr>
          <w:b/>
          <w:bCs/>
        </w:rPr>
      </w:pPr>
    </w:p>
    <w:p w14:paraId="15EE3509" w14:textId="1CFA3914" w:rsidR="00CB712A" w:rsidRPr="00CB712A" w:rsidRDefault="00CB712A" w:rsidP="00CB712A">
      <w:pPr>
        <w:pStyle w:val="Title"/>
        <w:jc w:val="center"/>
        <w:rPr>
          <w:b/>
          <w:bCs/>
        </w:rPr>
      </w:pPr>
      <w:r>
        <w:rPr>
          <w:b/>
          <w:bCs/>
        </w:rPr>
        <w:t>Evaluation of the sustainability and circular economy within the hospitality industry</w:t>
      </w:r>
    </w:p>
    <w:p w14:paraId="2881840A" w14:textId="77777777" w:rsidR="00CB712A" w:rsidRDefault="00CB712A" w:rsidP="00CB712A">
      <w:pPr>
        <w:spacing w:line="360" w:lineRule="auto"/>
        <w:rPr>
          <w:rFonts w:ascii="Calibri" w:hAnsi="Calibri" w:cs="Calibri"/>
          <w:sz w:val="24"/>
          <w:szCs w:val="24"/>
        </w:rPr>
      </w:pPr>
    </w:p>
    <w:p w14:paraId="754613F1" w14:textId="77777777" w:rsidR="00CB712A" w:rsidRDefault="00CB712A" w:rsidP="00CB712A">
      <w:pPr>
        <w:spacing w:line="360" w:lineRule="auto"/>
        <w:rPr>
          <w:rFonts w:ascii="Calibri" w:hAnsi="Calibri" w:cs="Calibri"/>
          <w:sz w:val="24"/>
          <w:szCs w:val="24"/>
        </w:rPr>
      </w:pPr>
    </w:p>
    <w:p w14:paraId="41500966" w14:textId="77777777" w:rsidR="00CB712A" w:rsidRDefault="00CB712A" w:rsidP="00CB712A">
      <w:pPr>
        <w:spacing w:line="360" w:lineRule="auto"/>
        <w:rPr>
          <w:rFonts w:ascii="Calibri" w:hAnsi="Calibri" w:cs="Calibri"/>
          <w:sz w:val="24"/>
          <w:szCs w:val="24"/>
        </w:rPr>
      </w:pPr>
    </w:p>
    <w:p w14:paraId="3554805C" w14:textId="77777777" w:rsidR="00CB712A" w:rsidRDefault="00CB712A" w:rsidP="00CB712A">
      <w:pPr>
        <w:spacing w:line="360" w:lineRule="auto"/>
        <w:rPr>
          <w:rFonts w:ascii="Calibri" w:hAnsi="Calibri" w:cs="Calibri"/>
          <w:sz w:val="24"/>
          <w:szCs w:val="24"/>
        </w:rPr>
      </w:pPr>
    </w:p>
    <w:p w14:paraId="26115E14" w14:textId="77777777" w:rsidR="00CB712A" w:rsidRDefault="00CB712A" w:rsidP="00CB712A">
      <w:pPr>
        <w:spacing w:line="360" w:lineRule="auto"/>
        <w:rPr>
          <w:rFonts w:ascii="Calibri" w:hAnsi="Calibri" w:cs="Calibri"/>
          <w:sz w:val="24"/>
          <w:szCs w:val="24"/>
        </w:rPr>
      </w:pPr>
    </w:p>
    <w:p w14:paraId="20AFF064" w14:textId="77777777" w:rsidR="00CB712A" w:rsidRDefault="00CB712A" w:rsidP="00CB712A">
      <w:pPr>
        <w:spacing w:line="360" w:lineRule="auto"/>
        <w:rPr>
          <w:rFonts w:ascii="Calibri" w:hAnsi="Calibri" w:cs="Calibri"/>
          <w:sz w:val="24"/>
          <w:szCs w:val="24"/>
        </w:rPr>
      </w:pPr>
    </w:p>
    <w:p w14:paraId="2FAFDD31" w14:textId="77777777" w:rsidR="00CB712A" w:rsidRDefault="00CB712A" w:rsidP="00CB712A">
      <w:pPr>
        <w:spacing w:line="360" w:lineRule="auto"/>
        <w:rPr>
          <w:rFonts w:ascii="Calibri" w:hAnsi="Calibri" w:cs="Calibri"/>
          <w:sz w:val="24"/>
          <w:szCs w:val="24"/>
        </w:rPr>
      </w:pPr>
    </w:p>
    <w:p w14:paraId="1932CBF2" w14:textId="77777777" w:rsidR="00CB712A" w:rsidRDefault="00CB712A" w:rsidP="00CB712A">
      <w:pPr>
        <w:spacing w:line="360" w:lineRule="auto"/>
        <w:rPr>
          <w:rFonts w:ascii="Calibri" w:hAnsi="Calibri" w:cs="Calibri"/>
          <w:sz w:val="24"/>
          <w:szCs w:val="24"/>
        </w:rPr>
      </w:pPr>
    </w:p>
    <w:p w14:paraId="1C869B11" w14:textId="77777777" w:rsidR="00CB712A" w:rsidRDefault="00CB712A" w:rsidP="00CB712A">
      <w:pPr>
        <w:spacing w:line="360" w:lineRule="auto"/>
        <w:rPr>
          <w:rFonts w:ascii="Calibri" w:hAnsi="Calibri" w:cs="Calibri"/>
          <w:sz w:val="24"/>
          <w:szCs w:val="24"/>
        </w:rPr>
      </w:pPr>
    </w:p>
    <w:p w14:paraId="1DC0F2FF" w14:textId="77777777" w:rsidR="00CB712A" w:rsidRDefault="00CB712A" w:rsidP="00CB712A">
      <w:pPr>
        <w:spacing w:line="360" w:lineRule="auto"/>
        <w:rPr>
          <w:rFonts w:ascii="Calibri" w:hAnsi="Calibri" w:cs="Calibri"/>
          <w:sz w:val="24"/>
          <w:szCs w:val="24"/>
        </w:rPr>
      </w:pPr>
    </w:p>
    <w:p w14:paraId="51AA4CD7" w14:textId="37D52B94" w:rsidR="00CB712A" w:rsidRDefault="00CB712A" w:rsidP="00CB712A">
      <w:pPr>
        <w:spacing w:line="360" w:lineRule="auto"/>
        <w:jc w:val="right"/>
        <w:rPr>
          <w:rFonts w:ascii="Calibri" w:hAnsi="Calibri" w:cs="Calibri"/>
          <w:sz w:val="24"/>
          <w:szCs w:val="24"/>
        </w:rPr>
      </w:pPr>
      <w:r>
        <w:rPr>
          <w:rFonts w:ascii="Calibri" w:hAnsi="Calibri" w:cs="Calibri"/>
          <w:sz w:val="24"/>
          <w:szCs w:val="24"/>
        </w:rPr>
        <w:t>By Dan Andronic</w:t>
      </w:r>
    </w:p>
    <w:p w14:paraId="115FC103" w14:textId="798CE350" w:rsidR="009516F7" w:rsidRPr="00CB712A" w:rsidRDefault="00CB712A" w:rsidP="00CB712A">
      <w:pPr>
        <w:spacing w:line="360" w:lineRule="auto"/>
        <w:rPr>
          <w:rFonts w:ascii="Calibri" w:hAnsi="Calibri" w:cs="Calibri"/>
          <w:sz w:val="24"/>
          <w:szCs w:val="24"/>
        </w:rPr>
      </w:pPr>
      <w:r>
        <w:rPr>
          <w:rFonts w:ascii="Calibri" w:hAnsi="Calibri" w:cs="Calibri"/>
          <w:sz w:val="24"/>
          <w:szCs w:val="24"/>
        </w:rPr>
        <w:lastRenderedPageBreak/>
        <w:tab/>
      </w:r>
      <w:r w:rsidR="005D018C" w:rsidRPr="00CB712A">
        <w:rPr>
          <w:rFonts w:ascii="Calibri" w:hAnsi="Calibri" w:cs="Calibri"/>
          <w:sz w:val="24"/>
          <w:szCs w:val="24"/>
        </w:rPr>
        <w:t>The purpose of this essay is to outline what sustainability and the circular economy mean to the tourism and hospitality industry while illustrating in detail how the industry is adapting to the changing practices to create a ‘greener’ environment for their guests. By exploring the intersection of sustainability and the circular economy, this essay</w:t>
      </w:r>
      <w:r w:rsidR="0014021C" w:rsidRPr="00CB712A">
        <w:rPr>
          <w:rFonts w:ascii="Calibri" w:hAnsi="Calibri" w:cs="Calibri"/>
          <w:sz w:val="24"/>
          <w:szCs w:val="24"/>
        </w:rPr>
        <w:t xml:space="preserve"> also</w:t>
      </w:r>
      <w:r w:rsidR="005D018C" w:rsidRPr="00CB712A">
        <w:rPr>
          <w:rFonts w:ascii="Calibri" w:hAnsi="Calibri" w:cs="Calibri"/>
          <w:sz w:val="24"/>
          <w:szCs w:val="24"/>
        </w:rPr>
        <w:t xml:space="preserve"> aims to shed light on the efforts being made within the industry to mitigate its environmental impact, promote resource efficiency, and prioritize the well-being of both current and future generations.</w:t>
      </w:r>
    </w:p>
    <w:p w14:paraId="5FCF400F" w14:textId="274C44CC" w:rsidR="005D018C" w:rsidRPr="00CB712A" w:rsidRDefault="0004728B" w:rsidP="00CB712A">
      <w:pPr>
        <w:spacing w:line="360" w:lineRule="auto"/>
        <w:rPr>
          <w:rFonts w:ascii="Calibri" w:eastAsia="Times New Roman" w:hAnsi="Calibri" w:cs="Calibri"/>
          <w:kern w:val="0"/>
          <w:sz w:val="24"/>
          <w:szCs w:val="24"/>
          <w:lang w:eastAsia="en-GB"/>
          <w14:ligatures w14:val="none"/>
        </w:rPr>
      </w:pPr>
      <w:r w:rsidRPr="00CB712A">
        <w:rPr>
          <w:rFonts w:ascii="Calibri" w:hAnsi="Calibri" w:cs="Calibri"/>
          <w:sz w:val="24"/>
          <w:szCs w:val="24"/>
        </w:rPr>
        <w:t xml:space="preserve"> </w:t>
      </w:r>
      <w:r w:rsidRPr="00CB712A">
        <w:rPr>
          <w:rFonts w:ascii="Calibri" w:hAnsi="Calibri" w:cs="Calibri"/>
          <w:sz w:val="24"/>
          <w:szCs w:val="24"/>
        </w:rPr>
        <w:tab/>
        <w:t xml:space="preserve">According to the introduction in their findings </w:t>
      </w:r>
      <w:r w:rsidR="00465851" w:rsidRPr="00CB712A">
        <w:rPr>
          <w:rFonts w:ascii="Calibri" w:eastAsia="Times New Roman" w:hAnsi="Calibri" w:cs="Calibri"/>
          <w:kern w:val="0"/>
          <w:sz w:val="24"/>
          <w:szCs w:val="24"/>
          <w:lang w:eastAsia="en-GB"/>
          <w14:ligatures w14:val="none"/>
        </w:rPr>
        <w:t>(</w:t>
      </w:r>
      <w:proofErr w:type="spellStart"/>
      <w:r w:rsidR="00465851" w:rsidRPr="00CB712A">
        <w:rPr>
          <w:rFonts w:ascii="Calibri" w:eastAsia="Times New Roman" w:hAnsi="Calibri" w:cs="Calibri"/>
          <w:kern w:val="0"/>
          <w:sz w:val="24"/>
          <w:szCs w:val="24"/>
          <w:lang w:eastAsia="en-GB"/>
          <w14:ligatures w14:val="none"/>
        </w:rPr>
        <w:t>Schöggl</w:t>
      </w:r>
      <w:proofErr w:type="spellEnd"/>
      <w:r w:rsidR="00465851" w:rsidRPr="00CB712A">
        <w:rPr>
          <w:rFonts w:ascii="Calibri" w:eastAsia="Times New Roman" w:hAnsi="Calibri" w:cs="Calibri"/>
          <w:kern w:val="0"/>
          <w:sz w:val="24"/>
          <w:szCs w:val="24"/>
          <w:lang w:eastAsia="en-GB"/>
          <w14:ligatures w14:val="none"/>
        </w:rPr>
        <w:t xml:space="preserve">, </w:t>
      </w:r>
      <w:r w:rsidR="00465851" w:rsidRPr="00CB712A">
        <w:rPr>
          <w:rFonts w:ascii="Calibri" w:eastAsia="Times New Roman" w:hAnsi="Calibri" w:cs="Calibri"/>
          <w:i/>
          <w:iCs/>
          <w:kern w:val="0"/>
          <w:sz w:val="24"/>
          <w:szCs w:val="24"/>
          <w:lang w:eastAsia="en-GB"/>
          <w14:ligatures w14:val="none"/>
        </w:rPr>
        <w:t>et al.</w:t>
      </w:r>
      <w:r w:rsidR="00465851" w:rsidRPr="00CB712A">
        <w:rPr>
          <w:rFonts w:ascii="Calibri" w:eastAsia="Times New Roman" w:hAnsi="Calibri" w:cs="Calibri"/>
          <w:kern w:val="0"/>
          <w:sz w:val="24"/>
          <w:szCs w:val="24"/>
          <w:lang w:eastAsia="en-GB"/>
          <w14:ligatures w14:val="none"/>
        </w:rPr>
        <w:t xml:space="preserve">, 2020) emphasized that </w:t>
      </w:r>
      <w:r w:rsidR="00465851" w:rsidRPr="00CB712A">
        <w:rPr>
          <w:rFonts w:ascii="Calibri" w:hAnsi="Calibri" w:cs="Calibri"/>
          <w:sz w:val="24"/>
          <w:szCs w:val="24"/>
        </w:rPr>
        <w:t>s</w:t>
      </w:r>
      <w:r w:rsidR="005D018C" w:rsidRPr="00CB712A">
        <w:rPr>
          <w:rFonts w:ascii="Calibri" w:hAnsi="Calibri" w:cs="Calibri"/>
          <w:sz w:val="24"/>
          <w:szCs w:val="24"/>
        </w:rPr>
        <w:t>ustainability and the circular economy are buzzwords that have gained significant attention in recent years, particularly in the hospitality industry. These concepts aim to address the growing concerns about environmental degradation and resource depletion. This document will provide an overview of sustainability and the circular economy, their core aspects, and how they fit within the hospitality industry.</w:t>
      </w:r>
    </w:p>
    <w:p w14:paraId="2A6B503C" w14:textId="2990C92D" w:rsidR="005D018C" w:rsidRPr="00CB712A" w:rsidRDefault="00987DAD" w:rsidP="00CB712A">
      <w:pPr>
        <w:pStyle w:val="pb-2"/>
        <w:spacing w:line="360" w:lineRule="auto"/>
        <w:rPr>
          <w:rFonts w:ascii="Calibri" w:hAnsi="Calibri" w:cs="Calibri"/>
        </w:rPr>
      </w:pPr>
      <w:r w:rsidRPr="00CB712A">
        <w:rPr>
          <w:rFonts w:ascii="Calibri" w:hAnsi="Calibri" w:cs="Calibri"/>
        </w:rPr>
        <w:tab/>
      </w:r>
      <w:r w:rsidR="009516F7" w:rsidRPr="00CB712A">
        <w:rPr>
          <w:rFonts w:ascii="Calibri" w:hAnsi="Calibri" w:cs="Calibri"/>
        </w:rPr>
        <w:t xml:space="preserve">According to London College of Contemporary Arts (2023), </w:t>
      </w:r>
      <w:r w:rsidR="005D018C" w:rsidRPr="00CB712A">
        <w:rPr>
          <w:rFonts w:ascii="Calibri" w:hAnsi="Calibri" w:cs="Calibri"/>
        </w:rPr>
        <w:t xml:space="preserve">Sustainability refers to the practice of meeting the needs of the present without compromising the ability of future generations to meet their own needs. It is a holistic concept that </w:t>
      </w:r>
      <w:proofErr w:type="gramStart"/>
      <w:r w:rsidR="005D018C" w:rsidRPr="00CB712A">
        <w:rPr>
          <w:rFonts w:ascii="Calibri" w:hAnsi="Calibri" w:cs="Calibri"/>
        </w:rPr>
        <w:t>takes into account</w:t>
      </w:r>
      <w:proofErr w:type="gramEnd"/>
      <w:r w:rsidR="005D018C" w:rsidRPr="00CB712A">
        <w:rPr>
          <w:rFonts w:ascii="Calibri" w:hAnsi="Calibri" w:cs="Calibri"/>
        </w:rPr>
        <w:t xml:space="preserve"> the environmental, social, and economic aspects of development. In the context of hospitality, sustainability focuses on reducing the negative impacts associated with tourism, such as carbon emissions, waste generation, and water consumption.</w:t>
      </w:r>
    </w:p>
    <w:p w14:paraId="71F1E4B6" w14:textId="33B76863" w:rsidR="005D018C" w:rsidRPr="00CB712A" w:rsidRDefault="00987DAD" w:rsidP="00CB712A">
      <w:pPr>
        <w:pStyle w:val="pb-2"/>
        <w:spacing w:line="360" w:lineRule="auto"/>
        <w:rPr>
          <w:rFonts w:ascii="Calibri" w:hAnsi="Calibri" w:cs="Calibri"/>
        </w:rPr>
      </w:pPr>
      <w:r w:rsidRPr="00CB712A">
        <w:rPr>
          <w:rFonts w:ascii="Calibri" w:hAnsi="Calibri" w:cs="Calibri"/>
        </w:rPr>
        <w:tab/>
      </w:r>
      <w:r w:rsidR="005D018C" w:rsidRPr="00CB712A">
        <w:rPr>
          <w:rFonts w:ascii="Calibri" w:hAnsi="Calibri" w:cs="Calibri"/>
        </w:rPr>
        <w:t>One of the key aspects of sustainability in the hospitality industry is mitigation of carbon emissions</w:t>
      </w:r>
      <w:r w:rsidR="007622FC" w:rsidRPr="00CB712A">
        <w:rPr>
          <w:rFonts w:ascii="Calibri" w:hAnsi="Calibri" w:cs="Calibri"/>
        </w:rPr>
        <w:t xml:space="preserve"> claims the European Environment Agency (2023)</w:t>
      </w:r>
      <w:r w:rsidR="005D018C" w:rsidRPr="00CB712A">
        <w:rPr>
          <w:rFonts w:ascii="Calibri" w:hAnsi="Calibri" w:cs="Calibri"/>
        </w:rPr>
        <w:t>. Hotels can adopt renewable energy sources, such as solar panels and wind turbines, to reduce their reliance on fossil fuels. Additionally, energy efficiency measures, such as LED lighting and occupancy sensors, can be implemented to reduce energy consumption.</w:t>
      </w:r>
    </w:p>
    <w:p w14:paraId="67E00EEE" w14:textId="3A822044" w:rsidR="005D018C" w:rsidRPr="00CB712A" w:rsidRDefault="00987DAD" w:rsidP="00CB712A">
      <w:pPr>
        <w:spacing w:line="360" w:lineRule="auto"/>
        <w:rPr>
          <w:rFonts w:ascii="Calibri" w:eastAsia="Times New Roman" w:hAnsi="Calibri" w:cs="Calibri"/>
          <w:kern w:val="0"/>
          <w:sz w:val="24"/>
          <w:szCs w:val="24"/>
          <w:lang w:eastAsia="en-GB"/>
          <w14:ligatures w14:val="none"/>
        </w:rPr>
      </w:pPr>
      <w:r w:rsidRPr="00CB712A">
        <w:rPr>
          <w:rFonts w:ascii="Calibri" w:hAnsi="Calibri" w:cs="Calibri"/>
          <w:sz w:val="24"/>
          <w:szCs w:val="24"/>
        </w:rPr>
        <w:tab/>
      </w:r>
      <w:r w:rsidR="005D018C" w:rsidRPr="00CB712A">
        <w:rPr>
          <w:rFonts w:ascii="Calibri" w:hAnsi="Calibri" w:cs="Calibri"/>
          <w:sz w:val="24"/>
          <w:szCs w:val="24"/>
        </w:rPr>
        <w:t>Waste management is another important aspect of sustainability in hospitality</w:t>
      </w:r>
      <w:r w:rsidR="007622FC" w:rsidRPr="00CB712A">
        <w:rPr>
          <w:rFonts w:ascii="Calibri" w:hAnsi="Calibri" w:cs="Calibri"/>
          <w:sz w:val="24"/>
          <w:szCs w:val="24"/>
        </w:rPr>
        <w:t xml:space="preserve"> according to </w:t>
      </w:r>
      <w:r w:rsidR="007622FC" w:rsidRPr="00CB712A">
        <w:rPr>
          <w:rFonts w:ascii="Calibri" w:eastAsia="Times New Roman" w:hAnsi="Calibri" w:cs="Calibri"/>
          <w:kern w:val="0"/>
          <w:sz w:val="24"/>
          <w:szCs w:val="24"/>
          <w:lang w:eastAsia="en-GB"/>
          <w14:ligatures w14:val="none"/>
        </w:rPr>
        <w:t>(Mews, 2023)</w:t>
      </w:r>
      <w:r w:rsidR="005D018C" w:rsidRPr="00CB712A">
        <w:rPr>
          <w:rFonts w:ascii="Calibri" w:hAnsi="Calibri" w:cs="Calibri"/>
          <w:sz w:val="24"/>
          <w:szCs w:val="24"/>
        </w:rPr>
        <w:t>. Hotels can implement recycling programs to reduce the quantity of waste sent to landfills. Additionally, composting initiatives can be implemented to convert organic waste into nutrient-rich soil.</w:t>
      </w:r>
    </w:p>
    <w:p w14:paraId="1B99C1C0" w14:textId="4B5927A8" w:rsidR="005D018C" w:rsidRPr="00CB712A" w:rsidRDefault="00987DAD" w:rsidP="00CB712A">
      <w:pPr>
        <w:pStyle w:val="pb-2"/>
        <w:spacing w:line="360" w:lineRule="auto"/>
        <w:rPr>
          <w:rFonts w:ascii="Calibri" w:hAnsi="Calibri" w:cs="Calibri"/>
        </w:rPr>
      </w:pPr>
      <w:r w:rsidRPr="00CB712A">
        <w:rPr>
          <w:rFonts w:ascii="Calibri" w:hAnsi="Calibri" w:cs="Calibri"/>
        </w:rPr>
        <w:lastRenderedPageBreak/>
        <w:tab/>
      </w:r>
      <w:r w:rsidR="005D018C" w:rsidRPr="00CB712A">
        <w:rPr>
          <w:rFonts w:ascii="Calibri" w:hAnsi="Calibri" w:cs="Calibri"/>
        </w:rPr>
        <w:t>The circular economy</w:t>
      </w:r>
      <w:r w:rsidR="001B38D8" w:rsidRPr="00CB712A">
        <w:rPr>
          <w:rFonts w:ascii="Calibri" w:hAnsi="Calibri" w:cs="Calibri"/>
        </w:rPr>
        <w:t>, according to (European Parliament, 2023)</w:t>
      </w:r>
      <w:r w:rsidR="005D018C" w:rsidRPr="00CB712A">
        <w:rPr>
          <w:rFonts w:ascii="Calibri" w:hAnsi="Calibri" w:cs="Calibri"/>
        </w:rPr>
        <w:t xml:space="preserve"> is a concept that emphasizes the use of resources for as long as possible while reducing waste generation. It is based on the principles of designing out waste, keeping products and materials in use, and regenerating natural systems. In the context of hospitality, the circular economy can be applied in several ways.</w:t>
      </w:r>
    </w:p>
    <w:p w14:paraId="40D15A62" w14:textId="36532F79" w:rsidR="00876F5C" w:rsidRPr="00CB712A" w:rsidRDefault="00987DAD" w:rsidP="00CB712A">
      <w:pPr>
        <w:pStyle w:val="pb-2"/>
        <w:spacing w:line="360" w:lineRule="auto"/>
        <w:rPr>
          <w:rFonts w:ascii="Calibri" w:hAnsi="Calibri" w:cs="Calibri"/>
        </w:rPr>
      </w:pPr>
      <w:r w:rsidRPr="00CB712A">
        <w:rPr>
          <w:rFonts w:ascii="Calibri" w:hAnsi="Calibri" w:cs="Calibri"/>
        </w:rPr>
        <w:tab/>
      </w:r>
      <w:r w:rsidR="00FD6F85" w:rsidRPr="00CB712A">
        <w:rPr>
          <w:rFonts w:ascii="Calibri" w:hAnsi="Calibri" w:cs="Calibri"/>
        </w:rPr>
        <w:t xml:space="preserve">Fabrice and </w:t>
      </w:r>
      <w:proofErr w:type="spellStart"/>
      <w:r w:rsidR="00FD6F85" w:rsidRPr="00CB712A">
        <w:rPr>
          <w:rFonts w:ascii="Calibri" w:hAnsi="Calibri" w:cs="Calibri"/>
        </w:rPr>
        <w:t>Uthayasankar’s</w:t>
      </w:r>
      <w:proofErr w:type="spellEnd"/>
      <w:r w:rsidR="00FD6F85" w:rsidRPr="00CB712A">
        <w:rPr>
          <w:rFonts w:ascii="Calibri" w:hAnsi="Calibri" w:cs="Calibri"/>
        </w:rPr>
        <w:t xml:space="preserve"> excellent research</w:t>
      </w:r>
      <w:r w:rsidR="00D27D43" w:rsidRPr="00CB712A">
        <w:rPr>
          <w:rFonts w:ascii="Calibri" w:hAnsi="Calibri" w:cs="Calibri"/>
        </w:rPr>
        <w:t xml:space="preserve"> (2021)</w:t>
      </w:r>
      <w:r w:rsidR="00FD6F85" w:rsidRPr="00CB712A">
        <w:rPr>
          <w:rFonts w:ascii="Calibri" w:hAnsi="Calibri" w:cs="Calibri"/>
        </w:rPr>
        <w:t xml:space="preserve"> </w:t>
      </w:r>
      <w:r w:rsidR="00876F5C" w:rsidRPr="00CB712A">
        <w:rPr>
          <w:rFonts w:ascii="Calibri" w:hAnsi="Calibri" w:cs="Calibri"/>
        </w:rPr>
        <w:t xml:space="preserve">stated that </w:t>
      </w:r>
      <w:r w:rsidR="000D356D" w:rsidRPr="00CB712A">
        <w:rPr>
          <w:rFonts w:ascii="Calibri" w:hAnsi="Calibri" w:cs="Calibri"/>
        </w:rPr>
        <w:t>study findings confirm and update the proposed conceptual framework enablers for supply chain management innovations. One of the key enablers that emerges from the research is deeper supply chain cooperation. The respondents emphasize the role of the regulatory and fiscal environment as a guarantor of a level playing field, highlighting the already stringent environmental regulations, particularly on the waste management aspect. However, no respondents mention the fiscal challenges associated with the implementation of circular economy business models, such as product-service system agreements (PSS). The financial impacts of PSS agreements on tangible assets depreciation and valuation, as well as the taxation of revenue streams generated from hotel assets through asset sharing platforms, are not mentioned by any respondents. This highlights respondents' lack of knowledge regarding circular economy business models and their understanding of the circular economy primarily as a waste and resource management toolkit.</w:t>
      </w:r>
    </w:p>
    <w:p w14:paraId="0D3EA03F" w14:textId="77777777" w:rsidR="00663AE3" w:rsidRPr="00CB712A" w:rsidRDefault="00987DAD" w:rsidP="00CB712A">
      <w:pPr>
        <w:pStyle w:val="pb-2"/>
        <w:spacing w:line="360" w:lineRule="auto"/>
        <w:rPr>
          <w:rFonts w:ascii="Calibri" w:hAnsi="Calibri" w:cs="Calibri"/>
        </w:rPr>
      </w:pPr>
      <w:r w:rsidRPr="00CB712A">
        <w:rPr>
          <w:rFonts w:ascii="Calibri" w:hAnsi="Calibri" w:cs="Calibri"/>
        </w:rPr>
        <w:tab/>
      </w:r>
      <w:r w:rsidR="000D356D" w:rsidRPr="00CB712A">
        <w:rPr>
          <w:rFonts w:ascii="Calibri" w:hAnsi="Calibri" w:cs="Calibri"/>
        </w:rPr>
        <w:t xml:space="preserve">Another </w:t>
      </w:r>
      <w:r w:rsidR="005D018C" w:rsidRPr="00CB712A">
        <w:rPr>
          <w:rFonts w:ascii="Calibri" w:hAnsi="Calibri" w:cs="Calibri"/>
        </w:rPr>
        <w:t>aspect of the circular economy in hospitality is reducing waste generation through resource conservation. Hotels can implement strategies such as reducing portion sizes, optimizing food procurement, and promoting the use of reusable utensils. By minimizing food waste and resorting to reusable products, hotels can contribute to a cleaner and more sustainable environment.</w:t>
      </w:r>
      <w:r w:rsidR="00465851" w:rsidRPr="00CB712A">
        <w:rPr>
          <w:rFonts w:ascii="Calibri" w:hAnsi="Calibri" w:cs="Calibri"/>
        </w:rPr>
        <w:t> </w:t>
      </w:r>
    </w:p>
    <w:p w14:paraId="1EC665AF" w14:textId="36965047" w:rsidR="005D018C" w:rsidRPr="00CB712A" w:rsidRDefault="00663AE3" w:rsidP="00CB712A">
      <w:pPr>
        <w:pStyle w:val="pb-2"/>
        <w:spacing w:line="360" w:lineRule="auto"/>
        <w:rPr>
          <w:rFonts w:ascii="Calibri" w:hAnsi="Calibri" w:cs="Calibri"/>
        </w:rPr>
      </w:pPr>
      <w:r w:rsidRPr="00CB712A">
        <w:rPr>
          <w:rFonts w:ascii="Calibri" w:hAnsi="Calibri" w:cs="Calibri"/>
        </w:rPr>
        <w:tab/>
      </w:r>
      <w:r w:rsidR="00465851" w:rsidRPr="00CB712A">
        <w:rPr>
          <w:rFonts w:ascii="Calibri" w:hAnsi="Calibri" w:cs="Calibri"/>
        </w:rPr>
        <w:t xml:space="preserve">Sustainable procurement is another aspect of circular economy in hospitality. The hotel industry can prioritize sustainable suppliers while using recycled materials and sourcing local foods can help. Adding to a circular economy is supporting sustainable suppliers. </w:t>
      </w:r>
      <w:r w:rsidR="005D018C" w:rsidRPr="00CB712A">
        <w:rPr>
          <w:rFonts w:ascii="Calibri" w:hAnsi="Calibri" w:cs="Calibri"/>
        </w:rPr>
        <w:t>The adoption of sustainability and the circular economy in the hospitality industry is crucial for the long-term viability of the industry. With increasing consumer awareness and demand for sustainable practices, hotels must adapt or face the risk of losing market share.</w:t>
      </w:r>
    </w:p>
    <w:p w14:paraId="3C37B7FA" w14:textId="60D959F7" w:rsidR="005D018C" w:rsidRPr="00CB712A" w:rsidRDefault="00987DAD" w:rsidP="00CB712A">
      <w:pPr>
        <w:spacing w:line="360" w:lineRule="auto"/>
        <w:rPr>
          <w:rFonts w:ascii="Times New Roman" w:eastAsia="Times New Roman" w:hAnsi="Times New Roman" w:cs="Times New Roman"/>
          <w:kern w:val="0"/>
          <w:sz w:val="24"/>
          <w:szCs w:val="24"/>
          <w:lang w:eastAsia="en-GB"/>
          <w14:ligatures w14:val="none"/>
        </w:rPr>
      </w:pPr>
      <w:r w:rsidRPr="00CB712A">
        <w:rPr>
          <w:rFonts w:ascii="Calibri" w:hAnsi="Calibri" w:cs="Calibri"/>
          <w:sz w:val="24"/>
          <w:szCs w:val="24"/>
        </w:rPr>
        <w:lastRenderedPageBreak/>
        <w:tab/>
      </w:r>
      <w:r w:rsidR="005D018C" w:rsidRPr="00CB712A">
        <w:rPr>
          <w:rFonts w:ascii="Calibri" w:hAnsi="Calibri" w:cs="Calibri"/>
          <w:sz w:val="24"/>
          <w:szCs w:val="24"/>
        </w:rPr>
        <w:t>Firstly, sustainability has become a selling point for hotels</w:t>
      </w:r>
      <w:r w:rsidR="00663AE3" w:rsidRPr="00CB712A">
        <w:rPr>
          <w:rFonts w:ascii="Calibri" w:hAnsi="Calibri" w:cs="Calibri"/>
          <w:sz w:val="24"/>
          <w:szCs w:val="24"/>
        </w:rPr>
        <w:t xml:space="preserve"> </w:t>
      </w:r>
      <w:r w:rsidR="00663AE3" w:rsidRPr="00CB712A">
        <w:rPr>
          <w:rFonts w:ascii="Calibri" w:eastAsia="Times New Roman" w:hAnsi="Calibri" w:cs="Calibri"/>
          <w:kern w:val="0"/>
          <w:sz w:val="24"/>
          <w:szCs w:val="24"/>
          <w:lang w:eastAsia="en-GB"/>
          <w14:ligatures w14:val="none"/>
        </w:rPr>
        <w:t>(BEON, 2023)</w:t>
      </w:r>
      <w:r w:rsidR="005D018C" w:rsidRPr="00CB712A">
        <w:rPr>
          <w:rFonts w:ascii="Calibri" w:hAnsi="Calibri" w:cs="Calibri"/>
          <w:sz w:val="24"/>
          <w:szCs w:val="24"/>
        </w:rPr>
        <w:t xml:space="preserve">. Guests are increasingly seeking hotels that demonstrate a commitment to eco-friendly practices. By adopting sustainable practices, hotels can attract environmentally conscious </w:t>
      </w:r>
      <w:r w:rsidR="00F13AFB" w:rsidRPr="00CB712A">
        <w:rPr>
          <w:rFonts w:ascii="Calibri" w:hAnsi="Calibri" w:cs="Calibri"/>
          <w:sz w:val="24"/>
          <w:szCs w:val="24"/>
        </w:rPr>
        <w:t>travellers</w:t>
      </w:r>
      <w:r w:rsidR="005D018C" w:rsidRPr="00CB712A">
        <w:rPr>
          <w:rFonts w:ascii="Calibri" w:hAnsi="Calibri" w:cs="Calibri"/>
          <w:sz w:val="24"/>
          <w:szCs w:val="24"/>
        </w:rPr>
        <w:t xml:space="preserve"> and differentiate themselves from competitors.</w:t>
      </w:r>
    </w:p>
    <w:p w14:paraId="4099BDA6" w14:textId="0D5D54AA" w:rsidR="005D018C" w:rsidRPr="00CB712A" w:rsidRDefault="00987DAD" w:rsidP="00CB712A">
      <w:pPr>
        <w:spacing w:line="360" w:lineRule="auto"/>
        <w:rPr>
          <w:rFonts w:ascii="Times New Roman" w:eastAsia="Times New Roman" w:hAnsi="Times New Roman" w:cs="Times New Roman"/>
          <w:kern w:val="0"/>
          <w:sz w:val="24"/>
          <w:szCs w:val="24"/>
          <w:lang w:eastAsia="en-GB"/>
          <w14:ligatures w14:val="none"/>
        </w:rPr>
      </w:pPr>
      <w:r w:rsidRPr="00CB712A">
        <w:rPr>
          <w:rFonts w:ascii="Calibri" w:hAnsi="Calibri" w:cs="Calibri"/>
          <w:sz w:val="24"/>
          <w:szCs w:val="24"/>
        </w:rPr>
        <w:tab/>
      </w:r>
      <w:r w:rsidR="005D018C" w:rsidRPr="00CB712A">
        <w:rPr>
          <w:rFonts w:ascii="Calibri" w:hAnsi="Calibri" w:cs="Calibri"/>
          <w:sz w:val="24"/>
          <w:szCs w:val="24"/>
        </w:rPr>
        <w:t>Secondly, the circular economy offers a framework within which hotels can reduce their environmental impact and save money. By implementing resource-efficient practices, hotels can reduce costs associated with waste generation and increase operational efficiency</w:t>
      </w:r>
      <w:r w:rsidR="00C34D44" w:rsidRPr="00CB712A">
        <w:rPr>
          <w:rFonts w:ascii="Calibri" w:hAnsi="Calibri" w:cs="Calibri"/>
          <w:sz w:val="24"/>
          <w:szCs w:val="24"/>
        </w:rPr>
        <w:t xml:space="preserve"> according to (</w:t>
      </w:r>
      <w:r w:rsidR="00C34D44" w:rsidRPr="00CB712A">
        <w:rPr>
          <w:rFonts w:ascii="Calibri" w:eastAsia="Times New Roman" w:hAnsi="Calibri" w:cs="Calibri"/>
          <w:kern w:val="0"/>
          <w:sz w:val="24"/>
          <w:szCs w:val="24"/>
          <w:lang w:eastAsia="en-GB"/>
          <w14:ligatures w14:val="none"/>
        </w:rPr>
        <w:t>IGI Global, 2022, pp. 220)</w:t>
      </w:r>
    </w:p>
    <w:p w14:paraId="1BE21ECA" w14:textId="77777777" w:rsidR="00663AE3" w:rsidRPr="00CB712A" w:rsidRDefault="00987DAD" w:rsidP="00CB712A">
      <w:pPr>
        <w:pStyle w:val="pb-2"/>
        <w:spacing w:line="360" w:lineRule="auto"/>
        <w:rPr>
          <w:rFonts w:ascii="Calibri" w:hAnsi="Calibri" w:cs="Calibri"/>
        </w:rPr>
      </w:pPr>
      <w:r w:rsidRPr="00CB712A">
        <w:rPr>
          <w:rFonts w:ascii="Calibri" w:hAnsi="Calibri" w:cs="Calibri"/>
        </w:rPr>
        <w:tab/>
      </w:r>
      <w:r w:rsidR="003F73DA" w:rsidRPr="00CB712A">
        <w:rPr>
          <w:rFonts w:ascii="Calibri" w:hAnsi="Calibri" w:cs="Calibri"/>
        </w:rPr>
        <w:t>To summarize this all up</w:t>
      </w:r>
      <w:r w:rsidR="005D018C" w:rsidRPr="00CB712A">
        <w:rPr>
          <w:rFonts w:ascii="Calibri" w:hAnsi="Calibri" w:cs="Calibri"/>
        </w:rPr>
        <w:t xml:space="preserve">, sustainability and the circular economy are integral aspects of the hospitality industry. By adopting sustainable practices and embracing the circular economy, hotels can contribute to a greener and more sustainable future. It is important for hotels to recognize the value of sustainable practices and incorporate them into their operations </w:t>
      </w:r>
      <w:proofErr w:type="gramStart"/>
      <w:r w:rsidR="005D018C" w:rsidRPr="00CB712A">
        <w:rPr>
          <w:rFonts w:ascii="Calibri" w:hAnsi="Calibri" w:cs="Calibri"/>
        </w:rPr>
        <w:t>in order to</w:t>
      </w:r>
      <w:proofErr w:type="gramEnd"/>
      <w:r w:rsidR="005D018C" w:rsidRPr="00CB712A">
        <w:rPr>
          <w:rFonts w:ascii="Calibri" w:hAnsi="Calibri" w:cs="Calibri"/>
        </w:rPr>
        <w:t xml:space="preserve"> stay competitive and meet the growing expectations of their guests.</w:t>
      </w:r>
    </w:p>
    <w:p w14:paraId="3C164C1B" w14:textId="4CC3E899" w:rsidR="00987DAD" w:rsidRPr="00CB712A" w:rsidRDefault="00663AE3" w:rsidP="00CB712A">
      <w:pPr>
        <w:pStyle w:val="pb-2"/>
        <w:spacing w:line="360" w:lineRule="auto"/>
        <w:rPr>
          <w:rFonts w:ascii="Calibri" w:hAnsi="Calibri" w:cs="Calibri"/>
        </w:rPr>
      </w:pPr>
      <w:r w:rsidRPr="00CB712A">
        <w:rPr>
          <w:rFonts w:ascii="Calibri" w:hAnsi="Calibri" w:cs="Calibri"/>
        </w:rPr>
        <w:tab/>
      </w:r>
      <w:r w:rsidR="00463111" w:rsidRPr="00CB712A">
        <w:rPr>
          <w:rFonts w:ascii="Calibri" w:hAnsi="Calibri" w:cs="Calibri"/>
        </w:rPr>
        <w:t xml:space="preserve">In the analysis, </w:t>
      </w:r>
      <w:proofErr w:type="gramStart"/>
      <w:r w:rsidR="00463111" w:rsidRPr="00CB712A">
        <w:rPr>
          <w:rFonts w:ascii="Calibri" w:hAnsi="Calibri" w:cs="Calibri"/>
        </w:rPr>
        <w:t>Costa</w:t>
      </w:r>
      <w:proofErr w:type="gramEnd"/>
      <w:r w:rsidR="00463111" w:rsidRPr="00CB712A">
        <w:rPr>
          <w:rFonts w:ascii="Calibri" w:hAnsi="Calibri" w:cs="Calibri"/>
        </w:rPr>
        <w:t xml:space="preserve"> and Costa (2022, pp. 2) stated that t</w:t>
      </w:r>
      <w:r w:rsidR="003F73DA" w:rsidRPr="00CB712A">
        <w:rPr>
          <w:rFonts w:ascii="Calibri" w:hAnsi="Calibri" w:cs="Calibri"/>
        </w:rPr>
        <w:t>he 21st century has witnessed numerous crises that have significantly impacted world tourism. These crises have ranged from terrorist attacks to pandemics, causing disruptions to travel patterns and impacting both tourists and the local populations in visited destinations. Among the most notable examples over the past 2 decades (2000-2020) are the terrorist attacks of September 11, 2001, the severe acute respiratory syndrome (SARS) outbreak in 2003, the economic crisis in 2008 and 2009, and the Middle East respiratory syndrome (MERS) outbreak in 2015.</w:t>
      </w:r>
    </w:p>
    <w:p w14:paraId="628DCCB3" w14:textId="77777777" w:rsidR="00CB712A" w:rsidRDefault="00987DAD" w:rsidP="00CB712A">
      <w:pPr>
        <w:spacing w:line="360" w:lineRule="auto"/>
        <w:rPr>
          <w:rFonts w:ascii="Calibri" w:hAnsi="Calibri" w:cs="Calibri"/>
          <w:sz w:val="24"/>
          <w:szCs w:val="24"/>
        </w:rPr>
      </w:pPr>
      <w:r w:rsidRPr="00CB712A">
        <w:rPr>
          <w:rFonts w:ascii="Calibri" w:hAnsi="Calibri" w:cs="Calibri"/>
          <w:sz w:val="24"/>
          <w:szCs w:val="24"/>
        </w:rPr>
        <w:tab/>
      </w:r>
      <w:r w:rsidR="003F73DA" w:rsidRPr="00CB712A">
        <w:rPr>
          <w:rFonts w:ascii="Calibri" w:hAnsi="Calibri" w:cs="Calibri"/>
          <w:sz w:val="24"/>
          <w:szCs w:val="24"/>
        </w:rPr>
        <w:t>The terrorist attacks of September 11, 2001,</w:t>
      </w:r>
      <w:r w:rsidR="00B45F79" w:rsidRPr="00CB712A">
        <w:rPr>
          <w:rFonts w:ascii="Calibri" w:hAnsi="Calibri" w:cs="Calibri"/>
          <w:sz w:val="24"/>
          <w:szCs w:val="24"/>
        </w:rPr>
        <w:t xml:space="preserve"> </w:t>
      </w:r>
      <w:r w:rsidR="00B45F79" w:rsidRPr="00CB712A">
        <w:rPr>
          <w:rFonts w:ascii="Calibri" w:eastAsia="Times New Roman" w:hAnsi="Calibri" w:cs="Calibri"/>
          <w:kern w:val="0"/>
          <w:sz w:val="24"/>
          <w:szCs w:val="24"/>
          <w:lang w:eastAsia="en-GB"/>
          <w14:ligatures w14:val="none"/>
        </w:rPr>
        <w:t>(</w:t>
      </w:r>
      <w:proofErr w:type="spellStart"/>
      <w:r w:rsidR="00B45F79" w:rsidRPr="00CB712A">
        <w:rPr>
          <w:rFonts w:ascii="Calibri" w:eastAsia="Times New Roman" w:hAnsi="Calibri" w:cs="Calibri"/>
          <w:kern w:val="0"/>
          <w:sz w:val="24"/>
          <w:szCs w:val="24"/>
          <w:lang w:eastAsia="en-GB"/>
          <w14:ligatures w14:val="none"/>
        </w:rPr>
        <w:t>Kostanje</w:t>
      </w:r>
      <w:proofErr w:type="spellEnd"/>
      <w:r w:rsidR="00B45F79" w:rsidRPr="00CB712A">
        <w:rPr>
          <w:rFonts w:ascii="Calibri" w:eastAsia="Times New Roman" w:hAnsi="Calibri" w:cs="Calibri"/>
          <w:kern w:val="0"/>
          <w:sz w:val="24"/>
          <w:szCs w:val="24"/>
          <w:lang w:eastAsia="en-GB"/>
          <w14:ligatures w14:val="none"/>
        </w:rPr>
        <w:t xml:space="preserve">, Babu and Nedelea, 2020, pp.9) </w:t>
      </w:r>
      <w:r w:rsidR="003F73DA" w:rsidRPr="00CB712A">
        <w:rPr>
          <w:rFonts w:ascii="Calibri" w:hAnsi="Calibri" w:cs="Calibri"/>
          <w:sz w:val="24"/>
          <w:szCs w:val="24"/>
        </w:rPr>
        <w:t xml:space="preserve">had a profound impact on world tourism. The events in New York City, Washington D.C., and Pennsylvania caused widespread fear and concern among </w:t>
      </w:r>
      <w:r w:rsidR="00323E52" w:rsidRPr="00CB712A">
        <w:rPr>
          <w:rFonts w:ascii="Calibri" w:hAnsi="Calibri" w:cs="Calibri"/>
          <w:sz w:val="24"/>
          <w:szCs w:val="24"/>
        </w:rPr>
        <w:t>travellers</w:t>
      </w:r>
      <w:r w:rsidR="003F73DA" w:rsidRPr="00CB712A">
        <w:rPr>
          <w:rFonts w:ascii="Calibri" w:hAnsi="Calibri" w:cs="Calibri"/>
          <w:sz w:val="24"/>
          <w:szCs w:val="24"/>
        </w:rPr>
        <w:t xml:space="preserve">, leading to a severe decline in tourism for months after the attacks. The tourism industry struggled to recover as </w:t>
      </w:r>
      <w:r w:rsidR="00323E52" w:rsidRPr="00CB712A">
        <w:rPr>
          <w:rFonts w:ascii="Calibri" w:hAnsi="Calibri" w:cs="Calibri"/>
          <w:sz w:val="24"/>
          <w:szCs w:val="24"/>
        </w:rPr>
        <w:t>travellers</w:t>
      </w:r>
      <w:r w:rsidR="003F73DA" w:rsidRPr="00CB712A">
        <w:rPr>
          <w:rFonts w:ascii="Calibri" w:hAnsi="Calibri" w:cs="Calibri"/>
          <w:sz w:val="24"/>
          <w:szCs w:val="24"/>
        </w:rPr>
        <w:t xml:space="preserve"> preferred to stay closer to home and avoid potential security risks.</w:t>
      </w:r>
    </w:p>
    <w:p w14:paraId="01FAFE1A" w14:textId="77777777" w:rsidR="00CB712A" w:rsidRDefault="00CB712A" w:rsidP="00CB712A">
      <w:pPr>
        <w:spacing w:line="360" w:lineRule="auto"/>
        <w:rPr>
          <w:rFonts w:ascii="Calibri" w:hAnsi="Calibri" w:cs="Calibri"/>
          <w:sz w:val="24"/>
          <w:szCs w:val="24"/>
        </w:rPr>
      </w:pPr>
      <w:r>
        <w:rPr>
          <w:rFonts w:ascii="Calibri" w:hAnsi="Calibri" w:cs="Calibri"/>
          <w:sz w:val="24"/>
          <w:szCs w:val="24"/>
        </w:rPr>
        <w:tab/>
      </w:r>
    </w:p>
    <w:p w14:paraId="43DD7B3A" w14:textId="77777777" w:rsidR="00CB712A" w:rsidRDefault="00CB712A" w:rsidP="00CB712A">
      <w:pPr>
        <w:spacing w:line="360" w:lineRule="auto"/>
        <w:rPr>
          <w:rFonts w:ascii="Calibri" w:hAnsi="Calibri" w:cs="Calibri"/>
          <w:sz w:val="24"/>
          <w:szCs w:val="24"/>
        </w:rPr>
      </w:pPr>
    </w:p>
    <w:p w14:paraId="409A608A" w14:textId="22CD4A19" w:rsidR="003F73DA" w:rsidRPr="00CB712A" w:rsidRDefault="00CB712A" w:rsidP="00CB712A">
      <w:pPr>
        <w:spacing w:line="360" w:lineRule="auto"/>
        <w:rPr>
          <w:rFonts w:ascii="Calibri" w:eastAsia="Times New Roman" w:hAnsi="Calibri" w:cs="Calibri"/>
          <w:kern w:val="0"/>
          <w:sz w:val="24"/>
          <w:szCs w:val="24"/>
          <w:lang w:eastAsia="en-GB"/>
          <w14:ligatures w14:val="none"/>
        </w:rPr>
      </w:pPr>
      <w:r>
        <w:rPr>
          <w:rFonts w:ascii="Calibri" w:hAnsi="Calibri" w:cs="Calibri"/>
          <w:sz w:val="24"/>
          <w:szCs w:val="24"/>
        </w:rPr>
        <w:lastRenderedPageBreak/>
        <w:tab/>
      </w:r>
      <w:r w:rsidR="003F73DA" w:rsidRPr="00CB712A">
        <w:rPr>
          <w:rFonts w:ascii="Calibri" w:hAnsi="Calibri" w:cs="Calibri"/>
          <w:sz w:val="24"/>
          <w:szCs w:val="24"/>
        </w:rPr>
        <w:t>The SARS outbreak of 2003 was another crisis that had a profound impact on world tourism. The severe acute respiratory syndrome, caused by the SARS coronavirus, primarily affected Asia, including China, Hong Kong, and Singapore. The outbreak resulted in travel restrictions and quarantine measures, causing a significant decline in tourism in the affected regions. The perception of travel as a potential source of disease transmission also deterred potential tourists from visiting affected areas.</w:t>
      </w:r>
    </w:p>
    <w:p w14:paraId="7D765B15" w14:textId="30DECAFB" w:rsidR="003F73DA" w:rsidRPr="00CB712A" w:rsidRDefault="00987DAD" w:rsidP="00CB712A">
      <w:pPr>
        <w:pStyle w:val="pb-2"/>
        <w:spacing w:line="360" w:lineRule="auto"/>
        <w:rPr>
          <w:rFonts w:ascii="Calibri" w:hAnsi="Calibri" w:cs="Calibri"/>
        </w:rPr>
      </w:pPr>
      <w:r w:rsidRPr="00CB712A">
        <w:rPr>
          <w:rFonts w:ascii="Calibri" w:hAnsi="Calibri" w:cs="Calibri"/>
        </w:rPr>
        <w:tab/>
      </w:r>
      <w:r w:rsidR="003F73DA" w:rsidRPr="00CB712A">
        <w:rPr>
          <w:rFonts w:ascii="Calibri" w:hAnsi="Calibri" w:cs="Calibri"/>
        </w:rPr>
        <w:t xml:space="preserve">The economic crisis in 2008 and 2009 was another significant crisis that affected world tourism. The financial downturn and subsequent recession led to reduced consumer spending and a decline in travel demand. Many </w:t>
      </w:r>
      <w:r w:rsidR="007622FC" w:rsidRPr="00CB712A">
        <w:rPr>
          <w:rFonts w:ascii="Calibri" w:hAnsi="Calibri" w:cs="Calibri"/>
        </w:rPr>
        <w:t>travellers</w:t>
      </w:r>
      <w:r w:rsidR="003F73DA" w:rsidRPr="00CB712A">
        <w:rPr>
          <w:rFonts w:ascii="Calibri" w:hAnsi="Calibri" w:cs="Calibri"/>
        </w:rPr>
        <w:t xml:space="preserve"> cut back on discretionary expenses, including vacations, resulting in a decline in tourism revenue. The crisis also affected the tourism sector's ability to bounce back, as it took several years for the global economy to recover fully.</w:t>
      </w:r>
    </w:p>
    <w:p w14:paraId="40912360" w14:textId="10403274" w:rsidR="003F73DA" w:rsidRPr="00CB712A" w:rsidRDefault="00987DAD" w:rsidP="00CB712A">
      <w:pPr>
        <w:pStyle w:val="pb-2"/>
        <w:spacing w:line="360" w:lineRule="auto"/>
        <w:rPr>
          <w:rFonts w:ascii="Calibri" w:hAnsi="Calibri" w:cs="Calibri"/>
        </w:rPr>
      </w:pPr>
      <w:r w:rsidRPr="00CB712A">
        <w:rPr>
          <w:rFonts w:ascii="Calibri" w:hAnsi="Calibri" w:cs="Calibri"/>
        </w:rPr>
        <w:tab/>
      </w:r>
      <w:r w:rsidR="003F73DA" w:rsidRPr="00CB712A">
        <w:rPr>
          <w:rFonts w:ascii="Calibri" w:hAnsi="Calibri" w:cs="Calibri"/>
        </w:rPr>
        <w:t xml:space="preserve">The Middle East respiratory syndrome (MERS) outbreak in 2015 was yet another crisis that impacted world tourism. The disease, caused by the MERS coronavirus, primarily affected the Middle East region, including Saudi Arabia, Qatar, and Jordan. The outbreak led to travel restrictions, quarantine measures, and concerns about the potential spread of the disease. Tourists </w:t>
      </w:r>
      <w:r w:rsidR="00463111" w:rsidRPr="00CB712A">
        <w:rPr>
          <w:rFonts w:ascii="Calibri" w:hAnsi="Calibri" w:cs="Calibri"/>
        </w:rPr>
        <w:t>cancelled</w:t>
      </w:r>
      <w:r w:rsidR="003F73DA" w:rsidRPr="00CB712A">
        <w:rPr>
          <w:rFonts w:ascii="Calibri" w:hAnsi="Calibri" w:cs="Calibri"/>
        </w:rPr>
        <w:t xml:space="preserve"> their travel plans, and the tourism industry experienced a significant downturn as a result.</w:t>
      </w:r>
    </w:p>
    <w:p w14:paraId="1B06DF56" w14:textId="6EE2E38B" w:rsidR="003F73DA" w:rsidRPr="00CB712A" w:rsidRDefault="00987DAD" w:rsidP="00CB712A">
      <w:pPr>
        <w:spacing w:line="360" w:lineRule="auto"/>
        <w:rPr>
          <w:rFonts w:ascii="Times New Roman" w:eastAsia="Times New Roman" w:hAnsi="Times New Roman" w:cs="Times New Roman"/>
          <w:kern w:val="0"/>
          <w:sz w:val="24"/>
          <w:szCs w:val="24"/>
          <w:lang w:eastAsia="en-GB"/>
          <w14:ligatures w14:val="none"/>
        </w:rPr>
      </w:pPr>
      <w:r w:rsidRPr="00CB712A">
        <w:rPr>
          <w:rFonts w:ascii="Calibri" w:hAnsi="Calibri" w:cs="Calibri"/>
          <w:sz w:val="24"/>
          <w:szCs w:val="24"/>
        </w:rPr>
        <w:tab/>
      </w:r>
      <w:r w:rsidR="003F73DA" w:rsidRPr="00CB712A">
        <w:rPr>
          <w:rFonts w:ascii="Calibri" w:hAnsi="Calibri" w:cs="Calibri"/>
          <w:sz w:val="24"/>
          <w:szCs w:val="24"/>
        </w:rPr>
        <w:t>It is important to note that pandemics and epidemics not only affect tourists but also become a problem for the local populations in the visited destinations. The spread of diseases through travel can have a significant impact on local healthcare systems and infrastructure. The rapid spread of diseases such as SARS, MERS, and COVID-19</w:t>
      </w:r>
      <w:r w:rsidR="00222DF2" w:rsidRPr="00CB712A">
        <w:rPr>
          <w:rFonts w:ascii="Calibri" w:hAnsi="Calibri" w:cs="Calibri"/>
          <w:sz w:val="24"/>
          <w:szCs w:val="24"/>
        </w:rPr>
        <w:t xml:space="preserve"> </w:t>
      </w:r>
      <w:r w:rsidR="00222DF2" w:rsidRPr="00CB712A">
        <w:rPr>
          <w:rFonts w:ascii="Calibri" w:eastAsia="Times New Roman" w:hAnsi="Calibri" w:cs="Calibri"/>
          <w:kern w:val="0"/>
          <w:sz w:val="24"/>
          <w:szCs w:val="24"/>
          <w:lang w:eastAsia="en-GB"/>
          <w14:ligatures w14:val="none"/>
        </w:rPr>
        <w:t>(Xie et al., 2023)</w:t>
      </w:r>
      <w:r w:rsidR="003F73DA" w:rsidRPr="00CB712A">
        <w:rPr>
          <w:rFonts w:ascii="Calibri" w:hAnsi="Calibri" w:cs="Calibri"/>
          <w:sz w:val="24"/>
          <w:szCs w:val="24"/>
        </w:rPr>
        <w:t xml:space="preserve"> has highlighted the vulnerability of tourist destinations to infectious diseases.</w:t>
      </w:r>
    </w:p>
    <w:p w14:paraId="71B2A854" w14:textId="4D60E745" w:rsidR="003F73DA" w:rsidRPr="00CB712A" w:rsidRDefault="00987DAD" w:rsidP="00CB712A">
      <w:pPr>
        <w:pStyle w:val="pb-2"/>
        <w:spacing w:line="360" w:lineRule="auto"/>
        <w:rPr>
          <w:rFonts w:ascii="Calibri" w:hAnsi="Calibri" w:cs="Calibri"/>
        </w:rPr>
      </w:pPr>
      <w:r w:rsidRPr="00CB712A">
        <w:rPr>
          <w:rFonts w:ascii="Calibri" w:hAnsi="Calibri" w:cs="Calibri"/>
        </w:rPr>
        <w:tab/>
      </w:r>
      <w:r w:rsidR="003F73DA" w:rsidRPr="00CB712A">
        <w:rPr>
          <w:rFonts w:ascii="Calibri" w:hAnsi="Calibri" w:cs="Calibri"/>
        </w:rPr>
        <w:t>Moreover, pandemics and epidemics also cause damage in tourist destinations. The closure of borders, travel restrictions, and cancellations of tourism activities result in loss of revenue for local businesses, including hotels, restaurants, tour operators, and souvenir shops. The long-term economic impact of these crises extends beyond the short-term disruptions, as it can result in job losses and a decline in tourism-related infrastructure.</w:t>
      </w:r>
    </w:p>
    <w:p w14:paraId="0AA93EAC" w14:textId="77777777" w:rsidR="00CB712A" w:rsidRDefault="00987DAD" w:rsidP="00CB712A">
      <w:pPr>
        <w:spacing w:line="360" w:lineRule="auto"/>
        <w:rPr>
          <w:rFonts w:ascii="Calibri" w:hAnsi="Calibri" w:cs="Calibri"/>
          <w:sz w:val="24"/>
          <w:szCs w:val="24"/>
        </w:rPr>
      </w:pPr>
      <w:r w:rsidRPr="00CB712A">
        <w:rPr>
          <w:rFonts w:ascii="Calibri" w:hAnsi="Calibri" w:cs="Calibri"/>
          <w:sz w:val="24"/>
          <w:szCs w:val="24"/>
        </w:rPr>
        <w:lastRenderedPageBreak/>
        <w:tab/>
      </w:r>
    </w:p>
    <w:p w14:paraId="3FDAE849" w14:textId="77777777" w:rsidR="00CB712A" w:rsidRDefault="00CB712A" w:rsidP="00CB712A">
      <w:pPr>
        <w:spacing w:line="360" w:lineRule="auto"/>
        <w:rPr>
          <w:rFonts w:ascii="Calibri" w:hAnsi="Calibri" w:cs="Calibri"/>
          <w:sz w:val="24"/>
          <w:szCs w:val="24"/>
        </w:rPr>
      </w:pPr>
    </w:p>
    <w:p w14:paraId="6DF0804B" w14:textId="4C0DFDD4" w:rsidR="003F73DA" w:rsidRPr="00CB712A" w:rsidRDefault="00CB712A" w:rsidP="00CB712A">
      <w:pPr>
        <w:spacing w:line="360" w:lineRule="auto"/>
        <w:rPr>
          <w:rFonts w:ascii="Calibri" w:eastAsia="Times New Roman" w:hAnsi="Calibri" w:cs="Calibri"/>
          <w:kern w:val="0"/>
          <w:sz w:val="24"/>
          <w:szCs w:val="24"/>
          <w:lang w:eastAsia="en-GB"/>
          <w14:ligatures w14:val="none"/>
        </w:rPr>
      </w:pPr>
      <w:r>
        <w:rPr>
          <w:rFonts w:ascii="Calibri" w:hAnsi="Calibri" w:cs="Calibri"/>
          <w:sz w:val="24"/>
          <w:szCs w:val="24"/>
        </w:rPr>
        <w:tab/>
      </w:r>
      <w:r w:rsidR="003F73DA" w:rsidRPr="00CB712A">
        <w:rPr>
          <w:rFonts w:ascii="Calibri" w:hAnsi="Calibri" w:cs="Calibri"/>
          <w:sz w:val="24"/>
          <w:szCs w:val="24"/>
        </w:rPr>
        <w:t>According to</w:t>
      </w:r>
      <w:r w:rsidR="00987DAD" w:rsidRPr="00CB712A">
        <w:rPr>
          <w:rFonts w:ascii="Calibri" w:hAnsi="Calibri" w:cs="Calibri"/>
          <w:sz w:val="24"/>
          <w:szCs w:val="24"/>
        </w:rPr>
        <w:t xml:space="preserve"> this</w:t>
      </w:r>
      <w:r w:rsidR="003F73DA" w:rsidRPr="00CB712A">
        <w:rPr>
          <w:rFonts w:ascii="Calibri" w:hAnsi="Calibri" w:cs="Calibri"/>
          <w:sz w:val="24"/>
          <w:szCs w:val="24"/>
        </w:rPr>
        <w:t xml:space="preserve"> research, </w:t>
      </w:r>
      <w:r w:rsidR="00463111" w:rsidRPr="00CB712A">
        <w:rPr>
          <w:rFonts w:ascii="Calibri" w:hAnsi="Calibri" w:cs="Calibri"/>
          <w:sz w:val="24"/>
          <w:szCs w:val="24"/>
        </w:rPr>
        <w:t>travellers</w:t>
      </w:r>
      <w:r w:rsidR="003F73DA" w:rsidRPr="00CB712A">
        <w:rPr>
          <w:rFonts w:ascii="Calibri" w:hAnsi="Calibri" w:cs="Calibri"/>
          <w:sz w:val="24"/>
          <w:szCs w:val="24"/>
        </w:rPr>
        <w:t xml:space="preserve"> play a vital role in the transmission of pandemics and</w:t>
      </w:r>
      <w:r w:rsidR="0084507B" w:rsidRPr="00CB712A">
        <w:rPr>
          <w:rFonts w:ascii="Calibri" w:hAnsi="Calibri" w:cs="Calibri"/>
          <w:sz w:val="24"/>
          <w:szCs w:val="24"/>
        </w:rPr>
        <w:t xml:space="preserve"> </w:t>
      </w:r>
      <w:r w:rsidR="003F73DA" w:rsidRPr="00CB712A">
        <w:rPr>
          <w:rFonts w:ascii="Calibri" w:hAnsi="Calibri" w:cs="Calibri"/>
          <w:sz w:val="24"/>
          <w:szCs w:val="24"/>
        </w:rPr>
        <w:t xml:space="preserve">or epidemics between destinations. The globalization of travel allows individuals to easily travel long distances and </w:t>
      </w:r>
      <w:r w:rsidR="00323E52" w:rsidRPr="00CB712A">
        <w:rPr>
          <w:rFonts w:ascii="Calibri" w:hAnsi="Calibri" w:cs="Calibri"/>
          <w:sz w:val="24"/>
          <w:szCs w:val="24"/>
        </w:rPr>
        <w:t>encounter</w:t>
      </w:r>
      <w:r w:rsidR="003F73DA" w:rsidRPr="00CB712A">
        <w:rPr>
          <w:rFonts w:ascii="Calibri" w:hAnsi="Calibri" w:cs="Calibri"/>
          <w:sz w:val="24"/>
          <w:szCs w:val="24"/>
        </w:rPr>
        <w:t xml:space="preserve"> diverse populations</w:t>
      </w:r>
      <w:r w:rsidR="0084507B" w:rsidRPr="00CB712A">
        <w:rPr>
          <w:rFonts w:ascii="Calibri" w:hAnsi="Calibri" w:cs="Calibri"/>
          <w:sz w:val="24"/>
          <w:szCs w:val="24"/>
        </w:rPr>
        <w:t xml:space="preserve"> according to </w:t>
      </w:r>
      <w:r w:rsidR="0084507B" w:rsidRPr="00CB712A">
        <w:rPr>
          <w:rFonts w:ascii="Calibri" w:eastAsia="Times New Roman" w:hAnsi="Calibri" w:cs="Calibri"/>
          <w:kern w:val="0"/>
          <w:sz w:val="24"/>
          <w:szCs w:val="24"/>
          <w:lang w:eastAsia="en-GB"/>
          <w14:ligatures w14:val="none"/>
        </w:rPr>
        <w:t>(</w:t>
      </w:r>
      <w:proofErr w:type="spellStart"/>
      <w:r w:rsidR="0084507B" w:rsidRPr="00CB712A">
        <w:rPr>
          <w:rFonts w:ascii="Calibri" w:eastAsia="Times New Roman" w:hAnsi="Calibri" w:cs="Calibri"/>
          <w:kern w:val="0"/>
          <w:sz w:val="24"/>
          <w:szCs w:val="24"/>
          <w:lang w:eastAsia="en-GB"/>
          <w14:ligatures w14:val="none"/>
        </w:rPr>
        <w:t>Batabyal</w:t>
      </w:r>
      <w:proofErr w:type="spellEnd"/>
      <w:r w:rsidR="0084507B" w:rsidRPr="00CB712A">
        <w:rPr>
          <w:rFonts w:ascii="Calibri" w:eastAsia="Times New Roman" w:hAnsi="Calibri" w:cs="Calibri"/>
          <w:kern w:val="0"/>
          <w:sz w:val="24"/>
          <w:szCs w:val="24"/>
          <w:lang w:eastAsia="en-GB"/>
          <w14:ligatures w14:val="none"/>
        </w:rPr>
        <w:t>, 2018).</w:t>
      </w:r>
      <w:r w:rsidR="003F73DA" w:rsidRPr="00CB712A">
        <w:rPr>
          <w:rFonts w:ascii="Calibri" w:hAnsi="Calibri" w:cs="Calibri"/>
          <w:sz w:val="24"/>
          <w:szCs w:val="24"/>
        </w:rPr>
        <w:t xml:space="preserve"> This connectivity increases the likelihood of disease transmission, as </w:t>
      </w:r>
      <w:r w:rsidR="00323E52" w:rsidRPr="00CB712A">
        <w:rPr>
          <w:rFonts w:ascii="Calibri" w:hAnsi="Calibri" w:cs="Calibri"/>
          <w:sz w:val="24"/>
          <w:szCs w:val="24"/>
        </w:rPr>
        <w:t>travellers</w:t>
      </w:r>
      <w:r w:rsidR="003F73DA" w:rsidRPr="00CB712A">
        <w:rPr>
          <w:rFonts w:ascii="Calibri" w:hAnsi="Calibri" w:cs="Calibri"/>
          <w:sz w:val="24"/>
          <w:szCs w:val="24"/>
        </w:rPr>
        <w:t xml:space="preserve"> can unknowingly bring diseases from one destination to another. The transmission of diseases through travel has been documented in various cases, including the SARS outbreak and the recent COVID-19 pandemic.</w:t>
      </w:r>
    </w:p>
    <w:p w14:paraId="3E76BF19" w14:textId="729CA80D" w:rsidR="003F73DA" w:rsidRPr="00CB712A" w:rsidRDefault="00987DAD" w:rsidP="00CB712A">
      <w:pPr>
        <w:pStyle w:val="pb-2"/>
        <w:spacing w:line="360" w:lineRule="auto"/>
        <w:rPr>
          <w:rFonts w:ascii="Calibri" w:hAnsi="Calibri" w:cs="Calibri"/>
        </w:rPr>
      </w:pPr>
      <w:r w:rsidRPr="00CB712A">
        <w:rPr>
          <w:rFonts w:ascii="Calibri" w:hAnsi="Calibri" w:cs="Calibri"/>
        </w:rPr>
        <w:tab/>
      </w:r>
      <w:r w:rsidR="003F73DA" w:rsidRPr="00CB712A">
        <w:rPr>
          <w:rFonts w:ascii="Calibri" w:hAnsi="Calibri" w:cs="Calibri"/>
        </w:rPr>
        <w:t>In conclusion, crises such as terrorist attacks, pandemics, and economic crises have greatly affected world tourism over the past 2 decades. These crises have disrupted travel patterns, caused a decline in tourism, and impacted both tourists and the local populations in the visited destinations. The transmission of diseases through travel highlights the vulnerability of tourist destinations and underscores the importance of implementing effective prevention and control measures to mitigate the impact of future health emergencies.</w:t>
      </w:r>
    </w:p>
    <w:p w14:paraId="7B49E883" w14:textId="7EE7E771" w:rsidR="005F33BB" w:rsidRPr="00CB712A" w:rsidRDefault="00987DAD" w:rsidP="00CB712A">
      <w:pPr>
        <w:pStyle w:val="pb-2"/>
        <w:spacing w:line="360" w:lineRule="auto"/>
        <w:rPr>
          <w:rFonts w:ascii="Calibri" w:hAnsi="Calibri" w:cs="Calibri"/>
        </w:rPr>
      </w:pPr>
      <w:r w:rsidRPr="00CB712A">
        <w:rPr>
          <w:rFonts w:ascii="Calibri" w:hAnsi="Calibri" w:cs="Calibri"/>
        </w:rPr>
        <w:tab/>
        <w:t>When it comes to great development potential and strong links with economic growth and development, IGI Global (2019, pp. 98) stated that</w:t>
      </w:r>
      <w:r w:rsidR="00005F4A" w:rsidRPr="00CB712A">
        <w:rPr>
          <w:rFonts w:ascii="Calibri" w:hAnsi="Calibri" w:cs="Calibri"/>
        </w:rPr>
        <w:t xml:space="preserve"> </w:t>
      </w:r>
      <w:r w:rsidRPr="00CB712A">
        <w:rPr>
          <w:rFonts w:ascii="Calibri" w:hAnsi="Calibri" w:cs="Calibri"/>
        </w:rPr>
        <w:t>t</w:t>
      </w:r>
      <w:r w:rsidR="00A510E9" w:rsidRPr="00CB712A">
        <w:rPr>
          <w:rFonts w:ascii="Calibri" w:hAnsi="Calibri" w:cs="Calibri"/>
        </w:rPr>
        <w:t>ourism is an industry where goods and services are consumed at the site of production. Local people are both advantaged and at risk, depending on the impact of tourism on their community. Governments must implement a strategic approach to attract investments and ensure long-term benefits. Well planned, regulated, and responsible tourism can be an excellent mechanism for channelling resources from rich to poor, even in large-scale projects. Local people can benefit from direct employment, supply chain involvement, and interactions with tourists, such as through crafts, excursions, food, and beverage services.</w:t>
      </w:r>
    </w:p>
    <w:p w14:paraId="28DE6A2F" w14:textId="77777777" w:rsidR="00826787" w:rsidRDefault="0004728B" w:rsidP="00CB712A">
      <w:pPr>
        <w:pStyle w:val="pb-2"/>
        <w:spacing w:line="360" w:lineRule="auto"/>
        <w:rPr>
          <w:rFonts w:ascii="Calibri" w:hAnsi="Calibri" w:cs="Calibri"/>
        </w:rPr>
      </w:pPr>
      <w:r w:rsidRPr="00CB712A">
        <w:rPr>
          <w:rFonts w:ascii="Calibri" w:hAnsi="Calibri" w:cs="Calibri"/>
        </w:rPr>
        <w:tab/>
      </w:r>
    </w:p>
    <w:p w14:paraId="4419D3B8" w14:textId="77777777" w:rsidR="00826787" w:rsidRDefault="00826787" w:rsidP="00CB712A">
      <w:pPr>
        <w:pStyle w:val="pb-2"/>
        <w:spacing w:line="360" w:lineRule="auto"/>
        <w:rPr>
          <w:rFonts w:ascii="Calibri" w:hAnsi="Calibri" w:cs="Calibri"/>
        </w:rPr>
      </w:pPr>
    </w:p>
    <w:p w14:paraId="5CE6EF13" w14:textId="2DDC10B0" w:rsidR="003F73DA" w:rsidRPr="00CB712A" w:rsidRDefault="00826787" w:rsidP="00CB712A">
      <w:pPr>
        <w:pStyle w:val="pb-2"/>
        <w:spacing w:line="360" w:lineRule="auto"/>
        <w:rPr>
          <w:rFonts w:ascii="Calibri" w:hAnsi="Calibri" w:cs="Calibri"/>
        </w:rPr>
      </w:pPr>
      <w:r>
        <w:rPr>
          <w:rFonts w:ascii="Calibri" w:hAnsi="Calibri" w:cs="Calibri"/>
        </w:rPr>
        <w:lastRenderedPageBreak/>
        <w:tab/>
      </w:r>
      <w:r w:rsidR="0004728B" w:rsidRPr="00CB712A">
        <w:rPr>
          <w:rFonts w:ascii="Calibri" w:hAnsi="Calibri" w:cs="Calibri"/>
        </w:rPr>
        <w:t xml:space="preserve">To summarize this essay, sustainability and the circular economy are gaining significant attention in the tourism and hospitality industry. These concepts involve reducing waste, conserving resources, and adopting eco-friendly practices. The industry is adapting to these changing practices to create a 'greener' environment for their guests. This includes implementing measures such as reducing energy consumption, promoting recycling and composting, and sourcing sustainable materials. Additionally, tourism operators are collaborating with local communities to support conservation efforts and protect fragile ecosystems. By embracing sustainability and the circular economy, the tourism and hospitality industry can contribute to </w:t>
      </w:r>
      <w:r w:rsidR="00CB712A" w:rsidRPr="00CB712A">
        <w:rPr>
          <w:rFonts w:ascii="Calibri" w:hAnsi="Calibri" w:cs="Calibri"/>
        </w:rPr>
        <w:t>a</w:t>
      </w:r>
      <w:r w:rsidR="00CB712A">
        <w:rPr>
          <w:rFonts w:ascii="Calibri" w:hAnsi="Calibri" w:cs="Calibri"/>
        </w:rPr>
        <w:t xml:space="preserve"> greener</w:t>
      </w:r>
      <w:r w:rsidR="00C93C33" w:rsidRPr="00CB712A">
        <w:rPr>
          <w:rFonts w:ascii="Calibri" w:hAnsi="Calibri" w:cs="Calibri"/>
        </w:rPr>
        <w:t>,</w:t>
      </w:r>
      <w:r w:rsidR="00CB712A">
        <w:rPr>
          <w:rFonts w:ascii="Calibri" w:hAnsi="Calibri" w:cs="Calibri"/>
        </w:rPr>
        <w:t xml:space="preserve"> more</w:t>
      </w:r>
      <w:r w:rsidR="00C93C33" w:rsidRPr="00CB712A">
        <w:rPr>
          <w:rFonts w:ascii="Calibri" w:hAnsi="Calibri" w:cs="Calibri"/>
        </w:rPr>
        <w:t xml:space="preserve"> </w:t>
      </w:r>
      <w:r w:rsidR="0004728B" w:rsidRPr="00CB712A">
        <w:rPr>
          <w:rFonts w:ascii="Calibri" w:hAnsi="Calibri" w:cs="Calibri"/>
        </w:rPr>
        <w:t>sustainable future.</w:t>
      </w:r>
    </w:p>
    <w:p w14:paraId="245EBBE9" w14:textId="77777777" w:rsidR="00826787" w:rsidRDefault="00826787" w:rsidP="00CB712A">
      <w:pPr>
        <w:pStyle w:val="Title"/>
        <w:jc w:val="center"/>
        <w:rPr>
          <w:rFonts w:eastAsia="Times New Roman"/>
          <w:lang w:eastAsia="en-GB"/>
        </w:rPr>
      </w:pPr>
    </w:p>
    <w:p w14:paraId="14ED7A23" w14:textId="77777777" w:rsidR="00826787" w:rsidRDefault="00826787" w:rsidP="00CB712A">
      <w:pPr>
        <w:pStyle w:val="Title"/>
        <w:jc w:val="center"/>
        <w:rPr>
          <w:rFonts w:eastAsia="Times New Roman"/>
          <w:lang w:eastAsia="en-GB"/>
        </w:rPr>
      </w:pPr>
    </w:p>
    <w:p w14:paraId="63C6898E" w14:textId="77777777" w:rsidR="00826787" w:rsidRDefault="00826787" w:rsidP="00CB712A">
      <w:pPr>
        <w:pStyle w:val="Title"/>
        <w:jc w:val="center"/>
        <w:rPr>
          <w:rFonts w:eastAsia="Times New Roman"/>
          <w:lang w:eastAsia="en-GB"/>
        </w:rPr>
      </w:pPr>
    </w:p>
    <w:p w14:paraId="2AFF17C9" w14:textId="77777777" w:rsidR="00826787" w:rsidRDefault="00826787" w:rsidP="00CB712A">
      <w:pPr>
        <w:pStyle w:val="Title"/>
        <w:jc w:val="center"/>
        <w:rPr>
          <w:rFonts w:eastAsia="Times New Roman"/>
          <w:lang w:eastAsia="en-GB"/>
        </w:rPr>
      </w:pPr>
    </w:p>
    <w:p w14:paraId="16F851F6" w14:textId="77777777" w:rsidR="00826787" w:rsidRDefault="00826787" w:rsidP="00CB712A">
      <w:pPr>
        <w:pStyle w:val="Title"/>
        <w:jc w:val="center"/>
        <w:rPr>
          <w:rFonts w:eastAsia="Times New Roman"/>
          <w:lang w:eastAsia="en-GB"/>
        </w:rPr>
      </w:pPr>
    </w:p>
    <w:p w14:paraId="275DEA96" w14:textId="77777777" w:rsidR="00826787" w:rsidRDefault="00826787" w:rsidP="00CB712A">
      <w:pPr>
        <w:pStyle w:val="Title"/>
        <w:jc w:val="center"/>
        <w:rPr>
          <w:rFonts w:eastAsia="Times New Roman"/>
          <w:lang w:eastAsia="en-GB"/>
        </w:rPr>
      </w:pPr>
    </w:p>
    <w:p w14:paraId="05F7B9D2" w14:textId="77777777" w:rsidR="00826787" w:rsidRDefault="00826787" w:rsidP="00CB712A">
      <w:pPr>
        <w:pStyle w:val="Title"/>
        <w:jc w:val="center"/>
        <w:rPr>
          <w:rFonts w:eastAsia="Times New Roman"/>
          <w:lang w:eastAsia="en-GB"/>
        </w:rPr>
      </w:pPr>
    </w:p>
    <w:p w14:paraId="204BAC4B" w14:textId="77777777" w:rsidR="00826787" w:rsidRDefault="00826787" w:rsidP="00CB712A">
      <w:pPr>
        <w:pStyle w:val="Title"/>
        <w:jc w:val="center"/>
        <w:rPr>
          <w:rFonts w:eastAsia="Times New Roman"/>
          <w:lang w:eastAsia="en-GB"/>
        </w:rPr>
      </w:pPr>
    </w:p>
    <w:p w14:paraId="1241D472" w14:textId="77777777" w:rsidR="00826787" w:rsidRDefault="00826787" w:rsidP="00CB712A">
      <w:pPr>
        <w:pStyle w:val="Title"/>
        <w:jc w:val="center"/>
        <w:rPr>
          <w:rFonts w:eastAsia="Times New Roman"/>
          <w:lang w:eastAsia="en-GB"/>
        </w:rPr>
      </w:pPr>
    </w:p>
    <w:p w14:paraId="7C6E124A" w14:textId="77777777" w:rsidR="00826787" w:rsidRDefault="00826787" w:rsidP="00CB712A">
      <w:pPr>
        <w:pStyle w:val="Title"/>
        <w:jc w:val="center"/>
        <w:rPr>
          <w:rFonts w:eastAsia="Times New Roman"/>
          <w:lang w:eastAsia="en-GB"/>
        </w:rPr>
      </w:pPr>
    </w:p>
    <w:p w14:paraId="68F97CC9" w14:textId="77777777" w:rsidR="00826787" w:rsidRDefault="00826787" w:rsidP="00CB712A">
      <w:pPr>
        <w:pStyle w:val="Title"/>
        <w:jc w:val="center"/>
        <w:rPr>
          <w:rFonts w:eastAsia="Times New Roman"/>
          <w:lang w:eastAsia="en-GB"/>
        </w:rPr>
      </w:pPr>
    </w:p>
    <w:p w14:paraId="00B99C08" w14:textId="77777777" w:rsidR="00826787" w:rsidRDefault="00826787" w:rsidP="00CB712A">
      <w:pPr>
        <w:pStyle w:val="Title"/>
        <w:jc w:val="center"/>
        <w:rPr>
          <w:rFonts w:eastAsia="Times New Roman"/>
          <w:lang w:eastAsia="en-GB"/>
        </w:rPr>
      </w:pPr>
    </w:p>
    <w:p w14:paraId="7A790AB3" w14:textId="77777777" w:rsidR="00826787" w:rsidRDefault="00826787" w:rsidP="00CB712A">
      <w:pPr>
        <w:pStyle w:val="Title"/>
        <w:jc w:val="center"/>
        <w:rPr>
          <w:rFonts w:eastAsia="Times New Roman"/>
          <w:lang w:eastAsia="en-GB"/>
        </w:rPr>
      </w:pPr>
    </w:p>
    <w:p w14:paraId="59CF1245" w14:textId="77777777" w:rsidR="00826787" w:rsidRDefault="00826787" w:rsidP="00CB712A">
      <w:pPr>
        <w:pStyle w:val="Title"/>
        <w:jc w:val="center"/>
        <w:rPr>
          <w:rFonts w:eastAsia="Times New Roman"/>
          <w:lang w:eastAsia="en-GB"/>
        </w:rPr>
      </w:pPr>
    </w:p>
    <w:p w14:paraId="384FE8C9" w14:textId="77777777" w:rsidR="00826787" w:rsidRDefault="00826787" w:rsidP="00CB712A">
      <w:pPr>
        <w:pStyle w:val="Title"/>
        <w:jc w:val="center"/>
        <w:rPr>
          <w:rFonts w:eastAsia="Times New Roman"/>
          <w:lang w:eastAsia="en-GB"/>
        </w:rPr>
      </w:pPr>
    </w:p>
    <w:p w14:paraId="283482DF" w14:textId="77777777" w:rsidR="00826787" w:rsidRDefault="00826787" w:rsidP="00CB712A">
      <w:pPr>
        <w:pStyle w:val="Title"/>
        <w:jc w:val="center"/>
        <w:rPr>
          <w:rFonts w:eastAsia="Times New Roman"/>
          <w:lang w:eastAsia="en-GB"/>
        </w:rPr>
      </w:pPr>
    </w:p>
    <w:p w14:paraId="0EDA0049" w14:textId="6CA244C1" w:rsidR="00CB712A" w:rsidRDefault="00CB712A" w:rsidP="00CB712A">
      <w:pPr>
        <w:pStyle w:val="Title"/>
        <w:jc w:val="center"/>
        <w:rPr>
          <w:rFonts w:eastAsia="Times New Roman"/>
          <w:lang w:eastAsia="en-GB"/>
        </w:rPr>
      </w:pPr>
      <w:r>
        <w:rPr>
          <w:rFonts w:eastAsia="Times New Roman"/>
          <w:lang w:eastAsia="en-GB"/>
        </w:rPr>
        <w:t>Reference list</w:t>
      </w:r>
    </w:p>
    <w:p w14:paraId="4970C819" w14:textId="77777777" w:rsidR="00CB712A" w:rsidRPr="00CB712A" w:rsidRDefault="00CB712A" w:rsidP="00CB712A">
      <w:pPr>
        <w:rPr>
          <w:lang w:eastAsia="en-GB"/>
        </w:rPr>
      </w:pPr>
    </w:p>
    <w:p w14:paraId="4802E2E9" w14:textId="690563FE" w:rsidR="00CB712A" w:rsidRPr="00CB712A" w:rsidRDefault="00CB712A" w:rsidP="00CB712A">
      <w:pPr>
        <w:spacing w:after="240" w:line="360" w:lineRule="auto"/>
        <w:rPr>
          <w:rFonts w:ascii="Calibri" w:eastAsia="Times New Roman" w:hAnsi="Calibri" w:cs="Calibri"/>
          <w:kern w:val="0"/>
          <w:sz w:val="24"/>
          <w:szCs w:val="24"/>
          <w:lang w:eastAsia="en-GB"/>
          <w14:ligatures w14:val="none"/>
        </w:rPr>
      </w:pPr>
      <w:proofErr w:type="spellStart"/>
      <w:r w:rsidRPr="00CB712A">
        <w:rPr>
          <w:rFonts w:ascii="Calibri" w:eastAsia="Times New Roman" w:hAnsi="Calibri" w:cs="Calibri"/>
          <w:kern w:val="0"/>
          <w:sz w:val="24"/>
          <w:szCs w:val="24"/>
          <w:lang w:eastAsia="en-GB"/>
          <w14:ligatures w14:val="none"/>
        </w:rPr>
        <w:t>Batabyal</w:t>
      </w:r>
      <w:proofErr w:type="spellEnd"/>
      <w:r w:rsidRPr="00CB712A">
        <w:rPr>
          <w:rFonts w:ascii="Calibri" w:eastAsia="Times New Roman" w:hAnsi="Calibri" w:cs="Calibri"/>
          <w:kern w:val="0"/>
          <w:sz w:val="24"/>
          <w:szCs w:val="24"/>
          <w:lang w:eastAsia="en-GB"/>
          <w14:ligatures w14:val="none"/>
        </w:rPr>
        <w:t xml:space="preserve">, D. (2018). </w:t>
      </w:r>
      <w:r w:rsidRPr="00CB712A">
        <w:rPr>
          <w:rFonts w:ascii="Calibri" w:eastAsia="Times New Roman" w:hAnsi="Calibri" w:cs="Calibri"/>
          <w:i/>
          <w:iCs/>
          <w:kern w:val="0"/>
          <w:sz w:val="24"/>
          <w:szCs w:val="24"/>
          <w:lang w:eastAsia="en-GB"/>
          <w14:ligatures w14:val="none"/>
        </w:rPr>
        <w:t>Managing Sustainable Tourism Resources</w:t>
      </w:r>
      <w:r w:rsidRPr="00CB712A">
        <w:rPr>
          <w:rFonts w:ascii="Calibri" w:eastAsia="Times New Roman" w:hAnsi="Calibri" w:cs="Calibri"/>
          <w:kern w:val="0"/>
          <w:sz w:val="24"/>
          <w:szCs w:val="24"/>
          <w:lang w:eastAsia="en-GB"/>
          <w14:ligatures w14:val="none"/>
        </w:rPr>
        <w:t xml:space="preserve">. [online] United States </w:t>
      </w:r>
      <w:proofErr w:type="gramStart"/>
      <w:r w:rsidRPr="00CB712A">
        <w:rPr>
          <w:rFonts w:ascii="Calibri" w:eastAsia="Times New Roman" w:hAnsi="Calibri" w:cs="Calibri"/>
          <w:kern w:val="0"/>
          <w:sz w:val="24"/>
          <w:szCs w:val="24"/>
          <w:lang w:eastAsia="en-GB"/>
          <w14:ligatures w14:val="none"/>
        </w:rPr>
        <w:t>Of</w:t>
      </w:r>
      <w:proofErr w:type="gramEnd"/>
      <w:r w:rsidRPr="00CB712A">
        <w:rPr>
          <w:rFonts w:ascii="Calibri" w:eastAsia="Times New Roman" w:hAnsi="Calibri" w:cs="Calibri"/>
          <w:kern w:val="0"/>
          <w:sz w:val="24"/>
          <w:szCs w:val="24"/>
          <w:lang w:eastAsia="en-GB"/>
          <w14:ligatures w14:val="none"/>
        </w:rPr>
        <w:t xml:space="preserve"> America: IGI Global, pp.1–330. Available at: https://www-igi-global-com.ezproxy.uwtsd.ac.uk/gateway/book/192041 [Accessed 29 Feb. 2024].</w:t>
      </w:r>
    </w:p>
    <w:p w14:paraId="31C7DD96" w14:textId="77777777" w:rsidR="00CB712A" w:rsidRPr="00CB712A" w:rsidRDefault="00CB712A" w:rsidP="00CB712A">
      <w:pPr>
        <w:spacing w:after="240" w:line="360" w:lineRule="auto"/>
        <w:rPr>
          <w:rFonts w:ascii="Calibri" w:eastAsia="Times New Roman" w:hAnsi="Calibri" w:cs="Calibri"/>
          <w:kern w:val="0"/>
          <w:sz w:val="24"/>
          <w:szCs w:val="24"/>
          <w:lang w:eastAsia="en-GB"/>
          <w14:ligatures w14:val="none"/>
        </w:rPr>
      </w:pPr>
      <w:r w:rsidRPr="00CB712A">
        <w:rPr>
          <w:rFonts w:ascii="Calibri" w:eastAsia="Times New Roman" w:hAnsi="Calibri" w:cs="Calibri"/>
          <w:kern w:val="0"/>
          <w:sz w:val="24"/>
          <w:szCs w:val="24"/>
          <w:lang w:eastAsia="en-GB"/>
          <w14:ligatures w14:val="none"/>
        </w:rPr>
        <w:t xml:space="preserve">BEON (2023). </w:t>
      </w:r>
      <w:r w:rsidRPr="00CB712A">
        <w:rPr>
          <w:rFonts w:ascii="Calibri" w:eastAsia="Times New Roman" w:hAnsi="Calibri" w:cs="Calibri"/>
          <w:i/>
          <w:iCs/>
          <w:kern w:val="0"/>
          <w:sz w:val="24"/>
          <w:szCs w:val="24"/>
          <w:lang w:eastAsia="en-GB"/>
          <w14:ligatures w14:val="none"/>
        </w:rPr>
        <w:t>Reasons Why Sustainable Hotels Are the Future of the Industry</w:t>
      </w:r>
      <w:r w:rsidRPr="00CB712A">
        <w:rPr>
          <w:rFonts w:ascii="Calibri" w:eastAsia="Times New Roman" w:hAnsi="Calibri" w:cs="Calibri"/>
          <w:kern w:val="0"/>
          <w:sz w:val="24"/>
          <w:szCs w:val="24"/>
          <w:lang w:eastAsia="en-GB"/>
          <w14:ligatures w14:val="none"/>
        </w:rPr>
        <w:t>. [online] BEON. Available at: https://www.beonx.com/knowledge/articles/sustainable-hotels/#:~:text=Sustainable%20hotels%20promote%20revenue%20growth&amp;text=For%20example%2C%20switching%20to%20energy [Accessed 28 Feb. 2024].</w:t>
      </w:r>
    </w:p>
    <w:p w14:paraId="5B8C8E45" w14:textId="77777777" w:rsidR="00CB712A" w:rsidRPr="00CB712A" w:rsidRDefault="00CB712A" w:rsidP="00CB712A">
      <w:pPr>
        <w:spacing w:after="240" w:line="360" w:lineRule="auto"/>
        <w:rPr>
          <w:rFonts w:ascii="Calibri" w:eastAsia="Times New Roman" w:hAnsi="Calibri" w:cs="Calibri"/>
          <w:kern w:val="0"/>
          <w:sz w:val="24"/>
          <w:szCs w:val="24"/>
          <w:lang w:eastAsia="en-GB"/>
          <w14:ligatures w14:val="none"/>
        </w:rPr>
      </w:pPr>
      <w:r w:rsidRPr="00CB712A">
        <w:rPr>
          <w:rFonts w:ascii="Calibri" w:eastAsia="Times New Roman" w:hAnsi="Calibri" w:cs="Calibri"/>
          <w:kern w:val="0"/>
          <w:sz w:val="24"/>
          <w:szCs w:val="24"/>
          <w:lang w:eastAsia="en-GB"/>
          <w14:ligatures w14:val="none"/>
        </w:rPr>
        <w:t xml:space="preserve">Costa, V. and Costa, C. (2022). </w:t>
      </w:r>
      <w:r w:rsidRPr="00CB712A">
        <w:rPr>
          <w:rFonts w:ascii="Calibri" w:eastAsia="Times New Roman" w:hAnsi="Calibri" w:cs="Calibri"/>
          <w:i/>
          <w:iCs/>
          <w:kern w:val="0"/>
          <w:sz w:val="24"/>
          <w:szCs w:val="24"/>
          <w:lang w:eastAsia="en-GB"/>
          <w14:ligatures w14:val="none"/>
        </w:rPr>
        <w:t>Sustainability and Competitiveness in the Hospitality Industry</w:t>
      </w:r>
      <w:r w:rsidRPr="00CB712A">
        <w:rPr>
          <w:rFonts w:ascii="Calibri" w:eastAsia="Times New Roman" w:hAnsi="Calibri" w:cs="Calibri"/>
          <w:kern w:val="0"/>
          <w:sz w:val="24"/>
          <w:szCs w:val="24"/>
          <w:lang w:eastAsia="en-GB"/>
          <w14:ligatures w14:val="none"/>
        </w:rPr>
        <w:t>. [online] United States of America: IGI Global, pp.1–312. Available at: https://www-igi-global-com.ezproxy.uwtsd.ac.uk/gateway/book/277196 [Accessed 27 Feb. 2024].</w:t>
      </w:r>
    </w:p>
    <w:p w14:paraId="3A3AD18C" w14:textId="77777777" w:rsidR="00CB712A" w:rsidRPr="00CB712A" w:rsidRDefault="00CB712A" w:rsidP="00CB712A">
      <w:pPr>
        <w:spacing w:after="240" w:line="360" w:lineRule="auto"/>
        <w:rPr>
          <w:rFonts w:ascii="Calibri" w:eastAsia="Times New Roman" w:hAnsi="Calibri" w:cs="Calibri"/>
          <w:kern w:val="0"/>
          <w:sz w:val="24"/>
          <w:szCs w:val="24"/>
          <w:lang w:eastAsia="en-GB"/>
          <w14:ligatures w14:val="none"/>
        </w:rPr>
      </w:pPr>
      <w:r w:rsidRPr="00CB712A">
        <w:rPr>
          <w:rFonts w:ascii="Calibri" w:eastAsia="Times New Roman" w:hAnsi="Calibri" w:cs="Calibri"/>
          <w:kern w:val="0"/>
          <w:sz w:val="24"/>
          <w:szCs w:val="24"/>
          <w:lang w:eastAsia="en-GB"/>
          <w14:ligatures w14:val="none"/>
        </w:rPr>
        <w:t xml:space="preserve">European Environment Agency (2023). </w:t>
      </w:r>
      <w:r w:rsidRPr="00CB712A">
        <w:rPr>
          <w:rFonts w:ascii="Calibri" w:eastAsia="Times New Roman" w:hAnsi="Calibri" w:cs="Calibri"/>
          <w:i/>
          <w:iCs/>
          <w:kern w:val="0"/>
          <w:sz w:val="24"/>
          <w:szCs w:val="24"/>
          <w:lang w:eastAsia="en-GB"/>
          <w14:ligatures w14:val="none"/>
        </w:rPr>
        <w:t>Climate Change mitigation: Reducing Emissions</w:t>
      </w:r>
      <w:r w:rsidRPr="00CB712A">
        <w:rPr>
          <w:rFonts w:ascii="Calibri" w:eastAsia="Times New Roman" w:hAnsi="Calibri" w:cs="Calibri"/>
          <w:kern w:val="0"/>
          <w:sz w:val="24"/>
          <w:szCs w:val="24"/>
          <w:lang w:eastAsia="en-GB"/>
          <w14:ligatures w14:val="none"/>
        </w:rPr>
        <w:t>. [online] www.eea.europa.eu. Available at: https://www.eea.europa.eu/en/topics/in-depth/climate-change-mitigation-reducing-emissions [Accessed 29 Feb. 2024].</w:t>
      </w:r>
    </w:p>
    <w:p w14:paraId="7D85B196" w14:textId="77777777" w:rsidR="00CB712A" w:rsidRPr="00CB712A" w:rsidRDefault="00CB712A" w:rsidP="00CB712A">
      <w:pPr>
        <w:spacing w:after="240" w:line="360" w:lineRule="auto"/>
        <w:rPr>
          <w:rFonts w:ascii="Calibri" w:eastAsia="Times New Roman" w:hAnsi="Calibri" w:cs="Calibri"/>
          <w:kern w:val="0"/>
          <w:sz w:val="24"/>
          <w:szCs w:val="24"/>
          <w:lang w:eastAsia="en-GB"/>
          <w14:ligatures w14:val="none"/>
        </w:rPr>
      </w:pPr>
      <w:r w:rsidRPr="00CB712A">
        <w:rPr>
          <w:rFonts w:ascii="Calibri" w:eastAsia="Times New Roman" w:hAnsi="Calibri" w:cs="Calibri"/>
          <w:kern w:val="0"/>
          <w:sz w:val="24"/>
          <w:szCs w:val="24"/>
          <w:lang w:eastAsia="en-GB"/>
          <w14:ligatures w14:val="none"/>
        </w:rPr>
        <w:t xml:space="preserve">European parliament (2023). </w:t>
      </w:r>
      <w:r w:rsidRPr="00CB712A">
        <w:rPr>
          <w:rFonts w:ascii="Calibri" w:eastAsia="Times New Roman" w:hAnsi="Calibri" w:cs="Calibri"/>
          <w:i/>
          <w:iCs/>
          <w:kern w:val="0"/>
          <w:sz w:val="24"/>
          <w:szCs w:val="24"/>
          <w:lang w:eastAsia="en-GB"/>
          <w14:ligatures w14:val="none"/>
        </w:rPr>
        <w:t>Circular economy: definition, Importance and Benefits | Topics | European Parliament</w:t>
      </w:r>
      <w:r w:rsidRPr="00CB712A">
        <w:rPr>
          <w:rFonts w:ascii="Calibri" w:eastAsia="Times New Roman" w:hAnsi="Calibri" w:cs="Calibri"/>
          <w:kern w:val="0"/>
          <w:sz w:val="24"/>
          <w:szCs w:val="24"/>
          <w:lang w:eastAsia="en-GB"/>
          <w14:ligatures w14:val="none"/>
        </w:rPr>
        <w:t>. [online] www.europarl.europa.eu. Available at: https://www.europarl.europa.eu/topics/en/article/20151201STO05603/circular-economy-definition-importance-and-benefits [Accessed 27 Feb. 2024].</w:t>
      </w:r>
    </w:p>
    <w:p w14:paraId="0CFABD82" w14:textId="77777777" w:rsidR="00CB712A" w:rsidRPr="00CB712A" w:rsidRDefault="00CB712A" w:rsidP="00CB712A">
      <w:pPr>
        <w:spacing w:after="240" w:line="360" w:lineRule="auto"/>
        <w:rPr>
          <w:rFonts w:ascii="Calibri" w:eastAsia="Times New Roman" w:hAnsi="Calibri" w:cs="Calibri"/>
          <w:kern w:val="0"/>
          <w:sz w:val="24"/>
          <w:szCs w:val="24"/>
          <w:lang w:eastAsia="en-GB"/>
          <w14:ligatures w14:val="none"/>
        </w:rPr>
      </w:pPr>
      <w:r w:rsidRPr="00CB712A">
        <w:rPr>
          <w:rFonts w:ascii="Calibri" w:eastAsia="Times New Roman" w:hAnsi="Calibri" w:cs="Calibri"/>
          <w:kern w:val="0"/>
          <w:sz w:val="24"/>
          <w:szCs w:val="24"/>
          <w:lang w:eastAsia="en-GB"/>
          <w14:ligatures w14:val="none"/>
        </w:rPr>
        <w:t xml:space="preserve">Fabrice, S. and Sivarajah, U. (2021). Exploring Circular Economy in the Hospitality industry: Empirical Evidence from Scandinavian Hotel Operators. </w:t>
      </w:r>
      <w:r w:rsidRPr="00CB712A">
        <w:rPr>
          <w:rFonts w:ascii="Calibri" w:eastAsia="Times New Roman" w:hAnsi="Calibri" w:cs="Calibri"/>
          <w:i/>
          <w:iCs/>
          <w:kern w:val="0"/>
          <w:sz w:val="24"/>
          <w:szCs w:val="24"/>
          <w:lang w:eastAsia="en-GB"/>
          <w14:ligatures w14:val="none"/>
        </w:rPr>
        <w:t>Scandinavian Journal of Hospitality and Tourism</w:t>
      </w:r>
      <w:r w:rsidRPr="00CB712A">
        <w:rPr>
          <w:rFonts w:ascii="Calibri" w:eastAsia="Times New Roman" w:hAnsi="Calibri" w:cs="Calibri"/>
          <w:kern w:val="0"/>
          <w:sz w:val="24"/>
          <w:szCs w:val="24"/>
          <w:lang w:eastAsia="en-GB"/>
          <w14:ligatures w14:val="none"/>
        </w:rPr>
        <w:t xml:space="preserve">, [online] 21(3), pp.1–21. </w:t>
      </w:r>
      <w:proofErr w:type="spellStart"/>
      <w:proofErr w:type="gramStart"/>
      <w:r w:rsidRPr="00CB712A">
        <w:rPr>
          <w:rFonts w:ascii="Calibri" w:eastAsia="Times New Roman" w:hAnsi="Calibri" w:cs="Calibri"/>
          <w:kern w:val="0"/>
          <w:sz w:val="24"/>
          <w:szCs w:val="24"/>
          <w:lang w:eastAsia="en-GB"/>
          <w14:ligatures w14:val="none"/>
        </w:rPr>
        <w:t>doi:https</w:t>
      </w:r>
      <w:proofErr w:type="spellEnd"/>
      <w:r w:rsidRPr="00CB712A">
        <w:rPr>
          <w:rFonts w:ascii="Calibri" w:eastAsia="Times New Roman" w:hAnsi="Calibri" w:cs="Calibri"/>
          <w:kern w:val="0"/>
          <w:sz w:val="24"/>
          <w:szCs w:val="24"/>
          <w:lang w:eastAsia="en-GB"/>
          <w14:ligatures w14:val="none"/>
        </w:rPr>
        <w:t>://doi.org/10.1080/15022250.2021.1921021</w:t>
      </w:r>
      <w:proofErr w:type="gramEnd"/>
      <w:r w:rsidRPr="00CB712A">
        <w:rPr>
          <w:rFonts w:ascii="Calibri" w:eastAsia="Times New Roman" w:hAnsi="Calibri" w:cs="Calibri"/>
          <w:kern w:val="0"/>
          <w:sz w:val="24"/>
          <w:szCs w:val="24"/>
          <w:lang w:eastAsia="en-GB"/>
          <w14:ligatures w14:val="none"/>
        </w:rPr>
        <w:t>.</w:t>
      </w:r>
    </w:p>
    <w:p w14:paraId="0A44DB01" w14:textId="77777777" w:rsidR="00CB712A" w:rsidRPr="00CB712A" w:rsidRDefault="00CB712A" w:rsidP="00CB712A">
      <w:pPr>
        <w:spacing w:after="240" w:line="360" w:lineRule="auto"/>
        <w:rPr>
          <w:rFonts w:ascii="Calibri" w:eastAsia="Times New Roman" w:hAnsi="Calibri" w:cs="Calibri"/>
          <w:kern w:val="0"/>
          <w:sz w:val="24"/>
          <w:szCs w:val="24"/>
          <w:lang w:eastAsia="en-GB"/>
          <w14:ligatures w14:val="none"/>
        </w:rPr>
      </w:pPr>
      <w:r w:rsidRPr="00CB712A">
        <w:rPr>
          <w:rFonts w:ascii="Calibri" w:eastAsia="Times New Roman" w:hAnsi="Calibri" w:cs="Calibri"/>
          <w:kern w:val="0"/>
          <w:sz w:val="24"/>
          <w:szCs w:val="24"/>
          <w:lang w:eastAsia="en-GB"/>
          <w14:ligatures w14:val="none"/>
        </w:rPr>
        <w:lastRenderedPageBreak/>
        <w:t xml:space="preserve">IGI Global (2019). </w:t>
      </w:r>
      <w:r w:rsidRPr="00CB712A">
        <w:rPr>
          <w:rFonts w:ascii="Calibri" w:eastAsia="Times New Roman" w:hAnsi="Calibri" w:cs="Calibri"/>
          <w:i/>
          <w:iCs/>
          <w:kern w:val="0"/>
          <w:sz w:val="24"/>
          <w:szCs w:val="24"/>
          <w:lang w:eastAsia="en-GB"/>
          <w14:ligatures w14:val="none"/>
        </w:rPr>
        <w:t>Sustainable Tourism: Breakthroughs in Research and Practice</w:t>
      </w:r>
      <w:r w:rsidRPr="00CB712A">
        <w:rPr>
          <w:rFonts w:ascii="Calibri" w:eastAsia="Times New Roman" w:hAnsi="Calibri" w:cs="Calibri"/>
          <w:kern w:val="0"/>
          <w:sz w:val="24"/>
          <w:szCs w:val="24"/>
          <w:lang w:eastAsia="en-GB"/>
          <w14:ligatures w14:val="none"/>
        </w:rPr>
        <w:t>. [online] United States of America: IGI Global, pp.1–522. Available at: https://www-igi-global-com.ezproxy.uwtsd.ac.uk/gateway/book/207674 [Accessed 1 Mar. 2024].</w:t>
      </w:r>
    </w:p>
    <w:p w14:paraId="0E926060" w14:textId="77777777" w:rsidR="00CB712A" w:rsidRPr="00CB712A" w:rsidRDefault="00CB712A" w:rsidP="00CB712A">
      <w:pPr>
        <w:spacing w:after="240" w:line="360" w:lineRule="auto"/>
        <w:rPr>
          <w:rFonts w:ascii="Calibri" w:eastAsia="Times New Roman" w:hAnsi="Calibri" w:cs="Calibri"/>
          <w:kern w:val="0"/>
          <w:sz w:val="24"/>
          <w:szCs w:val="24"/>
          <w:lang w:eastAsia="en-GB"/>
          <w14:ligatures w14:val="none"/>
        </w:rPr>
      </w:pPr>
      <w:r w:rsidRPr="00CB712A">
        <w:rPr>
          <w:rFonts w:ascii="Calibri" w:eastAsia="Times New Roman" w:hAnsi="Calibri" w:cs="Calibri"/>
          <w:kern w:val="0"/>
          <w:sz w:val="24"/>
          <w:szCs w:val="24"/>
          <w:lang w:eastAsia="en-GB"/>
          <w14:ligatures w14:val="none"/>
        </w:rPr>
        <w:t xml:space="preserve">IGI Global (2022). </w:t>
      </w:r>
      <w:r w:rsidRPr="00CB712A">
        <w:rPr>
          <w:rFonts w:ascii="Calibri" w:eastAsia="Times New Roman" w:hAnsi="Calibri" w:cs="Calibri"/>
          <w:i/>
          <w:iCs/>
          <w:kern w:val="0"/>
          <w:sz w:val="24"/>
          <w:szCs w:val="24"/>
          <w:lang w:eastAsia="en-GB"/>
          <w14:ligatures w14:val="none"/>
        </w:rPr>
        <w:t>New Governance and Management in Touristic Destinations</w:t>
      </w:r>
      <w:r w:rsidRPr="00CB712A">
        <w:rPr>
          <w:rFonts w:ascii="Calibri" w:eastAsia="Times New Roman" w:hAnsi="Calibri" w:cs="Calibri"/>
          <w:kern w:val="0"/>
          <w:sz w:val="24"/>
          <w:szCs w:val="24"/>
          <w:lang w:eastAsia="en-GB"/>
          <w14:ligatures w14:val="none"/>
        </w:rPr>
        <w:t>. [online] United States of America: IGI Global, pp.1–357. Available at: https://www-igi-global-com.ezproxy.uwtsd.ac.uk/gateway/book/286752 [Accessed 1 Mar. 2024].</w:t>
      </w:r>
    </w:p>
    <w:p w14:paraId="20880065" w14:textId="77777777" w:rsidR="00CB712A" w:rsidRPr="00CB712A" w:rsidRDefault="00CB712A" w:rsidP="00CB712A">
      <w:pPr>
        <w:spacing w:after="240" w:line="360" w:lineRule="auto"/>
        <w:rPr>
          <w:rFonts w:ascii="Calibri" w:eastAsia="Times New Roman" w:hAnsi="Calibri" w:cs="Calibri"/>
          <w:kern w:val="0"/>
          <w:sz w:val="24"/>
          <w:szCs w:val="24"/>
          <w:lang w:eastAsia="en-GB"/>
          <w14:ligatures w14:val="none"/>
        </w:rPr>
      </w:pPr>
      <w:proofErr w:type="spellStart"/>
      <w:r w:rsidRPr="00CB712A">
        <w:rPr>
          <w:rFonts w:ascii="Calibri" w:eastAsia="Times New Roman" w:hAnsi="Calibri" w:cs="Calibri"/>
          <w:kern w:val="0"/>
          <w:sz w:val="24"/>
          <w:szCs w:val="24"/>
          <w:lang w:eastAsia="en-GB"/>
          <w14:ligatures w14:val="none"/>
        </w:rPr>
        <w:t>Kostanje</w:t>
      </w:r>
      <w:proofErr w:type="spellEnd"/>
      <w:r w:rsidRPr="00CB712A">
        <w:rPr>
          <w:rFonts w:ascii="Calibri" w:eastAsia="Times New Roman" w:hAnsi="Calibri" w:cs="Calibri"/>
          <w:kern w:val="0"/>
          <w:sz w:val="24"/>
          <w:szCs w:val="24"/>
          <w:lang w:eastAsia="en-GB"/>
          <w14:ligatures w14:val="none"/>
        </w:rPr>
        <w:t xml:space="preserve">, M.E., Babu, G. and Nedelea, A.-M. (2020). </w:t>
      </w:r>
      <w:r w:rsidRPr="00CB712A">
        <w:rPr>
          <w:rFonts w:ascii="Calibri" w:eastAsia="Times New Roman" w:hAnsi="Calibri" w:cs="Calibri"/>
          <w:i/>
          <w:iCs/>
          <w:kern w:val="0"/>
          <w:sz w:val="24"/>
          <w:szCs w:val="24"/>
          <w:lang w:eastAsia="en-GB"/>
          <w14:ligatures w14:val="none"/>
        </w:rPr>
        <w:t>Strategies for Promoting Sustainable Hospitality and Tourism Services</w:t>
      </w:r>
      <w:r w:rsidRPr="00CB712A">
        <w:rPr>
          <w:rFonts w:ascii="Calibri" w:eastAsia="Times New Roman" w:hAnsi="Calibri" w:cs="Calibri"/>
          <w:kern w:val="0"/>
          <w:sz w:val="24"/>
          <w:szCs w:val="24"/>
          <w:lang w:eastAsia="en-GB"/>
          <w14:ligatures w14:val="none"/>
        </w:rPr>
        <w:t>. [online] United States of America: IGI Global, pp.1–243. Available at: https://www-igi-global-com.ezproxy.uwtsd.ac.uk/gateway/book/244421 [Accessed 29 Feb. 2024].</w:t>
      </w:r>
    </w:p>
    <w:p w14:paraId="1C83DB0A" w14:textId="77777777" w:rsidR="00CB712A" w:rsidRPr="00CB712A" w:rsidRDefault="00CB712A" w:rsidP="00CB712A">
      <w:pPr>
        <w:spacing w:after="240" w:line="360" w:lineRule="auto"/>
        <w:rPr>
          <w:rFonts w:ascii="Calibri" w:eastAsia="Times New Roman" w:hAnsi="Calibri" w:cs="Calibri"/>
          <w:kern w:val="0"/>
          <w:sz w:val="24"/>
          <w:szCs w:val="24"/>
          <w:lang w:eastAsia="en-GB"/>
          <w14:ligatures w14:val="none"/>
        </w:rPr>
      </w:pPr>
      <w:r w:rsidRPr="00CB712A">
        <w:rPr>
          <w:rFonts w:ascii="Calibri" w:eastAsia="Times New Roman" w:hAnsi="Calibri" w:cs="Calibri"/>
          <w:kern w:val="0"/>
          <w:sz w:val="24"/>
          <w:szCs w:val="24"/>
          <w:lang w:eastAsia="en-GB"/>
          <w14:ligatures w14:val="none"/>
        </w:rPr>
        <w:t xml:space="preserve">London College Of Contemporary Arts (2023). </w:t>
      </w:r>
      <w:r w:rsidRPr="00CB712A">
        <w:rPr>
          <w:rFonts w:ascii="Calibri" w:eastAsia="Times New Roman" w:hAnsi="Calibri" w:cs="Calibri"/>
          <w:i/>
          <w:iCs/>
          <w:kern w:val="0"/>
          <w:sz w:val="24"/>
          <w:szCs w:val="24"/>
          <w:lang w:eastAsia="en-GB"/>
          <w14:ligatures w14:val="none"/>
        </w:rPr>
        <w:t>Why Is Sustainability Crucial to Success in the Hospitality industry? | LCCA Blog</w:t>
      </w:r>
      <w:r w:rsidRPr="00CB712A">
        <w:rPr>
          <w:rFonts w:ascii="Calibri" w:eastAsia="Times New Roman" w:hAnsi="Calibri" w:cs="Calibri"/>
          <w:kern w:val="0"/>
          <w:sz w:val="24"/>
          <w:szCs w:val="24"/>
          <w:lang w:eastAsia="en-GB"/>
          <w14:ligatures w14:val="none"/>
        </w:rPr>
        <w:t>. [online] www.lcca.org.uk. Available at: https://www.lcca.org.uk/blog/hospitality/why-is-sustainability-crucial-to-success-in-the-hospitality-industry/ [Accessed 26 Feb. 2024].</w:t>
      </w:r>
    </w:p>
    <w:p w14:paraId="0976D8E4" w14:textId="77777777" w:rsidR="00CB712A" w:rsidRPr="00CB712A" w:rsidRDefault="00CB712A" w:rsidP="00CB712A">
      <w:pPr>
        <w:spacing w:after="240" w:line="360" w:lineRule="auto"/>
        <w:rPr>
          <w:rFonts w:ascii="Calibri" w:eastAsia="Times New Roman" w:hAnsi="Calibri" w:cs="Calibri"/>
          <w:kern w:val="0"/>
          <w:sz w:val="24"/>
          <w:szCs w:val="24"/>
          <w:lang w:eastAsia="en-GB"/>
          <w14:ligatures w14:val="none"/>
        </w:rPr>
      </w:pPr>
      <w:r w:rsidRPr="00CB712A">
        <w:rPr>
          <w:rFonts w:ascii="Calibri" w:eastAsia="Times New Roman" w:hAnsi="Calibri" w:cs="Calibri"/>
          <w:kern w:val="0"/>
          <w:sz w:val="24"/>
          <w:szCs w:val="24"/>
          <w:lang w:eastAsia="en-GB"/>
          <w14:ligatures w14:val="none"/>
        </w:rPr>
        <w:t xml:space="preserve">Mensah, I. (2019). </w:t>
      </w:r>
      <w:r w:rsidRPr="00CB712A">
        <w:rPr>
          <w:rFonts w:ascii="Calibri" w:eastAsia="Times New Roman" w:hAnsi="Calibri" w:cs="Calibri"/>
          <w:i/>
          <w:iCs/>
          <w:kern w:val="0"/>
          <w:sz w:val="24"/>
          <w:szCs w:val="24"/>
          <w:lang w:eastAsia="en-GB"/>
          <w14:ligatures w14:val="none"/>
        </w:rPr>
        <w:t>Environmental Management Concepts and Practices for the Hospitality Industry</w:t>
      </w:r>
      <w:r w:rsidRPr="00CB712A">
        <w:rPr>
          <w:rFonts w:ascii="Calibri" w:eastAsia="Times New Roman" w:hAnsi="Calibri" w:cs="Calibri"/>
          <w:kern w:val="0"/>
          <w:sz w:val="24"/>
          <w:szCs w:val="24"/>
          <w:lang w:eastAsia="en-GB"/>
          <w14:ligatures w14:val="none"/>
        </w:rPr>
        <w:t xml:space="preserve">. [online] </w:t>
      </w:r>
      <w:r w:rsidRPr="00CB712A">
        <w:rPr>
          <w:rFonts w:ascii="Calibri" w:eastAsia="Times New Roman" w:hAnsi="Calibri" w:cs="Calibri"/>
          <w:i/>
          <w:iCs/>
          <w:kern w:val="0"/>
          <w:sz w:val="24"/>
          <w:szCs w:val="24"/>
          <w:lang w:eastAsia="en-GB"/>
          <w14:ligatures w14:val="none"/>
        </w:rPr>
        <w:t>Google Books</w:t>
      </w:r>
      <w:r w:rsidRPr="00CB712A">
        <w:rPr>
          <w:rFonts w:ascii="Calibri" w:eastAsia="Times New Roman" w:hAnsi="Calibri" w:cs="Calibri"/>
          <w:kern w:val="0"/>
          <w:sz w:val="24"/>
          <w:szCs w:val="24"/>
          <w:lang w:eastAsia="en-GB"/>
          <w14:ligatures w14:val="none"/>
        </w:rPr>
        <w:t>. Cambridge Scholars Publishing. Available at: https://books.google.co.uk/books?hl=en&amp;lr=&amp;id=XtGmDwAAQBAJ&amp;oi=fnd&amp;pg=PR7&amp;dq=environmental+management+in+hospitality+industry&amp;ots=sqJJifMMzT&amp;sig=k0kDHNv6v_8MQPfj6kEBzXn9D-o#v=onepage&amp;q=environmental%20management%20in%20hospitality%20industry&amp;f=false [Accessed 1 Mar. 2024].</w:t>
      </w:r>
    </w:p>
    <w:p w14:paraId="2F6B5688" w14:textId="77777777" w:rsidR="00CB712A" w:rsidRPr="00CB712A" w:rsidRDefault="00CB712A" w:rsidP="00CB712A">
      <w:pPr>
        <w:spacing w:after="240" w:line="360" w:lineRule="auto"/>
        <w:rPr>
          <w:rFonts w:ascii="Calibri" w:eastAsia="Times New Roman" w:hAnsi="Calibri" w:cs="Calibri"/>
          <w:kern w:val="0"/>
          <w:sz w:val="24"/>
          <w:szCs w:val="24"/>
          <w:lang w:eastAsia="en-GB"/>
          <w14:ligatures w14:val="none"/>
        </w:rPr>
      </w:pPr>
      <w:r w:rsidRPr="00CB712A">
        <w:rPr>
          <w:rFonts w:ascii="Calibri" w:eastAsia="Times New Roman" w:hAnsi="Calibri" w:cs="Calibri"/>
          <w:kern w:val="0"/>
          <w:sz w:val="24"/>
          <w:szCs w:val="24"/>
          <w:lang w:eastAsia="en-GB"/>
          <w14:ligatures w14:val="none"/>
        </w:rPr>
        <w:t xml:space="preserve">Mews (2023). </w:t>
      </w:r>
      <w:r w:rsidRPr="00CB712A">
        <w:rPr>
          <w:rFonts w:ascii="Calibri" w:eastAsia="Times New Roman" w:hAnsi="Calibri" w:cs="Calibri"/>
          <w:i/>
          <w:iCs/>
          <w:kern w:val="0"/>
          <w:sz w:val="24"/>
          <w:szCs w:val="24"/>
          <w:lang w:eastAsia="en-GB"/>
          <w14:ligatures w14:val="none"/>
        </w:rPr>
        <w:t>Hotel Waste Management: How to Reduce It in Hospitality?</w:t>
      </w:r>
      <w:r w:rsidRPr="00CB712A">
        <w:rPr>
          <w:rFonts w:ascii="Calibri" w:eastAsia="Times New Roman" w:hAnsi="Calibri" w:cs="Calibri"/>
          <w:kern w:val="0"/>
          <w:sz w:val="24"/>
          <w:szCs w:val="24"/>
          <w:lang w:eastAsia="en-GB"/>
          <w14:ligatures w14:val="none"/>
        </w:rPr>
        <w:t xml:space="preserve"> [online] www.mews.com. Available at: https://www.mews.com/en/blog/hotel-waste-management [Accessed 28 Feb. 2024].</w:t>
      </w:r>
    </w:p>
    <w:p w14:paraId="43E35F9F" w14:textId="77777777" w:rsidR="00CB712A" w:rsidRPr="00CB712A" w:rsidRDefault="00CB712A" w:rsidP="00CB712A">
      <w:pPr>
        <w:spacing w:after="240" w:line="360" w:lineRule="auto"/>
        <w:rPr>
          <w:rFonts w:ascii="Calibri" w:eastAsia="Times New Roman" w:hAnsi="Calibri" w:cs="Calibri"/>
          <w:kern w:val="0"/>
          <w:sz w:val="24"/>
          <w:szCs w:val="24"/>
          <w:lang w:eastAsia="en-GB"/>
          <w14:ligatures w14:val="none"/>
        </w:rPr>
      </w:pPr>
      <w:proofErr w:type="spellStart"/>
      <w:r w:rsidRPr="00CB712A">
        <w:rPr>
          <w:rFonts w:ascii="Calibri" w:eastAsia="Times New Roman" w:hAnsi="Calibri" w:cs="Calibri"/>
          <w:kern w:val="0"/>
          <w:sz w:val="24"/>
          <w:szCs w:val="24"/>
          <w:lang w:eastAsia="en-GB"/>
          <w14:ligatures w14:val="none"/>
        </w:rPr>
        <w:t>Schöggl</w:t>
      </w:r>
      <w:proofErr w:type="spellEnd"/>
      <w:r w:rsidRPr="00CB712A">
        <w:rPr>
          <w:rFonts w:ascii="Calibri" w:eastAsia="Times New Roman" w:hAnsi="Calibri" w:cs="Calibri"/>
          <w:kern w:val="0"/>
          <w:sz w:val="24"/>
          <w:szCs w:val="24"/>
          <w:lang w:eastAsia="en-GB"/>
          <w14:ligatures w14:val="none"/>
        </w:rPr>
        <w:t xml:space="preserve">, J.-P., Stumpf, L. and Baumgartner, R.J. (2020). The Narrative of Sustainability and Circular Economy - a Longitudinal Review of Two Decades of Research. </w:t>
      </w:r>
      <w:r w:rsidRPr="00CB712A">
        <w:rPr>
          <w:rFonts w:ascii="Calibri" w:eastAsia="Times New Roman" w:hAnsi="Calibri" w:cs="Calibri"/>
          <w:i/>
          <w:iCs/>
          <w:kern w:val="0"/>
          <w:sz w:val="24"/>
          <w:szCs w:val="24"/>
          <w:lang w:eastAsia="en-GB"/>
          <w14:ligatures w14:val="none"/>
        </w:rPr>
        <w:t>Resources, Conservation and Recycling</w:t>
      </w:r>
      <w:r w:rsidRPr="00CB712A">
        <w:rPr>
          <w:rFonts w:ascii="Calibri" w:eastAsia="Times New Roman" w:hAnsi="Calibri" w:cs="Calibri"/>
          <w:kern w:val="0"/>
          <w:sz w:val="24"/>
          <w:szCs w:val="24"/>
          <w:lang w:eastAsia="en-GB"/>
          <w14:ligatures w14:val="none"/>
        </w:rPr>
        <w:t xml:space="preserve">, [online] 163, p.105073. </w:t>
      </w:r>
      <w:proofErr w:type="spellStart"/>
      <w:proofErr w:type="gramStart"/>
      <w:r w:rsidRPr="00CB712A">
        <w:rPr>
          <w:rFonts w:ascii="Calibri" w:eastAsia="Times New Roman" w:hAnsi="Calibri" w:cs="Calibri"/>
          <w:kern w:val="0"/>
          <w:sz w:val="24"/>
          <w:szCs w:val="24"/>
          <w:lang w:eastAsia="en-GB"/>
          <w14:ligatures w14:val="none"/>
        </w:rPr>
        <w:t>doi:https</w:t>
      </w:r>
      <w:proofErr w:type="spellEnd"/>
      <w:r w:rsidRPr="00CB712A">
        <w:rPr>
          <w:rFonts w:ascii="Calibri" w:eastAsia="Times New Roman" w:hAnsi="Calibri" w:cs="Calibri"/>
          <w:kern w:val="0"/>
          <w:sz w:val="24"/>
          <w:szCs w:val="24"/>
          <w:lang w:eastAsia="en-GB"/>
          <w14:ligatures w14:val="none"/>
        </w:rPr>
        <w:t>://doi.org/10.1016/j.resconrec.2020.105073</w:t>
      </w:r>
      <w:proofErr w:type="gramEnd"/>
      <w:r w:rsidRPr="00CB712A">
        <w:rPr>
          <w:rFonts w:ascii="Calibri" w:eastAsia="Times New Roman" w:hAnsi="Calibri" w:cs="Calibri"/>
          <w:kern w:val="0"/>
          <w:sz w:val="24"/>
          <w:szCs w:val="24"/>
          <w:lang w:eastAsia="en-GB"/>
          <w14:ligatures w14:val="none"/>
        </w:rPr>
        <w:t>.</w:t>
      </w:r>
    </w:p>
    <w:p w14:paraId="04D823CB" w14:textId="77777777" w:rsidR="00CB712A" w:rsidRPr="00CB712A" w:rsidRDefault="00CB712A" w:rsidP="00CB712A">
      <w:pPr>
        <w:spacing w:after="240" w:line="360" w:lineRule="auto"/>
        <w:rPr>
          <w:rFonts w:ascii="Calibri" w:eastAsia="Times New Roman" w:hAnsi="Calibri" w:cs="Calibri"/>
          <w:kern w:val="0"/>
          <w:sz w:val="24"/>
          <w:szCs w:val="24"/>
          <w:lang w:eastAsia="en-GB"/>
          <w14:ligatures w14:val="none"/>
        </w:rPr>
      </w:pPr>
      <w:r w:rsidRPr="00CB712A">
        <w:rPr>
          <w:rFonts w:ascii="Calibri" w:eastAsia="Times New Roman" w:hAnsi="Calibri" w:cs="Calibri"/>
          <w:kern w:val="0"/>
          <w:sz w:val="24"/>
          <w:szCs w:val="24"/>
          <w:lang w:eastAsia="en-GB"/>
          <w14:ligatures w14:val="none"/>
        </w:rPr>
        <w:lastRenderedPageBreak/>
        <w:t xml:space="preserve">Wickham, M., Donelly, T. and Linda, F. (2021). </w:t>
      </w:r>
      <w:r w:rsidRPr="00CB712A">
        <w:rPr>
          <w:rFonts w:ascii="Calibri" w:eastAsia="Times New Roman" w:hAnsi="Calibri" w:cs="Calibri"/>
          <w:i/>
          <w:iCs/>
          <w:kern w:val="0"/>
          <w:sz w:val="24"/>
          <w:szCs w:val="24"/>
          <w:lang w:eastAsia="en-GB"/>
          <w14:ligatures w14:val="none"/>
        </w:rPr>
        <w:t>Strategic Sustainability Management in the Event Sector</w:t>
      </w:r>
      <w:r w:rsidRPr="00CB712A">
        <w:rPr>
          <w:rFonts w:ascii="Calibri" w:eastAsia="Times New Roman" w:hAnsi="Calibri" w:cs="Calibri"/>
          <w:kern w:val="0"/>
          <w:sz w:val="24"/>
          <w:szCs w:val="24"/>
          <w:lang w:eastAsia="en-GB"/>
          <w14:ligatures w14:val="none"/>
        </w:rPr>
        <w:t>. 3rd ed. [online] pp.279–296. Available at: https://www.proquest.com/docview/2779425469/fulltextPDF/BD9D34D22EED461EPQ/1?accountid=130472&amp;sourcetype=Scholarly%20Journals [Accessed 1 Mar. 2024].</w:t>
      </w:r>
    </w:p>
    <w:p w14:paraId="09784902" w14:textId="77777777" w:rsidR="00CB712A" w:rsidRDefault="00CB712A" w:rsidP="00CB712A">
      <w:pPr>
        <w:spacing w:after="240" w:line="360" w:lineRule="auto"/>
        <w:rPr>
          <w:rFonts w:ascii="Calibri" w:eastAsia="Times New Roman" w:hAnsi="Calibri" w:cs="Calibri"/>
          <w:kern w:val="0"/>
          <w:sz w:val="24"/>
          <w:szCs w:val="24"/>
          <w:lang w:eastAsia="en-GB"/>
          <w14:ligatures w14:val="none"/>
        </w:rPr>
      </w:pPr>
    </w:p>
    <w:p w14:paraId="72E1CBBB" w14:textId="7166A296" w:rsidR="00CB712A" w:rsidRPr="00CB712A" w:rsidRDefault="00CB712A" w:rsidP="00CB712A">
      <w:pPr>
        <w:spacing w:after="240" w:line="360" w:lineRule="auto"/>
        <w:rPr>
          <w:rFonts w:ascii="Calibri" w:eastAsia="Times New Roman" w:hAnsi="Calibri" w:cs="Calibri"/>
          <w:kern w:val="0"/>
          <w:sz w:val="24"/>
          <w:szCs w:val="24"/>
          <w:lang w:eastAsia="en-GB"/>
          <w14:ligatures w14:val="none"/>
        </w:rPr>
      </w:pPr>
      <w:r w:rsidRPr="00CB712A">
        <w:rPr>
          <w:rFonts w:ascii="Calibri" w:eastAsia="Times New Roman" w:hAnsi="Calibri" w:cs="Calibri"/>
          <w:kern w:val="0"/>
          <w:sz w:val="24"/>
          <w:szCs w:val="24"/>
          <w:lang w:eastAsia="en-GB"/>
          <w14:ligatures w14:val="none"/>
        </w:rPr>
        <w:t xml:space="preserve">Xie, C., Li, B., Zhang, J., Li, X. and Huang, S. (2023). Effects of Risk Message on Loneliness and Travel intention: Roles of Conflictive Family Atmosphere and Risk Propensity in the Context of COVID-19 Pandemic. </w:t>
      </w:r>
      <w:r w:rsidRPr="00CB712A">
        <w:rPr>
          <w:rFonts w:ascii="Calibri" w:eastAsia="Times New Roman" w:hAnsi="Calibri" w:cs="Calibri"/>
          <w:i/>
          <w:iCs/>
          <w:kern w:val="0"/>
          <w:sz w:val="24"/>
          <w:szCs w:val="24"/>
          <w:lang w:eastAsia="en-GB"/>
          <w14:ligatures w14:val="none"/>
        </w:rPr>
        <w:t>Current Issues in Tourism</w:t>
      </w:r>
      <w:r w:rsidRPr="00CB712A">
        <w:rPr>
          <w:rFonts w:ascii="Calibri" w:eastAsia="Times New Roman" w:hAnsi="Calibri" w:cs="Calibri"/>
          <w:kern w:val="0"/>
          <w:sz w:val="24"/>
          <w:szCs w:val="24"/>
          <w:lang w:eastAsia="en-GB"/>
          <w14:ligatures w14:val="none"/>
        </w:rPr>
        <w:t xml:space="preserve">, [online] 26(6), pp.1–18. </w:t>
      </w:r>
      <w:proofErr w:type="spellStart"/>
      <w:proofErr w:type="gramStart"/>
      <w:r w:rsidRPr="00CB712A">
        <w:rPr>
          <w:rFonts w:ascii="Calibri" w:eastAsia="Times New Roman" w:hAnsi="Calibri" w:cs="Calibri"/>
          <w:kern w:val="0"/>
          <w:sz w:val="24"/>
          <w:szCs w:val="24"/>
          <w:lang w:eastAsia="en-GB"/>
          <w14:ligatures w14:val="none"/>
        </w:rPr>
        <w:t>doi:https</w:t>
      </w:r>
      <w:proofErr w:type="spellEnd"/>
      <w:r w:rsidRPr="00CB712A">
        <w:rPr>
          <w:rFonts w:ascii="Calibri" w:eastAsia="Times New Roman" w:hAnsi="Calibri" w:cs="Calibri"/>
          <w:kern w:val="0"/>
          <w:sz w:val="24"/>
          <w:szCs w:val="24"/>
          <w:lang w:eastAsia="en-GB"/>
          <w14:ligatures w14:val="none"/>
        </w:rPr>
        <w:t>://doi.org/10.1080/13683500.2023.2194015</w:t>
      </w:r>
      <w:proofErr w:type="gramEnd"/>
      <w:r w:rsidRPr="00CB712A">
        <w:rPr>
          <w:rFonts w:ascii="Calibri" w:eastAsia="Times New Roman" w:hAnsi="Calibri" w:cs="Calibri"/>
          <w:kern w:val="0"/>
          <w:sz w:val="24"/>
          <w:szCs w:val="24"/>
          <w:lang w:eastAsia="en-GB"/>
          <w14:ligatures w14:val="none"/>
        </w:rPr>
        <w:t>.</w:t>
      </w:r>
    </w:p>
    <w:p w14:paraId="4F9ED67F" w14:textId="77777777" w:rsidR="00CB712A" w:rsidRPr="00CB712A" w:rsidRDefault="00CB712A" w:rsidP="00CB712A">
      <w:pPr>
        <w:pStyle w:val="pb-2"/>
        <w:spacing w:line="360" w:lineRule="auto"/>
        <w:rPr>
          <w:rFonts w:ascii="Calibri" w:hAnsi="Calibri" w:cs="Calibri"/>
        </w:rPr>
      </w:pPr>
    </w:p>
    <w:p w14:paraId="7D847A84" w14:textId="77777777" w:rsidR="005D018C" w:rsidRPr="00CB712A" w:rsidRDefault="005D018C" w:rsidP="00CB712A">
      <w:pPr>
        <w:spacing w:line="360" w:lineRule="auto"/>
        <w:rPr>
          <w:rFonts w:ascii="Calibri" w:hAnsi="Calibri" w:cs="Calibri"/>
          <w:sz w:val="24"/>
          <w:szCs w:val="24"/>
        </w:rPr>
      </w:pPr>
    </w:p>
    <w:sectPr w:rsidR="005D018C" w:rsidRPr="00CB71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10AE"/>
    <w:rsid w:val="00005F4A"/>
    <w:rsid w:val="0004728B"/>
    <w:rsid w:val="000D356D"/>
    <w:rsid w:val="0014021C"/>
    <w:rsid w:val="001561FC"/>
    <w:rsid w:val="001A41F3"/>
    <w:rsid w:val="001B38D8"/>
    <w:rsid w:val="00222DF2"/>
    <w:rsid w:val="00323E52"/>
    <w:rsid w:val="003F73DA"/>
    <w:rsid w:val="00463111"/>
    <w:rsid w:val="00465851"/>
    <w:rsid w:val="004D10AE"/>
    <w:rsid w:val="005D018C"/>
    <w:rsid w:val="005F33BB"/>
    <w:rsid w:val="00663AE3"/>
    <w:rsid w:val="00702E36"/>
    <w:rsid w:val="007622FC"/>
    <w:rsid w:val="00826787"/>
    <w:rsid w:val="0084507B"/>
    <w:rsid w:val="00876F5C"/>
    <w:rsid w:val="00883FE0"/>
    <w:rsid w:val="009516F7"/>
    <w:rsid w:val="00987DAD"/>
    <w:rsid w:val="00A510E9"/>
    <w:rsid w:val="00AA5847"/>
    <w:rsid w:val="00B45F79"/>
    <w:rsid w:val="00C34D44"/>
    <w:rsid w:val="00C93C33"/>
    <w:rsid w:val="00CB712A"/>
    <w:rsid w:val="00D27D43"/>
    <w:rsid w:val="00DD0057"/>
    <w:rsid w:val="00F13AFB"/>
    <w:rsid w:val="00FB0BDB"/>
    <w:rsid w:val="00FD6F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47FA69"/>
  <w15:chartTrackingRefBased/>
  <w15:docId w15:val="{B44810A6-4CFA-4A6C-8BC6-D406552E65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10A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D10A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D10A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D10A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D10A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D10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10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10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10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10A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D10A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D10A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D10A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D10A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D10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10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10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10AE"/>
    <w:rPr>
      <w:rFonts w:eastAsiaTheme="majorEastAsia" w:cstheme="majorBidi"/>
      <w:color w:val="272727" w:themeColor="text1" w:themeTint="D8"/>
    </w:rPr>
  </w:style>
  <w:style w:type="paragraph" w:styleId="Title">
    <w:name w:val="Title"/>
    <w:basedOn w:val="Normal"/>
    <w:next w:val="Normal"/>
    <w:link w:val="TitleChar"/>
    <w:uiPriority w:val="10"/>
    <w:qFormat/>
    <w:rsid w:val="004D10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10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10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10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10AE"/>
    <w:pPr>
      <w:spacing w:before="160"/>
      <w:jc w:val="center"/>
    </w:pPr>
    <w:rPr>
      <w:i/>
      <w:iCs/>
      <w:color w:val="404040" w:themeColor="text1" w:themeTint="BF"/>
    </w:rPr>
  </w:style>
  <w:style w:type="character" w:customStyle="1" w:styleId="QuoteChar">
    <w:name w:val="Quote Char"/>
    <w:basedOn w:val="DefaultParagraphFont"/>
    <w:link w:val="Quote"/>
    <w:uiPriority w:val="29"/>
    <w:rsid w:val="004D10AE"/>
    <w:rPr>
      <w:i/>
      <w:iCs/>
      <w:color w:val="404040" w:themeColor="text1" w:themeTint="BF"/>
    </w:rPr>
  </w:style>
  <w:style w:type="paragraph" w:styleId="ListParagraph">
    <w:name w:val="List Paragraph"/>
    <w:basedOn w:val="Normal"/>
    <w:uiPriority w:val="34"/>
    <w:qFormat/>
    <w:rsid w:val="004D10AE"/>
    <w:pPr>
      <w:ind w:left="720"/>
      <w:contextualSpacing/>
    </w:pPr>
  </w:style>
  <w:style w:type="character" w:styleId="IntenseEmphasis">
    <w:name w:val="Intense Emphasis"/>
    <w:basedOn w:val="DefaultParagraphFont"/>
    <w:uiPriority w:val="21"/>
    <w:qFormat/>
    <w:rsid w:val="004D10AE"/>
    <w:rPr>
      <w:i/>
      <w:iCs/>
      <w:color w:val="0F4761" w:themeColor="accent1" w:themeShade="BF"/>
    </w:rPr>
  </w:style>
  <w:style w:type="paragraph" w:styleId="IntenseQuote">
    <w:name w:val="Intense Quote"/>
    <w:basedOn w:val="Normal"/>
    <w:next w:val="Normal"/>
    <w:link w:val="IntenseQuoteChar"/>
    <w:uiPriority w:val="30"/>
    <w:qFormat/>
    <w:rsid w:val="004D10A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10AE"/>
    <w:rPr>
      <w:i/>
      <w:iCs/>
      <w:color w:val="0F4761" w:themeColor="accent1" w:themeShade="BF"/>
    </w:rPr>
  </w:style>
  <w:style w:type="character" w:styleId="IntenseReference">
    <w:name w:val="Intense Reference"/>
    <w:basedOn w:val="DefaultParagraphFont"/>
    <w:uiPriority w:val="32"/>
    <w:qFormat/>
    <w:rsid w:val="004D10AE"/>
    <w:rPr>
      <w:b/>
      <w:bCs/>
      <w:smallCaps/>
      <w:color w:val="0F4761" w:themeColor="accent1" w:themeShade="BF"/>
      <w:spacing w:val="5"/>
    </w:rPr>
  </w:style>
  <w:style w:type="paragraph" w:customStyle="1" w:styleId="pb-2">
    <w:name w:val="pb-2"/>
    <w:basedOn w:val="Normal"/>
    <w:rsid w:val="005D018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rmalWeb">
    <w:name w:val="Normal (Web)"/>
    <w:basedOn w:val="Normal"/>
    <w:uiPriority w:val="99"/>
    <w:semiHidden/>
    <w:unhideWhenUsed/>
    <w:rsid w:val="00702E3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862880">
      <w:bodyDiv w:val="1"/>
      <w:marLeft w:val="0"/>
      <w:marRight w:val="0"/>
      <w:marTop w:val="0"/>
      <w:marBottom w:val="0"/>
      <w:divBdr>
        <w:top w:val="none" w:sz="0" w:space="0" w:color="auto"/>
        <w:left w:val="none" w:sz="0" w:space="0" w:color="auto"/>
        <w:bottom w:val="none" w:sz="0" w:space="0" w:color="auto"/>
        <w:right w:val="none" w:sz="0" w:space="0" w:color="auto"/>
      </w:divBdr>
    </w:div>
    <w:div w:id="325212564">
      <w:bodyDiv w:val="1"/>
      <w:marLeft w:val="0"/>
      <w:marRight w:val="0"/>
      <w:marTop w:val="0"/>
      <w:marBottom w:val="0"/>
      <w:divBdr>
        <w:top w:val="none" w:sz="0" w:space="0" w:color="auto"/>
        <w:left w:val="none" w:sz="0" w:space="0" w:color="auto"/>
        <w:bottom w:val="none" w:sz="0" w:space="0" w:color="auto"/>
        <w:right w:val="none" w:sz="0" w:space="0" w:color="auto"/>
      </w:divBdr>
    </w:div>
    <w:div w:id="402221726">
      <w:bodyDiv w:val="1"/>
      <w:marLeft w:val="0"/>
      <w:marRight w:val="0"/>
      <w:marTop w:val="0"/>
      <w:marBottom w:val="0"/>
      <w:divBdr>
        <w:top w:val="none" w:sz="0" w:space="0" w:color="auto"/>
        <w:left w:val="none" w:sz="0" w:space="0" w:color="auto"/>
        <w:bottom w:val="none" w:sz="0" w:space="0" w:color="auto"/>
        <w:right w:val="none" w:sz="0" w:space="0" w:color="auto"/>
      </w:divBdr>
      <w:divsChild>
        <w:div w:id="1478913092">
          <w:marLeft w:val="0"/>
          <w:marRight w:val="0"/>
          <w:marTop w:val="0"/>
          <w:marBottom w:val="0"/>
          <w:divBdr>
            <w:top w:val="none" w:sz="0" w:space="0" w:color="auto"/>
            <w:left w:val="none" w:sz="0" w:space="0" w:color="auto"/>
            <w:bottom w:val="none" w:sz="0" w:space="0" w:color="auto"/>
            <w:right w:val="none" w:sz="0" w:space="0" w:color="auto"/>
          </w:divBdr>
        </w:div>
      </w:divsChild>
    </w:div>
    <w:div w:id="411396325">
      <w:bodyDiv w:val="1"/>
      <w:marLeft w:val="0"/>
      <w:marRight w:val="0"/>
      <w:marTop w:val="0"/>
      <w:marBottom w:val="0"/>
      <w:divBdr>
        <w:top w:val="none" w:sz="0" w:space="0" w:color="auto"/>
        <w:left w:val="none" w:sz="0" w:space="0" w:color="auto"/>
        <w:bottom w:val="none" w:sz="0" w:space="0" w:color="auto"/>
        <w:right w:val="none" w:sz="0" w:space="0" w:color="auto"/>
      </w:divBdr>
    </w:div>
    <w:div w:id="445082742">
      <w:bodyDiv w:val="1"/>
      <w:marLeft w:val="0"/>
      <w:marRight w:val="0"/>
      <w:marTop w:val="0"/>
      <w:marBottom w:val="0"/>
      <w:divBdr>
        <w:top w:val="none" w:sz="0" w:space="0" w:color="auto"/>
        <w:left w:val="none" w:sz="0" w:space="0" w:color="auto"/>
        <w:bottom w:val="none" w:sz="0" w:space="0" w:color="auto"/>
        <w:right w:val="none" w:sz="0" w:space="0" w:color="auto"/>
      </w:divBdr>
    </w:div>
    <w:div w:id="823161371">
      <w:bodyDiv w:val="1"/>
      <w:marLeft w:val="0"/>
      <w:marRight w:val="0"/>
      <w:marTop w:val="0"/>
      <w:marBottom w:val="0"/>
      <w:divBdr>
        <w:top w:val="none" w:sz="0" w:space="0" w:color="auto"/>
        <w:left w:val="none" w:sz="0" w:space="0" w:color="auto"/>
        <w:bottom w:val="none" w:sz="0" w:space="0" w:color="auto"/>
        <w:right w:val="none" w:sz="0" w:space="0" w:color="auto"/>
      </w:divBdr>
    </w:div>
    <w:div w:id="942689416">
      <w:bodyDiv w:val="1"/>
      <w:marLeft w:val="0"/>
      <w:marRight w:val="0"/>
      <w:marTop w:val="0"/>
      <w:marBottom w:val="0"/>
      <w:divBdr>
        <w:top w:val="none" w:sz="0" w:space="0" w:color="auto"/>
        <w:left w:val="none" w:sz="0" w:space="0" w:color="auto"/>
        <w:bottom w:val="none" w:sz="0" w:space="0" w:color="auto"/>
        <w:right w:val="none" w:sz="0" w:space="0" w:color="auto"/>
      </w:divBdr>
      <w:divsChild>
        <w:div w:id="1375233933">
          <w:marLeft w:val="0"/>
          <w:marRight w:val="0"/>
          <w:marTop w:val="0"/>
          <w:marBottom w:val="0"/>
          <w:divBdr>
            <w:top w:val="none" w:sz="0" w:space="0" w:color="auto"/>
            <w:left w:val="none" w:sz="0" w:space="0" w:color="auto"/>
            <w:bottom w:val="none" w:sz="0" w:space="0" w:color="auto"/>
            <w:right w:val="none" w:sz="0" w:space="0" w:color="auto"/>
          </w:divBdr>
        </w:div>
      </w:divsChild>
    </w:div>
    <w:div w:id="1015501550">
      <w:bodyDiv w:val="1"/>
      <w:marLeft w:val="0"/>
      <w:marRight w:val="0"/>
      <w:marTop w:val="0"/>
      <w:marBottom w:val="0"/>
      <w:divBdr>
        <w:top w:val="none" w:sz="0" w:space="0" w:color="auto"/>
        <w:left w:val="none" w:sz="0" w:space="0" w:color="auto"/>
        <w:bottom w:val="none" w:sz="0" w:space="0" w:color="auto"/>
        <w:right w:val="none" w:sz="0" w:space="0" w:color="auto"/>
      </w:divBdr>
    </w:div>
    <w:div w:id="1261254492">
      <w:bodyDiv w:val="1"/>
      <w:marLeft w:val="0"/>
      <w:marRight w:val="0"/>
      <w:marTop w:val="0"/>
      <w:marBottom w:val="0"/>
      <w:divBdr>
        <w:top w:val="none" w:sz="0" w:space="0" w:color="auto"/>
        <w:left w:val="none" w:sz="0" w:space="0" w:color="auto"/>
        <w:bottom w:val="none" w:sz="0" w:space="0" w:color="auto"/>
        <w:right w:val="none" w:sz="0" w:space="0" w:color="auto"/>
      </w:divBdr>
    </w:div>
    <w:div w:id="1350137368">
      <w:bodyDiv w:val="1"/>
      <w:marLeft w:val="0"/>
      <w:marRight w:val="0"/>
      <w:marTop w:val="0"/>
      <w:marBottom w:val="0"/>
      <w:divBdr>
        <w:top w:val="none" w:sz="0" w:space="0" w:color="auto"/>
        <w:left w:val="none" w:sz="0" w:space="0" w:color="auto"/>
        <w:bottom w:val="none" w:sz="0" w:space="0" w:color="auto"/>
        <w:right w:val="none" w:sz="0" w:space="0" w:color="auto"/>
      </w:divBdr>
    </w:div>
    <w:div w:id="1730691721">
      <w:bodyDiv w:val="1"/>
      <w:marLeft w:val="0"/>
      <w:marRight w:val="0"/>
      <w:marTop w:val="0"/>
      <w:marBottom w:val="0"/>
      <w:divBdr>
        <w:top w:val="none" w:sz="0" w:space="0" w:color="auto"/>
        <w:left w:val="none" w:sz="0" w:space="0" w:color="auto"/>
        <w:bottom w:val="none" w:sz="0" w:space="0" w:color="auto"/>
        <w:right w:val="none" w:sz="0" w:space="0" w:color="auto"/>
      </w:divBdr>
    </w:div>
    <w:div w:id="2022507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3608</TotalTime>
  <Pages>10</Pages>
  <Words>2402</Words>
  <Characters>13693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Andronic (1812192)</dc:creator>
  <cp:keywords/>
  <dc:description/>
  <cp:lastModifiedBy>Dan Andronic (1812192)</cp:lastModifiedBy>
  <cp:revision>10</cp:revision>
  <dcterms:created xsi:type="dcterms:W3CDTF">2024-02-28T10:44:00Z</dcterms:created>
  <dcterms:modified xsi:type="dcterms:W3CDTF">2024-03-01T23:03:00Z</dcterms:modified>
</cp:coreProperties>
</file>