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202140580"/>
        <w:docPartObj>
          <w:docPartGallery w:val="Cover Pages"/>
          <w:docPartUnique/>
        </w:docPartObj>
      </w:sdtPr>
      <w:sdtEndPr>
        <w:rPr>
          <w:rFonts w:ascii="Times New Roman" w:eastAsiaTheme="minorHAnsi" w:hAnsi="Times New Roman" w:cs="Times New Roman"/>
          <w:b/>
          <w:bCs/>
          <w:color w:val="00B0F0"/>
          <w:kern w:val="2"/>
          <w:sz w:val="24"/>
          <w:szCs w:val="24"/>
          <w:lang w:val="en-GB"/>
          <w14:ligatures w14:val="standardContextual"/>
        </w:rPr>
      </w:sdtEndPr>
      <w:sdtContent>
        <w:p w14:paraId="3CBDC23A" w14:textId="0E1DAF20" w:rsidR="006F7503" w:rsidRDefault="006F7503">
          <w:pPr>
            <w:pStyle w:val="NoSpacing"/>
            <w:rPr>
              <w:sz w:val="2"/>
            </w:rPr>
          </w:pPr>
        </w:p>
        <w:p w14:paraId="56D10210" w14:textId="77777777" w:rsidR="006F7503" w:rsidRDefault="006F7503">
          <w:r>
            <w:rPr>
              <w:noProof/>
            </w:rPr>
            <mc:AlternateContent>
              <mc:Choice Requires="wps">
                <w:drawing>
                  <wp:anchor distT="0" distB="0" distL="114300" distR="114300" simplePos="0" relativeHeight="251661312" behindDoc="0" locked="0" layoutInCell="1" allowOverlap="1" wp14:anchorId="2B48F53B" wp14:editId="28F4B4F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EE51906" w14:textId="03FF1690" w:rsidR="006F7503" w:rsidRPr="006F7503" w:rsidRDefault="006F7503">
                                    <w:pPr>
                                      <w:pStyle w:val="NoSpacing"/>
                                      <w:rPr>
                                        <w:rFonts w:ascii="Times New Roman" w:eastAsiaTheme="majorEastAsia" w:hAnsi="Times New Roman" w:cs="Times New Roman"/>
                                        <w:b/>
                                        <w:bCs/>
                                        <w:caps/>
                                        <w:color w:val="2C7FCE" w:themeColor="text2" w:themeTint="99"/>
                                        <w:sz w:val="68"/>
                                        <w:szCs w:val="68"/>
                                      </w:rPr>
                                    </w:pPr>
                                    <w:r w:rsidRPr="006F7503">
                                      <w:rPr>
                                        <w:rFonts w:ascii="Times New Roman" w:eastAsiaTheme="majorEastAsia" w:hAnsi="Times New Roman" w:cs="Times New Roman"/>
                                        <w:b/>
                                        <w:bCs/>
                                        <w:caps/>
                                        <w:color w:val="2C7FCE" w:themeColor="text2" w:themeTint="99"/>
                                        <w:sz w:val="64"/>
                                        <w:szCs w:val="64"/>
                                      </w:rPr>
                                      <w:t>Business Plan: GRENGREN Renewable Energy Startup</w:t>
                                    </w:r>
                                  </w:p>
                                </w:sdtContent>
                              </w:sdt>
                              <w:p w14:paraId="05FDA79E" w14:textId="6A7DA931" w:rsidR="006F7503" w:rsidRPr="006F7503" w:rsidRDefault="006F7503">
                                <w:pPr>
                                  <w:pStyle w:val="NoSpacing"/>
                                  <w:spacing w:before="120"/>
                                  <w:rPr>
                                    <w:rFonts w:ascii="Times New Roman" w:hAnsi="Times New Roman" w:cs="Times New Roman"/>
                                    <w:b/>
                                    <w:bCs/>
                                    <w:color w:val="156082" w:themeColor="accent1"/>
                                    <w:sz w:val="36"/>
                                    <w:szCs w:val="36"/>
                                  </w:rPr>
                                </w:pPr>
                                <w:sdt>
                                  <w:sdtPr>
                                    <w:rPr>
                                      <w:rFonts w:ascii="Times New Roman" w:hAnsi="Times New Roman" w:cs="Times New Roman"/>
                                      <w:b/>
                                      <w:bCs/>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F7503">
                                      <w:rPr>
                                        <w:rFonts w:ascii="Times New Roman" w:hAnsi="Times New Roman" w:cs="Times New Roman"/>
                                        <w:b/>
                                        <w:bCs/>
                                        <w:color w:val="156082" w:themeColor="accent1"/>
                                        <w:sz w:val="36"/>
                                        <w:szCs w:val="36"/>
                                      </w:rPr>
                                      <w:t>Assignment 1</w:t>
                                    </w:r>
                                  </w:sdtContent>
                                </w:sdt>
                                <w:r w:rsidRPr="006F7503">
                                  <w:rPr>
                                    <w:rFonts w:ascii="Times New Roman" w:hAnsi="Times New Roman" w:cs="Times New Roman"/>
                                    <w:b/>
                                    <w:bCs/>
                                    <w:noProof/>
                                  </w:rPr>
                                  <w:t xml:space="preserve"> </w:t>
                                </w:r>
                              </w:p>
                              <w:p w14:paraId="6F1400DB" w14:textId="77777777" w:rsidR="006F7503" w:rsidRDefault="006F75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B48F53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heme="majorEastAsia" w:hAnsi="Times New Roman" w:cs="Times New Roman"/>
                              <w:b/>
                              <w:bCs/>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EE51906" w14:textId="03FF1690" w:rsidR="006F7503" w:rsidRPr="006F7503" w:rsidRDefault="006F7503">
                              <w:pPr>
                                <w:pStyle w:val="NoSpacing"/>
                                <w:rPr>
                                  <w:rFonts w:ascii="Times New Roman" w:eastAsiaTheme="majorEastAsia" w:hAnsi="Times New Roman" w:cs="Times New Roman"/>
                                  <w:b/>
                                  <w:bCs/>
                                  <w:caps/>
                                  <w:color w:val="2C7FCE" w:themeColor="text2" w:themeTint="99"/>
                                  <w:sz w:val="68"/>
                                  <w:szCs w:val="68"/>
                                </w:rPr>
                              </w:pPr>
                              <w:r w:rsidRPr="006F7503">
                                <w:rPr>
                                  <w:rFonts w:ascii="Times New Roman" w:eastAsiaTheme="majorEastAsia" w:hAnsi="Times New Roman" w:cs="Times New Roman"/>
                                  <w:b/>
                                  <w:bCs/>
                                  <w:caps/>
                                  <w:color w:val="2C7FCE" w:themeColor="text2" w:themeTint="99"/>
                                  <w:sz w:val="64"/>
                                  <w:szCs w:val="64"/>
                                </w:rPr>
                                <w:t>Business Plan: GRENGREN Renewable Energy Startup</w:t>
                              </w:r>
                            </w:p>
                          </w:sdtContent>
                        </w:sdt>
                        <w:p w14:paraId="05FDA79E" w14:textId="6A7DA931" w:rsidR="006F7503" w:rsidRPr="006F7503" w:rsidRDefault="006F7503">
                          <w:pPr>
                            <w:pStyle w:val="NoSpacing"/>
                            <w:spacing w:before="120"/>
                            <w:rPr>
                              <w:rFonts w:ascii="Times New Roman" w:hAnsi="Times New Roman" w:cs="Times New Roman"/>
                              <w:b/>
                              <w:bCs/>
                              <w:color w:val="156082" w:themeColor="accent1"/>
                              <w:sz w:val="36"/>
                              <w:szCs w:val="36"/>
                            </w:rPr>
                          </w:pPr>
                          <w:sdt>
                            <w:sdtPr>
                              <w:rPr>
                                <w:rFonts w:ascii="Times New Roman" w:hAnsi="Times New Roman" w:cs="Times New Roman"/>
                                <w:b/>
                                <w:bCs/>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F7503">
                                <w:rPr>
                                  <w:rFonts w:ascii="Times New Roman" w:hAnsi="Times New Roman" w:cs="Times New Roman"/>
                                  <w:b/>
                                  <w:bCs/>
                                  <w:color w:val="156082" w:themeColor="accent1"/>
                                  <w:sz w:val="36"/>
                                  <w:szCs w:val="36"/>
                                </w:rPr>
                                <w:t>Assignment 1</w:t>
                              </w:r>
                            </w:sdtContent>
                          </w:sdt>
                          <w:r w:rsidRPr="006F7503">
                            <w:rPr>
                              <w:rFonts w:ascii="Times New Roman" w:hAnsi="Times New Roman" w:cs="Times New Roman"/>
                              <w:b/>
                              <w:bCs/>
                              <w:noProof/>
                            </w:rPr>
                            <w:t xml:space="preserve"> </w:t>
                          </w:r>
                        </w:p>
                        <w:p w14:paraId="6F1400DB" w14:textId="77777777" w:rsidR="006F7503" w:rsidRDefault="006F7503"/>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ECF7472" wp14:editId="07B317E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FA037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CA8AE43" wp14:editId="6E324D21">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771E5" w14:textId="71882263" w:rsidR="006F7503" w:rsidRPr="006F7503" w:rsidRDefault="006F7503">
                                <w:pPr>
                                  <w:pStyle w:val="NoSpacing"/>
                                  <w:jc w:val="right"/>
                                  <w:rPr>
                                    <w:rFonts w:ascii="Times New Roman" w:hAnsi="Times New Roman" w:cs="Times New Roman"/>
                                    <w:b/>
                                    <w:bCs/>
                                    <w:color w:val="156082" w:themeColor="accent1"/>
                                    <w:sz w:val="36"/>
                                    <w:szCs w:val="36"/>
                                  </w:rPr>
                                </w:pPr>
                                <w:sdt>
                                  <w:sdtPr>
                                    <w:rPr>
                                      <w:rFonts w:ascii="Times New Roman" w:hAnsi="Times New Roman" w:cs="Times New Roman"/>
                                      <w:b/>
                                      <w:bCs/>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6F7503">
                                      <w:rPr>
                                        <w:rFonts w:ascii="Times New Roman" w:hAnsi="Times New Roman" w:cs="Times New Roman"/>
                                        <w:b/>
                                        <w:bCs/>
                                        <w:color w:val="156082" w:themeColor="accent1"/>
                                        <w:sz w:val="36"/>
                                        <w:szCs w:val="36"/>
                                      </w:rPr>
                                      <w:t xml:space="preserve">Student name: Ionel Zamfir </w:t>
                                    </w:r>
                                  </w:sdtContent>
                                </w:sdt>
                              </w:p>
                              <w:sdt>
                                <w:sdtPr>
                                  <w:rPr>
                                    <w:rFonts w:ascii="Times New Roman" w:hAnsi="Times New Roman" w:cs="Times New Roman"/>
                                    <w:b/>
                                    <w:bCs/>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FA9491E" w14:textId="48E89D7D" w:rsidR="006F7503" w:rsidRPr="006F7503" w:rsidRDefault="006F7503">
                                    <w:pPr>
                                      <w:pStyle w:val="NoSpacing"/>
                                      <w:jc w:val="right"/>
                                      <w:rPr>
                                        <w:rFonts w:ascii="Times New Roman" w:hAnsi="Times New Roman" w:cs="Times New Roman"/>
                                        <w:b/>
                                        <w:bCs/>
                                        <w:color w:val="156082" w:themeColor="accent1"/>
                                        <w:sz w:val="36"/>
                                        <w:szCs w:val="36"/>
                                      </w:rPr>
                                    </w:pPr>
                                    <w:r w:rsidRPr="006F7503">
                                      <w:rPr>
                                        <w:rFonts w:ascii="Times New Roman" w:hAnsi="Times New Roman" w:cs="Times New Roman"/>
                                        <w:b/>
                                        <w:bCs/>
                                        <w:color w:val="156082" w:themeColor="accent1"/>
                                        <w:sz w:val="36"/>
                                        <w:szCs w:val="36"/>
                                      </w:rPr>
                                      <w:t>Sustainable Enterprise/ Social Enterprise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CA8AE43"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30771E5" w14:textId="71882263" w:rsidR="006F7503" w:rsidRPr="006F7503" w:rsidRDefault="006F7503">
                          <w:pPr>
                            <w:pStyle w:val="NoSpacing"/>
                            <w:jc w:val="right"/>
                            <w:rPr>
                              <w:rFonts w:ascii="Times New Roman" w:hAnsi="Times New Roman" w:cs="Times New Roman"/>
                              <w:b/>
                              <w:bCs/>
                              <w:color w:val="156082" w:themeColor="accent1"/>
                              <w:sz w:val="36"/>
                              <w:szCs w:val="36"/>
                            </w:rPr>
                          </w:pPr>
                          <w:sdt>
                            <w:sdtPr>
                              <w:rPr>
                                <w:rFonts w:ascii="Times New Roman" w:hAnsi="Times New Roman" w:cs="Times New Roman"/>
                                <w:b/>
                                <w:bCs/>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6F7503">
                                <w:rPr>
                                  <w:rFonts w:ascii="Times New Roman" w:hAnsi="Times New Roman" w:cs="Times New Roman"/>
                                  <w:b/>
                                  <w:bCs/>
                                  <w:color w:val="156082" w:themeColor="accent1"/>
                                  <w:sz w:val="36"/>
                                  <w:szCs w:val="36"/>
                                </w:rPr>
                                <w:t xml:space="preserve">Student name: Ionel Zamfir </w:t>
                              </w:r>
                            </w:sdtContent>
                          </w:sdt>
                        </w:p>
                        <w:sdt>
                          <w:sdtPr>
                            <w:rPr>
                              <w:rFonts w:ascii="Times New Roman" w:hAnsi="Times New Roman" w:cs="Times New Roman"/>
                              <w:b/>
                              <w:bCs/>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FA9491E" w14:textId="48E89D7D" w:rsidR="006F7503" w:rsidRPr="006F7503" w:rsidRDefault="006F7503">
                              <w:pPr>
                                <w:pStyle w:val="NoSpacing"/>
                                <w:jc w:val="right"/>
                                <w:rPr>
                                  <w:rFonts w:ascii="Times New Roman" w:hAnsi="Times New Roman" w:cs="Times New Roman"/>
                                  <w:b/>
                                  <w:bCs/>
                                  <w:color w:val="156082" w:themeColor="accent1"/>
                                  <w:sz w:val="36"/>
                                  <w:szCs w:val="36"/>
                                </w:rPr>
                              </w:pPr>
                              <w:r w:rsidRPr="006F7503">
                                <w:rPr>
                                  <w:rFonts w:ascii="Times New Roman" w:hAnsi="Times New Roman" w:cs="Times New Roman"/>
                                  <w:b/>
                                  <w:bCs/>
                                  <w:color w:val="156082" w:themeColor="accent1"/>
                                  <w:sz w:val="36"/>
                                  <w:szCs w:val="36"/>
                                </w:rPr>
                                <w:t>Sustainable Enterprise/ Social Enterprise Management</w:t>
                              </w:r>
                            </w:p>
                          </w:sdtContent>
                        </w:sdt>
                      </w:txbxContent>
                    </v:textbox>
                    <w10:wrap anchorx="page" anchory="margin"/>
                  </v:shape>
                </w:pict>
              </mc:Fallback>
            </mc:AlternateContent>
          </w:r>
        </w:p>
        <w:p w14:paraId="087F0EAA" w14:textId="4C523589" w:rsidR="006F7503" w:rsidRDefault="006F7503">
          <w:pPr>
            <w:rPr>
              <w:rFonts w:ascii="Times New Roman" w:hAnsi="Times New Roman" w:cs="Times New Roman"/>
              <w:b/>
              <w:bCs/>
              <w:color w:val="00B0F0"/>
            </w:rPr>
          </w:pPr>
          <w:r>
            <w:rPr>
              <w:rFonts w:ascii="Times New Roman" w:hAnsi="Times New Roman" w:cs="Times New Roman"/>
              <w:b/>
              <w:bCs/>
              <w:color w:val="00B0F0"/>
            </w:rPr>
            <w:br w:type="page"/>
          </w:r>
        </w:p>
      </w:sdtContent>
    </w:sdt>
    <w:p w14:paraId="62A91CDF" w14:textId="1A5D4DD1"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Introduction</w:t>
      </w:r>
    </w:p>
    <w:p w14:paraId="3638FC0D" w14:textId="3D8CEE92"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GRENGREN is a recently established company that is committed to providing renewable energy solutions that are both dependable and environmentally friendly. Our startup promotes environmental stewardship, social value creation, and economic success by merging powerful business strategies with sustainable practices (Thompson, 2010; Dean &amp; McMullen, 2007).</w:t>
      </w:r>
    </w:p>
    <w:p w14:paraId="4918EF0E" w14:textId="568651DB"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Goals and objectives</w:t>
      </w:r>
    </w:p>
    <w:p w14:paraId="5C97CC5E"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Mission:</w:t>
      </w:r>
    </w:p>
    <w:p w14:paraId="46881BA6"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GRENGREN is dedicated to the substitution of fossil fuel-based electricity with renewable energy solutions. We deliver cutting-edge solar and wind technologies to help communities reduce carbon emissions and grow sustainably. As suggested by Edgeman and Eskildsen (2014), this mission is governed by the principles of sustainable enterprise excellence and is designed to be in accordance with global environmental objectives.</w:t>
      </w:r>
    </w:p>
    <w:p w14:paraId="11BF32AC"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Vision:</w:t>
      </w:r>
    </w:p>
    <w:p w14:paraId="6F079A11"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goal is to establish ourselves as a premier renewable energy provider that not only responds to market demands but also cultivates a culture of social responsibility and sustainability. We want to help communities become energy independent and cut greenhouse gas emissions.</w:t>
      </w:r>
    </w:p>
    <w:p w14:paraId="6D1C4D9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Key Goals:</w:t>
      </w:r>
    </w:p>
    <w:p w14:paraId="53E6EBC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Market share and impact</w:t>
      </w:r>
    </w:p>
    <w:p w14:paraId="5CEF4851"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Within the first five years, implement renewable systems that have a combined capacity of at least 5 MW, which includes solar and wind. This will supply renewable energy to almost 2,000 households and businesses, reducing carbon emissions (Thompson, 2010).</w:t>
      </w:r>
    </w:p>
    <w:p w14:paraId="4B29A949" w14:textId="77777777" w:rsidR="00190511" w:rsidRDefault="00190511" w:rsidP="00190511">
      <w:pPr>
        <w:spacing w:line="480" w:lineRule="auto"/>
        <w:jc w:val="both"/>
        <w:rPr>
          <w:rFonts w:ascii="Times New Roman" w:hAnsi="Times New Roman" w:cs="Times New Roman"/>
        </w:rPr>
      </w:pPr>
    </w:p>
    <w:p w14:paraId="62B63945" w14:textId="79FF1DDD"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Financial Health:</w:t>
      </w:r>
    </w:p>
    <w:p w14:paraId="03BFF0D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Achieve a net profit margin of 15% by Year 5 and achieve break-even by Year 3. Our financial planning considers sustainable enterprise industry benchmarks (Cohen, Smith, &amp; Mitchell, 2008).</w:t>
      </w:r>
    </w:p>
    <w:p w14:paraId="7587741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Innovation and Sustainability:</w:t>
      </w:r>
    </w:p>
    <w:p w14:paraId="687CBC11"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Continually enhance system efficiency, integrate energy storage solutions, and investigate new technologies that advance sustainability objectives by investing at least 10% of annual revenue in research and development (R&amp;D)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&amp; </w:t>
      </w:r>
      <w:proofErr w:type="spellStart"/>
      <w:r w:rsidRPr="00190511">
        <w:rPr>
          <w:rFonts w:ascii="Times New Roman" w:hAnsi="Times New Roman" w:cs="Times New Roman"/>
        </w:rPr>
        <w:t>Bawono</w:t>
      </w:r>
      <w:proofErr w:type="spellEnd"/>
      <w:r w:rsidRPr="00190511">
        <w:rPr>
          <w:rFonts w:ascii="Times New Roman" w:hAnsi="Times New Roman" w:cs="Times New Roman"/>
        </w:rPr>
        <w:t>, 2020).</w:t>
      </w:r>
    </w:p>
    <w:p w14:paraId="1447B6D0"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Social, environmental impact:</w:t>
      </w:r>
    </w:p>
    <w:p w14:paraId="1E3D0CDA"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Foster community engagement through local job creation and stakeholder partnerships and offset over 10,000 metric tonnes of CO₂ annually by Year 5 (Anbarasan, 2018; Di Domenico, Haugh, &amp; Tracey, 2010).</w:t>
      </w:r>
    </w:p>
    <w:p w14:paraId="2722BF05"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These objectives guide strategy and balance economic and environmental goals (Thompson, 2010).</w:t>
      </w:r>
    </w:p>
    <w:p w14:paraId="52321794" w14:textId="7E4C17CC"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Sustainable &amp; Environmental Commitment</w:t>
      </w:r>
    </w:p>
    <w:p w14:paraId="5F316922" w14:textId="77777777" w:rsid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Sustainability is the fundamental principle of GRENGREN. Conventional energy sources that are significant contributors to carbon emissions are replaced by our renewable energy solutions, which include solar photovoltaics and wind turbines (Dean &amp; McMullen, 2007). These technologies emit </w:t>
      </w:r>
      <w:r w:rsidRPr="00190511">
        <w:rPr>
          <w:rFonts w:ascii="Times New Roman" w:hAnsi="Times New Roman" w:cs="Times New Roman"/>
        </w:rPr>
        <w:t>minimal,</w:t>
      </w:r>
      <w:r w:rsidRPr="00190511">
        <w:rPr>
          <w:rFonts w:ascii="Times New Roman" w:hAnsi="Times New Roman" w:cs="Times New Roman"/>
        </w:rPr>
        <w:t xml:space="preserve"> or no greenhouse gases and lower harmful pollutants compared to fossil fuel power plants</w:t>
      </w:r>
    </w:p>
    <w:p w14:paraId="7BF2A8B3" w14:textId="138B39B4"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The concept of sustainable enterprise excellence is the foundation of our sustainable approach (Edgeman &amp; Eskildsen, 2014). We integrate our environmental strategies into our products and </w:t>
      </w:r>
      <w:r w:rsidRPr="00190511">
        <w:rPr>
          <w:rFonts w:ascii="Times New Roman" w:hAnsi="Times New Roman" w:cs="Times New Roman"/>
        </w:rPr>
        <w:lastRenderedPageBreak/>
        <w:t>internal processes. Our office and operations facilities will use renewable energy, and we will recycle, gather, and reduce waste.</w:t>
      </w:r>
    </w:p>
    <w:p w14:paraId="3192966D" w14:textId="46E7183E"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Additionally, by providing systems that reduce energy costs and guarantee long-term energy security, we promote the concept of sustainable development in the context of a sustainable enterprise</w:t>
      </w:r>
      <w:r>
        <w:rPr>
          <w:rFonts w:ascii="Times New Roman" w:hAnsi="Times New Roman" w:cs="Times New Roman"/>
        </w:rPr>
        <w:t xml:space="preserve">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w:t>
      </w:r>
      <w:r>
        <w:rPr>
          <w:rFonts w:ascii="Times New Roman" w:hAnsi="Times New Roman" w:cs="Times New Roman"/>
        </w:rPr>
        <w:t>&amp;</w:t>
      </w:r>
      <w:r w:rsidRPr="00190511">
        <w:rPr>
          <w:rFonts w:ascii="Times New Roman" w:hAnsi="Times New Roman" w:cs="Times New Roman"/>
        </w:rPr>
        <w:t xml:space="preserve"> </w:t>
      </w:r>
      <w:proofErr w:type="spellStart"/>
      <w:r w:rsidRPr="00190511">
        <w:rPr>
          <w:rFonts w:ascii="Times New Roman" w:hAnsi="Times New Roman" w:cs="Times New Roman"/>
        </w:rPr>
        <w:t>Bawono</w:t>
      </w:r>
      <w:proofErr w:type="spellEnd"/>
      <w:r w:rsidRPr="00190511">
        <w:rPr>
          <w:rFonts w:ascii="Times New Roman" w:hAnsi="Times New Roman" w:cs="Times New Roman"/>
        </w:rPr>
        <w:t>,</w:t>
      </w:r>
      <w:r>
        <w:rPr>
          <w:rFonts w:ascii="Times New Roman" w:hAnsi="Times New Roman" w:cs="Times New Roman"/>
        </w:rPr>
        <w:t xml:space="preserve"> </w:t>
      </w:r>
      <w:r w:rsidRPr="00190511">
        <w:rPr>
          <w:rFonts w:ascii="Times New Roman" w:hAnsi="Times New Roman" w:cs="Times New Roman"/>
        </w:rPr>
        <w:t>2020). This method reduces operational expenses for our clients and helps society reduce environmental deterioration (Thompson, 2010).</w:t>
      </w:r>
    </w:p>
    <w:p w14:paraId="562EAE63" w14:textId="4C826F4E"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Required Resources</w:t>
      </w:r>
    </w:p>
    <w:p w14:paraId="57E4F6A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Launching GRENGREN involves a combination of physical, human, and financial resources.</w:t>
      </w:r>
    </w:p>
    <w:p w14:paraId="3CCB2304"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Physical Resources</w:t>
      </w:r>
    </w:p>
    <w:p w14:paraId="580B263F"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Equipment:</w:t>
      </w:r>
    </w:p>
    <w:p w14:paraId="3EC717E7"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High-quality solar panels, compact wind turbines, energy storage batteries, inverters, mounting systems, and associated hardware will be necessary for the business. Capital investments that support operational excellence are crucial (</w:t>
      </w:r>
      <w:proofErr w:type="spellStart"/>
      <w:r w:rsidRPr="00190511">
        <w:rPr>
          <w:rFonts w:ascii="Times New Roman" w:hAnsi="Times New Roman" w:cs="Times New Roman"/>
        </w:rPr>
        <w:t>Chofreh</w:t>
      </w:r>
      <w:proofErr w:type="spellEnd"/>
      <w:r w:rsidRPr="00190511">
        <w:rPr>
          <w:rFonts w:ascii="Times New Roman" w:hAnsi="Times New Roman" w:cs="Times New Roman"/>
        </w:rPr>
        <w:t>, 2018).</w:t>
      </w:r>
    </w:p>
    <w:p w14:paraId="76ECCAA9"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Infrastructure:</w:t>
      </w:r>
    </w:p>
    <w:p w14:paraId="7527BC1D"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An office facility for administrative duties and a warehouse for inventory storage and management are indispensable. Vehicles and specialised installation equipment are also required for on-site deployment.</w:t>
      </w:r>
    </w:p>
    <w:p w14:paraId="10689528" w14:textId="3A2AB6B2"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Supply</w:t>
      </w:r>
      <w:r w:rsidRPr="00190511">
        <w:rPr>
          <w:rFonts w:ascii="Times New Roman" w:hAnsi="Times New Roman" w:cs="Times New Roman"/>
          <w:b/>
          <w:bCs/>
          <w:color w:val="00B0F0"/>
        </w:rPr>
        <w:t xml:space="preserve"> Chain</w:t>
      </w:r>
      <w:r w:rsidRPr="00190511">
        <w:rPr>
          <w:rFonts w:ascii="Times New Roman" w:hAnsi="Times New Roman" w:cs="Times New Roman"/>
          <w:b/>
          <w:bCs/>
          <w:color w:val="00B0F0"/>
        </w:rPr>
        <w:t>:</w:t>
      </w:r>
    </w:p>
    <w:p w14:paraId="172ED34F"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It is imperative to cultivate robust partnerships with recognised manufacturers. We will use sustainable suppliers to ensure reliable inventory and quality (Di Domenico et al., 2010).</w:t>
      </w:r>
    </w:p>
    <w:p w14:paraId="2D213DEC" w14:textId="77777777" w:rsidR="00190511" w:rsidRDefault="00190511" w:rsidP="00190511">
      <w:pPr>
        <w:spacing w:line="480" w:lineRule="auto"/>
        <w:jc w:val="both"/>
        <w:rPr>
          <w:rFonts w:ascii="Times New Roman" w:hAnsi="Times New Roman" w:cs="Times New Roman"/>
          <w:b/>
          <w:bCs/>
          <w:color w:val="00B0F0"/>
        </w:rPr>
      </w:pPr>
    </w:p>
    <w:p w14:paraId="1D019AF6" w14:textId="77777777" w:rsidR="00190511" w:rsidRDefault="00190511" w:rsidP="00190511">
      <w:pPr>
        <w:spacing w:line="480" w:lineRule="auto"/>
        <w:jc w:val="both"/>
        <w:rPr>
          <w:rFonts w:ascii="Times New Roman" w:hAnsi="Times New Roman" w:cs="Times New Roman"/>
          <w:b/>
          <w:bCs/>
          <w:color w:val="00B0F0"/>
        </w:rPr>
      </w:pPr>
    </w:p>
    <w:p w14:paraId="7A6D44E1" w14:textId="6F514CF1"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Humans</w:t>
      </w:r>
      <w:r w:rsidRPr="00190511">
        <w:rPr>
          <w:rFonts w:ascii="Times New Roman" w:hAnsi="Times New Roman" w:cs="Times New Roman"/>
          <w:b/>
          <w:bCs/>
          <w:color w:val="00B0F0"/>
        </w:rPr>
        <w:t xml:space="preserve"> Resources</w:t>
      </w:r>
    </w:p>
    <w:p w14:paraId="4CF85B0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Core Team:</w:t>
      </w:r>
    </w:p>
    <w:p w14:paraId="6EC82B86" w14:textId="3345E159"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initial team will consist of renewable energy engineers, certified technicians, sales and marketing professionals, and administrative personnel, with a total of 8</w:t>
      </w:r>
      <w:r>
        <w:rPr>
          <w:rFonts w:ascii="Times New Roman" w:hAnsi="Times New Roman" w:cs="Times New Roman"/>
        </w:rPr>
        <w:t>-</w:t>
      </w:r>
      <w:r w:rsidRPr="00190511">
        <w:rPr>
          <w:rFonts w:ascii="Times New Roman" w:hAnsi="Times New Roman" w:cs="Times New Roman"/>
        </w:rPr>
        <w:t>10 members. Technology and customer service will be advanced by this varied workforce (Thompson, 2010).</w:t>
      </w:r>
    </w:p>
    <w:p w14:paraId="103A9EAE"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Expertise:</w:t>
      </w:r>
    </w:p>
    <w:p w14:paraId="33E63B60" w14:textId="0CDFD79C"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Continuous training is prioritised </w:t>
      </w:r>
      <w:r w:rsidRPr="00190511">
        <w:rPr>
          <w:rFonts w:ascii="Times New Roman" w:hAnsi="Times New Roman" w:cs="Times New Roman"/>
        </w:rPr>
        <w:t>to</w:t>
      </w:r>
      <w:r w:rsidRPr="00190511">
        <w:rPr>
          <w:rFonts w:ascii="Times New Roman" w:hAnsi="Times New Roman" w:cs="Times New Roman"/>
        </w:rPr>
        <w:t xml:space="preserve"> remain current with the development of renewable technologies and sustainability practices. Our employees stay ahead of market trends through continual education (Dean &amp; McMullen, 2007).</w:t>
      </w:r>
    </w:p>
    <w:p w14:paraId="22809443"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Engagement of Stakeholders</w:t>
      </w:r>
    </w:p>
    <w:p w14:paraId="39C4A5A2"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 collaborative ecosystem will be established by involving local community stakeholders, clients, and industry partners at the outset. Sustainable enterprise success requires effective stakeholder participation, according to Anbarasan (2018).</w:t>
      </w:r>
    </w:p>
    <w:p w14:paraId="481302C8"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Financial Resources</w:t>
      </w:r>
    </w:p>
    <w:p w14:paraId="1C5E7EB6"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Starting Capital:</w:t>
      </w:r>
    </w:p>
    <w:p w14:paraId="702FCD9A"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The approximated start-up capital is approximately £300,000. These funds will cover equipment, infrastructure, salaries, marketing, licensing, and insurance. This estimate is in accordance with the industry benchmarks for sustainable enterprises (Desa, 2012).</w:t>
      </w:r>
    </w:p>
    <w:p w14:paraId="1ADF7C9D" w14:textId="77777777" w:rsidR="00190511" w:rsidRDefault="00190511" w:rsidP="00190511">
      <w:pPr>
        <w:spacing w:line="480" w:lineRule="auto"/>
        <w:jc w:val="both"/>
        <w:rPr>
          <w:rFonts w:ascii="Times New Roman" w:hAnsi="Times New Roman" w:cs="Times New Roman"/>
        </w:rPr>
      </w:pPr>
    </w:p>
    <w:p w14:paraId="76CF96E5" w14:textId="77777777" w:rsidR="00190511" w:rsidRDefault="00190511" w:rsidP="00190511">
      <w:pPr>
        <w:spacing w:line="480" w:lineRule="auto"/>
        <w:jc w:val="both"/>
        <w:rPr>
          <w:rFonts w:ascii="Times New Roman" w:hAnsi="Times New Roman" w:cs="Times New Roman"/>
        </w:rPr>
      </w:pPr>
    </w:p>
    <w:p w14:paraId="7643C50E" w14:textId="77777777" w:rsidR="00190511" w:rsidRDefault="00190511" w:rsidP="00190511">
      <w:pPr>
        <w:spacing w:line="480" w:lineRule="auto"/>
        <w:jc w:val="both"/>
        <w:rPr>
          <w:rFonts w:ascii="Times New Roman" w:hAnsi="Times New Roman" w:cs="Times New Roman"/>
        </w:rPr>
      </w:pPr>
    </w:p>
    <w:p w14:paraId="74EF83B4" w14:textId="14DCD0D2"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Sources of funding</w:t>
      </w:r>
    </w:p>
    <w:p w14:paraId="239C8CD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Through a combination of government grants, low-interest ecological loans, and equity investments, we intend to obtain financing. Renewable energy incentives and rebates will boost our finances (Cohen et al., 2008).</w:t>
      </w:r>
    </w:p>
    <w:p w14:paraId="47D42F6F"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Budgeting and Cashflow:</w:t>
      </w:r>
    </w:p>
    <w:p w14:paraId="322C7D8E" w14:textId="07F9F85C"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It is imperative to preserve a financial reserve </w:t>
      </w:r>
      <w:r w:rsidRPr="00190511">
        <w:rPr>
          <w:rFonts w:ascii="Times New Roman" w:hAnsi="Times New Roman" w:cs="Times New Roman"/>
        </w:rPr>
        <w:t>to</w:t>
      </w:r>
      <w:r w:rsidRPr="00190511">
        <w:rPr>
          <w:rFonts w:ascii="Times New Roman" w:hAnsi="Times New Roman" w:cs="Times New Roman"/>
        </w:rPr>
        <w:t xml:space="preserve"> accommodate fluctuations in project cycles. Our financial strategy protects service quality and growth against operational difficulties.</w:t>
      </w:r>
    </w:p>
    <w:p w14:paraId="6FD98E52" w14:textId="134DC244"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Market Strategy</w:t>
      </w:r>
    </w:p>
    <w:p w14:paraId="0835C28C"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GRENGREN's marketing strategy builds brand trust, communicates our sustainability objective, and acquires residential and business customers.</w:t>
      </w:r>
    </w:p>
    <w:p w14:paraId="58EF2203"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Branding, positioning</w:t>
      </w:r>
    </w:p>
    <w:p w14:paraId="68F8BFA7"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Identity brand:</w:t>
      </w:r>
    </w:p>
    <w:p w14:paraId="29DD5F75"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brand will prioritise accountability, innovation, and sincere environmental advocacy. Our objective is to establish GRENGREN as a reliable partner in the renewable energy sector, utilising evidence-based messaging to dispel any misconceptions regarding greenwashing (Edgeman &amp; Eskildsen, 2014).</w:t>
      </w:r>
    </w:p>
    <w:p w14:paraId="2CA3D3A9"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Messaging:</w:t>
      </w:r>
    </w:p>
    <w:p w14:paraId="23FBD12A"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communications will emphasise the dual advantages of our solutions: the reduction of energy costs and the promotion of a greener environment. We hope to resonate with eco-conscious customers and businesses by emphasising social responsibility (Thompson, 2010).</w:t>
      </w:r>
    </w:p>
    <w:p w14:paraId="26D458C3" w14:textId="77777777" w:rsidR="00190511" w:rsidRDefault="00190511" w:rsidP="00190511">
      <w:pPr>
        <w:spacing w:line="480" w:lineRule="auto"/>
        <w:jc w:val="both"/>
        <w:rPr>
          <w:rFonts w:ascii="Times New Roman" w:hAnsi="Times New Roman" w:cs="Times New Roman"/>
          <w:b/>
          <w:bCs/>
          <w:color w:val="00B0F0"/>
        </w:rPr>
      </w:pPr>
    </w:p>
    <w:p w14:paraId="21AFC82E" w14:textId="77777777" w:rsidR="00190511" w:rsidRDefault="00190511" w:rsidP="00190511">
      <w:pPr>
        <w:spacing w:line="480" w:lineRule="auto"/>
        <w:jc w:val="both"/>
        <w:rPr>
          <w:rFonts w:ascii="Times New Roman" w:hAnsi="Times New Roman" w:cs="Times New Roman"/>
          <w:b/>
          <w:bCs/>
          <w:color w:val="00B0F0"/>
        </w:rPr>
      </w:pPr>
    </w:p>
    <w:p w14:paraId="0E93F8C6" w14:textId="3B5E09EE"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Market Positioning</w:t>
      </w:r>
    </w:p>
    <w:p w14:paraId="5DBB8677"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The Value Proposition:</w:t>
      </w:r>
    </w:p>
    <w:p w14:paraId="7E226875"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We provide comprehensive services for renewable energy systems, including design, installation, and maintenance. We stand out in the market with our full-service strategy and long-term sustainability (Di Domenico et al., 2010).</w:t>
      </w:r>
    </w:p>
    <w:p w14:paraId="090E398F"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Pricing Strategy:</w:t>
      </w:r>
    </w:p>
    <w:p w14:paraId="01C2C98B" w14:textId="4BCA3EF8"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Our pricing is competitive when considering the long-term savings on energy costs and the benefits of government incentives, </w:t>
      </w:r>
      <w:r w:rsidRPr="00190511">
        <w:rPr>
          <w:rFonts w:ascii="Times New Roman" w:hAnsi="Times New Roman" w:cs="Times New Roman"/>
        </w:rPr>
        <w:t>even though</w:t>
      </w:r>
      <w:r w:rsidRPr="00190511">
        <w:rPr>
          <w:rFonts w:ascii="Times New Roman" w:hAnsi="Times New Roman" w:cs="Times New Roman"/>
        </w:rPr>
        <w:t xml:space="preserve"> we position our offerings as premium. Power purchase agreements (PPAs) and lease arrangements reduce adoption barriers (Cohen et al., 2008).</w:t>
      </w:r>
    </w:p>
    <w:p w14:paraId="28BA7B84"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Reaching Customers</w:t>
      </w:r>
    </w:p>
    <w:p w14:paraId="15213C44"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Digital Presence:</w:t>
      </w:r>
    </w:p>
    <w:p w14:paraId="3711C7DB"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 comprehensive digital marketing campaign will encompass a user-friendly website, search engine optimisation (SEO), content marketing (blogs, case studies, and videos), and social media engagement. These methods will educate potential clients about sustainable energy and establish our brand's thought leadership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&amp; </w:t>
      </w:r>
      <w:proofErr w:type="spellStart"/>
      <w:r w:rsidRPr="00190511">
        <w:rPr>
          <w:rFonts w:ascii="Times New Roman" w:hAnsi="Times New Roman" w:cs="Times New Roman"/>
        </w:rPr>
        <w:t>Bawono</w:t>
      </w:r>
      <w:proofErr w:type="spellEnd"/>
      <w:r w:rsidRPr="00190511">
        <w:rPr>
          <w:rFonts w:ascii="Times New Roman" w:hAnsi="Times New Roman" w:cs="Times New Roman"/>
        </w:rPr>
        <w:t>, 2020).</w:t>
      </w:r>
    </w:p>
    <w:p w14:paraId="402CFD84"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Partnerships:</w:t>
      </w:r>
    </w:p>
    <w:p w14:paraId="19068C71"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market reach will be expanded through partnerships with community organisations, local administrations, and real estate developers. These relationships are crucial for creating confidence and extending our customer base since sustainable business requires stakeholder participation (Anbarasan, 2018).</w:t>
      </w:r>
    </w:p>
    <w:p w14:paraId="7F8EC2C4" w14:textId="77777777" w:rsidR="00190511" w:rsidRDefault="00190511" w:rsidP="00190511">
      <w:pPr>
        <w:spacing w:line="480" w:lineRule="auto"/>
        <w:jc w:val="both"/>
        <w:rPr>
          <w:rFonts w:ascii="Times New Roman" w:hAnsi="Times New Roman" w:cs="Times New Roman"/>
        </w:rPr>
      </w:pPr>
    </w:p>
    <w:p w14:paraId="2B469C93" w14:textId="28DE9F3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Direct and Referral Sales:</w:t>
      </w:r>
    </w:p>
    <w:p w14:paraId="4EF17EDB"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sales team will provide free energy audits and personalised consultations to show savings. In the green energy industry, word-of-mouth referrals are vital, thus a referral programme will encourage satisfied clients to suggest us (Thompson, 2010).</w:t>
      </w:r>
    </w:p>
    <w:p w14:paraId="219C6E07" w14:textId="7F53E07B"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The PESTLE Analysis</w:t>
      </w:r>
    </w:p>
    <w:p w14:paraId="0935CD8D"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The external factors affecting GRENGREN are addressed in a PESTLE analysis:</w:t>
      </w:r>
    </w:p>
    <w:p w14:paraId="617B0977"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Political</w:t>
      </w:r>
    </w:p>
    <w:p w14:paraId="48271171"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Government Support:</w:t>
      </w:r>
    </w:p>
    <w:p w14:paraId="1DD4F584" w14:textId="0933C71E"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Many countries have implemented policies to reduce carbon emissions, and political support for renewable energy is robust on a global scale. Government incentives and tax credits in the U</w:t>
      </w:r>
      <w:r>
        <w:rPr>
          <w:rFonts w:ascii="Times New Roman" w:hAnsi="Times New Roman" w:cs="Times New Roman"/>
        </w:rPr>
        <w:t>K</w:t>
      </w:r>
      <w:r w:rsidRPr="00190511">
        <w:rPr>
          <w:rFonts w:ascii="Times New Roman" w:hAnsi="Times New Roman" w:cs="Times New Roman"/>
        </w:rPr>
        <w:t xml:space="preserve"> encourage renewable energy investments (Thompson, 2010).</w:t>
      </w:r>
    </w:p>
    <w:p w14:paraId="0DDB9E26"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Policy Risks:</w:t>
      </w:r>
    </w:p>
    <w:p w14:paraId="3D4EDF70"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Changes in government policies or political instability may diminish the incentives that are available. To respond swiftly to regulatory changes, we engage lawmakers and business associations (Desa, 2012).</w:t>
      </w:r>
    </w:p>
    <w:p w14:paraId="15DE980B"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Economic</w:t>
      </w:r>
    </w:p>
    <w:p w14:paraId="177B94FF"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Market Growth:</w:t>
      </w:r>
    </w:p>
    <w:p w14:paraId="7B0FBA8C"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The renewable energy market is growing. Significant opportunities for expanding our business are presented by the decreasing costs of solar panels and wind turbines, in conjunction with the growth of public and private investment (Cohen et al., 2008).</w:t>
      </w:r>
    </w:p>
    <w:p w14:paraId="6A69DCC5" w14:textId="77777777" w:rsidR="00190511" w:rsidRDefault="00190511" w:rsidP="00190511">
      <w:pPr>
        <w:spacing w:line="480" w:lineRule="auto"/>
        <w:jc w:val="both"/>
        <w:rPr>
          <w:rFonts w:ascii="Times New Roman" w:hAnsi="Times New Roman" w:cs="Times New Roman"/>
        </w:rPr>
      </w:pPr>
    </w:p>
    <w:p w14:paraId="1E1E8FB2" w14:textId="77777777" w:rsidR="00190511" w:rsidRDefault="00190511" w:rsidP="00190511">
      <w:pPr>
        <w:spacing w:line="480" w:lineRule="auto"/>
        <w:jc w:val="both"/>
        <w:rPr>
          <w:rFonts w:ascii="Times New Roman" w:hAnsi="Times New Roman" w:cs="Times New Roman"/>
        </w:rPr>
      </w:pPr>
    </w:p>
    <w:p w14:paraId="25748ABE" w14:textId="7A47589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Environment of Finance:</w:t>
      </w:r>
    </w:p>
    <w:p w14:paraId="02FB547F"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Economic factors influence people's and businesses' desire to invest in renewable energy. Flexible financing and government incentives can maintain sales during economic downturns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&amp; </w:t>
      </w:r>
      <w:proofErr w:type="spellStart"/>
      <w:r w:rsidRPr="00190511">
        <w:rPr>
          <w:rFonts w:ascii="Times New Roman" w:hAnsi="Times New Roman" w:cs="Times New Roman"/>
        </w:rPr>
        <w:t>Bawono</w:t>
      </w:r>
      <w:proofErr w:type="spellEnd"/>
      <w:r w:rsidRPr="00190511">
        <w:rPr>
          <w:rFonts w:ascii="Times New Roman" w:hAnsi="Times New Roman" w:cs="Times New Roman"/>
        </w:rPr>
        <w:t>, 2020).</w:t>
      </w:r>
    </w:p>
    <w:p w14:paraId="7EE54BD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Social</w:t>
      </w:r>
    </w:p>
    <w:p w14:paraId="3D9AC6A1"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Public Awareness:</w:t>
      </w:r>
    </w:p>
    <w:p w14:paraId="75C2EB52"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Social attitudes are progressively favouring sustainable energy solutions. Consumers and businesses are environmentally sensitive, driving renewable energy demand (Di Domenico et al., 2010).</w:t>
      </w:r>
    </w:p>
    <w:p w14:paraId="51CAAB04"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Community Engagement:</w:t>
      </w:r>
    </w:p>
    <w:p w14:paraId="670F869A"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Local stakeholder engagement is crucial. We boost brand awareness and acceptance through education and local relationships (Anbarasan, 2018).</w:t>
      </w:r>
    </w:p>
    <w:p w14:paraId="59ABAD17"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Technological</w:t>
      </w:r>
    </w:p>
    <w:p w14:paraId="2A1C41D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Innovation:</w:t>
      </w:r>
    </w:p>
    <w:p w14:paraId="1915CF70"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Recent advances in solar, wind, and energy storage have increased efficiency and reduced costs. We focus on keeping up with these advances (</w:t>
      </w:r>
      <w:proofErr w:type="spellStart"/>
      <w:r w:rsidRPr="00190511">
        <w:rPr>
          <w:rFonts w:ascii="Times New Roman" w:hAnsi="Times New Roman" w:cs="Times New Roman"/>
        </w:rPr>
        <w:t>Chofreh</w:t>
      </w:r>
      <w:proofErr w:type="spellEnd"/>
      <w:r w:rsidRPr="00190511">
        <w:rPr>
          <w:rFonts w:ascii="Times New Roman" w:hAnsi="Times New Roman" w:cs="Times New Roman"/>
        </w:rPr>
        <w:t>, 2018).</w:t>
      </w:r>
    </w:p>
    <w:p w14:paraId="74C3AD5D"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Integrating Systems:</w:t>
      </w:r>
    </w:p>
    <w:p w14:paraId="11DEB30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value proposition is improved by the integration of digital monitoring tools and clever energy management systems. We can improve service and predict maintenance needs using these technologies, assuring system uptime (Cohen et al., 2008).</w:t>
      </w:r>
    </w:p>
    <w:p w14:paraId="37AFD80F" w14:textId="77777777" w:rsidR="00190511" w:rsidRDefault="00190511" w:rsidP="00190511">
      <w:pPr>
        <w:spacing w:line="480" w:lineRule="auto"/>
        <w:jc w:val="both"/>
        <w:rPr>
          <w:rFonts w:ascii="Times New Roman" w:hAnsi="Times New Roman" w:cs="Times New Roman"/>
          <w:b/>
          <w:bCs/>
          <w:color w:val="00B0F0"/>
        </w:rPr>
      </w:pPr>
    </w:p>
    <w:p w14:paraId="6253C439" w14:textId="77777777" w:rsidR="00190511" w:rsidRDefault="00190511" w:rsidP="00190511">
      <w:pPr>
        <w:spacing w:line="480" w:lineRule="auto"/>
        <w:jc w:val="both"/>
        <w:rPr>
          <w:rFonts w:ascii="Times New Roman" w:hAnsi="Times New Roman" w:cs="Times New Roman"/>
          <w:b/>
          <w:bCs/>
          <w:color w:val="00B0F0"/>
        </w:rPr>
      </w:pPr>
    </w:p>
    <w:p w14:paraId="278729A0" w14:textId="70009B53"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Legal</w:t>
      </w:r>
    </w:p>
    <w:p w14:paraId="0754B24D"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Compliance with regulations:</w:t>
      </w:r>
    </w:p>
    <w:p w14:paraId="5748D8E9" w14:textId="530144D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It is imperative that our operations adhere to safety standards, electrical codes, and permitting requirements. Local, state, and </w:t>
      </w:r>
      <w:r>
        <w:rPr>
          <w:rFonts w:ascii="Times New Roman" w:hAnsi="Times New Roman" w:cs="Times New Roman"/>
        </w:rPr>
        <w:t>legal</w:t>
      </w:r>
      <w:r w:rsidRPr="00190511">
        <w:rPr>
          <w:rFonts w:ascii="Times New Roman" w:hAnsi="Times New Roman" w:cs="Times New Roman"/>
        </w:rPr>
        <w:t xml:space="preserve"> regulations shall be followed for all installations (Thompson, 2010).</w:t>
      </w:r>
    </w:p>
    <w:p w14:paraId="20B6518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Intellectual Property and Contracts:</w:t>
      </w:r>
    </w:p>
    <w:p w14:paraId="0D62EE62"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Legal risks can be reduced by clear supplier and customer contracts and advertising and environmental claims rules (Edgeman &amp; Eskildsen, 2014).</w:t>
      </w:r>
    </w:p>
    <w:p w14:paraId="275FD183"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Environmental</w:t>
      </w:r>
    </w:p>
    <w:p w14:paraId="21F55300"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Climate Impact:</w:t>
      </w:r>
    </w:p>
    <w:p w14:paraId="5B7DFA9E"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We are directly involved in the reduction of greenhouse gas emissions from our business. Renewable energy reduces fossil fuel use, addressing environmental issues (Dean &amp; McMullen, 2007).</w:t>
      </w:r>
    </w:p>
    <w:p w14:paraId="0B047484"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Resource Efficiency:</w:t>
      </w:r>
    </w:p>
    <w:p w14:paraId="44F69BC2"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Supply chain decisions are also influenced by environmental factors. Our products will have less life-cycle consequences by working with sustainable suppliers (Thompson, 2010).</w:t>
      </w:r>
    </w:p>
    <w:p w14:paraId="43C236F8" w14:textId="04EBBDAB"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SWOT analysis</w:t>
      </w:r>
    </w:p>
    <w:p w14:paraId="0CC3AB9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Strengths</w:t>
      </w:r>
    </w:p>
    <w:p w14:paraId="499AEED0"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Integrating Sustainability:</w:t>
      </w:r>
    </w:p>
    <w:p w14:paraId="440A0357" w14:textId="77777777" w:rsid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full-service model, which includes designing the system, installing it, and keeping it running, guarantees quality and dependability, which is important for building trust in a market that is very competitive (Edgeman &amp; Eskildsen, 2014).</w:t>
      </w:r>
    </w:p>
    <w:p w14:paraId="41F3876D" w14:textId="152192D0"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Expert, Passionate Team:</w:t>
      </w:r>
    </w:p>
    <w:p w14:paraId="369F326C"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 competent workforce with renewable energy and sustainable business knowledge encourages innovation and customer happiness (Thompson, 2010).</w:t>
      </w:r>
    </w:p>
    <w:p w14:paraId="145E1A33"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Flexible Financing Options:</w:t>
      </w:r>
    </w:p>
    <w:p w14:paraId="791FDC82" w14:textId="55AA1759"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By providing a variety of financing options (direct purchase, leasing, and PPAs), we </w:t>
      </w:r>
      <w:r w:rsidRPr="00190511">
        <w:rPr>
          <w:rFonts w:ascii="Times New Roman" w:hAnsi="Times New Roman" w:cs="Times New Roman"/>
        </w:rPr>
        <w:t>can</w:t>
      </w:r>
      <w:r w:rsidRPr="00190511">
        <w:rPr>
          <w:rFonts w:ascii="Times New Roman" w:hAnsi="Times New Roman" w:cs="Times New Roman"/>
        </w:rPr>
        <w:t xml:space="preserve"> serve a wide range of consumers, thereby strengthening our competitive position (Cohen et al., 2008).</w:t>
      </w:r>
    </w:p>
    <w:p w14:paraId="565B5A17"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Scalability and Low Operating Costs:</w:t>
      </w:r>
    </w:p>
    <w:p w14:paraId="099C0FBB"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business has the potential to expand rapidly once market traction is reached, as it offers a scalable service model and minimal operating expenses following installation (Dean &amp; McMullen, 2007).</w:t>
      </w:r>
    </w:p>
    <w:p w14:paraId="43143793"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Weaknesses</w:t>
      </w:r>
    </w:p>
    <w:p w14:paraId="79A4D68B"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High Initial Investment:</w:t>
      </w:r>
    </w:p>
    <w:p w14:paraId="43C79206"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Equipment and infrastructure setup demand significant upfront capital. This financial barrier may hinder early cash flow management (Desa, 2012).</w:t>
      </w:r>
    </w:p>
    <w:p w14:paraId="5A39D003"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Limited Market Presence:</w:t>
      </w:r>
    </w:p>
    <w:p w14:paraId="76EDE924"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We may struggle to gain client trust and adoption as a newcomer (Di Domenico et al., 2010).</w:t>
      </w:r>
    </w:p>
    <w:p w14:paraId="2015F30E"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Reliance on suppliers:</w:t>
      </w:r>
    </w:p>
    <w:p w14:paraId="051A25FF"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The risk of supply chain disruptions and pricing fluctuations is introduced by our dependence on third-party manufacturers for solar panels and related equipment (</w:t>
      </w:r>
      <w:proofErr w:type="spellStart"/>
      <w:r w:rsidRPr="00190511">
        <w:rPr>
          <w:rFonts w:ascii="Times New Roman" w:hAnsi="Times New Roman" w:cs="Times New Roman"/>
        </w:rPr>
        <w:t>Chofreh</w:t>
      </w:r>
      <w:proofErr w:type="spellEnd"/>
      <w:r w:rsidRPr="00190511">
        <w:rPr>
          <w:rFonts w:ascii="Times New Roman" w:hAnsi="Times New Roman" w:cs="Times New Roman"/>
        </w:rPr>
        <w:t>, 2018).</w:t>
      </w:r>
    </w:p>
    <w:p w14:paraId="55F5E061" w14:textId="77777777" w:rsidR="00190511" w:rsidRDefault="00190511" w:rsidP="00190511">
      <w:pPr>
        <w:spacing w:line="480" w:lineRule="auto"/>
        <w:jc w:val="both"/>
        <w:rPr>
          <w:rFonts w:ascii="Times New Roman" w:hAnsi="Times New Roman" w:cs="Times New Roman"/>
          <w:b/>
          <w:bCs/>
          <w:color w:val="00B0F0"/>
        </w:rPr>
      </w:pPr>
    </w:p>
    <w:p w14:paraId="29CE202E" w14:textId="77777777" w:rsidR="00190511" w:rsidRDefault="00190511" w:rsidP="00190511">
      <w:pPr>
        <w:spacing w:line="480" w:lineRule="auto"/>
        <w:jc w:val="both"/>
        <w:rPr>
          <w:rFonts w:ascii="Times New Roman" w:hAnsi="Times New Roman" w:cs="Times New Roman"/>
          <w:b/>
          <w:bCs/>
          <w:color w:val="00B0F0"/>
        </w:rPr>
      </w:pPr>
    </w:p>
    <w:p w14:paraId="57306D2B" w14:textId="54ADC792"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Resource Limits:</w:t>
      </w:r>
    </w:p>
    <w:p w14:paraId="77D8FA0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Scaling operations quickly to satisfy demand with a small staff might cause logistical and quality-control difficulties (Thompson, 2010).</w:t>
      </w:r>
    </w:p>
    <w:p w14:paraId="59FD2F4B"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Opportunities</w:t>
      </w:r>
    </w:p>
    <w:p w14:paraId="610C2C2E"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Increasing Market Demand:</w:t>
      </w:r>
    </w:p>
    <w:p w14:paraId="2B07DC0B"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The global shift to renewable energy offers market penetration and growth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&amp; </w:t>
      </w:r>
      <w:proofErr w:type="spellStart"/>
      <w:r w:rsidRPr="00190511">
        <w:rPr>
          <w:rFonts w:ascii="Times New Roman" w:hAnsi="Times New Roman" w:cs="Times New Roman"/>
        </w:rPr>
        <w:t>Bawono</w:t>
      </w:r>
      <w:proofErr w:type="spellEnd"/>
      <w:r w:rsidRPr="00190511">
        <w:rPr>
          <w:rFonts w:ascii="Times New Roman" w:hAnsi="Times New Roman" w:cs="Times New Roman"/>
        </w:rPr>
        <w:t>, 2020).</w:t>
      </w:r>
    </w:p>
    <w:p w14:paraId="67916B15"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Government grants and incentives</w:t>
      </w:r>
    </w:p>
    <w:p w14:paraId="50C603B5"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Continued political support through incentives, tax credits, and subsidies can lower customer costs and increase adoption (Thompson 2010).</w:t>
      </w:r>
    </w:p>
    <w:p w14:paraId="578912FD"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Advances in technology</w:t>
      </w:r>
    </w:p>
    <w:p w14:paraId="40AA64C1"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Renewable energy and energy management innovations make our solutions more efficient and cost-effective (</w:t>
      </w:r>
      <w:proofErr w:type="spellStart"/>
      <w:r w:rsidRPr="00190511">
        <w:rPr>
          <w:rFonts w:ascii="Times New Roman" w:hAnsi="Times New Roman" w:cs="Times New Roman"/>
        </w:rPr>
        <w:t>Chofreh</w:t>
      </w:r>
      <w:proofErr w:type="spellEnd"/>
      <w:r w:rsidRPr="00190511">
        <w:rPr>
          <w:rFonts w:ascii="Times New Roman" w:hAnsi="Times New Roman" w:cs="Times New Roman"/>
        </w:rPr>
        <w:t>, 2018).</w:t>
      </w:r>
    </w:p>
    <w:p w14:paraId="63E808B8"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Strategic Partnerships:</w:t>
      </w:r>
    </w:p>
    <w:p w14:paraId="57A3550E"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Local government, real estate developer, and community organisation partnerships accelerate market growth and stakeholder involvement (Anbarasan, 2018).</w:t>
      </w:r>
    </w:p>
    <w:p w14:paraId="3002EE9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Threats</w:t>
      </w:r>
    </w:p>
    <w:p w14:paraId="7B884EB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Intense Competition:</w:t>
      </w:r>
    </w:p>
    <w:p w14:paraId="37412C08"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Established and young renewable energy companies compete for market share. Price competition may reduce margins (Cohen et al., 2008).</w:t>
      </w:r>
    </w:p>
    <w:p w14:paraId="010BECE9" w14:textId="77777777" w:rsidR="00190511" w:rsidRDefault="00190511" w:rsidP="00190511">
      <w:pPr>
        <w:spacing w:line="480" w:lineRule="auto"/>
        <w:jc w:val="both"/>
        <w:rPr>
          <w:rFonts w:ascii="Times New Roman" w:hAnsi="Times New Roman" w:cs="Times New Roman"/>
        </w:rPr>
      </w:pPr>
    </w:p>
    <w:p w14:paraId="5A430F7D" w14:textId="05E0182B"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Changes in policy and regulation:</w:t>
      </w:r>
    </w:p>
    <w:p w14:paraId="59B60D6B"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Government policies, incentive structures, and regulations can hurt project economics and customer uptake (Desa, 2012).</w:t>
      </w:r>
    </w:p>
    <w:p w14:paraId="382DA800"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Economy Volatility:</w:t>
      </w:r>
    </w:p>
    <w:p w14:paraId="4A92D194"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Economic downturns and interest rate volatility may restrict customer financial availability, reducing project acceptance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&amp; </w:t>
      </w:r>
      <w:proofErr w:type="spellStart"/>
      <w:r w:rsidRPr="00190511">
        <w:rPr>
          <w:rFonts w:ascii="Times New Roman" w:hAnsi="Times New Roman" w:cs="Times New Roman"/>
        </w:rPr>
        <w:t>Bawono</w:t>
      </w:r>
      <w:proofErr w:type="spellEnd"/>
      <w:r w:rsidRPr="00190511">
        <w:rPr>
          <w:rFonts w:ascii="Times New Roman" w:hAnsi="Times New Roman" w:cs="Times New Roman"/>
        </w:rPr>
        <w:t>, 2020).</w:t>
      </w:r>
    </w:p>
    <w:p w14:paraId="7D7F02D6"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Supply Chain disruptions:</w:t>
      </w:r>
    </w:p>
    <w:p w14:paraId="0C9CD76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Global supply chain challenges including tariffs and production delays may impact equipment availability and project timeframes (</w:t>
      </w:r>
      <w:proofErr w:type="spellStart"/>
      <w:r w:rsidRPr="00190511">
        <w:rPr>
          <w:rFonts w:ascii="Times New Roman" w:hAnsi="Times New Roman" w:cs="Times New Roman"/>
        </w:rPr>
        <w:t>Chofreh</w:t>
      </w:r>
      <w:proofErr w:type="spellEnd"/>
      <w:r w:rsidRPr="00190511">
        <w:rPr>
          <w:rFonts w:ascii="Times New Roman" w:hAnsi="Times New Roman" w:cs="Times New Roman"/>
        </w:rPr>
        <w:t>, 2018).</w:t>
      </w:r>
    </w:p>
    <w:p w14:paraId="7800A0CC" w14:textId="3FA53B56"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Financial Cash Flow Forecast</w:t>
      </w:r>
    </w:p>
    <w:p w14:paraId="4B25A127"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Revenue Model and Forecast</w:t>
      </w:r>
    </w:p>
    <w:p w14:paraId="7DA4367F"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Renewable energy system sales, installation, and maintenance will produce money for GRENGREN. One-time installations and maintenance contracts generate revenue. Residential installations often earn £15,000, while commercial jobs can earn £50,000 or more.</w:t>
      </w:r>
    </w:p>
    <w:p w14:paraId="62714CA9"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Year 1:</w:t>
      </w:r>
    </w:p>
    <w:p w14:paraId="46E97203" w14:textId="77777777" w:rsidR="00190511" w:rsidRPr="00190511" w:rsidRDefault="00190511" w:rsidP="00190511">
      <w:pPr>
        <w:pStyle w:val="ListParagraph"/>
        <w:numPr>
          <w:ilvl w:val="0"/>
          <w:numId w:val="5"/>
        </w:numPr>
        <w:spacing w:line="480" w:lineRule="auto"/>
        <w:jc w:val="both"/>
        <w:rPr>
          <w:rFonts w:ascii="Times New Roman" w:hAnsi="Times New Roman" w:cs="Times New Roman"/>
        </w:rPr>
      </w:pPr>
      <w:r w:rsidRPr="00190511">
        <w:rPr>
          <w:rFonts w:ascii="Times New Roman" w:hAnsi="Times New Roman" w:cs="Times New Roman"/>
        </w:rPr>
        <w:t>Revenue: An initial combination of residential and modest commercial installations, which has generated approximately £200,000 in revenue.</w:t>
      </w:r>
    </w:p>
    <w:p w14:paraId="04C7B4E9" w14:textId="77777777" w:rsidR="00190511" w:rsidRPr="00190511" w:rsidRDefault="00190511" w:rsidP="00190511">
      <w:pPr>
        <w:pStyle w:val="ListParagraph"/>
        <w:numPr>
          <w:ilvl w:val="0"/>
          <w:numId w:val="5"/>
        </w:numPr>
        <w:spacing w:line="480" w:lineRule="auto"/>
        <w:jc w:val="both"/>
        <w:rPr>
          <w:rFonts w:ascii="Times New Roman" w:hAnsi="Times New Roman" w:cs="Times New Roman"/>
        </w:rPr>
      </w:pPr>
      <w:r w:rsidRPr="00190511">
        <w:rPr>
          <w:rFonts w:ascii="Times New Roman" w:hAnsi="Times New Roman" w:cs="Times New Roman"/>
        </w:rPr>
        <w:t>Expenses: An estimated £300,000, which accounts for the high expenses of startup, including equipment, marketing, salaries, and infrastructure.</w:t>
      </w:r>
    </w:p>
    <w:p w14:paraId="7C73FD9F" w14:textId="77777777" w:rsidR="00190511" w:rsidRPr="00190511" w:rsidRDefault="00190511" w:rsidP="00190511">
      <w:pPr>
        <w:pStyle w:val="ListParagraph"/>
        <w:numPr>
          <w:ilvl w:val="0"/>
          <w:numId w:val="5"/>
        </w:numPr>
        <w:spacing w:line="480" w:lineRule="auto"/>
        <w:jc w:val="both"/>
        <w:rPr>
          <w:rFonts w:ascii="Times New Roman" w:hAnsi="Times New Roman" w:cs="Times New Roman"/>
        </w:rPr>
      </w:pPr>
      <w:r w:rsidRPr="00190511">
        <w:rPr>
          <w:rFonts w:ascii="Times New Roman" w:hAnsi="Times New Roman" w:cs="Times New Roman"/>
        </w:rPr>
        <w:t>Result: A typical scenario in which initial investments are recouped over time, resulting in a projected net loss of approximately £100,000 in the first year (Cohen et al., 2008).</w:t>
      </w:r>
    </w:p>
    <w:p w14:paraId="68FF77D6" w14:textId="77777777" w:rsidR="00190511" w:rsidRDefault="00190511" w:rsidP="00190511">
      <w:pPr>
        <w:spacing w:line="480" w:lineRule="auto"/>
        <w:jc w:val="both"/>
        <w:rPr>
          <w:rFonts w:ascii="Times New Roman" w:hAnsi="Times New Roman" w:cs="Times New Roman"/>
        </w:rPr>
      </w:pPr>
    </w:p>
    <w:p w14:paraId="08D5B8B2" w14:textId="683C3664"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Year 2:</w:t>
      </w:r>
    </w:p>
    <w:p w14:paraId="53C971C8" w14:textId="77777777" w:rsidR="00190511" w:rsidRPr="00190511" w:rsidRDefault="00190511" w:rsidP="00190511">
      <w:pPr>
        <w:pStyle w:val="ListParagraph"/>
        <w:numPr>
          <w:ilvl w:val="0"/>
          <w:numId w:val="6"/>
        </w:numPr>
        <w:spacing w:line="480" w:lineRule="auto"/>
        <w:jc w:val="both"/>
        <w:rPr>
          <w:rFonts w:ascii="Times New Roman" w:hAnsi="Times New Roman" w:cs="Times New Roman"/>
        </w:rPr>
      </w:pPr>
      <w:r w:rsidRPr="00190511">
        <w:rPr>
          <w:rFonts w:ascii="Times New Roman" w:hAnsi="Times New Roman" w:cs="Times New Roman"/>
        </w:rPr>
        <w:t xml:space="preserve">Revenue: Anticipated to double to approximately £400,000 </w:t>
      </w:r>
      <w:proofErr w:type="gramStart"/>
      <w:r w:rsidRPr="00190511">
        <w:rPr>
          <w:rFonts w:ascii="Times New Roman" w:hAnsi="Times New Roman" w:cs="Times New Roman"/>
        </w:rPr>
        <w:t>as a result of</w:t>
      </w:r>
      <w:proofErr w:type="gramEnd"/>
      <w:r w:rsidRPr="00190511">
        <w:rPr>
          <w:rFonts w:ascii="Times New Roman" w:hAnsi="Times New Roman" w:cs="Times New Roman"/>
        </w:rPr>
        <w:t xml:space="preserve"> improved brand recognition and increased market penetration.</w:t>
      </w:r>
    </w:p>
    <w:p w14:paraId="721EDCA5" w14:textId="77777777" w:rsidR="00190511" w:rsidRPr="00190511" w:rsidRDefault="00190511" w:rsidP="00190511">
      <w:pPr>
        <w:pStyle w:val="ListParagraph"/>
        <w:numPr>
          <w:ilvl w:val="0"/>
          <w:numId w:val="6"/>
        </w:numPr>
        <w:spacing w:line="480" w:lineRule="auto"/>
        <w:jc w:val="both"/>
        <w:rPr>
          <w:rFonts w:ascii="Times New Roman" w:hAnsi="Times New Roman" w:cs="Times New Roman"/>
        </w:rPr>
      </w:pPr>
      <w:r w:rsidRPr="00190511">
        <w:rPr>
          <w:rFonts w:ascii="Times New Roman" w:hAnsi="Times New Roman" w:cs="Times New Roman"/>
        </w:rPr>
        <w:t>Cost: £420,000 with operational efficiency lowering project costs.</w:t>
      </w:r>
    </w:p>
    <w:p w14:paraId="2503A1BA" w14:textId="77777777" w:rsidR="00190511" w:rsidRPr="00190511" w:rsidRDefault="00190511" w:rsidP="00190511">
      <w:pPr>
        <w:pStyle w:val="ListParagraph"/>
        <w:numPr>
          <w:ilvl w:val="0"/>
          <w:numId w:val="6"/>
        </w:numPr>
        <w:spacing w:line="480" w:lineRule="auto"/>
        <w:jc w:val="both"/>
        <w:rPr>
          <w:rFonts w:ascii="Times New Roman" w:hAnsi="Times New Roman" w:cs="Times New Roman"/>
        </w:rPr>
      </w:pPr>
      <w:r w:rsidRPr="00190511">
        <w:rPr>
          <w:rFonts w:ascii="Times New Roman" w:hAnsi="Times New Roman" w:cs="Times New Roman"/>
        </w:rPr>
        <w:t>Results: Near break-even, with cash flow positive mid-year as Year 1 one-time costs drop.</w:t>
      </w:r>
    </w:p>
    <w:p w14:paraId="176012BF"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Year 3:</w:t>
      </w:r>
    </w:p>
    <w:p w14:paraId="52F4E65C" w14:textId="77777777" w:rsidR="00190511" w:rsidRPr="00190511" w:rsidRDefault="00190511" w:rsidP="00190511">
      <w:pPr>
        <w:pStyle w:val="ListParagraph"/>
        <w:numPr>
          <w:ilvl w:val="0"/>
          <w:numId w:val="7"/>
        </w:numPr>
        <w:spacing w:line="480" w:lineRule="auto"/>
        <w:jc w:val="both"/>
        <w:rPr>
          <w:rFonts w:ascii="Times New Roman" w:hAnsi="Times New Roman" w:cs="Times New Roman"/>
        </w:rPr>
      </w:pPr>
      <w:r w:rsidRPr="00190511">
        <w:rPr>
          <w:rFonts w:ascii="Times New Roman" w:hAnsi="Times New Roman" w:cs="Times New Roman"/>
        </w:rPr>
        <w:t>Revenue: Up to £750,000 from new customers, project volume, and upselling ancillary services like energy storage.</w:t>
      </w:r>
    </w:p>
    <w:p w14:paraId="18363323" w14:textId="47D302B4" w:rsidR="00190511" w:rsidRPr="00190511" w:rsidRDefault="00190511" w:rsidP="00190511">
      <w:pPr>
        <w:pStyle w:val="ListParagraph"/>
        <w:numPr>
          <w:ilvl w:val="0"/>
          <w:numId w:val="7"/>
        </w:numPr>
        <w:spacing w:line="480" w:lineRule="auto"/>
        <w:jc w:val="both"/>
        <w:rPr>
          <w:rFonts w:ascii="Times New Roman" w:hAnsi="Times New Roman" w:cs="Times New Roman"/>
        </w:rPr>
      </w:pPr>
      <w:r w:rsidRPr="00190511">
        <w:rPr>
          <w:rFonts w:ascii="Times New Roman" w:hAnsi="Times New Roman" w:cs="Times New Roman"/>
        </w:rPr>
        <w:t xml:space="preserve">Expenses: Approximately £600,000 </w:t>
      </w:r>
      <w:r w:rsidRPr="00190511">
        <w:rPr>
          <w:rFonts w:ascii="Times New Roman" w:hAnsi="Times New Roman" w:cs="Times New Roman"/>
        </w:rPr>
        <w:t>because of</w:t>
      </w:r>
      <w:r w:rsidRPr="00190511">
        <w:rPr>
          <w:rFonts w:ascii="Times New Roman" w:hAnsi="Times New Roman" w:cs="Times New Roman"/>
        </w:rPr>
        <w:t xml:space="preserve"> the expansion of operations and the addition of staff.</w:t>
      </w:r>
    </w:p>
    <w:p w14:paraId="725485C7" w14:textId="77777777" w:rsidR="00190511" w:rsidRPr="00190511" w:rsidRDefault="00190511" w:rsidP="00190511">
      <w:pPr>
        <w:pStyle w:val="ListParagraph"/>
        <w:numPr>
          <w:ilvl w:val="0"/>
          <w:numId w:val="7"/>
        </w:numPr>
        <w:spacing w:line="480" w:lineRule="auto"/>
        <w:jc w:val="both"/>
        <w:rPr>
          <w:rFonts w:ascii="Times New Roman" w:hAnsi="Times New Roman" w:cs="Times New Roman"/>
        </w:rPr>
      </w:pPr>
      <w:r w:rsidRPr="00190511">
        <w:rPr>
          <w:rFonts w:ascii="Times New Roman" w:hAnsi="Times New Roman" w:cs="Times New Roman"/>
        </w:rPr>
        <w:t>Results: A £150,000 net profit, a turning point towards financial stability (Desa, 2012).</w:t>
      </w:r>
    </w:p>
    <w:p w14:paraId="2F9D08BF"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Cashflow Management</w:t>
      </w:r>
    </w:p>
    <w:p w14:paraId="36655F21" w14:textId="77777777" w:rsidR="00190511" w:rsidRPr="00190511" w:rsidRDefault="00190511" w:rsidP="00190511">
      <w:pPr>
        <w:pStyle w:val="ListParagraph"/>
        <w:numPr>
          <w:ilvl w:val="0"/>
          <w:numId w:val="8"/>
        </w:numPr>
        <w:spacing w:line="480" w:lineRule="auto"/>
        <w:jc w:val="both"/>
        <w:rPr>
          <w:rFonts w:ascii="Times New Roman" w:hAnsi="Times New Roman" w:cs="Times New Roman"/>
        </w:rPr>
      </w:pPr>
      <w:r w:rsidRPr="00190511">
        <w:rPr>
          <w:rFonts w:ascii="Times New Roman" w:hAnsi="Times New Roman" w:cs="Times New Roman"/>
        </w:rPr>
        <w:t>Working Capital: A six-month operating expense reserve will handle cash flow fluctuations.</w:t>
      </w:r>
    </w:p>
    <w:p w14:paraId="69FF435C" w14:textId="0DD19CEA" w:rsidR="00190511" w:rsidRPr="00190511" w:rsidRDefault="00190511" w:rsidP="00190511">
      <w:pPr>
        <w:pStyle w:val="ListParagraph"/>
        <w:numPr>
          <w:ilvl w:val="0"/>
          <w:numId w:val="8"/>
        </w:numPr>
        <w:spacing w:line="480" w:lineRule="auto"/>
        <w:jc w:val="both"/>
        <w:rPr>
          <w:rFonts w:ascii="Times New Roman" w:hAnsi="Times New Roman" w:cs="Times New Roman"/>
        </w:rPr>
      </w:pPr>
      <w:r w:rsidRPr="00190511">
        <w:rPr>
          <w:rFonts w:ascii="Times New Roman" w:hAnsi="Times New Roman" w:cs="Times New Roman"/>
        </w:rPr>
        <w:t xml:space="preserve">Payment Structures: </w:t>
      </w:r>
      <w:r w:rsidRPr="00190511">
        <w:rPr>
          <w:rFonts w:ascii="Times New Roman" w:hAnsi="Times New Roman" w:cs="Times New Roman"/>
        </w:rPr>
        <w:t>To</w:t>
      </w:r>
      <w:r w:rsidRPr="00190511">
        <w:rPr>
          <w:rFonts w:ascii="Times New Roman" w:hAnsi="Times New Roman" w:cs="Times New Roman"/>
        </w:rPr>
        <w:t xml:space="preserve"> reduce the time between cash inflows and outflows, we will negotiate deposit arrangements and progress payments with customers.</w:t>
      </w:r>
    </w:p>
    <w:p w14:paraId="00C8207A" w14:textId="77777777" w:rsidR="00190511" w:rsidRPr="00190511" w:rsidRDefault="00190511" w:rsidP="00190511">
      <w:pPr>
        <w:pStyle w:val="ListParagraph"/>
        <w:numPr>
          <w:ilvl w:val="0"/>
          <w:numId w:val="8"/>
        </w:numPr>
        <w:spacing w:line="480" w:lineRule="auto"/>
        <w:jc w:val="both"/>
        <w:rPr>
          <w:rFonts w:ascii="Times New Roman" w:hAnsi="Times New Roman" w:cs="Times New Roman"/>
        </w:rPr>
      </w:pPr>
      <w:r w:rsidRPr="00190511">
        <w:rPr>
          <w:rFonts w:ascii="Times New Roman" w:hAnsi="Times New Roman" w:cs="Times New Roman"/>
        </w:rPr>
        <w:t>Long-Term Financial Health: Profits will be reinvested to support growth and operational expansion, using sustainable enterprise best practises (Edgeman &amp; Eskildsen, 2014).</w:t>
      </w:r>
    </w:p>
    <w:p w14:paraId="1892AC0F" w14:textId="7783119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Emergency Plan</w:t>
      </w:r>
    </w:p>
    <w:p w14:paraId="654A4BFE" w14:textId="77777777" w:rsid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GRENGREN has developed a comprehensive contingency plan to mitigate potential risks and guarantee continuity, acknowledging the renewable energy sector's dynamic nature:</w:t>
      </w:r>
    </w:p>
    <w:p w14:paraId="214EDEB3" w14:textId="063CCB2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Financial Risks</w:t>
      </w:r>
    </w:p>
    <w:p w14:paraId="69C23199"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Credit and cash reserves:</w:t>
      </w:r>
    </w:p>
    <w:p w14:paraId="59F599BD" w14:textId="61536B74"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During the initial stages of growth, it is crucial to have a designated cash reserve and access to a line of credit </w:t>
      </w:r>
      <w:r w:rsidRPr="00190511">
        <w:rPr>
          <w:rFonts w:ascii="Times New Roman" w:hAnsi="Times New Roman" w:cs="Times New Roman"/>
        </w:rPr>
        <w:t>to</w:t>
      </w:r>
      <w:r w:rsidRPr="00190511">
        <w:rPr>
          <w:rFonts w:ascii="Times New Roman" w:hAnsi="Times New Roman" w:cs="Times New Roman"/>
        </w:rPr>
        <w:t xml:space="preserve"> address any unexpected shortfalls (Cohen et al., 2008).</w:t>
      </w:r>
    </w:p>
    <w:p w14:paraId="3E17DBB9"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Manage Costs:</w:t>
      </w:r>
    </w:p>
    <w:p w14:paraId="34552FE9"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Our financial resilience will be maintained by consistently monitoring expenses and adjusting non-critical expenditures in response to revenue fluctuations (</w:t>
      </w:r>
      <w:proofErr w:type="spellStart"/>
      <w:r w:rsidRPr="00190511">
        <w:rPr>
          <w:rFonts w:ascii="Times New Roman" w:hAnsi="Times New Roman" w:cs="Times New Roman"/>
        </w:rPr>
        <w:t>Febrizal</w:t>
      </w:r>
      <w:proofErr w:type="spellEnd"/>
      <w:r w:rsidRPr="00190511">
        <w:rPr>
          <w:rFonts w:ascii="Times New Roman" w:hAnsi="Times New Roman" w:cs="Times New Roman"/>
        </w:rPr>
        <w:t xml:space="preserve"> </w:t>
      </w:r>
      <w:proofErr w:type="spellStart"/>
      <w:r w:rsidRPr="00190511">
        <w:rPr>
          <w:rFonts w:ascii="Times New Roman" w:hAnsi="Times New Roman" w:cs="Times New Roman"/>
        </w:rPr>
        <w:t>Rahmana</w:t>
      </w:r>
      <w:proofErr w:type="spellEnd"/>
      <w:r w:rsidRPr="00190511">
        <w:rPr>
          <w:rFonts w:ascii="Times New Roman" w:hAnsi="Times New Roman" w:cs="Times New Roman"/>
        </w:rPr>
        <w:t xml:space="preserve"> &amp; </w:t>
      </w:r>
      <w:proofErr w:type="spellStart"/>
      <w:r w:rsidRPr="00190511">
        <w:rPr>
          <w:rFonts w:ascii="Times New Roman" w:hAnsi="Times New Roman" w:cs="Times New Roman"/>
        </w:rPr>
        <w:t>Bawono</w:t>
      </w:r>
      <w:proofErr w:type="spellEnd"/>
      <w:r w:rsidRPr="00190511">
        <w:rPr>
          <w:rFonts w:ascii="Times New Roman" w:hAnsi="Times New Roman" w:cs="Times New Roman"/>
        </w:rPr>
        <w:t>, 2020).</w:t>
      </w:r>
    </w:p>
    <w:p w14:paraId="431BC01B"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Operational Risks</w:t>
      </w:r>
    </w:p>
    <w:p w14:paraId="1AA5AA1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Cost Overruns and Project Delays:</w:t>
      </w:r>
    </w:p>
    <w:p w14:paraId="607A3B58"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Risk assessments, contingency resource allocation, and rigorous project planning (e.g., cross-trained staff and spare equipment) will mitigate operational setbacks (</w:t>
      </w:r>
      <w:proofErr w:type="spellStart"/>
      <w:r w:rsidRPr="00190511">
        <w:rPr>
          <w:rFonts w:ascii="Times New Roman" w:hAnsi="Times New Roman" w:cs="Times New Roman"/>
        </w:rPr>
        <w:t>Chofreh</w:t>
      </w:r>
      <w:proofErr w:type="spellEnd"/>
      <w:r w:rsidRPr="00190511">
        <w:rPr>
          <w:rFonts w:ascii="Times New Roman" w:hAnsi="Times New Roman" w:cs="Times New Roman"/>
        </w:rPr>
        <w:t>, 2018).</w:t>
      </w:r>
    </w:p>
    <w:p w14:paraId="4C4391C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Supplier Diversification:</w:t>
      </w:r>
    </w:p>
    <w:p w14:paraId="573BA3CE"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Establishing partnerships with numerous suppliers guarantees that project timelines are not disrupted by price increases or disruptions from any single source.</w:t>
      </w:r>
    </w:p>
    <w:p w14:paraId="2607F7FE"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Market, Regulatory Risks</w:t>
      </w:r>
    </w:p>
    <w:p w14:paraId="1AC1A32B"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Flexible Sales Strategy:</w:t>
      </w:r>
    </w:p>
    <w:p w14:paraId="119D5E93"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To ensure consistent sales volumes, we will modify our target segments, alternating between the residential, commercial, and industrial sectors in response to fluctuations in market demand (Thompson, 2010).</w:t>
      </w:r>
    </w:p>
    <w:p w14:paraId="4C75A6EB" w14:textId="77777777" w:rsidR="00190511" w:rsidRDefault="00190511" w:rsidP="00190511">
      <w:pPr>
        <w:spacing w:line="480" w:lineRule="auto"/>
        <w:jc w:val="both"/>
        <w:rPr>
          <w:rFonts w:ascii="Times New Roman" w:hAnsi="Times New Roman" w:cs="Times New Roman"/>
        </w:rPr>
      </w:pPr>
    </w:p>
    <w:p w14:paraId="5D41D87C" w14:textId="584E3C8C"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Policy Monitoring/Adaptation:</w:t>
      </w:r>
    </w:p>
    <w:p w14:paraId="421AF7E5"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Active participation in industry groups and continuous monitoring of government policies will allow us to promptly adjust to any regulatory modifications (Desa, 2012).</w:t>
      </w:r>
    </w:p>
    <w:p w14:paraId="1FA4E6C8"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Tech and Cybersecurity Risks</w:t>
      </w:r>
    </w:p>
    <w:p w14:paraId="1436514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Agility in innovation</w:t>
      </w:r>
    </w:p>
    <w:p w14:paraId="02D93411"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Regular training and technology reviews will keep our services current and competitive.</w:t>
      </w:r>
    </w:p>
    <w:p w14:paraId="61AF1BC8"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Data Protection:</w:t>
      </w:r>
    </w:p>
    <w:p w14:paraId="15C9BCED"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An IT response protocol, routine data backups, and robust cybersecurity measures will protect critical operational and consumer information (Cohen et al., 2008).</w:t>
      </w:r>
    </w:p>
    <w:p w14:paraId="77617E7A"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Partnership and Contract Risks</w:t>
      </w:r>
    </w:p>
    <w:p w14:paraId="723DF8DE"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Strong Contracts:</w:t>
      </w:r>
    </w:p>
    <w:p w14:paraId="4E8141E0"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Performance clauses and penalties will be incorporated into contracts with suppliers and consumers to reduce the likelihood of non-compliance by partners (Edgeman &amp; Eskildsen, 2014).</w:t>
      </w:r>
    </w:p>
    <w:p w14:paraId="4FC91780"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Engagement of Stakeholders</w:t>
      </w:r>
    </w:p>
    <w:p w14:paraId="70975D44" w14:textId="5B35355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Active communication and collaboration with stakeholders, as advised by Anbarasan (2018), will guarantee that all parties </w:t>
      </w:r>
      <w:r w:rsidRPr="00190511">
        <w:rPr>
          <w:rFonts w:ascii="Times New Roman" w:hAnsi="Times New Roman" w:cs="Times New Roman"/>
        </w:rPr>
        <w:t>agree</w:t>
      </w:r>
      <w:r w:rsidRPr="00190511">
        <w:rPr>
          <w:rFonts w:ascii="Times New Roman" w:hAnsi="Times New Roman" w:cs="Times New Roman"/>
        </w:rPr>
        <w:t xml:space="preserve"> and prepared to address emergent challenges.</w:t>
      </w:r>
    </w:p>
    <w:p w14:paraId="3E0A5976" w14:textId="77777777" w:rsidR="00190511" w:rsidRDefault="00190511" w:rsidP="00190511">
      <w:pPr>
        <w:spacing w:line="480" w:lineRule="auto"/>
        <w:jc w:val="both"/>
        <w:rPr>
          <w:rFonts w:ascii="Times New Roman" w:hAnsi="Times New Roman" w:cs="Times New Roman"/>
          <w:b/>
          <w:bCs/>
          <w:color w:val="00B0F0"/>
        </w:rPr>
      </w:pPr>
    </w:p>
    <w:p w14:paraId="3E9A768C" w14:textId="77777777" w:rsidR="00190511" w:rsidRDefault="00190511" w:rsidP="00190511">
      <w:pPr>
        <w:spacing w:line="480" w:lineRule="auto"/>
        <w:jc w:val="both"/>
        <w:rPr>
          <w:rFonts w:ascii="Times New Roman" w:hAnsi="Times New Roman" w:cs="Times New Roman"/>
          <w:b/>
          <w:bCs/>
          <w:color w:val="00B0F0"/>
        </w:rPr>
      </w:pPr>
    </w:p>
    <w:p w14:paraId="34F55E38" w14:textId="77777777" w:rsidR="00190511" w:rsidRDefault="00190511" w:rsidP="00190511">
      <w:pPr>
        <w:spacing w:line="480" w:lineRule="auto"/>
        <w:jc w:val="both"/>
        <w:rPr>
          <w:rFonts w:ascii="Times New Roman" w:hAnsi="Times New Roman" w:cs="Times New Roman"/>
          <w:b/>
          <w:bCs/>
          <w:color w:val="00B0F0"/>
        </w:rPr>
      </w:pPr>
    </w:p>
    <w:p w14:paraId="53917C05" w14:textId="77777777" w:rsidR="00190511" w:rsidRDefault="00190511" w:rsidP="00190511">
      <w:pPr>
        <w:spacing w:line="480" w:lineRule="auto"/>
        <w:jc w:val="both"/>
        <w:rPr>
          <w:rFonts w:ascii="Times New Roman" w:hAnsi="Times New Roman" w:cs="Times New Roman"/>
          <w:b/>
          <w:bCs/>
          <w:color w:val="00B0F0"/>
        </w:rPr>
      </w:pPr>
    </w:p>
    <w:p w14:paraId="79E1FCC0" w14:textId="17A9438F"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lastRenderedPageBreak/>
        <w:t>Insurance, Risk Transfer</w:t>
      </w:r>
    </w:p>
    <w:p w14:paraId="6DAA461C"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Comprehensive Insurance Coverage:</w:t>
      </w:r>
    </w:p>
    <w:p w14:paraId="3850A3D2" w14:textId="007B6E36"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 xml:space="preserve">We will maintain insurance policies that cover property, liability, workers' compensation, and business interruption </w:t>
      </w:r>
      <w:r w:rsidRPr="00190511">
        <w:rPr>
          <w:rFonts w:ascii="Times New Roman" w:hAnsi="Times New Roman" w:cs="Times New Roman"/>
        </w:rPr>
        <w:t>to</w:t>
      </w:r>
      <w:r w:rsidRPr="00190511">
        <w:rPr>
          <w:rFonts w:ascii="Times New Roman" w:hAnsi="Times New Roman" w:cs="Times New Roman"/>
        </w:rPr>
        <w:t xml:space="preserve"> transfer risk and establish a safety net for unforeseen events (Dean &amp; McMullen, 2007).</w:t>
      </w:r>
    </w:p>
    <w:p w14:paraId="08A98EAD"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Force Majeure Planning:</w:t>
      </w:r>
    </w:p>
    <w:p w14:paraId="6BD33F16" w14:textId="77777777" w:rsidR="00190511" w:rsidRPr="00190511" w:rsidRDefault="00190511" w:rsidP="00190511">
      <w:pPr>
        <w:spacing w:line="480" w:lineRule="auto"/>
        <w:jc w:val="both"/>
        <w:rPr>
          <w:rFonts w:ascii="Times New Roman" w:hAnsi="Times New Roman" w:cs="Times New Roman"/>
        </w:rPr>
      </w:pPr>
      <w:r w:rsidRPr="00190511">
        <w:rPr>
          <w:rFonts w:ascii="Times New Roman" w:hAnsi="Times New Roman" w:cs="Times New Roman"/>
        </w:rPr>
        <w:t>Contracts will include force majeure clauses to protect operations from uncontrollable situations.</w:t>
      </w:r>
    </w:p>
    <w:p w14:paraId="222830B2" w14:textId="77777777" w:rsidR="00190511" w:rsidRPr="00190511" w:rsidRDefault="00190511" w:rsidP="00190511">
      <w:pPr>
        <w:spacing w:line="480" w:lineRule="auto"/>
        <w:jc w:val="both"/>
        <w:rPr>
          <w:rFonts w:ascii="Times New Roman" w:hAnsi="Times New Roman" w:cs="Times New Roman"/>
          <w:b/>
          <w:bCs/>
          <w:color w:val="00B0F0"/>
        </w:rPr>
      </w:pPr>
      <w:r w:rsidRPr="00190511">
        <w:rPr>
          <w:rFonts w:ascii="Times New Roman" w:hAnsi="Times New Roman" w:cs="Times New Roman"/>
          <w:b/>
          <w:bCs/>
          <w:color w:val="00B0F0"/>
        </w:rPr>
        <w:t>Conclusion</w:t>
      </w:r>
    </w:p>
    <w:p w14:paraId="4FF06BAC" w14:textId="7AE0E052" w:rsidR="0003098C" w:rsidRDefault="00190511" w:rsidP="00190511">
      <w:pPr>
        <w:spacing w:line="480" w:lineRule="auto"/>
        <w:jc w:val="both"/>
        <w:rPr>
          <w:rFonts w:ascii="Times New Roman" w:hAnsi="Times New Roman" w:cs="Times New Roman"/>
        </w:rPr>
      </w:pPr>
      <w:r w:rsidRPr="00190511">
        <w:rPr>
          <w:rFonts w:ascii="Times New Roman" w:hAnsi="Times New Roman" w:cs="Times New Roman"/>
        </w:rPr>
        <w:t>A sustainable renewable energy start-up, GRENGREN is strategically positioned to achieve success. Our business plan exemplifies the principles of sustainable enterprise excellence by integrating economic objectives with a robust environmental and social mission (Edgeman &amp; Eskildsen, 2014; Thompson, 2010). Our comprehensive approach, which encompasses exhaustive market analysis, clear financial projections, and robust contingency planning, guarantees that we can adapt and prosper in a rapidly changing industry. We may capture market share and contribute to global climate change initiatives through innovation, stakeholder involvement (Anbarasan, 2018), and sustainability.</w:t>
      </w:r>
    </w:p>
    <w:p w14:paraId="1BD3DC67" w14:textId="77777777" w:rsidR="00190511" w:rsidRDefault="00190511" w:rsidP="00190511">
      <w:pPr>
        <w:spacing w:line="480" w:lineRule="auto"/>
        <w:jc w:val="both"/>
        <w:rPr>
          <w:rFonts w:ascii="Times New Roman" w:hAnsi="Times New Roman" w:cs="Times New Roman"/>
        </w:rPr>
      </w:pPr>
    </w:p>
    <w:p w14:paraId="091E9E75" w14:textId="77777777" w:rsidR="00190511" w:rsidRDefault="00190511" w:rsidP="00190511">
      <w:pPr>
        <w:spacing w:line="480" w:lineRule="auto"/>
        <w:jc w:val="both"/>
        <w:rPr>
          <w:rFonts w:ascii="Times New Roman" w:hAnsi="Times New Roman" w:cs="Times New Roman"/>
        </w:rPr>
      </w:pPr>
    </w:p>
    <w:p w14:paraId="16B5A666" w14:textId="77777777" w:rsidR="00190511" w:rsidRDefault="00190511" w:rsidP="00190511">
      <w:pPr>
        <w:spacing w:line="480" w:lineRule="auto"/>
        <w:jc w:val="both"/>
        <w:rPr>
          <w:rFonts w:ascii="Times New Roman" w:hAnsi="Times New Roman" w:cs="Times New Roman"/>
        </w:rPr>
      </w:pPr>
    </w:p>
    <w:p w14:paraId="674B44C8" w14:textId="77777777" w:rsidR="00190511" w:rsidRDefault="00190511" w:rsidP="00190511">
      <w:pPr>
        <w:spacing w:line="480" w:lineRule="auto"/>
        <w:jc w:val="both"/>
        <w:rPr>
          <w:rFonts w:ascii="Times New Roman" w:hAnsi="Times New Roman" w:cs="Times New Roman"/>
        </w:rPr>
      </w:pPr>
    </w:p>
    <w:p w14:paraId="3EC169CE" w14:textId="77777777" w:rsidR="00190511" w:rsidRDefault="00190511" w:rsidP="00190511">
      <w:pPr>
        <w:spacing w:line="480" w:lineRule="auto"/>
        <w:jc w:val="both"/>
        <w:rPr>
          <w:rFonts w:ascii="Times New Roman" w:hAnsi="Times New Roman" w:cs="Times New Roman"/>
        </w:rPr>
      </w:pPr>
    </w:p>
    <w:p w14:paraId="5F1AC31F" w14:textId="093D84E0" w:rsidR="00190511" w:rsidRPr="006F7503" w:rsidRDefault="00190511" w:rsidP="00190511">
      <w:pPr>
        <w:spacing w:line="480" w:lineRule="auto"/>
        <w:jc w:val="both"/>
        <w:rPr>
          <w:rFonts w:ascii="Times New Roman" w:hAnsi="Times New Roman" w:cs="Times New Roman"/>
          <w:b/>
          <w:bCs/>
          <w:color w:val="00B0F0"/>
        </w:rPr>
      </w:pPr>
      <w:r w:rsidRPr="006F7503">
        <w:rPr>
          <w:rFonts w:ascii="Times New Roman" w:hAnsi="Times New Roman" w:cs="Times New Roman"/>
          <w:b/>
          <w:bCs/>
          <w:color w:val="00B0F0"/>
        </w:rPr>
        <w:lastRenderedPageBreak/>
        <w:t xml:space="preserve">References </w:t>
      </w:r>
    </w:p>
    <w:p w14:paraId="6F1C0EC5" w14:textId="77777777" w:rsidR="006E27A7" w:rsidRP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Anbarasan, P. (2018). Stakeholder engagement in sustainable enterprise: Evolving a conceptual framework, and a case study of ITC. </w:t>
      </w:r>
      <w:r w:rsidRPr="006E27A7">
        <w:rPr>
          <w:rFonts w:ascii="Times New Roman" w:hAnsi="Times New Roman" w:cs="Times New Roman"/>
          <w:i/>
          <w:iCs/>
        </w:rPr>
        <w:t>Business Strategy &amp; the Environment, 27</w:t>
      </w:r>
      <w:r w:rsidRPr="006E27A7">
        <w:rPr>
          <w:rFonts w:ascii="Times New Roman" w:hAnsi="Times New Roman" w:cs="Times New Roman"/>
        </w:rPr>
        <w:t>(3), 282–300.</w:t>
      </w:r>
    </w:p>
    <w:p w14:paraId="2D44D713" w14:textId="77777777" w:rsidR="006E27A7" w:rsidRPr="006E27A7" w:rsidRDefault="006E27A7" w:rsidP="006E27A7">
      <w:pPr>
        <w:spacing w:line="480" w:lineRule="auto"/>
        <w:jc w:val="both"/>
        <w:rPr>
          <w:rFonts w:ascii="Times New Roman" w:hAnsi="Times New Roman" w:cs="Times New Roman"/>
        </w:rPr>
      </w:pPr>
      <w:proofErr w:type="spellStart"/>
      <w:r w:rsidRPr="006E27A7">
        <w:rPr>
          <w:rFonts w:ascii="Times New Roman" w:hAnsi="Times New Roman" w:cs="Times New Roman"/>
        </w:rPr>
        <w:t>Chofreh</w:t>
      </w:r>
      <w:proofErr w:type="spellEnd"/>
      <w:r w:rsidRPr="006E27A7">
        <w:rPr>
          <w:rFonts w:ascii="Times New Roman" w:hAnsi="Times New Roman" w:cs="Times New Roman"/>
        </w:rPr>
        <w:t xml:space="preserve">, A. G. (2018). Sustainable enterprise resource planning systems implementation: A framework development. </w:t>
      </w:r>
      <w:r w:rsidRPr="006E27A7">
        <w:rPr>
          <w:rFonts w:ascii="Times New Roman" w:hAnsi="Times New Roman" w:cs="Times New Roman"/>
          <w:i/>
          <w:iCs/>
        </w:rPr>
        <w:t>Journal of Cleaner Production, 198</w:t>
      </w:r>
      <w:r w:rsidRPr="006E27A7">
        <w:rPr>
          <w:rFonts w:ascii="Times New Roman" w:hAnsi="Times New Roman" w:cs="Times New Roman"/>
        </w:rPr>
        <w:t>, 1345–1355.</w:t>
      </w:r>
    </w:p>
    <w:p w14:paraId="06849813" w14:textId="77777777" w:rsidR="006E27A7" w:rsidRP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Cohen, B., Smith, B., &amp; Mitchell, R. (2008). Toward a sustainable conceptualization of dependent variables in entrepreneurship research. </w:t>
      </w:r>
      <w:r w:rsidRPr="006E27A7">
        <w:rPr>
          <w:rFonts w:ascii="Times New Roman" w:hAnsi="Times New Roman" w:cs="Times New Roman"/>
          <w:i/>
          <w:iCs/>
        </w:rPr>
        <w:t>Business Strategy and the Environment, 17</w:t>
      </w:r>
      <w:r w:rsidRPr="006E27A7">
        <w:rPr>
          <w:rFonts w:ascii="Times New Roman" w:hAnsi="Times New Roman" w:cs="Times New Roman"/>
        </w:rPr>
        <w:t>(2), 107–119.</w:t>
      </w:r>
    </w:p>
    <w:p w14:paraId="2BFA0060" w14:textId="79F3B351" w:rsidR="006E27A7" w:rsidRP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Dean, T., &amp; McMullen, J. (2007). Toward a theory of sustainable entrepreneurship: Reducing environmental degradation through entrepreneurial action. </w:t>
      </w:r>
      <w:r w:rsidRPr="006E27A7">
        <w:rPr>
          <w:rFonts w:ascii="Times New Roman" w:hAnsi="Times New Roman" w:cs="Times New Roman"/>
          <w:i/>
          <w:iCs/>
        </w:rPr>
        <w:t>Journal of Business Venturing, 22</w:t>
      </w:r>
      <w:r w:rsidRPr="006E27A7">
        <w:rPr>
          <w:rFonts w:ascii="Times New Roman" w:hAnsi="Times New Roman" w:cs="Times New Roman"/>
        </w:rPr>
        <w:t>(1), 50–76.</w:t>
      </w:r>
    </w:p>
    <w:p w14:paraId="235BC09B" w14:textId="36F438B5" w:rsid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Desa, M. (2012). Resource mobilization in international social entrepreneurship: Bricolage as a mechanism of institutional transformation. </w:t>
      </w:r>
      <w:r w:rsidRPr="006E27A7">
        <w:rPr>
          <w:rFonts w:ascii="Times New Roman" w:hAnsi="Times New Roman" w:cs="Times New Roman"/>
          <w:i/>
          <w:iCs/>
        </w:rPr>
        <w:t>Entrepreneurship Theory and Practice, 36</w:t>
      </w:r>
      <w:r w:rsidRPr="006E27A7">
        <w:rPr>
          <w:rFonts w:ascii="Times New Roman" w:hAnsi="Times New Roman" w:cs="Times New Roman"/>
        </w:rPr>
        <w:t xml:space="preserve">(4), 727–751. </w:t>
      </w:r>
      <w:hyperlink r:id="rId7" w:history="1">
        <w:r w:rsidRPr="00F648E9">
          <w:rPr>
            <w:rStyle w:val="Hyperlink"/>
            <w:rFonts w:ascii="Times New Roman" w:hAnsi="Times New Roman" w:cs="Times New Roman"/>
          </w:rPr>
          <w:t>https://doi.org/10.1111/j.1540-6520.2010.00430.x</w:t>
        </w:r>
      </w:hyperlink>
    </w:p>
    <w:p w14:paraId="56FB3CC7" w14:textId="657CCBF1" w:rsid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Di Domenico, M. L., Haugh, H., &amp; Tracey, P. (2010). Social bricolage: Theorizing social value creation in social enterprises. </w:t>
      </w:r>
      <w:r w:rsidRPr="006E27A7">
        <w:rPr>
          <w:rFonts w:ascii="Times New Roman" w:hAnsi="Times New Roman" w:cs="Times New Roman"/>
          <w:i/>
          <w:iCs/>
        </w:rPr>
        <w:t>Entrepreneurship Theory and Practice, 34</w:t>
      </w:r>
      <w:r w:rsidRPr="006E27A7">
        <w:rPr>
          <w:rFonts w:ascii="Times New Roman" w:hAnsi="Times New Roman" w:cs="Times New Roman"/>
        </w:rPr>
        <w:t xml:space="preserve">(4), 681–703. </w:t>
      </w:r>
      <w:hyperlink r:id="rId8" w:history="1">
        <w:r w:rsidRPr="00F648E9">
          <w:rPr>
            <w:rStyle w:val="Hyperlink"/>
            <w:rFonts w:ascii="Times New Roman" w:hAnsi="Times New Roman" w:cs="Times New Roman"/>
          </w:rPr>
          <w:t>https://doi.org/10.1111/j.1540-6520.2010.00370.x</w:t>
        </w:r>
      </w:hyperlink>
    </w:p>
    <w:p w14:paraId="182A1DE9" w14:textId="46B2DDFE" w:rsid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Edgeman, R., &amp; Eskildsen, J. (2014). Modelling and assessing sustainable enterprise excellence. </w:t>
      </w:r>
      <w:r w:rsidRPr="006E27A7">
        <w:rPr>
          <w:rFonts w:ascii="Times New Roman" w:hAnsi="Times New Roman" w:cs="Times New Roman"/>
          <w:i/>
          <w:iCs/>
        </w:rPr>
        <w:t>Business Strategy and the Environment, 23</w:t>
      </w:r>
      <w:r w:rsidRPr="006E27A7">
        <w:rPr>
          <w:rFonts w:ascii="Times New Roman" w:hAnsi="Times New Roman" w:cs="Times New Roman"/>
        </w:rPr>
        <w:t>(3), 173–187.</w:t>
      </w:r>
    </w:p>
    <w:p w14:paraId="2A106314" w14:textId="3E04BF79" w:rsid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Hart, S., &amp; Milstein, M.B. (1999). Global Sustainability and the Creative Destruction of Industries. </w:t>
      </w:r>
      <w:r w:rsidRPr="006E27A7">
        <w:rPr>
          <w:rFonts w:ascii="Times New Roman" w:hAnsi="Times New Roman" w:cs="Times New Roman"/>
          <w:i/>
          <w:iCs/>
        </w:rPr>
        <w:t>Sloan Management Review, 41</w:t>
      </w:r>
      <w:r w:rsidRPr="006E27A7">
        <w:rPr>
          <w:rFonts w:ascii="Times New Roman" w:hAnsi="Times New Roman" w:cs="Times New Roman"/>
        </w:rPr>
        <w:t>, 23-33.</w:t>
      </w:r>
    </w:p>
    <w:p w14:paraId="683B7C78" w14:textId="77777777" w:rsidR="006E27A7" w:rsidRP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Porter, M. E., &amp; Kramer, M. R. (2006). Strategy and society: The link between competitive advantage and corporate social responsibility. </w:t>
      </w:r>
      <w:r w:rsidRPr="006E27A7">
        <w:rPr>
          <w:rFonts w:ascii="Times New Roman" w:hAnsi="Times New Roman" w:cs="Times New Roman"/>
          <w:i/>
          <w:iCs/>
        </w:rPr>
        <w:t>Harvard Business Review, 84</w:t>
      </w:r>
      <w:r w:rsidRPr="006E27A7">
        <w:rPr>
          <w:rFonts w:ascii="Times New Roman" w:hAnsi="Times New Roman" w:cs="Times New Roman"/>
        </w:rPr>
        <w:t>(12), 78–92.</w:t>
      </w:r>
    </w:p>
    <w:p w14:paraId="4D2301A7" w14:textId="6FBFD8E6" w:rsidR="006E27A7" w:rsidRPr="006E27A7" w:rsidRDefault="006E27A7" w:rsidP="006E27A7">
      <w:pPr>
        <w:spacing w:line="480" w:lineRule="auto"/>
        <w:jc w:val="both"/>
        <w:rPr>
          <w:rFonts w:ascii="Times New Roman" w:hAnsi="Times New Roman" w:cs="Times New Roman"/>
        </w:rPr>
      </w:pPr>
      <w:proofErr w:type="spellStart"/>
      <w:r w:rsidRPr="006E27A7">
        <w:rPr>
          <w:rFonts w:ascii="Times New Roman" w:hAnsi="Times New Roman" w:cs="Times New Roman"/>
        </w:rPr>
        <w:lastRenderedPageBreak/>
        <w:t>Rahmana</w:t>
      </w:r>
      <w:proofErr w:type="spellEnd"/>
      <w:r w:rsidRPr="006E27A7">
        <w:rPr>
          <w:rFonts w:ascii="Times New Roman" w:hAnsi="Times New Roman" w:cs="Times New Roman"/>
        </w:rPr>
        <w:t xml:space="preserve">, F., &amp; </w:t>
      </w:r>
      <w:proofErr w:type="spellStart"/>
      <w:r w:rsidRPr="006E27A7">
        <w:rPr>
          <w:rFonts w:ascii="Times New Roman" w:hAnsi="Times New Roman" w:cs="Times New Roman"/>
        </w:rPr>
        <w:t>Bawono</w:t>
      </w:r>
      <w:proofErr w:type="spellEnd"/>
      <w:r w:rsidRPr="006E27A7">
        <w:rPr>
          <w:rFonts w:ascii="Times New Roman" w:hAnsi="Times New Roman" w:cs="Times New Roman"/>
        </w:rPr>
        <w:t xml:space="preserve">, A. (2020). Sustainable development toward sustainable enterprise. </w:t>
      </w:r>
      <w:r w:rsidRPr="006E27A7">
        <w:rPr>
          <w:rFonts w:ascii="Times New Roman" w:hAnsi="Times New Roman" w:cs="Times New Roman"/>
          <w:i/>
          <w:iCs/>
        </w:rPr>
        <w:t>Management Science Letters, 11</w:t>
      </w:r>
      <w:r w:rsidRPr="006E27A7">
        <w:rPr>
          <w:rFonts w:ascii="Times New Roman" w:hAnsi="Times New Roman" w:cs="Times New Roman"/>
        </w:rPr>
        <w:t>(2), 657–668.</w:t>
      </w:r>
    </w:p>
    <w:p w14:paraId="42FE2330" w14:textId="53033963" w:rsidR="006E27A7" w:rsidRPr="006E27A7"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Shrivastava, P. (1995). The role of corporations in achieving ecological sustainability. </w:t>
      </w:r>
      <w:r w:rsidRPr="006E27A7">
        <w:rPr>
          <w:rFonts w:ascii="Times New Roman" w:hAnsi="Times New Roman" w:cs="Times New Roman"/>
          <w:i/>
          <w:iCs/>
        </w:rPr>
        <w:t>Academy of Management Review, 20</w:t>
      </w:r>
      <w:r w:rsidRPr="006E27A7">
        <w:rPr>
          <w:rFonts w:ascii="Times New Roman" w:hAnsi="Times New Roman" w:cs="Times New Roman"/>
        </w:rPr>
        <w:t>(4), 936–960.</w:t>
      </w:r>
    </w:p>
    <w:p w14:paraId="009B5775" w14:textId="1880F5A4" w:rsidR="00190511"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Thompson, F. M. M. (2010). </w:t>
      </w:r>
      <w:r w:rsidRPr="006E27A7">
        <w:rPr>
          <w:rFonts w:ascii="Times New Roman" w:hAnsi="Times New Roman" w:cs="Times New Roman"/>
          <w:i/>
          <w:iCs/>
        </w:rPr>
        <w:t>Social enterprise: Developing sustainable enterprises</w:t>
      </w:r>
      <w:r w:rsidRPr="006E27A7">
        <w:rPr>
          <w:rFonts w:ascii="Times New Roman" w:hAnsi="Times New Roman" w:cs="Times New Roman"/>
        </w:rPr>
        <w:t>. New York, NY: Palgrave Macmillan.</w:t>
      </w:r>
    </w:p>
    <w:p w14:paraId="0FCBAFFC" w14:textId="47BA9809" w:rsidR="006E27A7" w:rsidRPr="0003098C" w:rsidRDefault="006E27A7" w:rsidP="006E27A7">
      <w:pPr>
        <w:spacing w:line="480" w:lineRule="auto"/>
        <w:jc w:val="both"/>
        <w:rPr>
          <w:rFonts w:ascii="Times New Roman" w:hAnsi="Times New Roman" w:cs="Times New Roman"/>
        </w:rPr>
      </w:pPr>
      <w:r w:rsidRPr="006E27A7">
        <w:rPr>
          <w:rFonts w:ascii="Times New Roman" w:hAnsi="Times New Roman" w:cs="Times New Roman"/>
        </w:rPr>
        <w:t xml:space="preserve">Unruh, G. C. (2000). Understanding carbon lock-in. </w:t>
      </w:r>
      <w:r w:rsidRPr="006E27A7">
        <w:rPr>
          <w:rFonts w:ascii="Times New Roman" w:hAnsi="Times New Roman" w:cs="Times New Roman"/>
          <w:i/>
          <w:iCs/>
        </w:rPr>
        <w:t>Energy Policy, 28</w:t>
      </w:r>
      <w:r w:rsidRPr="006E27A7">
        <w:rPr>
          <w:rFonts w:ascii="Times New Roman" w:hAnsi="Times New Roman" w:cs="Times New Roman"/>
        </w:rPr>
        <w:t>(12), 817–830.</w:t>
      </w:r>
    </w:p>
    <w:sectPr w:rsidR="006E27A7" w:rsidRPr="0003098C" w:rsidSect="006F7503">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B2C21" w14:textId="77777777" w:rsidR="005941EE" w:rsidRDefault="005941EE" w:rsidP="006F7503">
      <w:pPr>
        <w:spacing w:after="0" w:line="240" w:lineRule="auto"/>
      </w:pPr>
      <w:r>
        <w:separator/>
      </w:r>
    </w:p>
  </w:endnote>
  <w:endnote w:type="continuationSeparator" w:id="0">
    <w:p w14:paraId="33B82B51" w14:textId="77777777" w:rsidR="005941EE" w:rsidRDefault="005941EE" w:rsidP="006F7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F81D4" w14:textId="77777777" w:rsidR="005941EE" w:rsidRDefault="005941EE" w:rsidP="006F7503">
      <w:pPr>
        <w:spacing w:after="0" w:line="240" w:lineRule="auto"/>
      </w:pPr>
      <w:r>
        <w:separator/>
      </w:r>
    </w:p>
  </w:footnote>
  <w:footnote w:type="continuationSeparator" w:id="0">
    <w:p w14:paraId="26887137" w14:textId="77777777" w:rsidR="005941EE" w:rsidRDefault="005941EE" w:rsidP="006F75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34461723"/>
      <w:docPartObj>
        <w:docPartGallery w:val="Page Numbers (Top of Page)"/>
        <w:docPartUnique/>
      </w:docPartObj>
    </w:sdtPr>
    <w:sdtEndPr>
      <w:rPr>
        <w:b/>
        <w:bCs/>
        <w:noProof/>
        <w:color w:val="auto"/>
        <w:spacing w:val="0"/>
      </w:rPr>
    </w:sdtEndPr>
    <w:sdtContent>
      <w:p w14:paraId="54402814" w14:textId="43BA4001" w:rsidR="006F7503" w:rsidRDefault="006F750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980E833" w14:textId="77777777" w:rsidR="006F7503" w:rsidRDefault="006F75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141AD"/>
    <w:multiLevelType w:val="hybridMultilevel"/>
    <w:tmpl w:val="98C64B4A"/>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0379D"/>
    <w:multiLevelType w:val="hybridMultilevel"/>
    <w:tmpl w:val="8AD21C5E"/>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51793"/>
    <w:multiLevelType w:val="hybridMultilevel"/>
    <w:tmpl w:val="3FA8A3B2"/>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445CC"/>
    <w:multiLevelType w:val="hybridMultilevel"/>
    <w:tmpl w:val="CD606FC0"/>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FB533F"/>
    <w:multiLevelType w:val="hybridMultilevel"/>
    <w:tmpl w:val="D082A4FE"/>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8B49D0"/>
    <w:multiLevelType w:val="hybridMultilevel"/>
    <w:tmpl w:val="0A2EC604"/>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BA2E99"/>
    <w:multiLevelType w:val="hybridMultilevel"/>
    <w:tmpl w:val="D0B41404"/>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537A8"/>
    <w:multiLevelType w:val="hybridMultilevel"/>
    <w:tmpl w:val="E38ACC08"/>
    <w:lvl w:ilvl="0" w:tplc="EFC88932">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7790653">
    <w:abstractNumId w:val="3"/>
  </w:num>
  <w:num w:numId="2" w16cid:durableId="1043017175">
    <w:abstractNumId w:val="2"/>
  </w:num>
  <w:num w:numId="3" w16cid:durableId="872234505">
    <w:abstractNumId w:val="1"/>
  </w:num>
  <w:num w:numId="4" w16cid:durableId="349181121">
    <w:abstractNumId w:val="7"/>
  </w:num>
  <w:num w:numId="5" w16cid:durableId="490486540">
    <w:abstractNumId w:val="6"/>
  </w:num>
  <w:num w:numId="6" w16cid:durableId="606156910">
    <w:abstractNumId w:val="0"/>
  </w:num>
  <w:num w:numId="7" w16cid:durableId="1535263390">
    <w:abstractNumId w:val="5"/>
  </w:num>
  <w:num w:numId="8" w16cid:durableId="13826785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98C"/>
    <w:rsid w:val="0003098C"/>
    <w:rsid w:val="00190511"/>
    <w:rsid w:val="005941EE"/>
    <w:rsid w:val="006E27A7"/>
    <w:rsid w:val="006F7503"/>
    <w:rsid w:val="008357AF"/>
    <w:rsid w:val="00D65DF4"/>
    <w:rsid w:val="00DC28A8"/>
    <w:rsid w:val="00F25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EB63"/>
  <w15:chartTrackingRefBased/>
  <w15:docId w15:val="{DC06AC85-29B3-42E1-95C0-8DF29D0AB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9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09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9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9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9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9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9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9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9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9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09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9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9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9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98C"/>
    <w:rPr>
      <w:rFonts w:eastAsiaTheme="majorEastAsia" w:cstheme="majorBidi"/>
      <w:color w:val="272727" w:themeColor="text1" w:themeTint="D8"/>
    </w:rPr>
  </w:style>
  <w:style w:type="paragraph" w:styleId="Title">
    <w:name w:val="Title"/>
    <w:basedOn w:val="Normal"/>
    <w:next w:val="Normal"/>
    <w:link w:val="TitleChar"/>
    <w:uiPriority w:val="10"/>
    <w:qFormat/>
    <w:rsid w:val="000309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9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9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98C"/>
    <w:pPr>
      <w:spacing w:before="160"/>
      <w:jc w:val="center"/>
    </w:pPr>
    <w:rPr>
      <w:i/>
      <w:iCs/>
      <w:color w:val="404040" w:themeColor="text1" w:themeTint="BF"/>
    </w:rPr>
  </w:style>
  <w:style w:type="character" w:customStyle="1" w:styleId="QuoteChar">
    <w:name w:val="Quote Char"/>
    <w:basedOn w:val="DefaultParagraphFont"/>
    <w:link w:val="Quote"/>
    <w:uiPriority w:val="29"/>
    <w:rsid w:val="0003098C"/>
    <w:rPr>
      <w:i/>
      <w:iCs/>
      <w:color w:val="404040" w:themeColor="text1" w:themeTint="BF"/>
    </w:rPr>
  </w:style>
  <w:style w:type="paragraph" w:styleId="ListParagraph">
    <w:name w:val="List Paragraph"/>
    <w:basedOn w:val="Normal"/>
    <w:uiPriority w:val="34"/>
    <w:qFormat/>
    <w:rsid w:val="0003098C"/>
    <w:pPr>
      <w:ind w:left="720"/>
      <w:contextualSpacing/>
    </w:pPr>
  </w:style>
  <w:style w:type="character" w:styleId="IntenseEmphasis">
    <w:name w:val="Intense Emphasis"/>
    <w:basedOn w:val="DefaultParagraphFont"/>
    <w:uiPriority w:val="21"/>
    <w:qFormat/>
    <w:rsid w:val="0003098C"/>
    <w:rPr>
      <w:i/>
      <w:iCs/>
      <w:color w:val="0F4761" w:themeColor="accent1" w:themeShade="BF"/>
    </w:rPr>
  </w:style>
  <w:style w:type="paragraph" w:styleId="IntenseQuote">
    <w:name w:val="Intense Quote"/>
    <w:basedOn w:val="Normal"/>
    <w:next w:val="Normal"/>
    <w:link w:val="IntenseQuoteChar"/>
    <w:uiPriority w:val="30"/>
    <w:qFormat/>
    <w:rsid w:val="00030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98C"/>
    <w:rPr>
      <w:i/>
      <w:iCs/>
      <w:color w:val="0F4761" w:themeColor="accent1" w:themeShade="BF"/>
    </w:rPr>
  </w:style>
  <w:style w:type="character" w:styleId="IntenseReference">
    <w:name w:val="Intense Reference"/>
    <w:basedOn w:val="DefaultParagraphFont"/>
    <w:uiPriority w:val="32"/>
    <w:qFormat/>
    <w:rsid w:val="0003098C"/>
    <w:rPr>
      <w:b/>
      <w:bCs/>
      <w:smallCaps/>
      <w:color w:val="0F4761" w:themeColor="accent1" w:themeShade="BF"/>
      <w:spacing w:val="5"/>
    </w:rPr>
  </w:style>
  <w:style w:type="character" w:styleId="Hyperlink">
    <w:name w:val="Hyperlink"/>
    <w:basedOn w:val="DefaultParagraphFont"/>
    <w:uiPriority w:val="99"/>
    <w:unhideWhenUsed/>
    <w:rsid w:val="006E27A7"/>
    <w:rPr>
      <w:color w:val="467886" w:themeColor="hyperlink"/>
      <w:u w:val="single"/>
    </w:rPr>
  </w:style>
  <w:style w:type="character" w:styleId="UnresolvedMention">
    <w:name w:val="Unresolved Mention"/>
    <w:basedOn w:val="DefaultParagraphFont"/>
    <w:uiPriority w:val="99"/>
    <w:semiHidden/>
    <w:unhideWhenUsed/>
    <w:rsid w:val="006E27A7"/>
    <w:rPr>
      <w:color w:val="605E5C"/>
      <w:shd w:val="clear" w:color="auto" w:fill="E1DFDD"/>
    </w:rPr>
  </w:style>
  <w:style w:type="paragraph" w:styleId="Header">
    <w:name w:val="header"/>
    <w:basedOn w:val="Normal"/>
    <w:link w:val="HeaderChar"/>
    <w:uiPriority w:val="99"/>
    <w:unhideWhenUsed/>
    <w:rsid w:val="006F7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503"/>
  </w:style>
  <w:style w:type="paragraph" w:styleId="Footer">
    <w:name w:val="footer"/>
    <w:basedOn w:val="Normal"/>
    <w:link w:val="FooterChar"/>
    <w:uiPriority w:val="99"/>
    <w:unhideWhenUsed/>
    <w:rsid w:val="006F7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503"/>
  </w:style>
  <w:style w:type="paragraph" w:styleId="NoSpacing">
    <w:name w:val="No Spacing"/>
    <w:link w:val="NoSpacingChar"/>
    <w:uiPriority w:val="1"/>
    <w:qFormat/>
    <w:rsid w:val="006F750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750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540-6520.2010.00370.x" TargetMode="External"/><Relationship Id="rId3" Type="http://schemas.openxmlformats.org/officeDocument/2006/relationships/settings" Target="settings.xml"/><Relationship Id="rId7" Type="http://schemas.openxmlformats.org/officeDocument/2006/relationships/hyperlink" Target="https://doi.org/10.1111/j.1540-6520.2010.00430.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TotalTime>
  <Pages>19</Pages>
  <Words>3149</Words>
  <Characters>17951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Student name: Ionel Zamfir</Company>
  <LinksUpToDate>false</LinksUpToDate>
  <CharactersWithSpaces>21058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GRENGREN Renewable Energy Startup</dc:title>
  <dc:subject>Assignment 1</dc:subject>
  <dc:creator>Mirabela Voican (1907947)</dc:creator>
  <cp:keywords/>
  <dc:description/>
  <cp:lastModifiedBy>Mirabela Voican (1907947)</cp:lastModifiedBy>
  <cp:revision>1</cp:revision>
  <dcterms:created xsi:type="dcterms:W3CDTF">2025-03-09T12:07:00Z</dcterms:created>
  <dcterms:modified xsi:type="dcterms:W3CDTF">2025-03-09T16:12:00Z</dcterms:modified>
  <cp:category>Sustainable Enterprise/ Social Enterprise Management</cp:category>
</cp:coreProperties>
</file>