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C4777E" w14:textId="62C911BA" w:rsidR="00ED121C" w:rsidRDefault="00B71D04" w:rsidP="005B66E5">
      <w:pPr>
        <w:jc w:val="center"/>
        <w:rPr>
          <w:b/>
          <w:bCs/>
          <w:sz w:val="40"/>
          <w:szCs w:val="40"/>
          <w:shd w:val="clear" w:color="auto" w:fill="FFFFFF"/>
        </w:rPr>
      </w:pPr>
      <w:r w:rsidRPr="00E05C73">
        <w:rPr>
          <w:b/>
          <w:bCs/>
          <w:sz w:val="40"/>
          <w:szCs w:val="40"/>
          <w:shd w:val="clear" w:color="auto" w:fill="FFFFFF"/>
        </w:rPr>
        <w:t>Accounting Fundamentals</w:t>
      </w:r>
      <w:r w:rsidR="005B66E5">
        <w:rPr>
          <w:b/>
          <w:bCs/>
          <w:sz w:val="40"/>
          <w:szCs w:val="40"/>
          <w:shd w:val="clear" w:color="auto" w:fill="FFFFFF"/>
        </w:rPr>
        <w:t xml:space="preserve"> (LCBB4001</w:t>
      </w:r>
      <w:r w:rsidR="00D846A1">
        <w:rPr>
          <w:b/>
          <w:bCs/>
          <w:sz w:val="40"/>
          <w:szCs w:val="40"/>
          <w:shd w:val="clear" w:color="auto" w:fill="FFFFFF"/>
        </w:rPr>
        <w:t>)</w:t>
      </w:r>
    </w:p>
    <w:p w14:paraId="54FC1A2B" w14:textId="7E67C780" w:rsidR="00E05C73" w:rsidRDefault="00B71D04" w:rsidP="00E05C73">
      <w:pPr>
        <w:jc w:val="center"/>
        <w:rPr>
          <w:b/>
          <w:bCs/>
          <w:sz w:val="40"/>
          <w:szCs w:val="40"/>
          <w:shd w:val="clear" w:color="auto" w:fill="FFFFFF"/>
        </w:rPr>
      </w:pPr>
      <w:r>
        <w:rPr>
          <w:b/>
          <w:bCs/>
          <w:sz w:val="40"/>
          <w:szCs w:val="40"/>
          <w:shd w:val="clear" w:color="auto" w:fill="FFFFFF"/>
        </w:rPr>
        <w:t>Student name:</w:t>
      </w:r>
      <w:r w:rsidR="00D846A1">
        <w:rPr>
          <w:b/>
          <w:bCs/>
          <w:sz w:val="40"/>
          <w:szCs w:val="40"/>
          <w:shd w:val="clear" w:color="auto" w:fill="FFFFFF"/>
        </w:rPr>
        <w:t xml:space="preserve"> Stela Zacon</w:t>
      </w:r>
    </w:p>
    <w:p w14:paraId="41BA606D" w14:textId="1BCD9DE6" w:rsidR="00E05C73" w:rsidRDefault="00B71D04" w:rsidP="00E05C73">
      <w:pPr>
        <w:jc w:val="center"/>
        <w:rPr>
          <w:b/>
          <w:bCs/>
          <w:sz w:val="40"/>
          <w:szCs w:val="40"/>
          <w:shd w:val="clear" w:color="auto" w:fill="FFFFFF"/>
        </w:rPr>
      </w:pPr>
      <w:r>
        <w:rPr>
          <w:b/>
          <w:bCs/>
          <w:sz w:val="40"/>
          <w:szCs w:val="40"/>
          <w:shd w:val="clear" w:color="auto" w:fill="FFFFFF"/>
        </w:rPr>
        <w:t>Student ID:</w:t>
      </w:r>
      <w:r w:rsidR="00D846A1">
        <w:rPr>
          <w:b/>
          <w:bCs/>
          <w:sz w:val="40"/>
          <w:szCs w:val="40"/>
          <w:shd w:val="clear" w:color="auto" w:fill="FFFFFF"/>
        </w:rPr>
        <w:t>2118130</w:t>
      </w:r>
    </w:p>
    <w:p w14:paraId="45728DEB" w14:textId="56BB4B55" w:rsidR="00ED44DE" w:rsidRDefault="00ED44DE">
      <w:pPr>
        <w:spacing w:line="259" w:lineRule="auto"/>
        <w:jc w:val="left"/>
        <w:rPr>
          <w:b/>
          <w:bCs/>
          <w:sz w:val="40"/>
          <w:szCs w:val="40"/>
          <w:shd w:val="clear" w:color="auto" w:fill="FFFFFF"/>
        </w:rPr>
      </w:pPr>
      <w:r>
        <w:rPr>
          <w:b/>
          <w:bCs/>
          <w:sz w:val="40"/>
          <w:szCs w:val="40"/>
          <w:shd w:val="clear" w:color="auto" w:fill="FFFFFF"/>
        </w:rPr>
        <w:br w:type="page"/>
      </w:r>
    </w:p>
    <w:sdt>
      <w:sdtPr>
        <w:rPr>
          <w:rFonts w:ascii="Times New Roman" w:eastAsiaTheme="minorHAnsi" w:hAnsi="Times New Roman" w:cstheme="minorBidi"/>
          <w:color w:val="auto"/>
          <w:sz w:val="24"/>
          <w:szCs w:val="22"/>
          <w:lang w:val="en-GB"/>
        </w:rPr>
        <w:id w:val="-74598515"/>
        <w:docPartObj>
          <w:docPartGallery w:val="Table of Contents"/>
          <w:docPartUnique/>
        </w:docPartObj>
      </w:sdtPr>
      <w:sdtEndPr>
        <w:rPr>
          <w:b/>
          <w:bCs/>
          <w:noProof/>
        </w:rPr>
      </w:sdtEndPr>
      <w:sdtContent>
        <w:p w14:paraId="3AEC36A3" w14:textId="1E56AA12" w:rsidR="00ED44DE" w:rsidRDefault="00ED44DE">
          <w:pPr>
            <w:pStyle w:val="TOCHeading"/>
          </w:pPr>
          <w:r>
            <w:t>Table of Contents</w:t>
          </w:r>
        </w:p>
        <w:p w14:paraId="072E2342" w14:textId="60286265" w:rsidR="00ED44DE" w:rsidRDefault="00ED44DE">
          <w:pPr>
            <w:pStyle w:val="TOC1"/>
            <w:tabs>
              <w:tab w:val="right" w:leader="dot" w:pos="9350"/>
            </w:tabs>
            <w:rPr>
              <w:noProof/>
            </w:rPr>
          </w:pPr>
          <w:r>
            <w:fldChar w:fldCharType="begin"/>
          </w:r>
          <w:r>
            <w:instrText xml:space="preserve"> TOC \o "1-3" \h \z \u </w:instrText>
          </w:r>
          <w:r>
            <w:fldChar w:fldCharType="separate"/>
          </w:r>
          <w:hyperlink w:anchor="_Toc153200952" w:history="1">
            <w:r w:rsidRPr="00750019">
              <w:rPr>
                <w:rStyle w:val="Hyperlink"/>
                <w:noProof/>
                <w:lang w:val="en-US"/>
              </w:rPr>
              <w:t>Introduction</w:t>
            </w:r>
            <w:r>
              <w:rPr>
                <w:noProof/>
                <w:webHidden/>
              </w:rPr>
              <w:tab/>
            </w:r>
            <w:r>
              <w:rPr>
                <w:noProof/>
                <w:webHidden/>
              </w:rPr>
              <w:fldChar w:fldCharType="begin"/>
            </w:r>
            <w:r>
              <w:rPr>
                <w:noProof/>
                <w:webHidden/>
              </w:rPr>
              <w:instrText xml:space="preserve"> PAGEREF _Toc153200952 \h </w:instrText>
            </w:r>
            <w:r>
              <w:rPr>
                <w:noProof/>
                <w:webHidden/>
              </w:rPr>
            </w:r>
            <w:r>
              <w:rPr>
                <w:noProof/>
                <w:webHidden/>
              </w:rPr>
              <w:fldChar w:fldCharType="separate"/>
            </w:r>
            <w:r>
              <w:rPr>
                <w:noProof/>
                <w:webHidden/>
              </w:rPr>
              <w:t>3</w:t>
            </w:r>
            <w:r>
              <w:rPr>
                <w:noProof/>
                <w:webHidden/>
              </w:rPr>
              <w:fldChar w:fldCharType="end"/>
            </w:r>
          </w:hyperlink>
        </w:p>
        <w:p w14:paraId="100B54C0" w14:textId="6ED53133" w:rsidR="00ED44DE" w:rsidRDefault="00B71D04">
          <w:pPr>
            <w:pStyle w:val="TOC1"/>
            <w:tabs>
              <w:tab w:val="right" w:leader="dot" w:pos="9350"/>
            </w:tabs>
            <w:rPr>
              <w:noProof/>
            </w:rPr>
          </w:pPr>
          <w:hyperlink w:anchor="_Toc153200953" w:history="1">
            <w:r w:rsidR="00ED44DE" w:rsidRPr="00750019">
              <w:rPr>
                <w:rStyle w:val="Hyperlink"/>
                <w:noProof/>
              </w:rPr>
              <w:t>QUESTION 1</w:t>
            </w:r>
            <w:r w:rsidR="00ED44DE">
              <w:rPr>
                <w:noProof/>
                <w:webHidden/>
              </w:rPr>
              <w:tab/>
            </w:r>
            <w:r w:rsidR="00ED44DE">
              <w:rPr>
                <w:noProof/>
                <w:webHidden/>
              </w:rPr>
              <w:fldChar w:fldCharType="begin"/>
            </w:r>
            <w:r w:rsidR="00ED44DE">
              <w:rPr>
                <w:noProof/>
                <w:webHidden/>
              </w:rPr>
              <w:instrText xml:space="preserve"> PAGEREF _Toc153200953 \h </w:instrText>
            </w:r>
            <w:r w:rsidR="00ED44DE">
              <w:rPr>
                <w:noProof/>
                <w:webHidden/>
              </w:rPr>
            </w:r>
            <w:r w:rsidR="00ED44DE">
              <w:rPr>
                <w:noProof/>
                <w:webHidden/>
              </w:rPr>
              <w:fldChar w:fldCharType="separate"/>
            </w:r>
            <w:r w:rsidR="00ED44DE">
              <w:rPr>
                <w:noProof/>
                <w:webHidden/>
              </w:rPr>
              <w:t>4</w:t>
            </w:r>
            <w:r w:rsidR="00ED44DE">
              <w:rPr>
                <w:noProof/>
                <w:webHidden/>
              </w:rPr>
              <w:fldChar w:fldCharType="end"/>
            </w:r>
          </w:hyperlink>
        </w:p>
        <w:p w14:paraId="1DBEFEF4" w14:textId="718CA408" w:rsidR="00ED44DE" w:rsidRDefault="00B71D04">
          <w:pPr>
            <w:pStyle w:val="TOC1"/>
            <w:tabs>
              <w:tab w:val="right" w:leader="dot" w:pos="9350"/>
            </w:tabs>
            <w:rPr>
              <w:noProof/>
            </w:rPr>
          </w:pPr>
          <w:hyperlink w:anchor="_Toc153200954" w:history="1">
            <w:r w:rsidR="00ED44DE" w:rsidRPr="00750019">
              <w:rPr>
                <w:rStyle w:val="Hyperlink"/>
                <w:noProof/>
              </w:rPr>
              <w:t>QUESTION 2</w:t>
            </w:r>
            <w:r w:rsidR="00ED44DE">
              <w:rPr>
                <w:noProof/>
                <w:webHidden/>
              </w:rPr>
              <w:tab/>
            </w:r>
            <w:r w:rsidR="00ED44DE">
              <w:rPr>
                <w:noProof/>
                <w:webHidden/>
              </w:rPr>
              <w:fldChar w:fldCharType="begin"/>
            </w:r>
            <w:r w:rsidR="00ED44DE">
              <w:rPr>
                <w:noProof/>
                <w:webHidden/>
              </w:rPr>
              <w:instrText xml:space="preserve"> PAGEREF _Toc153200954 \h </w:instrText>
            </w:r>
            <w:r w:rsidR="00ED44DE">
              <w:rPr>
                <w:noProof/>
                <w:webHidden/>
              </w:rPr>
            </w:r>
            <w:r w:rsidR="00ED44DE">
              <w:rPr>
                <w:noProof/>
                <w:webHidden/>
              </w:rPr>
              <w:fldChar w:fldCharType="separate"/>
            </w:r>
            <w:r w:rsidR="00ED44DE">
              <w:rPr>
                <w:noProof/>
                <w:webHidden/>
              </w:rPr>
              <w:t>7</w:t>
            </w:r>
            <w:r w:rsidR="00ED44DE">
              <w:rPr>
                <w:noProof/>
                <w:webHidden/>
              </w:rPr>
              <w:fldChar w:fldCharType="end"/>
            </w:r>
          </w:hyperlink>
        </w:p>
        <w:p w14:paraId="434788C5" w14:textId="1EFCB38B" w:rsidR="00ED44DE" w:rsidRDefault="00B71D04">
          <w:pPr>
            <w:pStyle w:val="TOC1"/>
            <w:tabs>
              <w:tab w:val="right" w:leader="dot" w:pos="9350"/>
            </w:tabs>
            <w:rPr>
              <w:noProof/>
            </w:rPr>
          </w:pPr>
          <w:hyperlink w:anchor="_Toc153200955" w:history="1">
            <w:r w:rsidR="00ED44DE" w:rsidRPr="00750019">
              <w:rPr>
                <w:rStyle w:val="Hyperlink"/>
                <w:noProof/>
              </w:rPr>
              <w:t>QUESTION 3</w:t>
            </w:r>
            <w:r w:rsidR="00ED44DE">
              <w:rPr>
                <w:noProof/>
                <w:webHidden/>
              </w:rPr>
              <w:tab/>
            </w:r>
            <w:r w:rsidR="00ED44DE">
              <w:rPr>
                <w:noProof/>
                <w:webHidden/>
              </w:rPr>
              <w:fldChar w:fldCharType="begin"/>
            </w:r>
            <w:r w:rsidR="00ED44DE">
              <w:rPr>
                <w:noProof/>
                <w:webHidden/>
              </w:rPr>
              <w:instrText xml:space="preserve"> PAGEREF _Toc153200955 \h </w:instrText>
            </w:r>
            <w:r w:rsidR="00ED44DE">
              <w:rPr>
                <w:noProof/>
                <w:webHidden/>
              </w:rPr>
            </w:r>
            <w:r w:rsidR="00ED44DE">
              <w:rPr>
                <w:noProof/>
                <w:webHidden/>
              </w:rPr>
              <w:fldChar w:fldCharType="separate"/>
            </w:r>
            <w:r w:rsidR="00ED44DE">
              <w:rPr>
                <w:noProof/>
                <w:webHidden/>
              </w:rPr>
              <w:t>8</w:t>
            </w:r>
            <w:r w:rsidR="00ED44DE">
              <w:rPr>
                <w:noProof/>
                <w:webHidden/>
              </w:rPr>
              <w:fldChar w:fldCharType="end"/>
            </w:r>
          </w:hyperlink>
        </w:p>
        <w:p w14:paraId="2A56B4E6" w14:textId="6EABEB6C" w:rsidR="00ED44DE" w:rsidRDefault="00B71D04">
          <w:pPr>
            <w:pStyle w:val="TOC1"/>
            <w:tabs>
              <w:tab w:val="right" w:leader="dot" w:pos="9350"/>
            </w:tabs>
            <w:rPr>
              <w:noProof/>
            </w:rPr>
          </w:pPr>
          <w:hyperlink w:anchor="_Toc153200956" w:history="1">
            <w:r w:rsidR="00ED44DE" w:rsidRPr="00750019">
              <w:rPr>
                <w:rStyle w:val="Hyperlink"/>
                <w:noProof/>
              </w:rPr>
              <w:t>Conclusion</w:t>
            </w:r>
            <w:r w:rsidR="00ED44DE">
              <w:rPr>
                <w:noProof/>
                <w:webHidden/>
              </w:rPr>
              <w:tab/>
            </w:r>
            <w:r w:rsidR="00ED44DE">
              <w:rPr>
                <w:noProof/>
                <w:webHidden/>
              </w:rPr>
              <w:fldChar w:fldCharType="begin"/>
            </w:r>
            <w:r w:rsidR="00ED44DE">
              <w:rPr>
                <w:noProof/>
                <w:webHidden/>
              </w:rPr>
              <w:instrText xml:space="preserve"> PAGEREF _Toc153200956 \h </w:instrText>
            </w:r>
            <w:r w:rsidR="00ED44DE">
              <w:rPr>
                <w:noProof/>
                <w:webHidden/>
              </w:rPr>
            </w:r>
            <w:r w:rsidR="00ED44DE">
              <w:rPr>
                <w:noProof/>
                <w:webHidden/>
              </w:rPr>
              <w:fldChar w:fldCharType="separate"/>
            </w:r>
            <w:r w:rsidR="00ED44DE">
              <w:rPr>
                <w:noProof/>
                <w:webHidden/>
              </w:rPr>
              <w:t>16</w:t>
            </w:r>
            <w:r w:rsidR="00ED44DE">
              <w:rPr>
                <w:noProof/>
                <w:webHidden/>
              </w:rPr>
              <w:fldChar w:fldCharType="end"/>
            </w:r>
          </w:hyperlink>
        </w:p>
        <w:p w14:paraId="5B66B265" w14:textId="4737FDA8" w:rsidR="00ED44DE" w:rsidRDefault="00B71D04">
          <w:pPr>
            <w:pStyle w:val="TOC1"/>
            <w:tabs>
              <w:tab w:val="right" w:leader="dot" w:pos="9350"/>
            </w:tabs>
            <w:rPr>
              <w:noProof/>
            </w:rPr>
          </w:pPr>
          <w:hyperlink w:anchor="_Toc153200957" w:history="1">
            <w:r w:rsidR="00ED44DE" w:rsidRPr="00750019">
              <w:rPr>
                <w:rStyle w:val="Hyperlink"/>
                <w:noProof/>
              </w:rPr>
              <w:t>References</w:t>
            </w:r>
            <w:r w:rsidR="00ED44DE">
              <w:rPr>
                <w:noProof/>
                <w:webHidden/>
              </w:rPr>
              <w:tab/>
            </w:r>
            <w:r w:rsidR="00ED44DE">
              <w:rPr>
                <w:noProof/>
                <w:webHidden/>
              </w:rPr>
              <w:fldChar w:fldCharType="begin"/>
            </w:r>
            <w:r w:rsidR="00ED44DE">
              <w:rPr>
                <w:noProof/>
                <w:webHidden/>
              </w:rPr>
              <w:instrText xml:space="preserve"> PAGEREF _Toc153200957 \h </w:instrText>
            </w:r>
            <w:r w:rsidR="00ED44DE">
              <w:rPr>
                <w:noProof/>
                <w:webHidden/>
              </w:rPr>
            </w:r>
            <w:r w:rsidR="00ED44DE">
              <w:rPr>
                <w:noProof/>
                <w:webHidden/>
              </w:rPr>
              <w:fldChar w:fldCharType="separate"/>
            </w:r>
            <w:r w:rsidR="00ED44DE">
              <w:rPr>
                <w:noProof/>
                <w:webHidden/>
              </w:rPr>
              <w:t>17</w:t>
            </w:r>
            <w:r w:rsidR="00ED44DE">
              <w:rPr>
                <w:noProof/>
                <w:webHidden/>
              </w:rPr>
              <w:fldChar w:fldCharType="end"/>
            </w:r>
          </w:hyperlink>
        </w:p>
        <w:p w14:paraId="12F8F0BF" w14:textId="4A0AE096" w:rsidR="00ED44DE" w:rsidRDefault="00ED44DE">
          <w:r>
            <w:rPr>
              <w:b/>
              <w:bCs/>
              <w:noProof/>
            </w:rPr>
            <w:fldChar w:fldCharType="end"/>
          </w:r>
        </w:p>
      </w:sdtContent>
    </w:sdt>
    <w:p w14:paraId="6A45E959" w14:textId="77777777" w:rsidR="00ED44DE" w:rsidRDefault="00ED44DE" w:rsidP="00ED44DE">
      <w:pPr>
        <w:rPr>
          <w:shd w:val="clear" w:color="auto" w:fill="FFFFFF"/>
        </w:rPr>
      </w:pPr>
    </w:p>
    <w:p w14:paraId="52E347B0" w14:textId="77777777" w:rsidR="00E05C73" w:rsidRDefault="00B71D04">
      <w:pPr>
        <w:spacing w:line="259" w:lineRule="auto"/>
        <w:jc w:val="left"/>
        <w:rPr>
          <w:b/>
          <w:bCs/>
          <w:sz w:val="40"/>
          <w:szCs w:val="40"/>
          <w:shd w:val="clear" w:color="auto" w:fill="FFFFFF"/>
        </w:rPr>
      </w:pPr>
      <w:r>
        <w:rPr>
          <w:b/>
          <w:bCs/>
          <w:sz w:val="40"/>
          <w:szCs w:val="40"/>
          <w:shd w:val="clear" w:color="auto" w:fill="FFFFFF"/>
        </w:rPr>
        <w:br w:type="page"/>
      </w:r>
    </w:p>
    <w:p w14:paraId="57FA7ED2" w14:textId="7CB7E778" w:rsidR="008A344E" w:rsidRDefault="00B71D04" w:rsidP="008A344E">
      <w:pPr>
        <w:pStyle w:val="Heading1"/>
        <w:rPr>
          <w:lang w:val="en-US"/>
        </w:rPr>
      </w:pPr>
      <w:bookmarkStart w:id="0" w:name="_Toc152264390"/>
      <w:bookmarkStart w:id="1" w:name="_Toc153200952"/>
      <w:r>
        <w:rPr>
          <w:lang w:val="en-US"/>
        </w:rPr>
        <w:lastRenderedPageBreak/>
        <w:t>Introductio</w:t>
      </w:r>
      <w:bookmarkEnd w:id="0"/>
      <w:bookmarkEnd w:id="1"/>
      <w:r w:rsidR="00E0122A">
        <w:rPr>
          <w:lang w:val="en-US"/>
        </w:rPr>
        <w:t xml:space="preserve">n </w:t>
      </w:r>
    </w:p>
    <w:p w14:paraId="6913D112" w14:textId="6F1AD104" w:rsidR="00035E4A" w:rsidRDefault="00B71D04" w:rsidP="005835C7">
      <w:pPr>
        <w:rPr>
          <w:shd w:val="clear" w:color="auto" w:fill="FFFFFF"/>
        </w:rPr>
      </w:pPr>
      <w:r>
        <w:rPr>
          <w:shd w:val="clear" w:color="auto" w:fill="FFFFFF"/>
        </w:rPr>
        <w:t>The actual concept of accounting fundamentals mainly involves the specific concepts and principles which is used by a business entity in order to record</w:t>
      </w:r>
      <w:r w:rsidR="004D242D">
        <w:rPr>
          <w:shd w:val="clear" w:color="auto" w:fill="FFFFFF"/>
        </w:rPr>
        <w:t>,</w:t>
      </w:r>
      <w:r>
        <w:rPr>
          <w:shd w:val="clear" w:color="auto" w:fill="FFFFFF"/>
        </w:rPr>
        <w:t xml:space="preserve"> interpret as well and classify its financial transactions.</w:t>
      </w:r>
      <w:r w:rsidR="0044789C">
        <w:rPr>
          <w:shd w:val="clear" w:color="auto" w:fill="FFFFFF"/>
        </w:rPr>
        <w:t xml:space="preserve"> Therefore a business entity is able to track their income and expenses which happens within their business at the time of operating their business activities as well as the accurate statement of final position of their assets and liabilities. It helps in providing effective insight into the inertial health of the company on the basis of which they can make different types of decisions.</w:t>
      </w:r>
      <w:r w:rsidR="00C6153D">
        <w:rPr>
          <w:shd w:val="clear" w:color="auto" w:fill="FFFFFF"/>
        </w:rPr>
        <w:t xml:space="preserve"> Therefore</w:t>
      </w:r>
      <w:r w:rsidR="009D6C42">
        <w:rPr>
          <w:shd w:val="clear" w:color="auto" w:fill="FFFFFF"/>
        </w:rPr>
        <w:t>,</w:t>
      </w:r>
      <w:r w:rsidR="00C6153D">
        <w:rPr>
          <w:shd w:val="clear" w:color="auto" w:fill="FFFFFF"/>
        </w:rPr>
        <w:t xml:space="preserve"> this biller study is going to explain and typically evaluate different types of inversion which are provided on the basis of accounting conversation. Moving ahead it will also develop a critical calculation of income statement for the respective business Wales plc for the year 2022.</w:t>
      </w:r>
      <w:r w:rsidR="00C70C3B">
        <w:rPr>
          <w:shd w:val="clear" w:color="auto" w:fill="FFFFFF"/>
        </w:rPr>
        <w:t xml:space="preserve"> </w:t>
      </w:r>
      <w:r w:rsidR="005D6901">
        <w:rPr>
          <w:shd w:val="clear" w:color="auto" w:fill="FFFFFF"/>
        </w:rPr>
        <w:t xml:space="preserve">It will also highlight the </w:t>
      </w:r>
      <w:r w:rsidR="00AA02EF">
        <w:rPr>
          <w:shd w:val="clear" w:color="auto" w:fill="FFFFFF"/>
        </w:rPr>
        <w:t xml:space="preserve">calculations </w:t>
      </w:r>
      <w:r w:rsidR="00773968">
        <w:rPr>
          <w:shd w:val="clear" w:color="auto" w:fill="FFFFFF"/>
        </w:rPr>
        <w:t xml:space="preserve">of the </w:t>
      </w:r>
      <w:r w:rsidR="00C67A76">
        <w:rPr>
          <w:shd w:val="clear" w:color="auto" w:fill="FFFFFF"/>
        </w:rPr>
        <w:t xml:space="preserve">ratio analysis for </w:t>
      </w:r>
      <w:r w:rsidR="00767A5A">
        <w:t>Sweets plc</w:t>
      </w:r>
      <w:r w:rsidR="008C5931">
        <w:t xml:space="preserve"> for the accounting year </w:t>
      </w:r>
      <w:r w:rsidR="00A21946">
        <w:t>2022 and 2021</w:t>
      </w:r>
      <w:r w:rsidR="00F73263">
        <w:t xml:space="preserve"> respectively.</w:t>
      </w:r>
      <w:r>
        <w:rPr>
          <w:shd w:val="clear" w:color="auto" w:fill="FFFFFF"/>
        </w:rPr>
        <w:br w:type="page"/>
      </w:r>
    </w:p>
    <w:p w14:paraId="5D4EB257" w14:textId="2B8FCA2C" w:rsidR="00E05C73" w:rsidRDefault="00B71D04" w:rsidP="00566AB7">
      <w:pPr>
        <w:pStyle w:val="Heading1"/>
      </w:pPr>
      <w:bookmarkStart w:id="2" w:name="_Toc153200953"/>
      <w:r>
        <w:lastRenderedPageBreak/>
        <w:t>QUESTION 1</w:t>
      </w:r>
      <w:bookmarkEnd w:id="2"/>
    </w:p>
    <w:p w14:paraId="372E9D65" w14:textId="77777777" w:rsidR="00902A3F" w:rsidRPr="00DA2756" w:rsidRDefault="00B71D04" w:rsidP="0022264A">
      <w:pPr>
        <w:rPr>
          <w:b/>
          <w:bCs/>
          <w:i/>
          <w:iCs/>
          <w:u w:val="single"/>
        </w:rPr>
      </w:pPr>
      <w:r w:rsidRPr="00DA2756">
        <w:rPr>
          <w:b/>
          <w:bCs/>
          <w:i/>
          <w:iCs/>
          <w:u w:val="single"/>
        </w:rPr>
        <w:t xml:space="preserve">1. </w:t>
      </w:r>
      <w:r w:rsidR="007B2ACD" w:rsidRPr="00DA2756">
        <w:rPr>
          <w:b/>
          <w:bCs/>
          <w:i/>
          <w:iCs/>
          <w:u w:val="single"/>
        </w:rPr>
        <w:t>Commenting on the first statemen</w:t>
      </w:r>
      <w:r w:rsidRPr="00DA2756">
        <w:rPr>
          <w:b/>
          <w:bCs/>
          <w:i/>
          <w:iCs/>
          <w:u w:val="single"/>
        </w:rPr>
        <w:t>t:</w:t>
      </w:r>
    </w:p>
    <w:p w14:paraId="5E2F5C51" w14:textId="3085D2BF" w:rsidR="008F11A0" w:rsidRPr="00F2216C" w:rsidRDefault="00B71D04" w:rsidP="0022264A">
      <w:pPr>
        <w:rPr>
          <w:lang w:val="en-US"/>
        </w:rPr>
      </w:pPr>
      <w:r>
        <w:rPr>
          <w:lang w:val="en-US"/>
        </w:rPr>
        <w:t>The particular statement of financial condition is mainly referred to as a balance sheet which can be understood by a business at the end of the year and mainly portrays the actual position of monetary of a business for a specific</w:t>
      </w:r>
      <w:sdt>
        <w:sdtPr>
          <w:rPr>
            <w:lang w:val="en-US"/>
          </w:rPr>
          <w:id w:val="-433671467"/>
          <w:citation/>
        </w:sdtPr>
        <w:sdtEndPr/>
        <w:sdtContent>
          <w:r w:rsidR="00764764">
            <w:rPr>
              <w:lang w:val="en-US"/>
            </w:rPr>
            <w:fldChar w:fldCharType="begin"/>
          </w:r>
          <w:r w:rsidR="00764764">
            <w:rPr>
              <w:lang w:val="en-US"/>
            </w:rPr>
            <w:instrText xml:space="preserve"> CITATION acc2388 \l 1033 </w:instrText>
          </w:r>
          <w:r w:rsidR="00764764">
            <w:rPr>
              <w:lang w:val="en-US"/>
            </w:rPr>
            <w:fldChar w:fldCharType="separate"/>
          </w:r>
          <w:r w:rsidR="00764764">
            <w:rPr>
              <w:noProof/>
              <w:lang w:val="en-US"/>
            </w:rPr>
            <w:t xml:space="preserve"> </w:t>
          </w:r>
          <w:r w:rsidR="00764764" w:rsidRPr="00764764">
            <w:rPr>
              <w:noProof/>
              <w:lang w:val="en-US"/>
            </w:rPr>
            <w:t>(accountingtools, 2023)</w:t>
          </w:r>
          <w:r w:rsidR="00764764">
            <w:rPr>
              <w:lang w:val="en-US"/>
            </w:rPr>
            <w:fldChar w:fldCharType="end"/>
          </w:r>
        </w:sdtContent>
      </w:sdt>
      <w:r>
        <w:rPr>
          <w:lang w:val="en-US"/>
        </w:rPr>
        <w:t>. It does</w:t>
      </w:r>
      <w:r w:rsidR="006F6CF7">
        <w:rPr>
          <w:lang w:val="en-US"/>
        </w:rPr>
        <w:t xml:space="preserve"> not</w:t>
      </w:r>
      <w:r>
        <w:rPr>
          <w:lang w:val="en-US"/>
        </w:rPr>
        <w:t xml:space="preserve"> show the position for the period of cash flow. It also highlights the equity, assets as well and liabilities of a company by providing the quickest snapshot regarding their ownership condition, resource usage and obligations</w:t>
      </w:r>
      <w:r w:rsidR="00D74640">
        <w:rPr>
          <w:lang w:val="en-US"/>
        </w:rPr>
        <w:t>.</w:t>
      </w:r>
      <w:r w:rsidR="00955497">
        <w:rPr>
          <w:lang w:val="en-US"/>
        </w:rPr>
        <w:t xml:space="preserve"> However, it does not forecast the moment of cash or any kind of cash flow details. In order to track the in and out flows of money within the business it is necessary for an entity to use the statement of cash flow which shows the investing, operational as well as financial activity.</w:t>
      </w:r>
    </w:p>
    <w:p w14:paraId="59F575C7" w14:textId="5F1892E6" w:rsidR="008F11A0" w:rsidRPr="00DA2756" w:rsidRDefault="00B71D04" w:rsidP="008F11A0">
      <w:pPr>
        <w:rPr>
          <w:b/>
          <w:bCs/>
          <w:i/>
          <w:iCs/>
          <w:u w:val="single"/>
        </w:rPr>
      </w:pPr>
      <w:r w:rsidRPr="00DA2756">
        <w:rPr>
          <w:b/>
          <w:bCs/>
          <w:i/>
          <w:iCs/>
          <w:u w:val="single"/>
        </w:rPr>
        <w:t>2. Commenting on the first statement:</w:t>
      </w:r>
    </w:p>
    <w:p w14:paraId="73E67B01" w14:textId="6CF796E8" w:rsidR="008F11A0" w:rsidRDefault="00B71D04" w:rsidP="0022264A">
      <w:r>
        <w:t xml:space="preserve">It is not possible for a business to </w:t>
      </w:r>
      <w:r w:rsidR="00A07CEA">
        <w:t xml:space="preserve">move its assets </w:t>
      </w:r>
      <w:r w:rsidR="00B83685">
        <w:t xml:space="preserve">as it offers future worth </w:t>
      </w:r>
      <w:r w:rsidR="00A548B3">
        <w:t xml:space="preserve">for a company beyond </w:t>
      </w:r>
      <w:r w:rsidR="00B52DDD">
        <w:t xml:space="preserve">a single year. </w:t>
      </w:r>
      <w:r w:rsidR="00786D31">
        <w:t>This mainly includes some key tangible assets of a company which involves buildings and machinery, land and properties. There are also some intangible assets which are presented, including goodwill or patents</w:t>
      </w:r>
      <w:sdt>
        <w:sdtPr>
          <w:id w:val="-496492411"/>
          <w:citation/>
        </w:sdtPr>
        <w:sdtEndPr/>
        <w:sdtContent>
          <w:r w:rsidR="002C48CC">
            <w:fldChar w:fldCharType="begin"/>
          </w:r>
          <w:r w:rsidR="002C48CC">
            <w:rPr>
              <w:lang w:val="en-US"/>
            </w:rPr>
            <w:instrText xml:space="preserve"> CITATION Jon213 \l 1033 </w:instrText>
          </w:r>
          <w:r w:rsidR="002C48CC">
            <w:fldChar w:fldCharType="separate"/>
          </w:r>
          <w:r w:rsidR="002C48CC">
            <w:rPr>
              <w:noProof/>
              <w:lang w:val="en-US"/>
            </w:rPr>
            <w:t xml:space="preserve"> </w:t>
          </w:r>
          <w:r w:rsidR="002C48CC" w:rsidRPr="002C48CC">
            <w:rPr>
              <w:noProof/>
              <w:lang w:val="en-US"/>
            </w:rPr>
            <w:t>(Davis, 2021)</w:t>
          </w:r>
          <w:r w:rsidR="002C48CC">
            <w:fldChar w:fldCharType="end"/>
          </w:r>
        </w:sdtContent>
      </w:sdt>
      <w:r w:rsidR="00786D31">
        <w:t xml:space="preserve">. </w:t>
      </w:r>
      <w:r w:rsidR="00D22ED5">
        <w:t xml:space="preserve">On the other hand, there are also some kind of non-kind assets presented which can be moved from place to place including lands buildings machines properties and all. </w:t>
      </w:r>
      <w:r w:rsidR="00161E4D">
        <w:t>All these elements cannot be sold by a company on an immediate basis for which they can contribute to the operations of the business for a long time. Moreover, the tangible assets of a business can be depreciated or capitalized on the basis of their value which impacts the statement of finances of a company representing the investments for the long time.</w:t>
      </w:r>
    </w:p>
    <w:p w14:paraId="6C09BBCA" w14:textId="422CAC66" w:rsidR="008F11A0" w:rsidRPr="00DA2756" w:rsidRDefault="00B71D04" w:rsidP="008F11A0">
      <w:pPr>
        <w:rPr>
          <w:b/>
          <w:bCs/>
          <w:i/>
          <w:iCs/>
          <w:u w:val="single"/>
        </w:rPr>
      </w:pPr>
      <w:r w:rsidRPr="00DA2756">
        <w:rPr>
          <w:b/>
          <w:bCs/>
          <w:i/>
          <w:iCs/>
          <w:u w:val="single"/>
        </w:rPr>
        <w:t>3. Commenting on the first statement:</w:t>
      </w:r>
    </w:p>
    <w:p w14:paraId="69CCDE47" w14:textId="760CB2D7" w:rsidR="008F11A0" w:rsidRDefault="00B71D04" w:rsidP="0022264A">
      <w:r>
        <w:lastRenderedPageBreak/>
        <w:t>The managers of a company play a crucial part in all the shareholders of the business including the current and the past ones.</w:t>
      </w:r>
      <w:r w:rsidR="002B0335">
        <w:t xml:space="preserve"> </w:t>
      </w:r>
      <w:r w:rsidR="00EF755D">
        <w:t>Presenting an accurate statement of finances helps a business to make sure that they are following transparency and accountability in order to foster trust among their shareholders and stakeholders.</w:t>
      </w:r>
      <w:r w:rsidR="007A3582">
        <w:t xml:space="preserve"> </w:t>
      </w:r>
      <w:r w:rsidR="009C64E5">
        <w:t>It also has an attracting investors who check the financial records of a business before investing</w:t>
      </w:r>
      <w:sdt>
        <w:sdtPr>
          <w:id w:val="-210193918"/>
          <w:citation/>
        </w:sdtPr>
        <w:sdtEndPr/>
        <w:sdtContent>
          <w:r w:rsidR="006C4AD5">
            <w:fldChar w:fldCharType="begin"/>
          </w:r>
          <w:r w:rsidR="006C4AD5">
            <w:rPr>
              <w:lang w:val="en-US"/>
            </w:rPr>
            <w:instrText xml:space="preserve"> CITATION ope237 \l 1033 </w:instrText>
          </w:r>
          <w:r w:rsidR="006C4AD5">
            <w:fldChar w:fldCharType="separate"/>
          </w:r>
          <w:r w:rsidR="006C4AD5">
            <w:rPr>
              <w:noProof/>
              <w:lang w:val="en-US"/>
            </w:rPr>
            <w:t xml:space="preserve"> </w:t>
          </w:r>
          <w:r w:rsidR="006C4AD5" w:rsidRPr="006C4AD5">
            <w:rPr>
              <w:noProof/>
              <w:lang w:val="en-US"/>
            </w:rPr>
            <w:t>(openstax, 2023)</w:t>
          </w:r>
          <w:r w:rsidR="006C4AD5">
            <w:fldChar w:fldCharType="end"/>
          </w:r>
        </w:sdtContent>
      </w:sdt>
      <w:r w:rsidR="009C64E5">
        <w:t>. However, changes of the shareholder are normal in order to trade which excludes the actual information regarding current shareholders. Each neglects the actual rights of the potential investors or upcoming investors. Comprehensive as well as timely information helps to form effective decisions which impact the reputation and stock prices of a company. Moreover, transparent disclosure helps a business to show the way they are aligning their business practices by maintaining ethical aspects that help in providing a foster and healthy relationship with their investors for doing investment.</w:t>
      </w:r>
    </w:p>
    <w:p w14:paraId="73783370" w14:textId="676E12BF" w:rsidR="008F11A0" w:rsidRPr="00DA2756" w:rsidRDefault="00B71D04" w:rsidP="008F11A0">
      <w:pPr>
        <w:rPr>
          <w:b/>
          <w:bCs/>
          <w:i/>
          <w:iCs/>
          <w:u w:val="single"/>
        </w:rPr>
      </w:pPr>
      <w:r w:rsidRPr="00DA2756">
        <w:rPr>
          <w:b/>
          <w:bCs/>
          <w:i/>
          <w:iCs/>
          <w:u w:val="single"/>
        </w:rPr>
        <w:t>4. Commenting on the first statement:</w:t>
      </w:r>
    </w:p>
    <w:p w14:paraId="555E6813" w14:textId="7A1AB227" w:rsidR="008F11A0" w:rsidRPr="001F4146" w:rsidRDefault="00B71D04" w:rsidP="0022264A">
      <w:r>
        <w:t xml:space="preserve">The assertion disregarding accruals as well as prepayments on the basis of a statement of finances reflects the inaccurate position of a company. Both the aspects of prepayments and accruals are considered necessary as they reflect the </w:t>
      </w:r>
      <w:r w:rsidR="00CD6991">
        <w:t>monetary activity which has not been recorded.</w:t>
      </w:r>
      <w:r w:rsidR="008125FD">
        <w:t xml:space="preserve"> In this regard the concept of prepayment </w:t>
      </w:r>
      <w:r w:rsidR="00A87C94">
        <w:t xml:space="preserve">highlights </w:t>
      </w:r>
      <w:r w:rsidR="001F4146">
        <w:t>prepaid expenses which have been incurred but not paid yet.</w:t>
      </w:r>
      <w:r w:rsidR="00AF4177">
        <w:t xml:space="preserve"> Both of the elements impact the statement of finances as prepayments impact assets on the other hand accruals impact liabilities</w:t>
      </w:r>
      <w:sdt>
        <w:sdtPr>
          <w:id w:val="-1561481346"/>
          <w:citation/>
        </w:sdtPr>
        <w:sdtEndPr/>
        <w:sdtContent>
          <w:r w:rsidR="00245202">
            <w:fldChar w:fldCharType="begin"/>
          </w:r>
          <w:r w:rsidR="00245202">
            <w:rPr>
              <w:lang w:val="en-US"/>
            </w:rPr>
            <w:instrText xml:space="preserve"> CITATION aat20 \l 1033 </w:instrText>
          </w:r>
          <w:r w:rsidR="00245202">
            <w:fldChar w:fldCharType="separate"/>
          </w:r>
          <w:r w:rsidR="00245202">
            <w:rPr>
              <w:noProof/>
              <w:lang w:val="en-US"/>
            </w:rPr>
            <w:t xml:space="preserve"> </w:t>
          </w:r>
          <w:r w:rsidR="00245202" w:rsidRPr="00245202">
            <w:rPr>
              <w:noProof/>
              <w:lang w:val="en-US"/>
            </w:rPr>
            <w:t>(aatcomment, 2020)</w:t>
          </w:r>
          <w:r w:rsidR="00245202">
            <w:fldChar w:fldCharType="end"/>
          </w:r>
        </w:sdtContent>
      </w:sdt>
      <w:r w:rsidR="00AF4177">
        <w:t>.</w:t>
      </w:r>
      <w:r w:rsidR="00A367D0">
        <w:t xml:space="preserve"> However, if a company omits both of these elements it can mislead the actual financial statement by impacting the liabilities and assets.</w:t>
      </w:r>
    </w:p>
    <w:p w14:paraId="21CB786C" w14:textId="0B61D0C0" w:rsidR="008F11A0" w:rsidRPr="00DA2756" w:rsidRDefault="00B71D04" w:rsidP="008F11A0">
      <w:pPr>
        <w:rPr>
          <w:b/>
          <w:bCs/>
          <w:i/>
          <w:iCs/>
          <w:u w:val="single"/>
        </w:rPr>
      </w:pPr>
      <w:r w:rsidRPr="00DA2756">
        <w:rPr>
          <w:b/>
          <w:bCs/>
          <w:i/>
          <w:iCs/>
          <w:u w:val="single"/>
        </w:rPr>
        <w:t>5. Commenting on the first statement:</w:t>
      </w:r>
    </w:p>
    <w:p w14:paraId="07715F72" w14:textId="04573C10" w:rsidR="008F11A0" w:rsidRPr="006B197A" w:rsidRDefault="00B71D04" w:rsidP="0022264A">
      <w:r>
        <w:lastRenderedPageBreak/>
        <w:t>Regulations within the financial accounts are necessary for a business for a number of reasons it helps in making sure the concept of comparability, accuracy as well and transparency while preparing financial reports as it helps foster trust and a sense of honesty among the stakeholders.</w:t>
      </w:r>
      <w:r w:rsidR="003D2263">
        <w:t xml:space="preserve"> GAAP as well as IFRS </w:t>
      </w:r>
      <w:r w:rsidR="0011287D">
        <w:t xml:space="preserve">produces accounting standards </w:t>
      </w:r>
      <w:r w:rsidR="008F0520">
        <w:t xml:space="preserve">which highlight </w:t>
      </w:r>
      <w:r w:rsidR="00416C5E">
        <w:t xml:space="preserve">uniformity in order to </w:t>
      </w:r>
      <w:r w:rsidR="00F93996">
        <w:t xml:space="preserve">allow investors, </w:t>
      </w:r>
      <w:r w:rsidR="00AF17F1">
        <w:t xml:space="preserve">governments, and creditors </w:t>
      </w:r>
      <w:r w:rsidR="002A0CB5">
        <w:t xml:space="preserve">for the sake of analysing </w:t>
      </w:r>
      <w:r w:rsidR="006B197A">
        <w:t>the business effectively.</w:t>
      </w:r>
      <w:r w:rsidR="006E532B">
        <w:t xml:space="preserve"> However, without maintaining regulation a business can face inconsistency, manipulation or presentation of unreliable data which can harm and prevail the confidence of shareholders and impact the market stability</w:t>
      </w:r>
      <w:sdt>
        <w:sdtPr>
          <w:id w:val="52738616"/>
          <w:citation/>
        </w:sdtPr>
        <w:sdtEndPr/>
        <w:sdtContent>
          <w:r w:rsidR="001A4F1B">
            <w:fldChar w:fldCharType="begin"/>
          </w:r>
          <w:r w:rsidR="001A4F1B">
            <w:rPr>
              <w:lang w:val="en-US"/>
            </w:rPr>
            <w:instrText xml:space="preserve"> CITATION Law23 \l 1033 </w:instrText>
          </w:r>
          <w:r w:rsidR="001A4F1B">
            <w:fldChar w:fldCharType="separate"/>
          </w:r>
          <w:r w:rsidR="001A4F1B">
            <w:rPr>
              <w:noProof/>
              <w:lang w:val="en-US"/>
            </w:rPr>
            <w:t xml:space="preserve"> </w:t>
          </w:r>
          <w:r w:rsidR="001A4F1B" w:rsidRPr="001A4F1B">
            <w:rPr>
              <w:noProof/>
              <w:lang w:val="en-US"/>
            </w:rPr>
            <w:t>(White, 2023)</w:t>
          </w:r>
          <w:r w:rsidR="001A4F1B">
            <w:fldChar w:fldCharType="end"/>
          </w:r>
        </w:sdtContent>
      </w:sdt>
      <w:r w:rsidR="006E532B">
        <w:t>.</w:t>
      </w:r>
      <w:r w:rsidR="00507B3E">
        <w:t xml:space="preserve"> Therefore oversight allows to prevent fraud which promotes the transparency and accountability of a business</w:t>
      </w:r>
      <w:r w:rsidR="00305025">
        <w:t>. As a result, our kid business can maintain its integrity while preparing financial information as it will help them to analyse their risks and economic condition.</w:t>
      </w:r>
    </w:p>
    <w:p w14:paraId="23675B07" w14:textId="1ABE8AB4" w:rsidR="008F11A0" w:rsidRPr="00DA2756" w:rsidRDefault="00B71D04" w:rsidP="008F11A0">
      <w:pPr>
        <w:rPr>
          <w:b/>
          <w:bCs/>
          <w:i/>
          <w:iCs/>
          <w:u w:val="single"/>
        </w:rPr>
      </w:pPr>
      <w:r w:rsidRPr="00DA2756">
        <w:rPr>
          <w:b/>
          <w:bCs/>
          <w:i/>
          <w:iCs/>
          <w:u w:val="single"/>
        </w:rPr>
        <w:t>6. Commenting on the first statement:</w:t>
      </w:r>
    </w:p>
    <w:p w14:paraId="287AC0C3" w14:textId="08E7C8F6" w:rsidR="007B3549" w:rsidRDefault="00B71D04" w:rsidP="0022264A">
      <w:r>
        <w:t>C</w:t>
      </w:r>
      <w:r w:rsidR="00AF0DEE" w:rsidRPr="00AF0DEE">
        <w:t>onfirming that charges complement credits in ledger T-accounts ensures correctness in the recording of transactions. By aggregating all ledger balances for each account, the trial balance validates this state of balance. Problems like omissions or faulty recording might throw this balance off. Reliable accounting balances are essential because they provide the foundation for statements of finances such as the balance sheet and income statement, thus ensuring correctness in depicting the financial state of a business as well as performance</w:t>
      </w:r>
      <w:sdt>
        <w:sdtPr>
          <w:id w:val="1990129898"/>
          <w:citation/>
        </w:sdtPr>
        <w:sdtEndPr/>
        <w:sdtContent>
          <w:r w:rsidR="002720BE">
            <w:fldChar w:fldCharType="begin"/>
          </w:r>
          <w:r w:rsidR="002720BE">
            <w:rPr>
              <w:lang w:val="en-US"/>
            </w:rPr>
            <w:instrText xml:space="preserve"> CITATION lum2323 \l 1033 </w:instrText>
          </w:r>
          <w:r w:rsidR="002720BE">
            <w:fldChar w:fldCharType="separate"/>
          </w:r>
          <w:r w:rsidR="002720BE">
            <w:rPr>
              <w:noProof/>
              <w:lang w:val="en-US"/>
            </w:rPr>
            <w:t xml:space="preserve"> </w:t>
          </w:r>
          <w:r w:rsidR="002720BE" w:rsidRPr="002720BE">
            <w:rPr>
              <w:noProof/>
              <w:lang w:val="en-US"/>
            </w:rPr>
            <w:t>(lumenlearning, 2023)</w:t>
          </w:r>
          <w:r w:rsidR="002720BE">
            <w:fldChar w:fldCharType="end"/>
          </w:r>
        </w:sdtContent>
      </w:sdt>
      <w:sdt>
        <w:sdtPr>
          <w:id w:val="-1681198655"/>
          <w:citation/>
        </w:sdtPr>
        <w:sdtEndPr/>
        <w:sdtContent>
          <w:r w:rsidR="00107263">
            <w:fldChar w:fldCharType="begin"/>
          </w:r>
          <w:r w:rsidR="00107263">
            <w:rPr>
              <w:lang w:val="en-US"/>
            </w:rPr>
            <w:instrText xml:space="preserve"> CITATION cor2338 \l 1033 </w:instrText>
          </w:r>
          <w:r w:rsidR="00107263">
            <w:fldChar w:fldCharType="separate"/>
          </w:r>
          <w:r w:rsidR="00107263">
            <w:rPr>
              <w:noProof/>
              <w:lang w:val="en-US"/>
            </w:rPr>
            <w:t xml:space="preserve"> </w:t>
          </w:r>
          <w:r w:rsidR="00107263" w:rsidRPr="00107263">
            <w:rPr>
              <w:noProof/>
              <w:lang w:val="en-US"/>
            </w:rPr>
            <w:t>(corporatefinanceinstitute, 2023)</w:t>
          </w:r>
          <w:r w:rsidR="00107263">
            <w:fldChar w:fldCharType="end"/>
          </w:r>
        </w:sdtContent>
      </w:sdt>
      <w:r w:rsidR="00AF0DEE" w:rsidRPr="00AF0DEE">
        <w:t>.</w:t>
      </w:r>
      <w:r>
        <w:br w:type="page"/>
      </w:r>
    </w:p>
    <w:p w14:paraId="0929BE61" w14:textId="0FA047A9" w:rsidR="00566AB7" w:rsidRDefault="00B71D04" w:rsidP="00B01292">
      <w:pPr>
        <w:pStyle w:val="Heading1"/>
      </w:pPr>
      <w:bookmarkStart w:id="3" w:name="_Toc153200954"/>
      <w:r>
        <w:lastRenderedPageBreak/>
        <w:t>QUESTION 2</w:t>
      </w:r>
      <w:bookmarkEnd w:id="3"/>
    </w:p>
    <w:p w14:paraId="196DAA0F" w14:textId="46B9C43C" w:rsidR="00CF0537" w:rsidRPr="00A40323" w:rsidRDefault="00B71D04" w:rsidP="00A40323">
      <w:pPr>
        <w:rPr>
          <w:b/>
          <w:bCs/>
          <w:i/>
          <w:iCs/>
          <w:u w:val="single"/>
        </w:rPr>
      </w:pPr>
      <w:r w:rsidRPr="00A40323">
        <w:rPr>
          <w:b/>
          <w:bCs/>
          <w:i/>
          <w:iCs/>
          <w:u w:val="single"/>
        </w:rPr>
        <w:t xml:space="preserve">Preparation of the statement of income for Wales plc for the year ended </w:t>
      </w:r>
      <w:r w:rsidR="00647EF7" w:rsidRPr="00A40323">
        <w:rPr>
          <w:b/>
          <w:bCs/>
          <w:i/>
          <w:iCs/>
          <w:u w:val="single"/>
        </w:rPr>
        <w:t>31</w:t>
      </w:r>
      <w:r w:rsidR="00647EF7" w:rsidRPr="00A40323">
        <w:rPr>
          <w:b/>
          <w:bCs/>
          <w:i/>
          <w:iCs/>
          <w:u w:val="single"/>
          <w:vertAlign w:val="superscript"/>
        </w:rPr>
        <w:t>st</w:t>
      </w:r>
      <w:r w:rsidR="00647EF7" w:rsidRPr="00A40323">
        <w:rPr>
          <w:b/>
          <w:bCs/>
          <w:i/>
          <w:iCs/>
          <w:u w:val="single"/>
        </w:rPr>
        <w:t xml:space="preserve"> December </w:t>
      </w:r>
      <w:r w:rsidR="008423EE" w:rsidRPr="00A40323">
        <w:rPr>
          <w:b/>
          <w:bCs/>
          <w:i/>
          <w:iCs/>
          <w:u w:val="single"/>
        </w:rPr>
        <w:t>2022</w:t>
      </w:r>
    </w:p>
    <w:tbl>
      <w:tblPr>
        <w:tblW w:w="6540" w:type="dxa"/>
        <w:tblLook w:val="04A0" w:firstRow="1" w:lastRow="0" w:firstColumn="1" w:lastColumn="0" w:noHBand="0" w:noVBand="1"/>
      </w:tblPr>
      <w:tblGrid>
        <w:gridCol w:w="2840"/>
        <w:gridCol w:w="2360"/>
        <w:gridCol w:w="1340"/>
      </w:tblGrid>
      <w:tr w:rsidR="00023256" w14:paraId="1AE77D5E" w14:textId="77777777" w:rsidTr="00CF0537">
        <w:trPr>
          <w:trHeight w:val="288"/>
        </w:trPr>
        <w:tc>
          <w:tcPr>
            <w:tcW w:w="2840" w:type="dxa"/>
            <w:tcBorders>
              <w:top w:val="single" w:sz="4" w:space="0" w:color="4472C4"/>
              <w:left w:val="single" w:sz="4" w:space="0" w:color="4472C4"/>
              <w:bottom w:val="nil"/>
              <w:right w:val="nil"/>
            </w:tcBorders>
            <w:shd w:val="clear" w:color="4472C4" w:fill="4472C4"/>
            <w:noWrap/>
            <w:vAlign w:val="bottom"/>
            <w:hideMark/>
          </w:tcPr>
          <w:p w14:paraId="7269F9BF" w14:textId="77777777" w:rsidR="00CF0537" w:rsidRPr="00CF0537" w:rsidRDefault="00B71D04" w:rsidP="00CF0537">
            <w:pPr>
              <w:spacing w:after="0" w:line="240" w:lineRule="auto"/>
              <w:jc w:val="left"/>
              <w:rPr>
                <w:rFonts w:ascii="Calibri" w:eastAsia="Times New Roman" w:hAnsi="Calibri" w:cs="Calibri"/>
                <w:b/>
                <w:bCs/>
                <w:color w:val="FFFFFF"/>
                <w:sz w:val="22"/>
                <w:lang w:val="en-US"/>
              </w:rPr>
            </w:pPr>
            <w:r w:rsidRPr="00CF0537">
              <w:rPr>
                <w:rFonts w:ascii="Calibri" w:eastAsia="Times New Roman" w:hAnsi="Calibri" w:cs="Calibri"/>
                <w:b/>
                <w:bCs/>
                <w:color w:val="FFFFFF"/>
                <w:sz w:val="22"/>
                <w:lang w:val="en-US"/>
              </w:rPr>
              <w:t>Particulars</w:t>
            </w:r>
          </w:p>
        </w:tc>
        <w:tc>
          <w:tcPr>
            <w:tcW w:w="2360" w:type="dxa"/>
            <w:tcBorders>
              <w:top w:val="single" w:sz="4" w:space="0" w:color="4472C4"/>
              <w:left w:val="nil"/>
              <w:bottom w:val="nil"/>
              <w:right w:val="nil"/>
            </w:tcBorders>
            <w:shd w:val="clear" w:color="4472C4" w:fill="4472C4"/>
            <w:noWrap/>
            <w:vAlign w:val="bottom"/>
            <w:hideMark/>
          </w:tcPr>
          <w:p w14:paraId="669F127D" w14:textId="77777777" w:rsidR="00CF0537" w:rsidRPr="00CF0537" w:rsidRDefault="00B71D04" w:rsidP="00CF0537">
            <w:pPr>
              <w:spacing w:after="0" w:line="240" w:lineRule="auto"/>
              <w:jc w:val="left"/>
              <w:rPr>
                <w:rFonts w:ascii="Calibri" w:eastAsia="Times New Roman" w:hAnsi="Calibri" w:cs="Calibri"/>
                <w:b/>
                <w:bCs/>
                <w:color w:val="FFFFFF"/>
                <w:sz w:val="22"/>
                <w:lang w:val="en-US"/>
              </w:rPr>
            </w:pPr>
            <w:r w:rsidRPr="00CF0537">
              <w:rPr>
                <w:rFonts w:ascii="Calibri" w:eastAsia="Times New Roman" w:hAnsi="Calibri" w:cs="Calibri"/>
                <w:b/>
                <w:bCs/>
                <w:color w:val="FFFFFF"/>
                <w:sz w:val="22"/>
                <w:lang w:val="en-US"/>
              </w:rPr>
              <w:t>Amount</w:t>
            </w:r>
          </w:p>
        </w:tc>
        <w:tc>
          <w:tcPr>
            <w:tcW w:w="1340" w:type="dxa"/>
            <w:tcBorders>
              <w:top w:val="single" w:sz="4" w:space="0" w:color="4472C4"/>
              <w:left w:val="nil"/>
              <w:bottom w:val="nil"/>
              <w:right w:val="single" w:sz="4" w:space="0" w:color="4472C4"/>
            </w:tcBorders>
            <w:shd w:val="clear" w:color="4472C4" w:fill="4472C4"/>
            <w:noWrap/>
            <w:vAlign w:val="bottom"/>
            <w:hideMark/>
          </w:tcPr>
          <w:p w14:paraId="7F953A38" w14:textId="77777777" w:rsidR="00CF0537" w:rsidRPr="00CF0537" w:rsidRDefault="00B71D04" w:rsidP="00CF0537">
            <w:pPr>
              <w:spacing w:after="0" w:line="240" w:lineRule="auto"/>
              <w:jc w:val="left"/>
              <w:rPr>
                <w:rFonts w:ascii="Calibri" w:eastAsia="Times New Roman" w:hAnsi="Calibri" w:cs="Calibri"/>
                <w:b/>
                <w:bCs/>
                <w:color w:val="FFFFFF"/>
                <w:sz w:val="22"/>
                <w:lang w:val="en-US"/>
              </w:rPr>
            </w:pPr>
            <w:r w:rsidRPr="00CF0537">
              <w:rPr>
                <w:rFonts w:ascii="Calibri" w:eastAsia="Times New Roman" w:hAnsi="Calibri" w:cs="Calibri"/>
                <w:b/>
                <w:bCs/>
                <w:color w:val="FFFFFF"/>
                <w:sz w:val="22"/>
                <w:lang w:val="en-US"/>
              </w:rPr>
              <w:t xml:space="preserve">Amount </w:t>
            </w:r>
          </w:p>
        </w:tc>
      </w:tr>
      <w:tr w:rsidR="00023256" w14:paraId="514399FA" w14:textId="77777777" w:rsidTr="00CF0537">
        <w:trPr>
          <w:trHeight w:val="288"/>
        </w:trPr>
        <w:tc>
          <w:tcPr>
            <w:tcW w:w="2840" w:type="dxa"/>
            <w:tcBorders>
              <w:top w:val="single" w:sz="4" w:space="0" w:color="4472C4"/>
              <w:left w:val="single" w:sz="4" w:space="0" w:color="4472C4"/>
              <w:bottom w:val="nil"/>
              <w:right w:val="nil"/>
            </w:tcBorders>
            <w:shd w:val="clear" w:color="auto" w:fill="auto"/>
            <w:noWrap/>
            <w:vAlign w:val="bottom"/>
            <w:hideMark/>
          </w:tcPr>
          <w:p w14:paraId="3DC13EEA" w14:textId="77777777" w:rsidR="00CF0537" w:rsidRPr="00CF0537" w:rsidRDefault="00B71D04" w:rsidP="00CF0537">
            <w:pPr>
              <w:spacing w:after="0" w:line="240" w:lineRule="auto"/>
              <w:jc w:val="lef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 xml:space="preserve">Sales </w:t>
            </w:r>
          </w:p>
        </w:tc>
        <w:tc>
          <w:tcPr>
            <w:tcW w:w="2360" w:type="dxa"/>
            <w:tcBorders>
              <w:top w:val="single" w:sz="4" w:space="0" w:color="4472C4"/>
              <w:left w:val="nil"/>
              <w:bottom w:val="nil"/>
              <w:right w:val="nil"/>
            </w:tcBorders>
            <w:shd w:val="clear" w:color="auto" w:fill="auto"/>
            <w:noWrap/>
            <w:vAlign w:val="bottom"/>
            <w:hideMark/>
          </w:tcPr>
          <w:p w14:paraId="39976097" w14:textId="77777777" w:rsidR="00CF0537" w:rsidRPr="00CF0537" w:rsidRDefault="00CF0537" w:rsidP="00CF0537">
            <w:pPr>
              <w:spacing w:after="0" w:line="240" w:lineRule="auto"/>
              <w:jc w:val="left"/>
              <w:rPr>
                <w:rFonts w:ascii="Calibri" w:eastAsia="Times New Roman" w:hAnsi="Calibri" w:cs="Calibri"/>
                <w:color w:val="000000"/>
                <w:sz w:val="22"/>
                <w:lang w:val="en-US"/>
              </w:rPr>
            </w:pPr>
          </w:p>
        </w:tc>
        <w:tc>
          <w:tcPr>
            <w:tcW w:w="1340" w:type="dxa"/>
            <w:tcBorders>
              <w:top w:val="single" w:sz="4" w:space="0" w:color="4472C4"/>
              <w:left w:val="nil"/>
              <w:bottom w:val="nil"/>
              <w:right w:val="single" w:sz="4" w:space="0" w:color="4472C4"/>
            </w:tcBorders>
            <w:shd w:val="clear" w:color="auto" w:fill="auto"/>
            <w:noWrap/>
            <w:vAlign w:val="bottom"/>
            <w:hideMark/>
          </w:tcPr>
          <w:p w14:paraId="7F614290" w14:textId="77777777" w:rsidR="00CF0537" w:rsidRPr="00CF0537" w:rsidRDefault="00B71D04" w:rsidP="00CF0537">
            <w:pPr>
              <w:spacing w:after="0" w:line="240" w:lineRule="auto"/>
              <w:jc w:val="righ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900000</w:t>
            </w:r>
          </w:p>
        </w:tc>
      </w:tr>
      <w:tr w:rsidR="00023256" w14:paraId="0F737BEC" w14:textId="77777777" w:rsidTr="00CF0537">
        <w:trPr>
          <w:trHeight w:val="288"/>
        </w:trPr>
        <w:tc>
          <w:tcPr>
            <w:tcW w:w="2840" w:type="dxa"/>
            <w:tcBorders>
              <w:top w:val="single" w:sz="4" w:space="0" w:color="4472C4"/>
              <w:left w:val="single" w:sz="4" w:space="0" w:color="4472C4"/>
              <w:bottom w:val="nil"/>
              <w:right w:val="nil"/>
            </w:tcBorders>
            <w:shd w:val="clear" w:color="auto" w:fill="auto"/>
            <w:noWrap/>
            <w:vAlign w:val="bottom"/>
            <w:hideMark/>
          </w:tcPr>
          <w:p w14:paraId="2976FBD7" w14:textId="77777777" w:rsidR="00CF0537" w:rsidRPr="00CF0537" w:rsidRDefault="00B71D04" w:rsidP="00CF0537">
            <w:pPr>
              <w:spacing w:after="0" w:line="240" w:lineRule="auto"/>
              <w:jc w:val="lef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COGS:</w:t>
            </w:r>
          </w:p>
        </w:tc>
        <w:tc>
          <w:tcPr>
            <w:tcW w:w="2360" w:type="dxa"/>
            <w:tcBorders>
              <w:top w:val="single" w:sz="4" w:space="0" w:color="4472C4"/>
              <w:left w:val="nil"/>
              <w:bottom w:val="nil"/>
              <w:right w:val="nil"/>
            </w:tcBorders>
            <w:shd w:val="clear" w:color="auto" w:fill="auto"/>
            <w:noWrap/>
            <w:vAlign w:val="bottom"/>
            <w:hideMark/>
          </w:tcPr>
          <w:p w14:paraId="54A82FC9" w14:textId="77777777" w:rsidR="00CF0537" w:rsidRPr="00CF0537" w:rsidRDefault="00CF0537" w:rsidP="00CF0537">
            <w:pPr>
              <w:spacing w:after="0" w:line="240" w:lineRule="auto"/>
              <w:jc w:val="left"/>
              <w:rPr>
                <w:rFonts w:ascii="Calibri" w:eastAsia="Times New Roman" w:hAnsi="Calibri" w:cs="Calibri"/>
                <w:color w:val="000000"/>
                <w:sz w:val="22"/>
                <w:lang w:val="en-US"/>
              </w:rPr>
            </w:pPr>
          </w:p>
        </w:tc>
        <w:tc>
          <w:tcPr>
            <w:tcW w:w="1340" w:type="dxa"/>
            <w:tcBorders>
              <w:top w:val="single" w:sz="4" w:space="0" w:color="4472C4"/>
              <w:left w:val="nil"/>
              <w:bottom w:val="nil"/>
              <w:right w:val="single" w:sz="4" w:space="0" w:color="4472C4"/>
            </w:tcBorders>
            <w:shd w:val="clear" w:color="auto" w:fill="auto"/>
            <w:noWrap/>
            <w:vAlign w:val="bottom"/>
            <w:hideMark/>
          </w:tcPr>
          <w:p w14:paraId="533E1333" w14:textId="77777777" w:rsidR="00CF0537" w:rsidRPr="00CF0537" w:rsidRDefault="00CF0537" w:rsidP="00CF0537">
            <w:pPr>
              <w:spacing w:after="0" w:line="240" w:lineRule="auto"/>
              <w:jc w:val="left"/>
              <w:rPr>
                <w:rFonts w:eastAsia="Times New Roman" w:cs="Times New Roman"/>
                <w:sz w:val="20"/>
                <w:szCs w:val="20"/>
                <w:lang w:val="en-US"/>
              </w:rPr>
            </w:pPr>
          </w:p>
        </w:tc>
      </w:tr>
      <w:tr w:rsidR="00023256" w14:paraId="21301C83" w14:textId="77777777" w:rsidTr="00CF0537">
        <w:trPr>
          <w:trHeight w:val="288"/>
        </w:trPr>
        <w:tc>
          <w:tcPr>
            <w:tcW w:w="2840" w:type="dxa"/>
            <w:tcBorders>
              <w:top w:val="single" w:sz="4" w:space="0" w:color="4472C4"/>
              <w:left w:val="single" w:sz="4" w:space="0" w:color="4472C4"/>
              <w:bottom w:val="nil"/>
              <w:right w:val="nil"/>
            </w:tcBorders>
            <w:shd w:val="clear" w:color="auto" w:fill="auto"/>
            <w:noWrap/>
            <w:vAlign w:val="bottom"/>
            <w:hideMark/>
          </w:tcPr>
          <w:p w14:paraId="5C65D1E4" w14:textId="77777777" w:rsidR="00CF0537" w:rsidRPr="00CF0537" w:rsidRDefault="00B71D04" w:rsidP="00CF0537">
            <w:pPr>
              <w:spacing w:after="0" w:line="240" w:lineRule="auto"/>
              <w:jc w:val="lef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Opening inventory</w:t>
            </w:r>
          </w:p>
        </w:tc>
        <w:tc>
          <w:tcPr>
            <w:tcW w:w="2360" w:type="dxa"/>
            <w:tcBorders>
              <w:top w:val="single" w:sz="4" w:space="0" w:color="4472C4"/>
              <w:left w:val="nil"/>
              <w:bottom w:val="nil"/>
              <w:right w:val="nil"/>
            </w:tcBorders>
            <w:shd w:val="clear" w:color="auto" w:fill="auto"/>
            <w:noWrap/>
            <w:vAlign w:val="bottom"/>
            <w:hideMark/>
          </w:tcPr>
          <w:p w14:paraId="49320AC5" w14:textId="77777777" w:rsidR="00CF0537" w:rsidRPr="00CF0537" w:rsidRDefault="00CF0537" w:rsidP="00CF0537">
            <w:pPr>
              <w:spacing w:after="0" w:line="240" w:lineRule="auto"/>
              <w:jc w:val="left"/>
              <w:rPr>
                <w:rFonts w:ascii="Calibri" w:eastAsia="Times New Roman" w:hAnsi="Calibri" w:cs="Calibri"/>
                <w:color w:val="000000"/>
                <w:sz w:val="22"/>
                <w:lang w:val="en-US"/>
              </w:rPr>
            </w:pPr>
          </w:p>
        </w:tc>
        <w:tc>
          <w:tcPr>
            <w:tcW w:w="1340" w:type="dxa"/>
            <w:tcBorders>
              <w:top w:val="single" w:sz="4" w:space="0" w:color="4472C4"/>
              <w:left w:val="nil"/>
              <w:bottom w:val="nil"/>
              <w:right w:val="single" w:sz="4" w:space="0" w:color="4472C4"/>
            </w:tcBorders>
            <w:shd w:val="clear" w:color="auto" w:fill="auto"/>
            <w:noWrap/>
            <w:vAlign w:val="bottom"/>
            <w:hideMark/>
          </w:tcPr>
          <w:p w14:paraId="1FD3F379" w14:textId="77777777" w:rsidR="00CF0537" w:rsidRPr="00CF0537" w:rsidRDefault="00CF0537" w:rsidP="00CF0537">
            <w:pPr>
              <w:spacing w:after="0" w:line="240" w:lineRule="auto"/>
              <w:jc w:val="left"/>
              <w:rPr>
                <w:rFonts w:eastAsia="Times New Roman" w:cs="Times New Roman"/>
                <w:sz w:val="20"/>
                <w:szCs w:val="20"/>
                <w:lang w:val="en-US"/>
              </w:rPr>
            </w:pPr>
          </w:p>
        </w:tc>
      </w:tr>
      <w:tr w:rsidR="00023256" w14:paraId="480D05B0" w14:textId="77777777" w:rsidTr="00CF0537">
        <w:trPr>
          <w:trHeight w:val="288"/>
        </w:trPr>
        <w:tc>
          <w:tcPr>
            <w:tcW w:w="2840" w:type="dxa"/>
            <w:tcBorders>
              <w:top w:val="single" w:sz="4" w:space="0" w:color="4472C4"/>
              <w:left w:val="single" w:sz="4" w:space="0" w:color="4472C4"/>
              <w:bottom w:val="nil"/>
              <w:right w:val="nil"/>
            </w:tcBorders>
            <w:shd w:val="clear" w:color="auto" w:fill="auto"/>
            <w:noWrap/>
            <w:vAlign w:val="bottom"/>
            <w:hideMark/>
          </w:tcPr>
          <w:p w14:paraId="4DC27FDE" w14:textId="77777777" w:rsidR="00CF0537" w:rsidRPr="00CF0537" w:rsidRDefault="00B71D04" w:rsidP="00CF0537">
            <w:pPr>
              <w:spacing w:after="0" w:line="240" w:lineRule="auto"/>
              <w:jc w:val="lef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Add: Purchases</w:t>
            </w:r>
          </w:p>
        </w:tc>
        <w:tc>
          <w:tcPr>
            <w:tcW w:w="2360" w:type="dxa"/>
            <w:tcBorders>
              <w:top w:val="single" w:sz="4" w:space="0" w:color="4472C4"/>
              <w:left w:val="nil"/>
              <w:bottom w:val="nil"/>
              <w:right w:val="nil"/>
            </w:tcBorders>
            <w:shd w:val="clear" w:color="auto" w:fill="auto"/>
            <w:noWrap/>
            <w:vAlign w:val="bottom"/>
            <w:hideMark/>
          </w:tcPr>
          <w:p w14:paraId="39B03CEB" w14:textId="77777777" w:rsidR="00CF0537" w:rsidRPr="00CF0537" w:rsidRDefault="00CF0537" w:rsidP="00CF0537">
            <w:pPr>
              <w:spacing w:after="0" w:line="240" w:lineRule="auto"/>
              <w:jc w:val="left"/>
              <w:rPr>
                <w:rFonts w:ascii="Calibri" w:eastAsia="Times New Roman" w:hAnsi="Calibri" w:cs="Calibri"/>
                <w:color w:val="000000"/>
                <w:sz w:val="22"/>
                <w:lang w:val="en-US"/>
              </w:rPr>
            </w:pPr>
          </w:p>
        </w:tc>
        <w:tc>
          <w:tcPr>
            <w:tcW w:w="1340" w:type="dxa"/>
            <w:tcBorders>
              <w:top w:val="single" w:sz="4" w:space="0" w:color="4472C4"/>
              <w:left w:val="nil"/>
              <w:bottom w:val="nil"/>
              <w:right w:val="single" w:sz="4" w:space="0" w:color="4472C4"/>
            </w:tcBorders>
            <w:shd w:val="clear" w:color="auto" w:fill="auto"/>
            <w:noWrap/>
            <w:vAlign w:val="bottom"/>
            <w:hideMark/>
          </w:tcPr>
          <w:p w14:paraId="391DD1F9" w14:textId="77777777" w:rsidR="00CF0537" w:rsidRPr="00CF0537" w:rsidRDefault="00CF0537" w:rsidP="00CF0537">
            <w:pPr>
              <w:spacing w:after="0" w:line="240" w:lineRule="auto"/>
              <w:jc w:val="left"/>
              <w:rPr>
                <w:rFonts w:eastAsia="Times New Roman" w:cs="Times New Roman"/>
                <w:sz w:val="20"/>
                <w:szCs w:val="20"/>
                <w:lang w:val="en-US"/>
              </w:rPr>
            </w:pPr>
          </w:p>
        </w:tc>
      </w:tr>
      <w:tr w:rsidR="00023256" w14:paraId="513E3408" w14:textId="77777777" w:rsidTr="00CF0537">
        <w:trPr>
          <w:trHeight w:val="288"/>
        </w:trPr>
        <w:tc>
          <w:tcPr>
            <w:tcW w:w="2840" w:type="dxa"/>
            <w:tcBorders>
              <w:top w:val="single" w:sz="4" w:space="0" w:color="4472C4"/>
              <w:left w:val="single" w:sz="4" w:space="0" w:color="4472C4"/>
              <w:bottom w:val="nil"/>
              <w:right w:val="nil"/>
            </w:tcBorders>
            <w:shd w:val="clear" w:color="auto" w:fill="auto"/>
            <w:noWrap/>
            <w:vAlign w:val="bottom"/>
            <w:hideMark/>
          </w:tcPr>
          <w:p w14:paraId="36A00EAC" w14:textId="77777777" w:rsidR="00CF0537" w:rsidRPr="00CF0537" w:rsidRDefault="00B71D04" w:rsidP="00CF0537">
            <w:pPr>
              <w:spacing w:after="0" w:line="240" w:lineRule="auto"/>
              <w:jc w:val="lef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Less: closing inventory</w:t>
            </w:r>
          </w:p>
        </w:tc>
        <w:tc>
          <w:tcPr>
            <w:tcW w:w="2360" w:type="dxa"/>
            <w:tcBorders>
              <w:top w:val="single" w:sz="4" w:space="0" w:color="4472C4"/>
              <w:left w:val="nil"/>
              <w:bottom w:val="nil"/>
              <w:right w:val="nil"/>
            </w:tcBorders>
            <w:shd w:val="clear" w:color="auto" w:fill="auto"/>
            <w:noWrap/>
            <w:vAlign w:val="bottom"/>
            <w:hideMark/>
          </w:tcPr>
          <w:p w14:paraId="355FBF3E" w14:textId="77777777" w:rsidR="00CF0537" w:rsidRPr="00CF0537" w:rsidRDefault="00CF0537" w:rsidP="00CF0537">
            <w:pPr>
              <w:spacing w:after="0" w:line="240" w:lineRule="auto"/>
              <w:jc w:val="left"/>
              <w:rPr>
                <w:rFonts w:ascii="Calibri" w:eastAsia="Times New Roman" w:hAnsi="Calibri" w:cs="Calibri"/>
                <w:color w:val="000000"/>
                <w:sz w:val="22"/>
                <w:lang w:val="en-US"/>
              </w:rPr>
            </w:pPr>
          </w:p>
        </w:tc>
        <w:tc>
          <w:tcPr>
            <w:tcW w:w="1340" w:type="dxa"/>
            <w:tcBorders>
              <w:top w:val="single" w:sz="4" w:space="0" w:color="4472C4"/>
              <w:left w:val="nil"/>
              <w:bottom w:val="nil"/>
              <w:right w:val="single" w:sz="4" w:space="0" w:color="4472C4"/>
            </w:tcBorders>
            <w:shd w:val="clear" w:color="auto" w:fill="auto"/>
            <w:noWrap/>
            <w:vAlign w:val="bottom"/>
            <w:hideMark/>
          </w:tcPr>
          <w:p w14:paraId="3538706F" w14:textId="77777777" w:rsidR="00CF0537" w:rsidRPr="00CF0537" w:rsidRDefault="00CF0537" w:rsidP="00CF0537">
            <w:pPr>
              <w:spacing w:after="0" w:line="240" w:lineRule="auto"/>
              <w:jc w:val="left"/>
              <w:rPr>
                <w:rFonts w:eastAsia="Times New Roman" w:cs="Times New Roman"/>
                <w:sz w:val="20"/>
                <w:szCs w:val="20"/>
                <w:lang w:val="en-US"/>
              </w:rPr>
            </w:pPr>
          </w:p>
        </w:tc>
      </w:tr>
      <w:tr w:rsidR="00023256" w14:paraId="3A1398BB" w14:textId="77777777" w:rsidTr="00CF0537">
        <w:trPr>
          <w:trHeight w:val="288"/>
        </w:trPr>
        <w:tc>
          <w:tcPr>
            <w:tcW w:w="2840" w:type="dxa"/>
            <w:tcBorders>
              <w:top w:val="single" w:sz="4" w:space="0" w:color="4472C4"/>
              <w:left w:val="single" w:sz="4" w:space="0" w:color="4472C4"/>
              <w:bottom w:val="nil"/>
              <w:right w:val="nil"/>
            </w:tcBorders>
            <w:shd w:val="clear" w:color="auto" w:fill="auto"/>
            <w:noWrap/>
            <w:vAlign w:val="bottom"/>
            <w:hideMark/>
          </w:tcPr>
          <w:p w14:paraId="5A5EEB59" w14:textId="77777777" w:rsidR="00CF0537" w:rsidRPr="00CF0537" w:rsidRDefault="00B71D04" w:rsidP="00CF0537">
            <w:pPr>
              <w:spacing w:after="0" w:line="240" w:lineRule="auto"/>
              <w:jc w:val="lef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Depreciation on inventory</w:t>
            </w:r>
          </w:p>
        </w:tc>
        <w:tc>
          <w:tcPr>
            <w:tcW w:w="2360" w:type="dxa"/>
            <w:tcBorders>
              <w:top w:val="single" w:sz="4" w:space="0" w:color="4472C4"/>
              <w:left w:val="nil"/>
              <w:bottom w:val="nil"/>
              <w:right w:val="nil"/>
            </w:tcBorders>
            <w:shd w:val="clear" w:color="auto" w:fill="auto"/>
            <w:noWrap/>
            <w:vAlign w:val="bottom"/>
            <w:hideMark/>
          </w:tcPr>
          <w:p w14:paraId="0677AA60" w14:textId="77777777" w:rsidR="00CF0537" w:rsidRPr="00CF0537" w:rsidRDefault="00B71D04" w:rsidP="00CF0537">
            <w:pPr>
              <w:spacing w:after="0" w:line="240" w:lineRule="auto"/>
              <w:jc w:val="lef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650000x10%</w:t>
            </w:r>
          </w:p>
        </w:tc>
        <w:tc>
          <w:tcPr>
            <w:tcW w:w="1340" w:type="dxa"/>
            <w:tcBorders>
              <w:top w:val="single" w:sz="4" w:space="0" w:color="4472C4"/>
              <w:left w:val="nil"/>
              <w:bottom w:val="nil"/>
              <w:right w:val="single" w:sz="4" w:space="0" w:color="4472C4"/>
            </w:tcBorders>
            <w:shd w:val="clear" w:color="auto" w:fill="auto"/>
            <w:noWrap/>
            <w:vAlign w:val="bottom"/>
            <w:hideMark/>
          </w:tcPr>
          <w:p w14:paraId="37CFCDB6" w14:textId="77777777" w:rsidR="00CF0537" w:rsidRPr="00CF0537" w:rsidRDefault="00B71D04" w:rsidP="00CF0537">
            <w:pPr>
              <w:spacing w:after="0" w:line="240" w:lineRule="auto"/>
              <w:jc w:val="righ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65000</w:t>
            </w:r>
          </w:p>
        </w:tc>
      </w:tr>
      <w:tr w:rsidR="00023256" w14:paraId="6A1C3B9C" w14:textId="77777777" w:rsidTr="00CF0537">
        <w:trPr>
          <w:trHeight w:val="288"/>
        </w:trPr>
        <w:tc>
          <w:tcPr>
            <w:tcW w:w="2840" w:type="dxa"/>
            <w:tcBorders>
              <w:top w:val="single" w:sz="4" w:space="0" w:color="4472C4"/>
              <w:left w:val="single" w:sz="4" w:space="0" w:color="4472C4"/>
              <w:bottom w:val="nil"/>
              <w:right w:val="nil"/>
            </w:tcBorders>
            <w:shd w:val="clear" w:color="auto" w:fill="auto"/>
            <w:noWrap/>
            <w:vAlign w:val="bottom"/>
            <w:hideMark/>
          </w:tcPr>
          <w:p w14:paraId="1CD72111" w14:textId="77777777" w:rsidR="00CF0537" w:rsidRPr="00CF0537" w:rsidRDefault="00B71D04" w:rsidP="00CF0537">
            <w:pPr>
              <w:spacing w:after="0" w:line="240" w:lineRule="auto"/>
              <w:jc w:val="lef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Gross profit</w:t>
            </w:r>
          </w:p>
        </w:tc>
        <w:tc>
          <w:tcPr>
            <w:tcW w:w="2360" w:type="dxa"/>
            <w:tcBorders>
              <w:top w:val="single" w:sz="4" w:space="0" w:color="4472C4"/>
              <w:left w:val="nil"/>
              <w:bottom w:val="nil"/>
              <w:right w:val="nil"/>
            </w:tcBorders>
            <w:shd w:val="clear" w:color="auto" w:fill="auto"/>
            <w:noWrap/>
            <w:vAlign w:val="bottom"/>
            <w:hideMark/>
          </w:tcPr>
          <w:p w14:paraId="041C4892" w14:textId="77777777" w:rsidR="00CF0537" w:rsidRPr="00CF0537" w:rsidRDefault="00CF0537" w:rsidP="00CF0537">
            <w:pPr>
              <w:spacing w:after="0" w:line="240" w:lineRule="auto"/>
              <w:jc w:val="left"/>
              <w:rPr>
                <w:rFonts w:ascii="Calibri" w:eastAsia="Times New Roman" w:hAnsi="Calibri" w:cs="Calibri"/>
                <w:color w:val="000000"/>
                <w:sz w:val="22"/>
                <w:lang w:val="en-US"/>
              </w:rPr>
            </w:pPr>
          </w:p>
        </w:tc>
        <w:tc>
          <w:tcPr>
            <w:tcW w:w="1340" w:type="dxa"/>
            <w:tcBorders>
              <w:top w:val="single" w:sz="4" w:space="0" w:color="4472C4"/>
              <w:left w:val="nil"/>
              <w:bottom w:val="nil"/>
              <w:right w:val="single" w:sz="4" w:space="0" w:color="4472C4"/>
            </w:tcBorders>
            <w:shd w:val="clear" w:color="auto" w:fill="auto"/>
            <w:noWrap/>
            <w:vAlign w:val="bottom"/>
            <w:hideMark/>
          </w:tcPr>
          <w:p w14:paraId="4C18AFC7" w14:textId="77777777" w:rsidR="00CF0537" w:rsidRPr="00CF0537" w:rsidRDefault="00B71D04" w:rsidP="00CF0537">
            <w:pPr>
              <w:spacing w:after="0" w:line="240" w:lineRule="auto"/>
              <w:jc w:val="righ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835000</w:t>
            </w:r>
          </w:p>
        </w:tc>
      </w:tr>
      <w:tr w:rsidR="00023256" w14:paraId="0C82FD1E" w14:textId="77777777" w:rsidTr="00CF0537">
        <w:trPr>
          <w:trHeight w:val="288"/>
        </w:trPr>
        <w:tc>
          <w:tcPr>
            <w:tcW w:w="2840" w:type="dxa"/>
            <w:tcBorders>
              <w:top w:val="single" w:sz="4" w:space="0" w:color="4472C4"/>
              <w:left w:val="single" w:sz="4" w:space="0" w:color="4472C4"/>
              <w:bottom w:val="nil"/>
              <w:right w:val="nil"/>
            </w:tcBorders>
            <w:shd w:val="clear" w:color="auto" w:fill="auto"/>
            <w:noWrap/>
            <w:vAlign w:val="bottom"/>
            <w:hideMark/>
          </w:tcPr>
          <w:p w14:paraId="5827B31A" w14:textId="77777777" w:rsidR="00CF0537" w:rsidRPr="00CF0537" w:rsidRDefault="00B71D04" w:rsidP="00CF0537">
            <w:pPr>
              <w:spacing w:after="0" w:line="240" w:lineRule="auto"/>
              <w:jc w:val="lef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Operating expenses</w:t>
            </w:r>
          </w:p>
        </w:tc>
        <w:tc>
          <w:tcPr>
            <w:tcW w:w="2360" w:type="dxa"/>
            <w:tcBorders>
              <w:top w:val="single" w:sz="4" w:space="0" w:color="4472C4"/>
              <w:left w:val="nil"/>
              <w:bottom w:val="nil"/>
              <w:right w:val="nil"/>
            </w:tcBorders>
            <w:shd w:val="clear" w:color="auto" w:fill="auto"/>
            <w:noWrap/>
            <w:vAlign w:val="bottom"/>
            <w:hideMark/>
          </w:tcPr>
          <w:p w14:paraId="060EC7B6" w14:textId="77777777" w:rsidR="00CF0537" w:rsidRPr="00CF0537" w:rsidRDefault="00CF0537" w:rsidP="00CF0537">
            <w:pPr>
              <w:spacing w:after="0" w:line="240" w:lineRule="auto"/>
              <w:jc w:val="left"/>
              <w:rPr>
                <w:rFonts w:ascii="Calibri" w:eastAsia="Times New Roman" w:hAnsi="Calibri" w:cs="Calibri"/>
                <w:color w:val="000000"/>
                <w:sz w:val="22"/>
                <w:lang w:val="en-US"/>
              </w:rPr>
            </w:pPr>
          </w:p>
        </w:tc>
        <w:tc>
          <w:tcPr>
            <w:tcW w:w="1340" w:type="dxa"/>
            <w:tcBorders>
              <w:top w:val="single" w:sz="4" w:space="0" w:color="4472C4"/>
              <w:left w:val="nil"/>
              <w:bottom w:val="nil"/>
              <w:right w:val="single" w:sz="4" w:space="0" w:color="4472C4"/>
            </w:tcBorders>
            <w:shd w:val="clear" w:color="auto" w:fill="auto"/>
            <w:noWrap/>
            <w:vAlign w:val="bottom"/>
            <w:hideMark/>
          </w:tcPr>
          <w:p w14:paraId="00104DBD" w14:textId="77777777" w:rsidR="00CF0537" w:rsidRPr="00CF0537" w:rsidRDefault="00CF0537" w:rsidP="00CF0537">
            <w:pPr>
              <w:spacing w:after="0" w:line="240" w:lineRule="auto"/>
              <w:jc w:val="left"/>
              <w:rPr>
                <w:rFonts w:eastAsia="Times New Roman" w:cs="Times New Roman"/>
                <w:sz w:val="20"/>
                <w:szCs w:val="20"/>
                <w:lang w:val="en-US"/>
              </w:rPr>
            </w:pPr>
          </w:p>
        </w:tc>
      </w:tr>
      <w:tr w:rsidR="00023256" w14:paraId="1877DADE" w14:textId="77777777" w:rsidTr="00CF0537">
        <w:trPr>
          <w:trHeight w:val="288"/>
        </w:trPr>
        <w:tc>
          <w:tcPr>
            <w:tcW w:w="2840" w:type="dxa"/>
            <w:tcBorders>
              <w:top w:val="single" w:sz="4" w:space="0" w:color="4472C4"/>
              <w:left w:val="single" w:sz="4" w:space="0" w:color="4472C4"/>
              <w:bottom w:val="nil"/>
              <w:right w:val="nil"/>
            </w:tcBorders>
            <w:shd w:val="clear" w:color="auto" w:fill="auto"/>
            <w:noWrap/>
            <w:vAlign w:val="bottom"/>
            <w:hideMark/>
          </w:tcPr>
          <w:p w14:paraId="183516E2" w14:textId="77777777" w:rsidR="00CF0537" w:rsidRPr="00CF0537" w:rsidRDefault="00B71D04" w:rsidP="00CF0537">
            <w:pPr>
              <w:spacing w:after="0" w:line="240" w:lineRule="auto"/>
              <w:jc w:val="lef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Administrative expenses</w:t>
            </w:r>
          </w:p>
        </w:tc>
        <w:tc>
          <w:tcPr>
            <w:tcW w:w="2360" w:type="dxa"/>
            <w:tcBorders>
              <w:top w:val="single" w:sz="4" w:space="0" w:color="4472C4"/>
              <w:left w:val="nil"/>
              <w:bottom w:val="nil"/>
              <w:right w:val="nil"/>
            </w:tcBorders>
            <w:shd w:val="clear" w:color="auto" w:fill="auto"/>
            <w:noWrap/>
            <w:vAlign w:val="bottom"/>
            <w:hideMark/>
          </w:tcPr>
          <w:p w14:paraId="47BB98F6" w14:textId="77777777" w:rsidR="00CF0537" w:rsidRPr="00CF0537" w:rsidRDefault="00B71D04" w:rsidP="00CF0537">
            <w:pPr>
              <w:spacing w:after="0" w:line="240" w:lineRule="auto"/>
              <w:jc w:val="righ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170000</w:t>
            </w:r>
          </w:p>
        </w:tc>
        <w:tc>
          <w:tcPr>
            <w:tcW w:w="1340" w:type="dxa"/>
            <w:tcBorders>
              <w:top w:val="single" w:sz="4" w:space="0" w:color="4472C4"/>
              <w:left w:val="nil"/>
              <w:bottom w:val="nil"/>
              <w:right w:val="single" w:sz="4" w:space="0" w:color="4472C4"/>
            </w:tcBorders>
            <w:shd w:val="clear" w:color="auto" w:fill="auto"/>
            <w:noWrap/>
            <w:vAlign w:val="bottom"/>
            <w:hideMark/>
          </w:tcPr>
          <w:p w14:paraId="02E7FA3E" w14:textId="77777777" w:rsidR="00CF0537" w:rsidRPr="00CF0537" w:rsidRDefault="00CF0537" w:rsidP="00CF0537">
            <w:pPr>
              <w:spacing w:after="0" w:line="240" w:lineRule="auto"/>
              <w:jc w:val="right"/>
              <w:rPr>
                <w:rFonts w:ascii="Calibri" w:eastAsia="Times New Roman" w:hAnsi="Calibri" w:cs="Calibri"/>
                <w:color w:val="000000"/>
                <w:sz w:val="22"/>
                <w:lang w:val="en-US"/>
              </w:rPr>
            </w:pPr>
          </w:p>
        </w:tc>
      </w:tr>
      <w:tr w:rsidR="00023256" w14:paraId="4E6017A3" w14:textId="77777777" w:rsidTr="00CF0537">
        <w:trPr>
          <w:trHeight w:val="288"/>
        </w:trPr>
        <w:tc>
          <w:tcPr>
            <w:tcW w:w="2840" w:type="dxa"/>
            <w:tcBorders>
              <w:top w:val="single" w:sz="4" w:space="0" w:color="4472C4"/>
              <w:left w:val="single" w:sz="4" w:space="0" w:color="4472C4"/>
              <w:bottom w:val="nil"/>
              <w:right w:val="nil"/>
            </w:tcBorders>
            <w:shd w:val="clear" w:color="auto" w:fill="auto"/>
            <w:noWrap/>
            <w:vAlign w:val="bottom"/>
            <w:hideMark/>
          </w:tcPr>
          <w:p w14:paraId="49142EEC" w14:textId="77777777" w:rsidR="00CF0537" w:rsidRPr="00CF0537" w:rsidRDefault="00B71D04" w:rsidP="00CF0537">
            <w:pPr>
              <w:spacing w:after="0" w:line="240" w:lineRule="auto"/>
              <w:jc w:val="lef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Distribution costs</w:t>
            </w:r>
          </w:p>
        </w:tc>
        <w:tc>
          <w:tcPr>
            <w:tcW w:w="2360" w:type="dxa"/>
            <w:tcBorders>
              <w:top w:val="single" w:sz="4" w:space="0" w:color="4472C4"/>
              <w:left w:val="nil"/>
              <w:bottom w:val="nil"/>
              <w:right w:val="nil"/>
            </w:tcBorders>
            <w:shd w:val="clear" w:color="auto" w:fill="auto"/>
            <w:noWrap/>
            <w:vAlign w:val="bottom"/>
            <w:hideMark/>
          </w:tcPr>
          <w:p w14:paraId="2658EE06" w14:textId="77777777" w:rsidR="00CF0537" w:rsidRPr="00CF0537" w:rsidRDefault="00B71D04" w:rsidP="00CF0537">
            <w:pPr>
              <w:spacing w:after="0" w:line="240" w:lineRule="auto"/>
              <w:jc w:val="righ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28000</w:t>
            </w:r>
          </w:p>
        </w:tc>
        <w:tc>
          <w:tcPr>
            <w:tcW w:w="1340" w:type="dxa"/>
            <w:tcBorders>
              <w:top w:val="single" w:sz="4" w:space="0" w:color="4472C4"/>
              <w:left w:val="nil"/>
              <w:bottom w:val="nil"/>
              <w:right w:val="single" w:sz="4" w:space="0" w:color="4472C4"/>
            </w:tcBorders>
            <w:shd w:val="clear" w:color="auto" w:fill="auto"/>
            <w:noWrap/>
            <w:vAlign w:val="bottom"/>
            <w:hideMark/>
          </w:tcPr>
          <w:p w14:paraId="3CB0314C" w14:textId="77777777" w:rsidR="00CF0537" w:rsidRPr="00CF0537" w:rsidRDefault="00CF0537" w:rsidP="00CF0537">
            <w:pPr>
              <w:spacing w:after="0" w:line="240" w:lineRule="auto"/>
              <w:jc w:val="right"/>
              <w:rPr>
                <w:rFonts w:ascii="Calibri" w:eastAsia="Times New Roman" w:hAnsi="Calibri" w:cs="Calibri"/>
                <w:color w:val="000000"/>
                <w:sz w:val="22"/>
                <w:lang w:val="en-US"/>
              </w:rPr>
            </w:pPr>
          </w:p>
        </w:tc>
      </w:tr>
      <w:tr w:rsidR="00023256" w14:paraId="1F652C88" w14:textId="77777777" w:rsidTr="00CF0537">
        <w:trPr>
          <w:trHeight w:val="288"/>
        </w:trPr>
        <w:tc>
          <w:tcPr>
            <w:tcW w:w="2840" w:type="dxa"/>
            <w:tcBorders>
              <w:top w:val="single" w:sz="4" w:space="0" w:color="4472C4"/>
              <w:left w:val="single" w:sz="4" w:space="0" w:color="4472C4"/>
              <w:bottom w:val="nil"/>
              <w:right w:val="nil"/>
            </w:tcBorders>
            <w:shd w:val="clear" w:color="auto" w:fill="auto"/>
            <w:noWrap/>
            <w:vAlign w:val="bottom"/>
            <w:hideMark/>
          </w:tcPr>
          <w:p w14:paraId="577798B0" w14:textId="77777777" w:rsidR="00CF0537" w:rsidRPr="00CF0537" w:rsidRDefault="00B71D04" w:rsidP="00CF0537">
            <w:pPr>
              <w:spacing w:after="0" w:line="240" w:lineRule="auto"/>
              <w:jc w:val="lef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Director's remuneration</w:t>
            </w:r>
          </w:p>
        </w:tc>
        <w:tc>
          <w:tcPr>
            <w:tcW w:w="2360" w:type="dxa"/>
            <w:tcBorders>
              <w:top w:val="single" w:sz="4" w:space="0" w:color="4472C4"/>
              <w:left w:val="nil"/>
              <w:bottom w:val="nil"/>
              <w:right w:val="nil"/>
            </w:tcBorders>
            <w:shd w:val="clear" w:color="auto" w:fill="auto"/>
            <w:noWrap/>
            <w:vAlign w:val="bottom"/>
            <w:hideMark/>
          </w:tcPr>
          <w:p w14:paraId="222974ED" w14:textId="77777777" w:rsidR="00CF0537" w:rsidRPr="00CF0537" w:rsidRDefault="00B71D04" w:rsidP="00CF0537">
            <w:pPr>
              <w:spacing w:after="0" w:line="240" w:lineRule="auto"/>
              <w:jc w:val="righ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5000</w:t>
            </w:r>
          </w:p>
        </w:tc>
        <w:tc>
          <w:tcPr>
            <w:tcW w:w="1340" w:type="dxa"/>
            <w:tcBorders>
              <w:top w:val="single" w:sz="4" w:space="0" w:color="4472C4"/>
              <w:left w:val="nil"/>
              <w:bottom w:val="nil"/>
              <w:right w:val="single" w:sz="4" w:space="0" w:color="4472C4"/>
            </w:tcBorders>
            <w:shd w:val="clear" w:color="auto" w:fill="auto"/>
            <w:noWrap/>
            <w:vAlign w:val="bottom"/>
            <w:hideMark/>
          </w:tcPr>
          <w:p w14:paraId="2B776B89" w14:textId="77777777" w:rsidR="00CF0537" w:rsidRPr="00CF0537" w:rsidRDefault="00CF0537" w:rsidP="00CF0537">
            <w:pPr>
              <w:spacing w:after="0" w:line="240" w:lineRule="auto"/>
              <w:jc w:val="right"/>
              <w:rPr>
                <w:rFonts w:ascii="Calibri" w:eastAsia="Times New Roman" w:hAnsi="Calibri" w:cs="Calibri"/>
                <w:color w:val="000000"/>
                <w:sz w:val="22"/>
                <w:lang w:val="en-US"/>
              </w:rPr>
            </w:pPr>
          </w:p>
        </w:tc>
      </w:tr>
      <w:tr w:rsidR="00023256" w14:paraId="101B5B2B" w14:textId="77777777" w:rsidTr="00CF0537">
        <w:trPr>
          <w:trHeight w:val="288"/>
        </w:trPr>
        <w:tc>
          <w:tcPr>
            <w:tcW w:w="2840" w:type="dxa"/>
            <w:tcBorders>
              <w:top w:val="single" w:sz="4" w:space="0" w:color="4472C4"/>
              <w:left w:val="single" w:sz="4" w:space="0" w:color="4472C4"/>
              <w:bottom w:val="nil"/>
              <w:right w:val="nil"/>
            </w:tcBorders>
            <w:shd w:val="clear" w:color="auto" w:fill="auto"/>
            <w:noWrap/>
            <w:vAlign w:val="bottom"/>
            <w:hideMark/>
          </w:tcPr>
          <w:p w14:paraId="076A1502" w14:textId="77777777" w:rsidR="00CF0537" w:rsidRPr="00CF0537" w:rsidRDefault="00B71D04" w:rsidP="00CF0537">
            <w:pPr>
              <w:spacing w:after="0" w:line="240" w:lineRule="auto"/>
              <w:jc w:val="lef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Interest paid</w:t>
            </w:r>
          </w:p>
        </w:tc>
        <w:tc>
          <w:tcPr>
            <w:tcW w:w="2360" w:type="dxa"/>
            <w:tcBorders>
              <w:top w:val="single" w:sz="4" w:space="0" w:color="4472C4"/>
              <w:left w:val="nil"/>
              <w:bottom w:val="nil"/>
              <w:right w:val="nil"/>
            </w:tcBorders>
            <w:shd w:val="clear" w:color="auto" w:fill="auto"/>
            <w:noWrap/>
            <w:vAlign w:val="bottom"/>
            <w:hideMark/>
          </w:tcPr>
          <w:p w14:paraId="0BB498AA" w14:textId="77777777" w:rsidR="00CF0537" w:rsidRPr="00CF0537" w:rsidRDefault="00B71D04" w:rsidP="00CF0537">
            <w:pPr>
              <w:spacing w:after="0" w:line="240" w:lineRule="auto"/>
              <w:jc w:val="righ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2000</w:t>
            </w:r>
          </w:p>
        </w:tc>
        <w:tc>
          <w:tcPr>
            <w:tcW w:w="1340" w:type="dxa"/>
            <w:tcBorders>
              <w:top w:val="single" w:sz="4" w:space="0" w:color="4472C4"/>
              <w:left w:val="nil"/>
              <w:bottom w:val="nil"/>
              <w:right w:val="single" w:sz="4" w:space="0" w:color="4472C4"/>
            </w:tcBorders>
            <w:shd w:val="clear" w:color="auto" w:fill="auto"/>
            <w:noWrap/>
            <w:vAlign w:val="bottom"/>
            <w:hideMark/>
          </w:tcPr>
          <w:p w14:paraId="2A51684F" w14:textId="77777777" w:rsidR="00CF0537" w:rsidRPr="00CF0537" w:rsidRDefault="00CF0537" w:rsidP="00CF0537">
            <w:pPr>
              <w:spacing w:after="0" w:line="240" w:lineRule="auto"/>
              <w:jc w:val="right"/>
              <w:rPr>
                <w:rFonts w:ascii="Calibri" w:eastAsia="Times New Roman" w:hAnsi="Calibri" w:cs="Calibri"/>
                <w:color w:val="000000"/>
                <w:sz w:val="22"/>
                <w:lang w:val="en-US"/>
              </w:rPr>
            </w:pPr>
          </w:p>
        </w:tc>
      </w:tr>
      <w:tr w:rsidR="00023256" w14:paraId="743774B6" w14:textId="77777777" w:rsidTr="00CF0537">
        <w:trPr>
          <w:trHeight w:val="288"/>
        </w:trPr>
        <w:tc>
          <w:tcPr>
            <w:tcW w:w="2840" w:type="dxa"/>
            <w:tcBorders>
              <w:top w:val="single" w:sz="4" w:space="0" w:color="4472C4"/>
              <w:left w:val="single" w:sz="4" w:space="0" w:color="4472C4"/>
              <w:bottom w:val="nil"/>
              <w:right w:val="nil"/>
            </w:tcBorders>
            <w:shd w:val="clear" w:color="auto" w:fill="auto"/>
            <w:noWrap/>
            <w:vAlign w:val="bottom"/>
            <w:hideMark/>
          </w:tcPr>
          <w:p w14:paraId="04854A81" w14:textId="77777777" w:rsidR="00CF0537" w:rsidRPr="00CF0537" w:rsidRDefault="00B71D04" w:rsidP="00CF0537">
            <w:pPr>
              <w:spacing w:after="0" w:line="240" w:lineRule="auto"/>
              <w:jc w:val="lef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Total operating expenses</w:t>
            </w:r>
          </w:p>
        </w:tc>
        <w:tc>
          <w:tcPr>
            <w:tcW w:w="2360" w:type="dxa"/>
            <w:tcBorders>
              <w:top w:val="single" w:sz="4" w:space="0" w:color="4472C4"/>
              <w:left w:val="nil"/>
              <w:bottom w:val="nil"/>
              <w:right w:val="nil"/>
            </w:tcBorders>
            <w:shd w:val="clear" w:color="auto" w:fill="auto"/>
            <w:noWrap/>
            <w:vAlign w:val="bottom"/>
            <w:hideMark/>
          </w:tcPr>
          <w:p w14:paraId="0887EE17" w14:textId="77777777" w:rsidR="00CF0537" w:rsidRPr="00CF0537" w:rsidRDefault="00CF0537" w:rsidP="00CF0537">
            <w:pPr>
              <w:spacing w:after="0" w:line="240" w:lineRule="auto"/>
              <w:jc w:val="left"/>
              <w:rPr>
                <w:rFonts w:ascii="Calibri" w:eastAsia="Times New Roman" w:hAnsi="Calibri" w:cs="Calibri"/>
                <w:color w:val="000000"/>
                <w:sz w:val="22"/>
                <w:lang w:val="en-US"/>
              </w:rPr>
            </w:pPr>
          </w:p>
        </w:tc>
        <w:tc>
          <w:tcPr>
            <w:tcW w:w="1340" w:type="dxa"/>
            <w:tcBorders>
              <w:top w:val="single" w:sz="4" w:space="0" w:color="4472C4"/>
              <w:left w:val="nil"/>
              <w:bottom w:val="nil"/>
              <w:right w:val="single" w:sz="4" w:space="0" w:color="4472C4"/>
            </w:tcBorders>
            <w:shd w:val="clear" w:color="auto" w:fill="auto"/>
            <w:noWrap/>
            <w:vAlign w:val="bottom"/>
            <w:hideMark/>
          </w:tcPr>
          <w:p w14:paraId="61C596CF" w14:textId="77777777" w:rsidR="00CF0537" w:rsidRPr="00CF0537" w:rsidRDefault="00B71D04" w:rsidP="00CF0537">
            <w:pPr>
              <w:spacing w:after="0" w:line="240" w:lineRule="auto"/>
              <w:jc w:val="righ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205000</w:t>
            </w:r>
          </w:p>
        </w:tc>
      </w:tr>
      <w:tr w:rsidR="00023256" w14:paraId="694CF63E" w14:textId="77777777" w:rsidTr="00CF0537">
        <w:trPr>
          <w:trHeight w:val="288"/>
        </w:trPr>
        <w:tc>
          <w:tcPr>
            <w:tcW w:w="2840" w:type="dxa"/>
            <w:tcBorders>
              <w:top w:val="single" w:sz="4" w:space="0" w:color="4472C4"/>
              <w:left w:val="single" w:sz="4" w:space="0" w:color="4472C4"/>
              <w:bottom w:val="nil"/>
              <w:right w:val="nil"/>
            </w:tcBorders>
            <w:shd w:val="clear" w:color="auto" w:fill="auto"/>
            <w:noWrap/>
            <w:vAlign w:val="bottom"/>
            <w:hideMark/>
          </w:tcPr>
          <w:p w14:paraId="0E857171" w14:textId="77777777" w:rsidR="00CF0537" w:rsidRPr="00CF0537" w:rsidRDefault="00B71D04" w:rsidP="00CF0537">
            <w:pPr>
              <w:spacing w:after="0" w:line="240" w:lineRule="auto"/>
              <w:jc w:val="lef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Profit before tax</w:t>
            </w:r>
          </w:p>
        </w:tc>
        <w:tc>
          <w:tcPr>
            <w:tcW w:w="2360" w:type="dxa"/>
            <w:tcBorders>
              <w:top w:val="single" w:sz="4" w:space="0" w:color="4472C4"/>
              <w:left w:val="nil"/>
              <w:bottom w:val="nil"/>
              <w:right w:val="nil"/>
            </w:tcBorders>
            <w:shd w:val="clear" w:color="auto" w:fill="auto"/>
            <w:noWrap/>
            <w:vAlign w:val="bottom"/>
            <w:hideMark/>
          </w:tcPr>
          <w:p w14:paraId="305DB153" w14:textId="77777777" w:rsidR="00CF0537" w:rsidRPr="00CF0537" w:rsidRDefault="00CF0537" w:rsidP="00CF0537">
            <w:pPr>
              <w:spacing w:after="0" w:line="240" w:lineRule="auto"/>
              <w:jc w:val="left"/>
              <w:rPr>
                <w:rFonts w:ascii="Calibri" w:eastAsia="Times New Roman" w:hAnsi="Calibri" w:cs="Calibri"/>
                <w:color w:val="000000"/>
                <w:sz w:val="22"/>
                <w:lang w:val="en-US"/>
              </w:rPr>
            </w:pPr>
          </w:p>
        </w:tc>
        <w:tc>
          <w:tcPr>
            <w:tcW w:w="1340" w:type="dxa"/>
            <w:tcBorders>
              <w:top w:val="single" w:sz="4" w:space="0" w:color="4472C4"/>
              <w:left w:val="nil"/>
              <w:bottom w:val="nil"/>
              <w:right w:val="single" w:sz="4" w:space="0" w:color="4472C4"/>
            </w:tcBorders>
            <w:shd w:val="clear" w:color="auto" w:fill="auto"/>
            <w:noWrap/>
            <w:vAlign w:val="bottom"/>
            <w:hideMark/>
          </w:tcPr>
          <w:p w14:paraId="15689C9D" w14:textId="77777777" w:rsidR="00CF0537" w:rsidRPr="00CF0537" w:rsidRDefault="00CF0537" w:rsidP="00CF0537">
            <w:pPr>
              <w:spacing w:after="0" w:line="240" w:lineRule="auto"/>
              <w:jc w:val="left"/>
              <w:rPr>
                <w:rFonts w:eastAsia="Times New Roman" w:cs="Times New Roman"/>
                <w:sz w:val="20"/>
                <w:szCs w:val="20"/>
                <w:lang w:val="en-US"/>
              </w:rPr>
            </w:pPr>
          </w:p>
        </w:tc>
      </w:tr>
      <w:tr w:rsidR="00023256" w14:paraId="52ABE023" w14:textId="77777777" w:rsidTr="00CF0537">
        <w:trPr>
          <w:trHeight w:val="288"/>
        </w:trPr>
        <w:tc>
          <w:tcPr>
            <w:tcW w:w="2840" w:type="dxa"/>
            <w:tcBorders>
              <w:top w:val="single" w:sz="4" w:space="0" w:color="4472C4"/>
              <w:left w:val="single" w:sz="4" w:space="0" w:color="4472C4"/>
              <w:bottom w:val="nil"/>
              <w:right w:val="nil"/>
            </w:tcBorders>
            <w:shd w:val="clear" w:color="auto" w:fill="auto"/>
            <w:noWrap/>
            <w:vAlign w:val="bottom"/>
            <w:hideMark/>
          </w:tcPr>
          <w:p w14:paraId="488FA61A" w14:textId="77777777" w:rsidR="00CF0537" w:rsidRPr="00CF0537" w:rsidRDefault="00B71D04" w:rsidP="00CF0537">
            <w:pPr>
              <w:spacing w:after="0" w:line="240" w:lineRule="auto"/>
              <w:jc w:val="lef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Tax estimated</w:t>
            </w:r>
          </w:p>
        </w:tc>
        <w:tc>
          <w:tcPr>
            <w:tcW w:w="2360" w:type="dxa"/>
            <w:tcBorders>
              <w:top w:val="single" w:sz="4" w:space="0" w:color="4472C4"/>
              <w:left w:val="nil"/>
              <w:bottom w:val="nil"/>
              <w:right w:val="nil"/>
            </w:tcBorders>
            <w:shd w:val="clear" w:color="auto" w:fill="auto"/>
            <w:noWrap/>
            <w:vAlign w:val="bottom"/>
            <w:hideMark/>
          </w:tcPr>
          <w:p w14:paraId="49E41DC5" w14:textId="77777777" w:rsidR="00CF0537" w:rsidRPr="00CF0537" w:rsidRDefault="00CF0537" w:rsidP="00CF0537">
            <w:pPr>
              <w:spacing w:after="0" w:line="240" w:lineRule="auto"/>
              <w:jc w:val="left"/>
              <w:rPr>
                <w:rFonts w:ascii="Calibri" w:eastAsia="Times New Roman" w:hAnsi="Calibri" w:cs="Calibri"/>
                <w:color w:val="000000"/>
                <w:sz w:val="22"/>
                <w:lang w:val="en-US"/>
              </w:rPr>
            </w:pPr>
          </w:p>
        </w:tc>
        <w:tc>
          <w:tcPr>
            <w:tcW w:w="1340" w:type="dxa"/>
            <w:tcBorders>
              <w:top w:val="single" w:sz="4" w:space="0" w:color="4472C4"/>
              <w:left w:val="nil"/>
              <w:bottom w:val="nil"/>
              <w:right w:val="single" w:sz="4" w:space="0" w:color="4472C4"/>
            </w:tcBorders>
            <w:shd w:val="clear" w:color="auto" w:fill="auto"/>
            <w:noWrap/>
            <w:vAlign w:val="bottom"/>
            <w:hideMark/>
          </w:tcPr>
          <w:p w14:paraId="4F56DEBD" w14:textId="77777777" w:rsidR="00CF0537" w:rsidRPr="00CF0537" w:rsidRDefault="00B71D04" w:rsidP="00CF0537">
            <w:pPr>
              <w:spacing w:after="0" w:line="240" w:lineRule="auto"/>
              <w:jc w:val="righ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15000</w:t>
            </w:r>
          </w:p>
        </w:tc>
      </w:tr>
      <w:tr w:rsidR="00023256" w14:paraId="06A5C65C" w14:textId="77777777" w:rsidTr="00CF0537">
        <w:trPr>
          <w:trHeight w:val="288"/>
        </w:trPr>
        <w:tc>
          <w:tcPr>
            <w:tcW w:w="2840" w:type="dxa"/>
            <w:tcBorders>
              <w:top w:val="single" w:sz="4" w:space="0" w:color="4472C4"/>
              <w:left w:val="single" w:sz="4" w:space="0" w:color="4472C4"/>
              <w:bottom w:val="single" w:sz="4" w:space="0" w:color="4472C4"/>
              <w:right w:val="nil"/>
            </w:tcBorders>
            <w:shd w:val="clear" w:color="auto" w:fill="auto"/>
            <w:noWrap/>
            <w:vAlign w:val="bottom"/>
            <w:hideMark/>
          </w:tcPr>
          <w:p w14:paraId="26C272A3" w14:textId="77777777" w:rsidR="00CF0537" w:rsidRPr="00CF0537" w:rsidRDefault="00B71D04" w:rsidP="00CF0537">
            <w:pPr>
              <w:spacing w:after="0" w:line="240" w:lineRule="auto"/>
              <w:jc w:val="lef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Net profit for the year</w:t>
            </w:r>
          </w:p>
        </w:tc>
        <w:tc>
          <w:tcPr>
            <w:tcW w:w="2360" w:type="dxa"/>
            <w:tcBorders>
              <w:top w:val="single" w:sz="4" w:space="0" w:color="4472C4"/>
              <w:left w:val="nil"/>
              <w:bottom w:val="single" w:sz="4" w:space="0" w:color="4472C4"/>
              <w:right w:val="nil"/>
            </w:tcBorders>
            <w:shd w:val="clear" w:color="auto" w:fill="auto"/>
            <w:noWrap/>
            <w:vAlign w:val="bottom"/>
            <w:hideMark/>
          </w:tcPr>
          <w:p w14:paraId="0CB49B7A" w14:textId="77777777" w:rsidR="00CF0537" w:rsidRPr="00CF0537" w:rsidRDefault="00CF0537" w:rsidP="00CF0537">
            <w:pPr>
              <w:spacing w:after="0" w:line="240" w:lineRule="auto"/>
              <w:jc w:val="left"/>
              <w:rPr>
                <w:rFonts w:ascii="Calibri" w:eastAsia="Times New Roman" w:hAnsi="Calibri" w:cs="Calibri"/>
                <w:color w:val="000000"/>
                <w:sz w:val="22"/>
                <w:lang w:val="en-US"/>
              </w:rPr>
            </w:pPr>
          </w:p>
        </w:tc>
        <w:tc>
          <w:tcPr>
            <w:tcW w:w="1340" w:type="dxa"/>
            <w:tcBorders>
              <w:top w:val="single" w:sz="4" w:space="0" w:color="4472C4"/>
              <w:left w:val="nil"/>
              <w:bottom w:val="single" w:sz="4" w:space="0" w:color="4472C4"/>
              <w:right w:val="single" w:sz="4" w:space="0" w:color="4472C4"/>
            </w:tcBorders>
            <w:shd w:val="clear" w:color="auto" w:fill="auto"/>
            <w:noWrap/>
            <w:vAlign w:val="bottom"/>
            <w:hideMark/>
          </w:tcPr>
          <w:p w14:paraId="07BD5D02" w14:textId="77777777" w:rsidR="00CF0537" w:rsidRPr="00CF0537" w:rsidRDefault="00B71D04" w:rsidP="00CF0537">
            <w:pPr>
              <w:spacing w:after="0" w:line="240" w:lineRule="auto"/>
              <w:jc w:val="right"/>
              <w:rPr>
                <w:rFonts w:ascii="Calibri" w:eastAsia="Times New Roman" w:hAnsi="Calibri" w:cs="Calibri"/>
                <w:color w:val="000000"/>
                <w:sz w:val="22"/>
                <w:lang w:val="en-US"/>
              </w:rPr>
            </w:pPr>
            <w:r w:rsidRPr="00CF0537">
              <w:rPr>
                <w:rFonts w:ascii="Calibri" w:eastAsia="Times New Roman" w:hAnsi="Calibri" w:cs="Calibri"/>
                <w:color w:val="000000"/>
                <w:sz w:val="22"/>
                <w:lang w:val="en-US"/>
              </w:rPr>
              <w:t>613000</w:t>
            </w:r>
          </w:p>
        </w:tc>
      </w:tr>
    </w:tbl>
    <w:p w14:paraId="3A5831BB" w14:textId="77777777" w:rsidR="00E3660C" w:rsidRDefault="00E3660C">
      <w:pPr>
        <w:spacing w:line="259" w:lineRule="auto"/>
        <w:jc w:val="left"/>
      </w:pPr>
    </w:p>
    <w:p w14:paraId="50CAB665" w14:textId="77777777" w:rsidR="00407E27" w:rsidRPr="00407E27" w:rsidRDefault="00B71D04" w:rsidP="00407E27">
      <w:pPr>
        <w:rPr>
          <w:b/>
          <w:bCs/>
          <w:i/>
          <w:iCs/>
          <w:u w:val="single"/>
        </w:rPr>
      </w:pPr>
      <w:r w:rsidRPr="00407E27">
        <w:rPr>
          <w:b/>
          <w:bCs/>
          <w:i/>
          <w:iCs/>
          <w:u w:val="single"/>
        </w:rPr>
        <w:t>Presenting the analysis of the above computation</w:t>
      </w:r>
      <w:r w:rsidR="00DD481E" w:rsidRPr="00407E27">
        <w:rPr>
          <w:b/>
          <w:bCs/>
          <w:i/>
          <w:iCs/>
          <w:u w:val="single"/>
        </w:rPr>
        <w:t>:</w:t>
      </w:r>
    </w:p>
    <w:p w14:paraId="782A868A" w14:textId="1311FC5D" w:rsidR="00B763C5" w:rsidRDefault="00B71D04" w:rsidP="00407E27">
      <w:r>
        <w:t xml:space="preserve">The above statement is showing the preparation of an income statement for the particular company Wales Plc. Here, the statement has been prepared for the year 2022 where the overall rate of the revenue has been made by the respective business is around </w:t>
      </w:r>
      <w:r w:rsidR="00A11B09">
        <w:rPr>
          <w:rFonts w:cs="Times New Roman"/>
        </w:rPr>
        <w:t>£</w:t>
      </w:r>
      <w:r>
        <w:t xml:space="preserve"> </w:t>
      </w:r>
      <w:r w:rsidR="00CF4CCD">
        <w:t xml:space="preserve">900000. </w:t>
      </w:r>
      <w:r w:rsidR="008F6191">
        <w:t xml:space="preserve">It has also added the value of depreciation on inventory after which the actual amount of </w:t>
      </w:r>
      <w:r w:rsidR="00994703">
        <w:t>gross profit</w:t>
      </w:r>
      <w:r w:rsidR="008F6191">
        <w:t xml:space="preserve"> has been identified as </w:t>
      </w:r>
      <w:r w:rsidR="008F6191">
        <w:rPr>
          <w:rFonts w:cs="Times New Roman"/>
        </w:rPr>
        <w:t>£</w:t>
      </w:r>
      <w:r w:rsidR="008F6191">
        <w:t xml:space="preserve"> 835000.</w:t>
      </w:r>
      <w:r w:rsidR="00DC0723">
        <w:t xml:space="preserve"> </w:t>
      </w:r>
      <w:r w:rsidR="006A4AB7">
        <w:t>Moving ahead there are also some of the expenses which have been incurred by the entity at the time of operating their activities have been added and the sum total of the expenses has been determined</w:t>
      </w:r>
      <w:r w:rsidR="000F7A66">
        <w:t xml:space="preserve"> </w:t>
      </w:r>
      <w:r w:rsidR="000F7A66">
        <w:rPr>
          <w:rFonts w:cs="Times New Roman"/>
        </w:rPr>
        <w:t>£</w:t>
      </w:r>
      <w:r w:rsidR="000F7A66">
        <w:t xml:space="preserve"> </w:t>
      </w:r>
      <w:r w:rsidR="00A24439">
        <w:t xml:space="preserve">205000. </w:t>
      </w:r>
      <w:r w:rsidR="006E40F0">
        <w:t xml:space="preserve">Hence, Wales Plc’s net profit has been evaluated as </w:t>
      </w:r>
      <w:r w:rsidR="00A814BE">
        <w:rPr>
          <w:rFonts w:cs="Times New Roman"/>
        </w:rPr>
        <w:t>£</w:t>
      </w:r>
      <w:r w:rsidR="00A814BE">
        <w:t xml:space="preserve"> </w:t>
      </w:r>
      <w:r w:rsidR="00AC4EFA">
        <w:t xml:space="preserve">613000. </w:t>
      </w:r>
      <w:r>
        <w:br w:type="page"/>
      </w:r>
    </w:p>
    <w:p w14:paraId="4CDC154E" w14:textId="43AE5159" w:rsidR="00D54871" w:rsidRDefault="00B71D04" w:rsidP="00D54871">
      <w:pPr>
        <w:pStyle w:val="Heading1"/>
      </w:pPr>
      <w:bookmarkStart w:id="4" w:name="_Toc153200955"/>
      <w:r>
        <w:lastRenderedPageBreak/>
        <w:t xml:space="preserve">QUESTION </w:t>
      </w:r>
      <w:r w:rsidR="0004191D">
        <w:t>3</w:t>
      </w:r>
      <w:bookmarkEnd w:id="4"/>
    </w:p>
    <w:p w14:paraId="4FC65023" w14:textId="77777777" w:rsidR="004B3086" w:rsidRDefault="00B71D04" w:rsidP="003D554C">
      <w:pPr>
        <w:rPr>
          <w:b/>
          <w:bCs/>
          <w:i/>
          <w:iCs/>
          <w:u w:val="single"/>
        </w:rPr>
      </w:pPr>
      <w:r w:rsidRPr="00D65B11">
        <w:rPr>
          <w:b/>
          <w:bCs/>
          <w:i/>
          <w:iCs/>
          <w:u w:val="single"/>
        </w:rPr>
        <w:t xml:space="preserve">Presenting the financial ratio for </w:t>
      </w:r>
      <w:r w:rsidR="000A16E6" w:rsidRPr="00D65B11">
        <w:rPr>
          <w:b/>
          <w:bCs/>
          <w:i/>
          <w:iCs/>
          <w:u w:val="single"/>
        </w:rPr>
        <w:t>Sweet</w:t>
      </w:r>
      <w:r w:rsidR="00DF6DAC" w:rsidRPr="00D65B11">
        <w:rPr>
          <w:b/>
          <w:bCs/>
          <w:i/>
          <w:iCs/>
          <w:u w:val="single"/>
        </w:rPr>
        <w:t>s</w:t>
      </w:r>
      <w:r w:rsidR="000A16E6" w:rsidRPr="00D65B11">
        <w:rPr>
          <w:b/>
          <w:bCs/>
          <w:i/>
          <w:iCs/>
          <w:u w:val="single"/>
        </w:rPr>
        <w:t xml:space="preserve"> plc </w:t>
      </w:r>
      <w:r w:rsidR="005067D5" w:rsidRPr="00D65B11">
        <w:rPr>
          <w:b/>
          <w:bCs/>
          <w:i/>
          <w:iCs/>
          <w:u w:val="single"/>
        </w:rPr>
        <w:t>for the year 2021 and 2022</w:t>
      </w:r>
    </w:p>
    <w:p w14:paraId="1376BD17" w14:textId="39DB137A" w:rsidR="00012EEC" w:rsidRPr="008A0BDB" w:rsidRDefault="00B71D04" w:rsidP="003D554C">
      <w:pPr>
        <w:rPr>
          <w:i/>
          <w:iCs/>
          <w:u w:val="single"/>
        </w:rPr>
      </w:pPr>
      <w:r w:rsidRPr="008A0BDB">
        <w:rPr>
          <w:i/>
          <w:iCs/>
          <w:u w:val="single"/>
        </w:rPr>
        <w:t>ROSE</w:t>
      </w:r>
    </w:p>
    <w:tbl>
      <w:tblPr>
        <w:tblStyle w:val="ListTable7ColourfulAccent6"/>
        <w:tblW w:w="0" w:type="auto"/>
        <w:shd w:val="clear" w:color="auto" w:fill="FFC000" w:themeFill="accent4"/>
        <w:tblLook w:val="04A0" w:firstRow="1" w:lastRow="0" w:firstColumn="1" w:lastColumn="0" w:noHBand="0" w:noVBand="1"/>
      </w:tblPr>
      <w:tblGrid>
        <w:gridCol w:w="4109"/>
        <w:gridCol w:w="1799"/>
        <w:gridCol w:w="1603"/>
      </w:tblGrid>
      <w:tr w:rsidR="00023256" w14:paraId="4B28E918" w14:textId="77777777" w:rsidTr="00023256">
        <w:trPr>
          <w:cnfStyle w:val="100000000000" w:firstRow="1" w:lastRow="0" w:firstColumn="0" w:lastColumn="0" w:oddVBand="0" w:evenVBand="0" w:oddHBand="0" w:evenHBand="0" w:firstRowFirstColumn="0" w:firstRowLastColumn="0" w:lastRowFirstColumn="0" w:lastRowLastColumn="0"/>
          <w:trHeight w:val="305"/>
        </w:trPr>
        <w:tc>
          <w:tcPr>
            <w:cnfStyle w:val="001000000100" w:firstRow="0" w:lastRow="0" w:firstColumn="1" w:lastColumn="0" w:oddVBand="0" w:evenVBand="0" w:oddHBand="0" w:evenHBand="0" w:firstRowFirstColumn="1" w:firstRowLastColumn="0" w:lastRowFirstColumn="0" w:lastRowLastColumn="0"/>
            <w:tcW w:w="0" w:type="auto"/>
            <w:gridSpan w:val="3"/>
            <w:tcBorders>
              <w:top w:val="nil"/>
              <w:left w:val="nil"/>
            </w:tcBorders>
            <w:shd w:val="clear" w:color="auto" w:fill="FFC000" w:themeFill="accent4"/>
            <w:hideMark/>
          </w:tcPr>
          <w:p w14:paraId="4D40D49A" w14:textId="77777777" w:rsidR="00012EEC" w:rsidRDefault="00B71D04" w:rsidP="00553224">
            <w:pPr>
              <w:jc w:val="center"/>
              <w:rPr>
                <w:rFonts w:eastAsia="Times New Roman" w:cs="Times New Roman"/>
              </w:rPr>
            </w:pPr>
            <w:r>
              <w:rPr>
                <w:rFonts w:eastAsia="Times New Roman" w:cs="Times New Roman"/>
                <w:color w:val="000000"/>
                <w:shd w:val="clear" w:color="auto" w:fill="DAEEF3"/>
              </w:rPr>
              <w:t>Calculation of Return on capital employed (ROCE)</w:t>
            </w:r>
          </w:p>
        </w:tc>
      </w:tr>
      <w:tr w:rsidR="00023256" w14:paraId="6ACADBEF" w14:textId="77777777" w:rsidTr="00023256">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7B830CB1" w14:textId="77777777" w:rsidR="00012EEC" w:rsidRDefault="00B71D04" w:rsidP="00553224">
            <w:pPr>
              <w:jc w:val="center"/>
              <w:rPr>
                <w:rFonts w:eastAsia="Times New Roman" w:cs="Times New Roman"/>
              </w:rPr>
            </w:pPr>
            <w:r>
              <w:rPr>
                <w:rFonts w:eastAsia="Times New Roman" w:cs="Times New Roman"/>
                <w:color w:val="000000"/>
              </w:rPr>
              <w:t>Particulars </w:t>
            </w:r>
          </w:p>
        </w:tc>
        <w:tc>
          <w:tcPr>
            <w:tcW w:w="0" w:type="auto"/>
            <w:shd w:val="clear" w:color="auto" w:fill="FFC000" w:themeFill="accent4"/>
            <w:hideMark/>
          </w:tcPr>
          <w:p w14:paraId="6D8ACD5F" w14:textId="77777777" w:rsidR="00012EEC"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2022 </w:t>
            </w:r>
          </w:p>
        </w:tc>
        <w:tc>
          <w:tcPr>
            <w:tcW w:w="0" w:type="auto"/>
            <w:shd w:val="clear" w:color="auto" w:fill="FFC000" w:themeFill="accent4"/>
            <w:hideMark/>
          </w:tcPr>
          <w:p w14:paraId="00F5A516" w14:textId="77777777" w:rsidR="00012EEC"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2021</w:t>
            </w:r>
          </w:p>
        </w:tc>
      </w:tr>
      <w:tr w:rsidR="00023256" w14:paraId="3FF818B9" w14:textId="77777777" w:rsidTr="00023256">
        <w:trPr>
          <w:trHeight w:val="305"/>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036460B5" w14:textId="77777777" w:rsidR="00012EEC" w:rsidRDefault="00B71D04" w:rsidP="00553224">
            <w:pPr>
              <w:jc w:val="left"/>
              <w:rPr>
                <w:rFonts w:eastAsia="Times New Roman" w:cs="Times New Roman"/>
              </w:rPr>
            </w:pPr>
            <w:r>
              <w:rPr>
                <w:rFonts w:eastAsia="Times New Roman" w:cs="Times New Roman"/>
                <w:color w:val="000000"/>
              </w:rPr>
              <w:t>Earnings before interest and tax (EBIT) </w:t>
            </w:r>
          </w:p>
        </w:tc>
        <w:tc>
          <w:tcPr>
            <w:tcW w:w="0" w:type="auto"/>
            <w:shd w:val="clear" w:color="auto" w:fill="FFC000" w:themeFill="accent4"/>
            <w:hideMark/>
          </w:tcPr>
          <w:p w14:paraId="3CDEA897" w14:textId="77777777" w:rsidR="00012EEC"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eastAsia="Times New Roman" w:cs="Times New Roman"/>
                <w:color w:val="000000"/>
              </w:rPr>
              <w:t>805 </w:t>
            </w:r>
          </w:p>
        </w:tc>
        <w:tc>
          <w:tcPr>
            <w:tcW w:w="0" w:type="auto"/>
            <w:shd w:val="clear" w:color="auto" w:fill="FFC000" w:themeFill="accent4"/>
            <w:hideMark/>
          </w:tcPr>
          <w:p w14:paraId="44F68278" w14:textId="77777777" w:rsidR="00012EEC"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eastAsia="Times New Roman" w:cs="Times New Roman"/>
                <w:color w:val="000000"/>
              </w:rPr>
              <w:t>699</w:t>
            </w:r>
          </w:p>
        </w:tc>
      </w:tr>
      <w:tr w:rsidR="00023256" w14:paraId="6B56E312" w14:textId="77777777" w:rsidTr="00023256">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2BD956F6" w14:textId="77777777" w:rsidR="00012EEC" w:rsidRDefault="00B71D04" w:rsidP="00553224">
            <w:pPr>
              <w:jc w:val="center"/>
              <w:rPr>
                <w:rFonts w:eastAsia="Times New Roman" w:cs="Times New Roman"/>
              </w:rPr>
            </w:pPr>
            <w:r>
              <w:rPr>
                <w:rFonts w:eastAsia="Times New Roman" w:cs="Times New Roman"/>
                <w:color w:val="000000"/>
              </w:rPr>
              <w:t>Total Asset </w:t>
            </w:r>
          </w:p>
        </w:tc>
        <w:tc>
          <w:tcPr>
            <w:tcW w:w="0" w:type="auto"/>
            <w:shd w:val="clear" w:color="auto" w:fill="FFC000" w:themeFill="accent4"/>
            <w:hideMark/>
          </w:tcPr>
          <w:p w14:paraId="4BE9E878" w14:textId="77777777" w:rsidR="00012EEC"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9,736 </w:t>
            </w:r>
          </w:p>
        </w:tc>
        <w:tc>
          <w:tcPr>
            <w:tcW w:w="0" w:type="auto"/>
            <w:shd w:val="clear" w:color="auto" w:fill="FFC000" w:themeFill="accent4"/>
            <w:hideMark/>
          </w:tcPr>
          <w:p w14:paraId="678819E9" w14:textId="77777777" w:rsidR="00012EEC"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10,087</w:t>
            </w:r>
          </w:p>
        </w:tc>
      </w:tr>
      <w:tr w:rsidR="00023256" w14:paraId="6E3823D0" w14:textId="77777777" w:rsidTr="00023256">
        <w:trPr>
          <w:trHeight w:val="305"/>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7F522B29" w14:textId="77777777" w:rsidR="00012EEC" w:rsidRDefault="00B71D04" w:rsidP="00553224">
            <w:pPr>
              <w:jc w:val="center"/>
              <w:rPr>
                <w:rFonts w:eastAsia="Times New Roman" w:cs="Times New Roman"/>
              </w:rPr>
            </w:pPr>
            <w:r>
              <w:rPr>
                <w:rFonts w:eastAsia="Times New Roman" w:cs="Times New Roman"/>
                <w:color w:val="000000"/>
              </w:rPr>
              <w:t>Current liabilities </w:t>
            </w:r>
          </w:p>
        </w:tc>
        <w:tc>
          <w:tcPr>
            <w:tcW w:w="0" w:type="auto"/>
            <w:shd w:val="clear" w:color="auto" w:fill="FFC000" w:themeFill="accent4"/>
            <w:hideMark/>
          </w:tcPr>
          <w:p w14:paraId="0E4ECD64" w14:textId="77777777" w:rsidR="00012EEC"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eastAsia="Times New Roman" w:cs="Times New Roman"/>
                <w:color w:val="000000"/>
              </w:rPr>
              <w:t>2,511 </w:t>
            </w:r>
          </w:p>
        </w:tc>
        <w:tc>
          <w:tcPr>
            <w:tcW w:w="0" w:type="auto"/>
            <w:shd w:val="clear" w:color="auto" w:fill="FFC000" w:themeFill="accent4"/>
            <w:hideMark/>
          </w:tcPr>
          <w:p w14:paraId="002A34CC" w14:textId="77777777" w:rsidR="00012EEC"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eastAsia="Times New Roman" w:cs="Times New Roman"/>
                <w:color w:val="000000"/>
              </w:rPr>
              <w:t>3,046</w:t>
            </w:r>
          </w:p>
        </w:tc>
      </w:tr>
      <w:tr w:rsidR="00023256" w14:paraId="67618983" w14:textId="77777777" w:rsidTr="00023256">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7AC2DB1F" w14:textId="77777777" w:rsidR="00012EEC" w:rsidRDefault="00B71D04" w:rsidP="00553224">
            <w:pPr>
              <w:jc w:val="center"/>
              <w:rPr>
                <w:rFonts w:eastAsia="Times New Roman" w:cs="Times New Roman"/>
              </w:rPr>
            </w:pPr>
            <w:r>
              <w:rPr>
                <w:rFonts w:eastAsia="Times New Roman" w:cs="Times New Roman"/>
                <w:color w:val="000000"/>
              </w:rPr>
              <w:t>Capital employed </w:t>
            </w:r>
          </w:p>
        </w:tc>
        <w:tc>
          <w:tcPr>
            <w:tcW w:w="0" w:type="auto"/>
            <w:shd w:val="clear" w:color="auto" w:fill="FFC000" w:themeFill="accent4"/>
            <w:hideMark/>
          </w:tcPr>
          <w:p w14:paraId="205D2688" w14:textId="77777777" w:rsidR="00012EEC"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7,225 </w:t>
            </w:r>
          </w:p>
        </w:tc>
        <w:tc>
          <w:tcPr>
            <w:tcW w:w="0" w:type="auto"/>
            <w:shd w:val="clear" w:color="auto" w:fill="FFC000" w:themeFill="accent4"/>
            <w:hideMark/>
          </w:tcPr>
          <w:p w14:paraId="309BE308" w14:textId="77777777" w:rsidR="00012EEC"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7,041</w:t>
            </w:r>
          </w:p>
        </w:tc>
      </w:tr>
      <w:tr w:rsidR="00023256" w14:paraId="00B37E0C" w14:textId="77777777" w:rsidTr="00023256">
        <w:trPr>
          <w:trHeight w:val="305"/>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23E55E1A" w14:textId="0F8CAC60" w:rsidR="00FE48E6" w:rsidRPr="006134F6" w:rsidRDefault="00B71D04" w:rsidP="006134F6">
            <w:pPr>
              <w:jc w:val="center"/>
              <w:rPr>
                <w:rFonts w:eastAsia="Times New Roman" w:cs="Times New Roman"/>
                <w:color w:val="000000"/>
              </w:rPr>
            </w:pPr>
            <w:r>
              <w:rPr>
                <w:rFonts w:eastAsia="Times New Roman" w:cs="Times New Roman"/>
                <w:color w:val="000000"/>
              </w:rPr>
              <w:t xml:space="preserve">ROCE= EBIT/ Capital </w:t>
            </w:r>
            <w:r>
              <w:rPr>
                <w:rFonts w:eastAsia="Times New Roman" w:cs="Times New Roman"/>
                <w:color w:val="000000"/>
              </w:rPr>
              <w:t>employed</w:t>
            </w:r>
            <w:r w:rsidR="006134F6">
              <w:rPr>
                <w:rFonts w:eastAsia="Times New Roman" w:cs="Times New Roman"/>
                <w:color w:val="000000"/>
              </w:rPr>
              <w:t>*100</w:t>
            </w:r>
          </w:p>
        </w:tc>
        <w:tc>
          <w:tcPr>
            <w:tcW w:w="0" w:type="auto"/>
            <w:shd w:val="clear" w:color="auto" w:fill="FFC000" w:themeFill="accent4"/>
            <w:hideMark/>
          </w:tcPr>
          <w:p w14:paraId="40797F2C" w14:textId="10109D5E" w:rsidR="00994475" w:rsidRPr="00D07543" w:rsidRDefault="00B71D04" w:rsidP="00D07543">
            <w:pPr>
              <w:cnfStyle w:val="000000000000" w:firstRow="0" w:lastRow="0" w:firstColumn="0" w:lastColumn="0" w:oddVBand="0" w:evenVBand="0" w:oddHBand="0" w:evenHBand="0" w:firstRowFirstColumn="0" w:firstRowLastColumn="0" w:lastRowFirstColumn="0" w:lastRowLastColumn="0"/>
              <w:rPr>
                <w:color w:val="auto"/>
              </w:rPr>
            </w:pPr>
            <w:r w:rsidRPr="00D07543">
              <w:rPr>
                <w:color w:val="auto"/>
              </w:rPr>
              <w:t>= 805/7225*100</w:t>
            </w:r>
          </w:p>
          <w:p w14:paraId="3157DA6C" w14:textId="78C88A95" w:rsidR="00012EEC" w:rsidRPr="00D07543" w:rsidRDefault="00B71D04" w:rsidP="00D07543">
            <w:pPr>
              <w:cnfStyle w:val="000000000000" w:firstRow="0" w:lastRow="0" w:firstColumn="0" w:lastColumn="0" w:oddVBand="0" w:evenVBand="0" w:oddHBand="0" w:evenHBand="0" w:firstRowFirstColumn="0" w:firstRowLastColumn="0" w:lastRowFirstColumn="0" w:lastRowLastColumn="0"/>
              <w:rPr>
                <w:color w:val="auto"/>
              </w:rPr>
            </w:pPr>
            <w:r w:rsidRPr="00D07543">
              <w:rPr>
                <w:color w:val="auto"/>
              </w:rPr>
              <w:t>11.1419 </w:t>
            </w:r>
          </w:p>
        </w:tc>
        <w:tc>
          <w:tcPr>
            <w:tcW w:w="0" w:type="auto"/>
            <w:shd w:val="clear" w:color="auto" w:fill="FFC000" w:themeFill="accent4"/>
            <w:hideMark/>
          </w:tcPr>
          <w:p w14:paraId="750CF7A9" w14:textId="32FA06BA" w:rsidR="00DE0F21" w:rsidRPr="00D07543" w:rsidRDefault="00B71D04" w:rsidP="00D07543">
            <w:pPr>
              <w:cnfStyle w:val="000000000000" w:firstRow="0" w:lastRow="0" w:firstColumn="0" w:lastColumn="0" w:oddVBand="0" w:evenVBand="0" w:oddHBand="0" w:evenHBand="0" w:firstRowFirstColumn="0" w:firstRowLastColumn="0" w:lastRowFirstColumn="0" w:lastRowLastColumn="0"/>
              <w:rPr>
                <w:color w:val="auto"/>
              </w:rPr>
            </w:pPr>
            <w:r w:rsidRPr="00D07543">
              <w:rPr>
                <w:color w:val="auto"/>
              </w:rPr>
              <w:t>699/7041*100</w:t>
            </w:r>
          </w:p>
          <w:p w14:paraId="126325F2" w14:textId="05B4682B" w:rsidR="00012EEC" w:rsidRPr="00D07543" w:rsidRDefault="00B71D04" w:rsidP="00D07543">
            <w:pPr>
              <w:cnfStyle w:val="000000000000" w:firstRow="0" w:lastRow="0" w:firstColumn="0" w:lastColumn="0" w:oddVBand="0" w:evenVBand="0" w:oddHBand="0" w:evenHBand="0" w:firstRowFirstColumn="0" w:firstRowLastColumn="0" w:lastRowFirstColumn="0" w:lastRowLastColumn="0"/>
              <w:rPr>
                <w:color w:val="auto"/>
              </w:rPr>
            </w:pPr>
            <w:r w:rsidRPr="00D07543">
              <w:rPr>
                <w:color w:val="auto"/>
              </w:rPr>
              <w:t>9.92757</w:t>
            </w:r>
          </w:p>
        </w:tc>
      </w:tr>
    </w:tbl>
    <w:p w14:paraId="51FCB22D" w14:textId="15A8D4FD" w:rsidR="006E46AD" w:rsidRPr="009771E7" w:rsidRDefault="006E46AD" w:rsidP="001730EB">
      <w:pPr>
        <w:rPr>
          <w:lang w:val="it-IT"/>
        </w:rPr>
      </w:pPr>
    </w:p>
    <w:p w14:paraId="7A4FD269" w14:textId="0AF40CD5" w:rsidR="00B871E7" w:rsidRPr="009771E7" w:rsidRDefault="00B71D04" w:rsidP="003D554C">
      <w:pPr>
        <w:rPr>
          <w:i/>
          <w:iCs/>
          <w:u w:val="single"/>
          <w:lang w:val="it-IT"/>
        </w:rPr>
      </w:pPr>
      <w:r w:rsidRPr="009771E7">
        <w:rPr>
          <w:i/>
          <w:iCs/>
          <w:u w:val="single"/>
          <w:lang w:val="it-IT"/>
        </w:rPr>
        <w:t xml:space="preserve">ROE </w:t>
      </w:r>
    </w:p>
    <w:tbl>
      <w:tblPr>
        <w:tblStyle w:val="ListTable7ColourfulAccent6"/>
        <w:tblW w:w="0" w:type="auto"/>
        <w:shd w:val="clear" w:color="auto" w:fill="FFC000" w:themeFill="accent4"/>
        <w:tblLook w:val="04A0" w:firstRow="1" w:lastRow="0" w:firstColumn="1" w:lastColumn="0" w:noHBand="0" w:noVBand="1"/>
      </w:tblPr>
      <w:tblGrid>
        <w:gridCol w:w="4024"/>
        <w:gridCol w:w="1102"/>
        <w:gridCol w:w="970"/>
      </w:tblGrid>
      <w:tr w:rsidR="00023256" w14:paraId="17B19807" w14:textId="77777777" w:rsidTr="00023256">
        <w:trPr>
          <w:cnfStyle w:val="100000000000" w:firstRow="1" w:lastRow="0" w:firstColumn="0" w:lastColumn="0" w:oddVBand="0" w:evenVBand="0" w:oddHBand="0" w:evenHBand="0" w:firstRowFirstColumn="0" w:firstRowLastColumn="0" w:lastRowFirstColumn="0" w:lastRowLastColumn="0"/>
          <w:trHeight w:val="305"/>
        </w:trPr>
        <w:tc>
          <w:tcPr>
            <w:cnfStyle w:val="001000000100" w:firstRow="0" w:lastRow="0" w:firstColumn="1" w:lastColumn="0" w:oddVBand="0" w:evenVBand="0" w:oddHBand="0" w:evenHBand="0" w:firstRowFirstColumn="1" w:firstRowLastColumn="0" w:lastRowFirstColumn="0" w:lastRowLastColumn="0"/>
            <w:tcW w:w="0" w:type="auto"/>
            <w:gridSpan w:val="3"/>
            <w:tcBorders>
              <w:top w:val="nil"/>
              <w:left w:val="nil"/>
            </w:tcBorders>
            <w:shd w:val="clear" w:color="auto" w:fill="FFC000" w:themeFill="accent4"/>
            <w:hideMark/>
          </w:tcPr>
          <w:p w14:paraId="756DFDE1" w14:textId="77777777" w:rsidR="001207AE" w:rsidRPr="00B007F0" w:rsidRDefault="00B71D04" w:rsidP="00553224">
            <w:pPr>
              <w:jc w:val="center"/>
              <w:rPr>
                <w:rFonts w:eastAsia="Times New Roman" w:cs="Times New Roman"/>
              </w:rPr>
            </w:pPr>
            <w:r w:rsidRPr="00B007F0">
              <w:rPr>
                <w:rFonts w:eastAsia="Times New Roman" w:cs="Times New Roman"/>
                <w:color w:val="000000"/>
                <w:shd w:val="clear" w:color="auto" w:fill="DAEEF3"/>
              </w:rPr>
              <w:t>Calculation of Return on equity (ROE)</w:t>
            </w:r>
          </w:p>
        </w:tc>
      </w:tr>
      <w:tr w:rsidR="00023256" w14:paraId="09F58D8B" w14:textId="77777777" w:rsidTr="00023256">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1321FE9E" w14:textId="77777777" w:rsidR="001207AE" w:rsidRDefault="00B71D04" w:rsidP="00553224">
            <w:pPr>
              <w:jc w:val="center"/>
              <w:rPr>
                <w:rFonts w:eastAsia="Times New Roman" w:cs="Times New Roman"/>
              </w:rPr>
            </w:pPr>
            <w:r>
              <w:rPr>
                <w:rFonts w:eastAsia="Times New Roman" w:cs="Times New Roman"/>
                <w:color w:val="000000"/>
              </w:rPr>
              <w:t>Particulars </w:t>
            </w:r>
          </w:p>
        </w:tc>
        <w:tc>
          <w:tcPr>
            <w:tcW w:w="0" w:type="auto"/>
            <w:shd w:val="clear" w:color="auto" w:fill="FFC000" w:themeFill="accent4"/>
            <w:hideMark/>
          </w:tcPr>
          <w:p w14:paraId="1A319E1C" w14:textId="77777777" w:rsidR="001207AE"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2022 </w:t>
            </w:r>
          </w:p>
        </w:tc>
        <w:tc>
          <w:tcPr>
            <w:tcW w:w="0" w:type="auto"/>
            <w:shd w:val="clear" w:color="auto" w:fill="FFC000" w:themeFill="accent4"/>
            <w:hideMark/>
          </w:tcPr>
          <w:p w14:paraId="7C8B602D" w14:textId="77777777" w:rsidR="001207AE"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2021</w:t>
            </w:r>
          </w:p>
        </w:tc>
      </w:tr>
      <w:tr w:rsidR="00023256" w14:paraId="0426820E" w14:textId="77777777" w:rsidTr="00023256">
        <w:trPr>
          <w:trHeight w:val="305"/>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2C43D641" w14:textId="77777777" w:rsidR="001207AE" w:rsidRDefault="00B71D04" w:rsidP="00553224">
            <w:pPr>
              <w:jc w:val="center"/>
              <w:rPr>
                <w:rFonts w:eastAsia="Times New Roman" w:cs="Times New Roman"/>
              </w:rPr>
            </w:pPr>
            <w:r>
              <w:rPr>
                <w:rFonts w:eastAsia="Times New Roman" w:cs="Times New Roman"/>
                <w:color w:val="000000"/>
              </w:rPr>
              <w:t>Net income </w:t>
            </w:r>
          </w:p>
        </w:tc>
        <w:tc>
          <w:tcPr>
            <w:tcW w:w="0" w:type="auto"/>
            <w:shd w:val="clear" w:color="auto" w:fill="FFC000" w:themeFill="accent4"/>
            <w:hideMark/>
          </w:tcPr>
          <w:p w14:paraId="417F3D67" w14:textId="77777777" w:rsidR="001207AE"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color w:val="000000"/>
                <w:sz w:val="22"/>
              </w:rPr>
              <w:t>431 </w:t>
            </w:r>
          </w:p>
        </w:tc>
        <w:tc>
          <w:tcPr>
            <w:tcW w:w="0" w:type="auto"/>
            <w:shd w:val="clear" w:color="auto" w:fill="FFC000" w:themeFill="accent4"/>
            <w:hideMark/>
          </w:tcPr>
          <w:p w14:paraId="49635E53" w14:textId="77777777" w:rsidR="001207AE"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color w:val="000000"/>
                <w:sz w:val="22"/>
              </w:rPr>
              <w:t>366</w:t>
            </w:r>
          </w:p>
        </w:tc>
      </w:tr>
      <w:tr w:rsidR="00023256" w14:paraId="06EFAEFF" w14:textId="77777777" w:rsidTr="00023256">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5457F5C7" w14:textId="77777777" w:rsidR="001207AE" w:rsidRDefault="00B71D04" w:rsidP="00553224">
            <w:pPr>
              <w:jc w:val="center"/>
              <w:rPr>
                <w:rFonts w:eastAsia="Times New Roman" w:cs="Times New Roman"/>
              </w:rPr>
            </w:pPr>
            <w:r>
              <w:rPr>
                <w:rFonts w:eastAsia="Times New Roman" w:cs="Times New Roman"/>
                <w:color w:val="000000"/>
              </w:rPr>
              <w:t>Shareholders’ equity </w:t>
            </w:r>
          </w:p>
        </w:tc>
        <w:tc>
          <w:tcPr>
            <w:tcW w:w="0" w:type="auto"/>
            <w:shd w:val="clear" w:color="auto" w:fill="FFC000" w:themeFill="accent4"/>
            <w:hideMark/>
          </w:tcPr>
          <w:p w14:paraId="4D7CB0F4" w14:textId="77777777" w:rsidR="001207AE"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ascii="Calibri" w:eastAsia="Times New Roman" w:hAnsi="Calibri"/>
                <w:color w:val="000000"/>
                <w:sz w:val="22"/>
              </w:rPr>
              <w:t>300 </w:t>
            </w:r>
          </w:p>
        </w:tc>
        <w:tc>
          <w:tcPr>
            <w:tcW w:w="0" w:type="auto"/>
            <w:shd w:val="clear" w:color="auto" w:fill="FFC000" w:themeFill="accent4"/>
            <w:hideMark/>
          </w:tcPr>
          <w:p w14:paraId="439D5C6E" w14:textId="77777777" w:rsidR="001207AE"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ascii="Calibri" w:eastAsia="Times New Roman" w:hAnsi="Calibri"/>
                <w:color w:val="000000"/>
                <w:sz w:val="22"/>
              </w:rPr>
              <w:t>300</w:t>
            </w:r>
          </w:p>
        </w:tc>
      </w:tr>
      <w:tr w:rsidR="00023256" w14:paraId="1977D872" w14:textId="77777777" w:rsidTr="00023256">
        <w:trPr>
          <w:trHeight w:val="305"/>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3419279B" w14:textId="77777777" w:rsidR="001207AE" w:rsidRDefault="00B71D04" w:rsidP="00553224">
            <w:pPr>
              <w:jc w:val="center"/>
              <w:rPr>
                <w:rFonts w:eastAsia="Times New Roman" w:cs="Times New Roman"/>
              </w:rPr>
            </w:pPr>
            <w:r>
              <w:rPr>
                <w:rFonts w:eastAsia="Times New Roman" w:cs="Times New Roman"/>
                <w:color w:val="000000"/>
              </w:rPr>
              <w:t xml:space="preserve">ROE= Net income/Shareholders Equity </w:t>
            </w:r>
          </w:p>
        </w:tc>
        <w:tc>
          <w:tcPr>
            <w:tcW w:w="0" w:type="auto"/>
            <w:shd w:val="clear" w:color="auto" w:fill="FFC000" w:themeFill="accent4"/>
            <w:hideMark/>
          </w:tcPr>
          <w:p w14:paraId="3AFD4C26" w14:textId="797221BF" w:rsidR="00A91FA4" w:rsidRDefault="00B71D04" w:rsidP="00553224">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sz w:val="22"/>
              </w:rPr>
            </w:pPr>
            <w:r>
              <w:rPr>
                <w:rFonts w:ascii="Calibri" w:eastAsia="Times New Roman" w:hAnsi="Calibri"/>
                <w:color w:val="000000"/>
                <w:sz w:val="22"/>
              </w:rPr>
              <w:t>=431/300</w:t>
            </w:r>
          </w:p>
          <w:p w14:paraId="44113D46" w14:textId="0868E3F1" w:rsidR="001207AE"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color w:val="000000"/>
                <w:sz w:val="22"/>
              </w:rPr>
              <w:t>1.436667 </w:t>
            </w:r>
          </w:p>
        </w:tc>
        <w:tc>
          <w:tcPr>
            <w:tcW w:w="0" w:type="auto"/>
            <w:shd w:val="clear" w:color="auto" w:fill="FFC000" w:themeFill="accent4"/>
            <w:hideMark/>
          </w:tcPr>
          <w:p w14:paraId="3639055B" w14:textId="199D9136" w:rsidR="00A91FA4" w:rsidRDefault="00B71D04" w:rsidP="007155F3">
            <w:pPr>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000000"/>
                <w:sz w:val="22"/>
              </w:rPr>
            </w:pPr>
            <w:r>
              <w:rPr>
                <w:rFonts w:ascii="Calibri" w:eastAsia="Times New Roman" w:hAnsi="Calibri"/>
                <w:color w:val="000000"/>
                <w:sz w:val="22"/>
              </w:rPr>
              <w:t>366/300</w:t>
            </w:r>
          </w:p>
          <w:p w14:paraId="646889B5" w14:textId="225F1F1B" w:rsidR="001207AE"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color w:val="000000"/>
                <w:sz w:val="22"/>
              </w:rPr>
              <w:t>1.22</w:t>
            </w:r>
          </w:p>
        </w:tc>
      </w:tr>
    </w:tbl>
    <w:p w14:paraId="7CA4D3BD" w14:textId="77777777" w:rsidR="00012EEC" w:rsidRDefault="00012EEC" w:rsidP="003D554C"/>
    <w:p w14:paraId="0F290CB0" w14:textId="77777777" w:rsidR="00B871E7" w:rsidRPr="004025E2" w:rsidRDefault="00B71D04" w:rsidP="003D554C">
      <w:pPr>
        <w:rPr>
          <w:i/>
          <w:iCs/>
          <w:u w:val="single"/>
        </w:rPr>
      </w:pPr>
      <w:r w:rsidRPr="004025E2">
        <w:rPr>
          <w:i/>
          <w:iCs/>
          <w:u w:val="single"/>
        </w:rPr>
        <w:t xml:space="preserve">Earnings per share </w:t>
      </w:r>
    </w:p>
    <w:tbl>
      <w:tblPr>
        <w:tblStyle w:val="ListTable7ColourfulAccent6"/>
        <w:tblW w:w="0" w:type="auto"/>
        <w:jc w:val="center"/>
        <w:shd w:val="clear" w:color="auto" w:fill="FFC000" w:themeFill="accent4"/>
        <w:tblLook w:val="04A0" w:firstRow="1" w:lastRow="0" w:firstColumn="1" w:lastColumn="0" w:noHBand="0" w:noVBand="1"/>
      </w:tblPr>
      <w:tblGrid>
        <w:gridCol w:w="4804"/>
        <w:gridCol w:w="1132"/>
        <w:gridCol w:w="1006"/>
      </w:tblGrid>
      <w:tr w:rsidR="00023256" w14:paraId="7A0EF2EE" w14:textId="77777777" w:rsidTr="00023256">
        <w:trPr>
          <w:cnfStyle w:val="100000000000" w:firstRow="1" w:lastRow="0" w:firstColumn="0" w:lastColumn="0" w:oddVBand="0" w:evenVBand="0" w:oddHBand="0" w:evenHBand="0" w:firstRowFirstColumn="0" w:firstRowLastColumn="0" w:lastRowFirstColumn="0" w:lastRowLastColumn="0"/>
          <w:trHeight w:val="305"/>
          <w:jc w:val="center"/>
        </w:trPr>
        <w:tc>
          <w:tcPr>
            <w:cnfStyle w:val="001000000100" w:firstRow="0" w:lastRow="0" w:firstColumn="1" w:lastColumn="0" w:oddVBand="0" w:evenVBand="0" w:oddHBand="0" w:evenHBand="0" w:firstRowFirstColumn="1" w:firstRowLastColumn="0" w:lastRowFirstColumn="0" w:lastRowLastColumn="0"/>
            <w:tcW w:w="0" w:type="auto"/>
            <w:gridSpan w:val="3"/>
            <w:tcBorders>
              <w:top w:val="nil"/>
              <w:left w:val="nil"/>
            </w:tcBorders>
            <w:shd w:val="clear" w:color="auto" w:fill="FFC000" w:themeFill="accent4"/>
            <w:hideMark/>
          </w:tcPr>
          <w:p w14:paraId="427E1596" w14:textId="77777777" w:rsidR="005C7A6C" w:rsidRPr="00B007F0" w:rsidRDefault="00B71D04" w:rsidP="00553224">
            <w:pPr>
              <w:jc w:val="center"/>
              <w:rPr>
                <w:rFonts w:eastAsia="Times New Roman" w:cs="Times New Roman"/>
              </w:rPr>
            </w:pPr>
            <w:r w:rsidRPr="00B007F0">
              <w:rPr>
                <w:rFonts w:eastAsia="Times New Roman" w:cs="Times New Roman"/>
                <w:color w:val="auto"/>
                <w:shd w:val="clear" w:color="auto" w:fill="DAEEF3"/>
              </w:rPr>
              <w:lastRenderedPageBreak/>
              <w:t>Calculation of Earning per share</w:t>
            </w:r>
          </w:p>
        </w:tc>
      </w:tr>
      <w:tr w:rsidR="00023256" w14:paraId="20D1B411" w14:textId="77777777" w:rsidTr="0002325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2A8A93B1" w14:textId="77777777" w:rsidR="005C7A6C" w:rsidRDefault="00B71D04" w:rsidP="00553224">
            <w:pPr>
              <w:jc w:val="center"/>
              <w:rPr>
                <w:rFonts w:eastAsia="Times New Roman" w:cs="Times New Roman"/>
              </w:rPr>
            </w:pPr>
            <w:r>
              <w:rPr>
                <w:rFonts w:eastAsia="Times New Roman" w:cs="Times New Roman"/>
                <w:color w:val="auto"/>
              </w:rPr>
              <w:t>Particulars </w:t>
            </w:r>
          </w:p>
        </w:tc>
        <w:tc>
          <w:tcPr>
            <w:tcW w:w="0" w:type="auto"/>
            <w:shd w:val="clear" w:color="auto" w:fill="FFC000" w:themeFill="accent4"/>
            <w:hideMark/>
          </w:tcPr>
          <w:p w14:paraId="2150B143" w14:textId="77777777" w:rsidR="005C7A6C"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2022 </w:t>
            </w:r>
          </w:p>
        </w:tc>
        <w:tc>
          <w:tcPr>
            <w:tcW w:w="0" w:type="auto"/>
            <w:shd w:val="clear" w:color="auto" w:fill="FFC000" w:themeFill="accent4"/>
            <w:hideMark/>
          </w:tcPr>
          <w:p w14:paraId="2FAD2784" w14:textId="77777777" w:rsidR="005C7A6C"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2021</w:t>
            </w:r>
          </w:p>
        </w:tc>
      </w:tr>
      <w:tr w:rsidR="00023256" w14:paraId="508C8DA9" w14:textId="77777777" w:rsidTr="0002325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27F5C419" w14:textId="77777777" w:rsidR="005C7A6C" w:rsidRDefault="00B71D04" w:rsidP="00553224">
            <w:pPr>
              <w:jc w:val="center"/>
              <w:rPr>
                <w:rFonts w:eastAsia="Times New Roman" w:cs="Times New Roman"/>
              </w:rPr>
            </w:pPr>
            <w:r>
              <w:rPr>
                <w:rFonts w:eastAsia="Times New Roman" w:cs="Times New Roman"/>
                <w:color w:val="auto"/>
              </w:rPr>
              <w:t>Net income </w:t>
            </w:r>
          </w:p>
        </w:tc>
        <w:tc>
          <w:tcPr>
            <w:tcW w:w="0" w:type="auto"/>
            <w:shd w:val="clear" w:color="auto" w:fill="FFC000" w:themeFill="accent4"/>
            <w:hideMark/>
          </w:tcPr>
          <w:p w14:paraId="1A70B758" w14:textId="77777777" w:rsidR="005C7A6C" w:rsidRDefault="00B71D04" w:rsidP="00553224">
            <w:pPr>
              <w:ind w:right="29"/>
              <w:jc w:val="right"/>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sz w:val="22"/>
              </w:rPr>
              <w:t>431 </w:t>
            </w:r>
          </w:p>
        </w:tc>
        <w:tc>
          <w:tcPr>
            <w:tcW w:w="0" w:type="auto"/>
            <w:shd w:val="clear" w:color="auto" w:fill="FFC000" w:themeFill="accent4"/>
            <w:hideMark/>
          </w:tcPr>
          <w:p w14:paraId="713670A6" w14:textId="77777777" w:rsidR="005C7A6C" w:rsidRDefault="00B71D04" w:rsidP="00553224">
            <w:pPr>
              <w:ind w:right="39"/>
              <w:jc w:val="right"/>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sz w:val="22"/>
              </w:rPr>
              <w:t>366</w:t>
            </w:r>
          </w:p>
        </w:tc>
      </w:tr>
      <w:tr w:rsidR="00023256" w14:paraId="79E6EF02" w14:textId="77777777" w:rsidTr="0002325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3B2361E3" w14:textId="77777777" w:rsidR="005C7A6C" w:rsidRDefault="00B71D04" w:rsidP="00553224">
            <w:pPr>
              <w:jc w:val="center"/>
              <w:rPr>
                <w:rFonts w:eastAsia="Times New Roman" w:cs="Times New Roman"/>
              </w:rPr>
            </w:pPr>
            <w:r>
              <w:rPr>
                <w:rFonts w:eastAsia="Times New Roman" w:cs="Times New Roman"/>
                <w:color w:val="auto"/>
              </w:rPr>
              <w:t>Outstanding shares </w:t>
            </w:r>
          </w:p>
        </w:tc>
        <w:tc>
          <w:tcPr>
            <w:tcW w:w="0" w:type="auto"/>
            <w:shd w:val="clear" w:color="auto" w:fill="FFC000" w:themeFill="accent4"/>
            <w:hideMark/>
          </w:tcPr>
          <w:p w14:paraId="576F24F8" w14:textId="77777777" w:rsidR="005C7A6C" w:rsidRDefault="00B71D04" w:rsidP="00553224">
            <w:pPr>
              <w:ind w:right="29"/>
              <w:jc w:val="right"/>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ascii="Calibri" w:eastAsia="Times New Roman" w:hAnsi="Calibri"/>
                <w:color w:val="auto"/>
                <w:sz w:val="22"/>
              </w:rPr>
              <w:t>300 </w:t>
            </w:r>
          </w:p>
        </w:tc>
        <w:tc>
          <w:tcPr>
            <w:tcW w:w="0" w:type="auto"/>
            <w:shd w:val="clear" w:color="auto" w:fill="FFC000" w:themeFill="accent4"/>
            <w:hideMark/>
          </w:tcPr>
          <w:p w14:paraId="5DEA2053" w14:textId="77777777" w:rsidR="005C7A6C" w:rsidRDefault="00B71D04" w:rsidP="00553224">
            <w:pPr>
              <w:ind w:right="38"/>
              <w:jc w:val="right"/>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ascii="Calibri" w:eastAsia="Times New Roman" w:hAnsi="Calibri"/>
                <w:color w:val="auto"/>
                <w:sz w:val="22"/>
              </w:rPr>
              <w:t>300</w:t>
            </w:r>
          </w:p>
        </w:tc>
      </w:tr>
      <w:tr w:rsidR="00023256" w14:paraId="471D50AE" w14:textId="77777777" w:rsidTr="0002325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2B6C1E48" w14:textId="77777777" w:rsidR="005C7A6C" w:rsidRDefault="00B71D04" w:rsidP="00553224">
            <w:pPr>
              <w:jc w:val="center"/>
              <w:rPr>
                <w:rFonts w:eastAsia="Times New Roman" w:cs="Times New Roman"/>
              </w:rPr>
            </w:pPr>
            <w:r>
              <w:rPr>
                <w:rFonts w:eastAsia="Times New Roman" w:cs="Times New Roman"/>
                <w:color w:val="auto"/>
              </w:rPr>
              <w:t>Average outstanding shares </w:t>
            </w:r>
          </w:p>
        </w:tc>
        <w:tc>
          <w:tcPr>
            <w:tcW w:w="0" w:type="auto"/>
            <w:shd w:val="clear" w:color="auto" w:fill="FFC000" w:themeFill="accent4"/>
            <w:hideMark/>
          </w:tcPr>
          <w:p w14:paraId="6DD2820D" w14:textId="77777777" w:rsidR="005C7A6C" w:rsidRDefault="00B71D04" w:rsidP="00553224">
            <w:pPr>
              <w:ind w:right="29"/>
              <w:jc w:val="right"/>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sz w:val="22"/>
              </w:rPr>
              <w:t>300 </w:t>
            </w:r>
          </w:p>
        </w:tc>
        <w:tc>
          <w:tcPr>
            <w:tcW w:w="0" w:type="auto"/>
            <w:shd w:val="clear" w:color="auto" w:fill="FFC000" w:themeFill="accent4"/>
            <w:hideMark/>
          </w:tcPr>
          <w:p w14:paraId="3FD41B04" w14:textId="77777777" w:rsidR="005C7A6C" w:rsidRDefault="00B71D04" w:rsidP="00553224">
            <w:pPr>
              <w:ind w:right="38"/>
              <w:jc w:val="right"/>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sz w:val="22"/>
              </w:rPr>
              <w:t>150</w:t>
            </w:r>
          </w:p>
        </w:tc>
      </w:tr>
      <w:tr w:rsidR="00023256" w14:paraId="646521C6" w14:textId="77777777" w:rsidTr="00023256">
        <w:trPr>
          <w:cnfStyle w:val="000000100000" w:firstRow="0" w:lastRow="0" w:firstColumn="0" w:lastColumn="0" w:oddVBand="0" w:evenVBand="0" w:oddHBand="1" w:evenHBand="0" w:firstRowFirstColumn="0" w:firstRowLastColumn="0" w:lastRowFirstColumn="0" w:lastRowLastColumn="0"/>
          <w:trHeight w:val="810"/>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4AACF016" w14:textId="77777777" w:rsidR="005C7A6C" w:rsidRDefault="00B71D04" w:rsidP="00553224">
            <w:pPr>
              <w:jc w:val="center"/>
              <w:rPr>
                <w:rFonts w:eastAsia="Times New Roman" w:cs="Times New Roman"/>
              </w:rPr>
            </w:pPr>
            <w:r>
              <w:rPr>
                <w:rFonts w:eastAsia="Times New Roman" w:cs="Times New Roman"/>
                <w:color w:val="auto"/>
              </w:rPr>
              <w:t>EPS= Net income/ Average outstanding shares </w:t>
            </w:r>
          </w:p>
        </w:tc>
        <w:tc>
          <w:tcPr>
            <w:tcW w:w="0" w:type="auto"/>
            <w:shd w:val="clear" w:color="auto" w:fill="FFC000" w:themeFill="accent4"/>
            <w:hideMark/>
          </w:tcPr>
          <w:p w14:paraId="07ABB421" w14:textId="13EA8CA0" w:rsidR="00C91CFC" w:rsidRDefault="00B71D04" w:rsidP="00553224">
            <w:pPr>
              <w:ind w:right="30"/>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rPr>
            </w:pPr>
            <w:r>
              <w:rPr>
                <w:rFonts w:ascii="Calibri" w:eastAsia="Times New Roman" w:hAnsi="Calibri"/>
                <w:color w:val="auto"/>
                <w:sz w:val="22"/>
              </w:rPr>
              <w:t>=</w:t>
            </w:r>
            <w:r w:rsidR="0097179F">
              <w:rPr>
                <w:rFonts w:ascii="Calibri" w:eastAsia="Times New Roman" w:hAnsi="Calibri"/>
                <w:color w:val="auto"/>
                <w:sz w:val="22"/>
              </w:rPr>
              <w:t xml:space="preserve">431/300     </w:t>
            </w:r>
          </w:p>
          <w:p w14:paraId="678363C4" w14:textId="3507CF62" w:rsidR="005C7A6C" w:rsidRDefault="00B71D04" w:rsidP="00553224">
            <w:pPr>
              <w:ind w:right="30"/>
              <w:jc w:val="right"/>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ascii="Calibri" w:eastAsia="Times New Roman" w:hAnsi="Calibri"/>
                <w:color w:val="auto"/>
                <w:sz w:val="22"/>
              </w:rPr>
              <w:t>1.436667 </w:t>
            </w:r>
          </w:p>
        </w:tc>
        <w:tc>
          <w:tcPr>
            <w:tcW w:w="0" w:type="auto"/>
            <w:shd w:val="clear" w:color="auto" w:fill="FFC000" w:themeFill="accent4"/>
            <w:hideMark/>
          </w:tcPr>
          <w:p w14:paraId="229204BC" w14:textId="4BF1EBF6" w:rsidR="00C91CFC" w:rsidRDefault="00B71D04" w:rsidP="00F237A9">
            <w:pPr>
              <w:ind w:right="36"/>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rPr>
            </w:pPr>
            <w:r>
              <w:rPr>
                <w:rFonts w:ascii="Calibri" w:eastAsia="Times New Roman" w:hAnsi="Calibri"/>
                <w:color w:val="auto"/>
                <w:sz w:val="22"/>
              </w:rPr>
              <w:t>366/150</w:t>
            </w:r>
          </w:p>
          <w:p w14:paraId="369745FF" w14:textId="6129FB13" w:rsidR="005C7A6C" w:rsidRDefault="00B71D04" w:rsidP="00553224">
            <w:pPr>
              <w:ind w:right="36"/>
              <w:jc w:val="right"/>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ascii="Calibri" w:eastAsia="Times New Roman" w:hAnsi="Calibri"/>
                <w:color w:val="auto"/>
                <w:sz w:val="22"/>
              </w:rPr>
              <w:t>2.44</w:t>
            </w:r>
          </w:p>
        </w:tc>
      </w:tr>
    </w:tbl>
    <w:p w14:paraId="232CEED5" w14:textId="77777777" w:rsidR="00E104B0" w:rsidRDefault="00E104B0" w:rsidP="003D554C">
      <w:pPr>
        <w:rPr>
          <w:i/>
          <w:iCs/>
          <w:u w:val="single"/>
        </w:rPr>
      </w:pPr>
    </w:p>
    <w:p w14:paraId="4CF5993E" w14:textId="70A5C96B" w:rsidR="00B871E7" w:rsidRDefault="00B71D04" w:rsidP="003D554C">
      <w:pPr>
        <w:rPr>
          <w:i/>
          <w:iCs/>
          <w:u w:val="single"/>
        </w:rPr>
      </w:pPr>
      <w:r w:rsidRPr="004025E2">
        <w:rPr>
          <w:i/>
          <w:iCs/>
          <w:u w:val="single"/>
        </w:rPr>
        <w:t xml:space="preserve">Net profit margin </w:t>
      </w:r>
    </w:p>
    <w:tbl>
      <w:tblPr>
        <w:tblStyle w:val="ListTable7ColourfulAccent6"/>
        <w:tblW w:w="0" w:type="auto"/>
        <w:jc w:val="center"/>
        <w:shd w:val="clear" w:color="auto" w:fill="FFC000" w:themeFill="accent4"/>
        <w:tblLook w:val="04A0" w:firstRow="1" w:lastRow="0" w:firstColumn="1" w:lastColumn="0" w:noHBand="0" w:noVBand="1"/>
      </w:tblPr>
      <w:tblGrid>
        <w:gridCol w:w="4698"/>
        <w:gridCol w:w="1685"/>
        <w:gridCol w:w="1526"/>
      </w:tblGrid>
      <w:tr w:rsidR="00023256" w14:paraId="2703985D" w14:textId="77777777" w:rsidTr="00023256">
        <w:trPr>
          <w:cnfStyle w:val="100000000000" w:firstRow="1" w:lastRow="0" w:firstColumn="0" w:lastColumn="0" w:oddVBand="0" w:evenVBand="0" w:oddHBand="0" w:evenHBand="0" w:firstRowFirstColumn="0" w:firstRowLastColumn="0" w:lastRowFirstColumn="0" w:lastRowLastColumn="0"/>
          <w:trHeight w:val="305"/>
          <w:jc w:val="center"/>
        </w:trPr>
        <w:tc>
          <w:tcPr>
            <w:cnfStyle w:val="001000000100" w:firstRow="0" w:lastRow="0" w:firstColumn="1" w:lastColumn="0" w:oddVBand="0" w:evenVBand="0" w:oddHBand="0" w:evenHBand="0" w:firstRowFirstColumn="1" w:firstRowLastColumn="0" w:lastRowFirstColumn="0" w:lastRowLastColumn="0"/>
            <w:tcW w:w="0" w:type="auto"/>
            <w:gridSpan w:val="3"/>
            <w:tcBorders>
              <w:top w:val="nil"/>
              <w:left w:val="nil"/>
              <w:bottom w:val="nil"/>
            </w:tcBorders>
            <w:shd w:val="clear" w:color="auto" w:fill="FFC000" w:themeFill="accent4"/>
            <w:hideMark/>
          </w:tcPr>
          <w:p w14:paraId="7A7CF658" w14:textId="77777777" w:rsidR="0091697A" w:rsidRDefault="00B71D04" w:rsidP="00553224">
            <w:pPr>
              <w:jc w:val="center"/>
              <w:rPr>
                <w:rFonts w:cs="Calibri"/>
              </w:rPr>
            </w:pPr>
            <w:r>
              <w:rPr>
                <w:color w:val="auto"/>
                <w:shd w:val="clear" w:color="auto" w:fill="DAEEF3"/>
              </w:rPr>
              <w:t>Calculation of Net profit margin</w:t>
            </w:r>
          </w:p>
        </w:tc>
      </w:tr>
      <w:tr w:rsidR="00023256" w14:paraId="6CADCF01" w14:textId="77777777" w:rsidTr="0002325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4FF8EE24" w14:textId="77777777" w:rsidR="0091697A" w:rsidRDefault="00B71D04" w:rsidP="00553224">
            <w:pPr>
              <w:jc w:val="center"/>
              <w:rPr>
                <w:rFonts w:eastAsia="Times New Roman" w:cs="Times New Roman"/>
              </w:rPr>
            </w:pPr>
            <w:r>
              <w:rPr>
                <w:rFonts w:eastAsia="Times New Roman" w:cs="Times New Roman"/>
                <w:color w:val="auto"/>
              </w:rPr>
              <w:t>Particulars </w:t>
            </w:r>
          </w:p>
        </w:tc>
        <w:tc>
          <w:tcPr>
            <w:tcW w:w="0" w:type="auto"/>
            <w:shd w:val="clear" w:color="auto" w:fill="FFC000" w:themeFill="accent4"/>
            <w:hideMark/>
          </w:tcPr>
          <w:p w14:paraId="1BD4CA6D" w14:textId="77777777" w:rsidR="0091697A"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2022 </w:t>
            </w:r>
          </w:p>
        </w:tc>
        <w:tc>
          <w:tcPr>
            <w:tcW w:w="0" w:type="auto"/>
            <w:shd w:val="clear" w:color="auto" w:fill="FFC000" w:themeFill="accent4"/>
            <w:hideMark/>
          </w:tcPr>
          <w:p w14:paraId="4D6667ED" w14:textId="77777777" w:rsidR="0091697A"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2021</w:t>
            </w:r>
          </w:p>
        </w:tc>
      </w:tr>
      <w:tr w:rsidR="00023256" w14:paraId="63387990" w14:textId="77777777" w:rsidTr="0002325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62EB4662" w14:textId="77777777" w:rsidR="0091697A" w:rsidRDefault="00B71D04" w:rsidP="00553224">
            <w:pPr>
              <w:jc w:val="center"/>
              <w:rPr>
                <w:rFonts w:eastAsia="Times New Roman" w:cs="Times New Roman"/>
              </w:rPr>
            </w:pPr>
            <w:r>
              <w:rPr>
                <w:rFonts w:eastAsia="Times New Roman" w:cs="Times New Roman"/>
                <w:color w:val="auto"/>
              </w:rPr>
              <w:t>Net profit </w:t>
            </w:r>
          </w:p>
        </w:tc>
        <w:tc>
          <w:tcPr>
            <w:tcW w:w="0" w:type="auto"/>
            <w:shd w:val="clear" w:color="auto" w:fill="FFC000" w:themeFill="accent4"/>
            <w:hideMark/>
          </w:tcPr>
          <w:p w14:paraId="76F80287" w14:textId="77777777" w:rsidR="0091697A"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sz w:val="22"/>
              </w:rPr>
              <w:t>431 </w:t>
            </w:r>
          </w:p>
        </w:tc>
        <w:tc>
          <w:tcPr>
            <w:tcW w:w="0" w:type="auto"/>
            <w:shd w:val="clear" w:color="auto" w:fill="FFC000" w:themeFill="accent4"/>
            <w:hideMark/>
          </w:tcPr>
          <w:p w14:paraId="2385E896" w14:textId="77777777" w:rsidR="0091697A"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sz w:val="22"/>
              </w:rPr>
              <w:t>366</w:t>
            </w:r>
          </w:p>
        </w:tc>
      </w:tr>
      <w:tr w:rsidR="00023256" w14:paraId="120BC7E2" w14:textId="77777777" w:rsidTr="0002325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089C7690" w14:textId="77777777" w:rsidR="0091697A" w:rsidRDefault="00B71D04" w:rsidP="00553224">
            <w:pPr>
              <w:jc w:val="center"/>
              <w:rPr>
                <w:rFonts w:eastAsia="Times New Roman" w:cs="Times New Roman"/>
              </w:rPr>
            </w:pPr>
            <w:r>
              <w:rPr>
                <w:rFonts w:eastAsia="Times New Roman" w:cs="Times New Roman"/>
                <w:color w:val="auto"/>
              </w:rPr>
              <w:t>Total revenue </w:t>
            </w:r>
          </w:p>
        </w:tc>
        <w:tc>
          <w:tcPr>
            <w:tcW w:w="0" w:type="auto"/>
            <w:shd w:val="clear" w:color="auto" w:fill="FFC000" w:themeFill="accent4"/>
            <w:hideMark/>
          </w:tcPr>
          <w:p w14:paraId="757D1F57" w14:textId="77777777" w:rsidR="0091697A"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ascii="Calibri" w:eastAsia="Times New Roman" w:hAnsi="Calibri"/>
                <w:color w:val="auto"/>
                <w:sz w:val="22"/>
              </w:rPr>
              <w:t>6738 </w:t>
            </w:r>
          </w:p>
        </w:tc>
        <w:tc>
          <w:tcPr>
            <w:tcW w:w="0" w:type="auto"/>
            <w:shd w:val="clear" w:color="auto" w:fill="FFC000" w:themeFill="accent4"/>
            <w:hideMark/>
          </w:tcPr>
          <w:p w14:paraId="5C28532D" w14:textId="77777777" w:rsidR="0091697A"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ascii="Calibri" w:eastAsia="Times New Roman" w:hAnsi="Calibri"/>
                <w:color w:val="auto"/>
                <w:sz w:val="22"/>
              </w:rPr>
              <w:t>6441</w:t>
            </w:r>
          </w:p>
        </w:tc>
      </w:tr>
      <w:tr w:rsidR="00023256" w14:paraId="14B94BB1" w14:textId="77777777" w:rsidTr="0002325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68FFD71B" w14:textId="77777777" w:rsidR="0091697A" w:rsidRDefault="00B71D04" w:rsidP="00553224">
            <w:pPr>
              <w:jc w:val="center"/>
              <w:rPr>
                <w:rFonts w:eastAsia="Times New Roman" w:cs="Times New Roman"/>
              </w:rPr>
            </w:pPr>
            <w:r>
              <w:rPr>
                <w:rFonts w:eastAsia="Times New Roman" w:cs="Times New Roman"/>
                <w:color w:val="auto"/>
              </w:rPr>
              <w:t>Net profit margin= (net profit /revenue) x 100 </w:t>
            </w:r>
          </w:p>
        </w:tc>
        <w:tc>
          <w:tcPr>
            <w:tcW w:w="0" w:type="auto"/>
            <w:shd w:val="clear" w:color="auto" w:fill="FFC000" w:themeFill="accent4"/>
            <w:hideMark/>
          </w:tcPr>
          <w:p w14:paraId="21693B0D" w14:textId="0C6A468B" w:rsidR="00334930" w:rsidRPr="000C2846" w:rsidRDefault="00B71D04" w:rsidP="00553224">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rPr>
            </w:pPr>
            <w:r w:rsidRPr="000C2846">
              <w:rPr>
                <w:rFonts w:ascii="Calibri" w:eastAsia="Times New Roman" w:hAnsi="Calibri"/>
                <w:color w:val="auto"/>
                <w:sz w:val="22"/>
              </w:rPr>
              <w:t>=</w:t>
            </w:r>
            <w:r w:rsidR="002E018A" w:rsidRPr="000C2846">
              <w:rPr>
                <w:rFonts w:ascii="Calibri" w:eastAsia="Times New Roman" w:hAnsi="Calibri"/>
                <w:color w:val="auto"/>
                <w:sz w:val="22"/>
              </w:rPr>
              <w:t xml:space="preserve"> 431/6738</w:t>
            </w:r>
            <w:r w:rsidR="00814306" w:rsidRPr="000C2846">
              <w:rPr>
                <w:rFonts w:ascii="Calibri" w:eastAsia="Times New Roman" w:hAnsi="Calibri"/>
                <w:color w:val="auto"/>
                <w:sz w:val="22"/>
              </w:rPr>
              <w:t>*100</w:t>
            </w:r>
          </w:p>
          <w:p w14:paraId="39EC14E1" w14:textId="0B24E4C6" w:rsidR="0091697A" w:rsidRPr="000C2846"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rPr>
            </w:pPr>
            <w:r w:rsidRPr="000C2846">
              <w:rPr>
                <w:rFonts w:ascii="Calibri" w:eastAsia="Times New Roman" w:hAnsi="Calibri"/>
                <w:color w:val="auto"/>
                <w:sz w:val="22"/>
              </w:rPr>
              <w:t>6.396557 </w:t>
            </w:r>
          </w:p>
        </w:tc>
        <w:tc>
          <w:tcPr>
            <w:tcW w:w="0" w:type="auto"/>
            <w:shd w:val="clear" w:color="auto" w:fill="FFC000" w:themeFill="accent4"/>
            <w:hideMark/>
          </w:tcPr>
          <w:p w14:paraId="627D211D" w14:textId="707425C9" w:rsidR="00814306" w:rsidRPr="000C2846" w:rsidRDefault="00B71D04" w:rsidP="00553224">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rPr>
            </w:pPr>
            <w:r w:rsidRPr="000C2846">
              <w:rPr>
                <w:rFonts w:ascii="Calibri" w:eastAsia="Times New Roman" w:hAnsi="Calibri"/>
                <w:color w:val="auto"/>
                <w:sz w:val="22"/>
              </w:rPr>
              <w:t>366/6441*100</w:t>
            </w:r>
          </w:p>
          <w:p w14:paraId="30E9CF0F" w14:textId="642109AD" w:rsidR="0091697A" w:rsidRPr="000C2846"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rPr>
            </w:pPr>
            <w:r w:rsidRPr="000C2846">
              <w:rPr>
                <w:rFonts w:ascii="Calibri" w:eastAsia="Times New Roman" w:hAnsi="Calibri"/>
                <w:color w:val="auto"/>
                <w:sz w:val="22"/>
              </w:rPr>
              <w:t>5.682347</w:t>
            </w:r>
          </w:p>
        </w:tc>
      </w:tr>
    </w:tbl>
    <w:p w14:paraId="0CD5CC28" w14:textId="77777777" w:rsidR="002F7B86" w:rsidRDefault="002F7B86" w:rsidP="003D554C"/>
    <w:p w14:paraId="1F51584B" w14:textId="77777777" w:rsidR="00B871E7" w:rsidRDefault="00B71D04" w:rsidP="003D554C">
      <w:pPr>
        <w:rPr>
          <w:i/>
          <w:iCs/>
          <w:u w:val="single"/>
        </w:rPr>
      </w:pPr>
      <w:r w:rsidRPr="004025E2">
        <w:rPr>
          <w:i/>
          <w:iCs/>
          <w:u w:val="single"/>
        </w:rPr>
        <w:t xml:space="preserve">Asset turnover </w:t>
      </w:r>
    </w:p>
    <w:tbl>
      <w:tblPr>
        <w:tblStyle w:val="ListTable7ColourfulAccent6"/>
        <w:tblW w:w="0" w:type="auto"/>
        <w:jc w:val="center"/>
        <w:shd w:val="clear" w:color="auto" w:fill="FFC000" w:themeFill="accent4"/>
        <w:tblLook w:val="04A0" w:firstRow="1" w:lastRow="0" w:firstColumn="1" w:lastColumn="0" w:noHBand="0" w:noVBand="1"/>
      </w:tblPr>
      <w:tblGrid>
        <w:gridCol w:w="4584"/>
        <w:gridCol w:w="1550"/>
        <w:gridCol w:w="1403"/>
      </w:tblGrid>
      <w:tr w:rsidR="00023256" w14:paraId="22DBCEC8" w14:textId="77777777" w:rsidTr="00023256">
        <w:trPr>
          <w:cnfStyle w:val="100000000000" w:firstRow="1" w:lastRow="0" w:firstColumn="0" w:lastColumn="0" w:oddVBand="0" w:evenVBand="0" w:oddHBand="0" w:evenHBand="0" w:firstRowFirstColumn="0" w:firstRowLastColumn="0" w:lastRowFirstColumn="0" w:lastRowLastColumn="0"/>
          <w:trHeight w:val="305"/>
          <w:jc w:val="center"/>
        </w:trPr>
        <w:tc>
          <w:tcPr>
            <w:cnfStyle w:val="001000000100" w:firstRow="0" w:lastRow="0" w:firstColumn="1" w:lastColumn="0" w:oddVBand="0" w:evenVBand="0" w:oddHBand="0" w:evenHBand="0" w:firstRowFirstColumn="1" w:firstRowLastColumn="0" w:lastRowFirstColumn="0" w:lastRowLastColumn="0"/>
            <w:tcW w:w="0" w:type="auto"/>
            <w:gridSpan w:val="3"/>
            <w:tcBorders>
              <w:top w:val="nil"/>
              <w:left w:val="nil"/>
            </w:tcBorders>
            <w:shd w:val="clear" w:color="auto" w:fill="FFC000" w:themeFill="accent4"/>
            <w:hideMark/>
          </w:tcPr>
          <w:p w14:paraId="1B9E4C24" w14:textId="77777777" w:rsidR="0091697A" w:rsidRDefault="00B71D04" w:rsidP="00553224">
            <w:pPr>
              <w:jc w:val="center"/>
              <w:rPr>
                <w:rFonts w:eastAsia="Times New Roman" w:cs="Times New Roman"/>
              </w:rPr>
            </w:pPr>
            <w:r>
              <w:rPr>
                <w:rFonts w:eastAsia="Times New Roman" w:cs="Times New Roman"/>
                <w:color w:val="auto"/>
                <w:shd w:val="clear" w:color="auto" w:fill="DAEEF3"/>
              </w:rPr>
              <w:t>Calculation of Asset turnover</w:t>
            </w:r>
          </w:p>
        </w:tc>
      </w:tr>
      <w:tr w:rsidR="00023256" w14:paraId="33FE4BC7" w14:textId="77777777" w:rsidTr="0002325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65988FFE" w14:textId="77777777" w:rsidR="0091697A" w:rsidRDefault="00B71D04" w:rsidP="00553224">
            <w:pPr>
              <w:jc w:val="center"/>
              <w:rPr>
                <w:rFonts w:eastAsia="Times New Roman" w:cs="Times New Roman"/>
              </w:rPr>
            </w:pPr>
            <w:r>
              <w:rPr>
                <w:rFonts w:eastAsia="Times New Roman" w:cs="Times New Roman"/>
                <w:color w:val="000000"/>
              </w:rPr>
              <w:t>Particulars </w:t>
            </w:r>
          </w:p>
        </w:tc>
        <w:tc>
          <w:tcPr>
            <w:tcW w:w="0" w:type="auto"/>
            <w:shd w:val="clear" w:color="auto" w:fill="FFC000" w:themeFill="accent4"/>
            <w:hideMark/>
          </w:tcPr>
          <w:p w14:paraId="28D8EC1A" w14:textId="77777777" w:rsidR="0091697A"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2022 </w:t>
            </w:r>
          </w:p>
        </w:tc>
        <w:tc>
          <w:tcPr>
            <w:tcW w:w="0" w:type="auto"/>
            <w:shd w:val="clear" w:color="auto" w:fill="FFC000" w:themeFill="accent4"/>
            <w:hideMark/>
          </w:tcPr>
          <w:p w14:paraId="24E65958" w14:textId="77777777" w:rsidR="0091697A"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2021</w:t>
            </w:r>
          </w:p>
        </w:tc>
      </w:tr>
      <w:tr w:rsidR="00023256" w14:paraId="00EF4EF9" w14:textId="77777777" w:rsidTr="0002325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3DADDDB8" w14:textId="77777777" w:rsidR="0091697A" w:rsidRDefault="00B71D04" w:rsidP="00553224">
            <w:pPr>
              <w:jc w:val="center"/>
              <w:rPr>
                <w:rFonts w:eastAsia="Times New Roman" w:cs="Times New Roman"/>
              </w:rPr>
            </w:pPr>
            <w:r>
              <w:rPr>
                <w:rFonts w:eastAsia="Times New Roman" w:cs="Times New Roman"/>
                <w:color w:val="000000"/>
              </w:rPr>
              <w:t>Total revenue </w:t>
            </w:r>
          </w:p>
        </w:tc>
        <w:tc>
          <w:tcPr>
            <w:tcW w:w="0" w:type="auto"/>
            <w:shd w:val="clear" w:color="auto" w:fill="FFC000" w:themeFill="accent4"/>
            <w:hideMark/>
          </w:tcPr>
          <w:p w14:paraId="521FC02C" w14:textId="77777777" w:rsidR="0091697A"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color w:val="000000"/>
                <w:sz w:val="22"/>
              </w:rPr>
              <w:t>6738 </w:t>
            </w:r>
          </w:p>
        </w:tc>
        <w:tc>
          <w:tcPr>
            <w:tcW w:w="0" w:type="auto"/>
            <w:shd w:val="clear" w:color="auto" w:fill="FFC000" w:themeFill="accent4"/>
            <w:hideMark/>
          </w:tcPr>
          <w:p w14:paraId="271C3A24" w14:textId="77777777" w:rsidR="0091697A"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color w:val="000000"/>
                <w:sz w:val="22"/>
              </w:rPr>
              <w:t>6441</w:t>
            </w:r>
          </w:p>
        </w:tc>
      </w:tr>
      <w:tr w:rsidR="00023256" w14:paraId="1D8B97EB" w14:textId="77777777" w:rsidTr="0002325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77B55C67" w14:textId="77777777" w:rsidR="0091697A" w:rsidRDefault="00B71D04" w:rsidP="00553224">
            <w:pPr>
              <w:jc w:val="center"/>
              <w:rPr>
                <w:rFonts w:eastAsia="Times New Roman" w:cs="Times New Roman"/>
              </w:rPr>
            </w:pPr>
            <w:r>
              <w:rPr>
                <w:rFonts w:eastAsia="Times New Roman" w:cs="Times New Roman"/>
                <w:color w:val="000000"/>
              </w:rPr>
              <w:t>Total Asset </w:t>
            </w:r>
          </w:p>
        </w:tc>
        <w:tc>
          <w:tcPr>
            <w:tcW w:w="0" w:type="auto"/>
            <w:shd w:val="clear" w:color="auto" w:fill="FFC000" w:themeFill="accent4"/>
            <w:hideMark/>
          </w:tcPr>
          <w:p w14:paraId="03A6D33C" w14:textId="77777777" w:rsidR="0091697A"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9,736 </w:t>
            </w:r>
          </w:p>
        </w:tc>
        <w:tc>
          <w:tcPr>
            <w:tcW w:w="0" w:type="auto"/>
            <w:shd w:val="clear" w:color="auto" w:fill="FFC000" w:themeFill="accent4"/>
            <w:hideMark/>
          </w:tcPr>
          <w:p w14:paraId="32024E88" w14:textId="77777777" w:rsidR="0091697A"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10,087</w:t>
            </w:r>
          </w:p>
        </w:tc>
      </w:tr>
      <w:tr w:rsidR="00023256" w14:paraId="64011BF9" w14:textId="77777777" w:rsidTr="0002325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0F4FC40D" w14:textId="77777777" w:rsidR="0091697A" w:rsidRDefault="00B71D04" w:rsidP="00553224">
            <w:pPr>
              <w:jc w:val="center"/>
              <w:rPr>
                <w:rFonts w:eastAsia="Times New Roman" w:cs="Times New Roman"/>
              </w:rPr>
            </w:pPr>
            <w:r>
              <w:rPr>
                <w:rFonts w:eastAsia="Times New Roman" w:cs="Times New Roman"/>
                <w:color w:val="000000"/>
              </w:rPr>
              <w:t>Average total asset </w:t>
            </w:r>
          </w:p>
        </w:tc>
        <w:tc>
          <w:tcPr>
            <w:tcW w:w="0" w:type="auto"/>
            <w:shd w:val="clear" w:color="auto" w:fill="FFC000" w:themeFill="accent4"/>
            <w:hideMark/>
          </w:tcPr>
          <w:p w14:paraId="0220EA9D" w14:textId="77777777" w:rsidR="0091697A" w:rsidRDefault="00B71D04" w:rsidP="00553224">
            <w:pPr>
              <w:ind w:right="30"/>
              <w:jc w:val="right"/>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color w:val="000000"/>
                <w:sz w:val="22"/>
              </w:rPr>
              <w:t>9911.5 </w:t>
            </w:r>
          </w:p>
        </w:tc>
        <w:tc>
          <w:tcPr>
            <w:tcW w:w="0" w:type="auto"/>
            <w:shd w:val="clear" w:color="auto" w:fill="FFC000" w:themeFill="accent4"/>
            <w:hideMark/>
          </w:tcPr>
          <w:p w14:paraId="43D52BE0" w14:textId="77777777" w:rsidR="0091697A" w:rsidRDefault="00B71D04" w:rsidP="00553224">
            <w:pPr>
              <w:ind w:right="43"/>
              <w:jc w:val="right"/>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color w:val="000000"/>
                <w:sz w:val="22"/>
              </w:rPr>
              <w:t>5043.5</w:t>
            </w:r>
          </w:p>
        </w:tc>
      </w:tr>
      <w:tr w:rsidR="00023256" w14:paraId="5215574D" w14:textId="77777777" w:rsidTr="0002325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199B0A02" w14:textId="77777777" w:rsidR="0091697A" w:rsidRDefault="00B71D04" w:rsidP="00553224">
            <w:pPr>
              <w:jc w:val="center"/>
              <w:rPr>
                <w:rFonts w:eastAsia="Times New Roman" w:cs="Times New Roman"/>
              </w:rPr>
            </w:pPr>
            <w:r>
              <w:rPr>
                <w:rFonts w:eastAsia="Times New Roman" w:cs="Times New Roman"/>
                <w:color w:val="000000"/>
              </w:rPr>
              <w:lastRenderedPageBreak/>
              <w:t>Asset turnover= Revenue/average total asset </w:t>
            </w:r>
          </w:p>
        </w:tc>
        <w:tc>
          <w:tcPr>
            <w:tcW w:w="0" w:type="auto"/>
            <w:shd w:val="clear" w:color="auto" w:fill="FFC000" w:themeFill="accent4"/>
            <w:hideMark/>
          </w:tcPr>
          <w:p w14:paraId="7377CF2B" w14:textId="5C420408" w:rsidR="00740248" w:rsidRDefault="00B71D04" w:rsidP="00553224">
            <w:pPr>
              <w:ind w:right="30"/>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sz w:val="22"/>
              </w:rPr>
            </w:pPr>
            <w:r>
              <w:rPr>
                <w:rFonts w:ascii="Calibri" w:eastAsia="Times New Roman" w:hAnsi="Calibri"/>
                <w:color w:val="000000"/>
                <w:sz w:val="22"/>
              </w:rPr>
              <w:t xml:space="preserve">= </w:t>
            </w:r>
            <w:r w:rsidR="00D34D0A">
              <w:rPr>
                <w:rFonts w:ascii="Calibri" w:eastAsia="Times New Roman" w:hAnsi="Calibri"/>
                <w:color w:val="000000"/>
                <w:sz w:val="22"/>
              </w:rPr>
              <w:t>6738/</w:t>
            </w:r>
            <w:r w:rsidR="00CE1118">
              <w:rPr>
                <w:rFonts w:ascii="Calibri" w:eastAsia="Times New Roman" w:hAnsi="Calibri"/>
                <w:color w:val="000000"/>
                <w:sz w:val="22"/>
              </w:rPr>
              <w:t>9911.5</w:t>
            </w:r>
          </w:p>
          <w:p w14:paraId="6BDBAD70" w14:textId="21AFE1D8" w:rsidR="0091697A" w:rsidRDefault="00B71D04" w:rsidP="00553224">
            <w:pPr>
              <w:ind w:right="30"/>
              <w:jc w:val="right"/>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ascii="Calibri" w:eastAsia="Times New Roman" w:hAnsi="Calibri"/>
                <w:color w:val="000000"/>
                <w:sz w:val="22"/>
              </w:rPr>
              <w:t>0.679816 </w:t>
            </w:r>
          </w:p>
        </w:tc>
        <w:tc>
          <w:tcPr>
            <w:tcW w:w="0" w:type="auto"/>
            <w:shd w:val="clear" w:color="auto" w:fill="FFC000" w:themeFill="accent4"/>
            <w:hideMark/>
          </w:tcPr>
          <w:p w14:paraId="31F3E199" w14:textId="0B146D33" w:rsidR="00CE1118" w:rsidRDefault="00B71D04" w:rsidP="00553224">
            <w:pPr>
              <w:ind w:right="42"/>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000000"/>
                <w:sz w:val="22"/>
              </w:rPr>
            </w:pPr>
            <w:r>
              <w:rPr>
                <w:rFonts w:ascii="Calibri" w:eastAsia="Times New Roman" w:hAnsi="Calibri"/>
                <w:color w:val="000000"/>
                <w:sz w:val="22"/>
              </w:rPr>
              <w:t>6441/</w:t>
            </w:r>
            <w:r w:rsidR="00A042CB">
              <w:rPr>
                <w:rFonts w:ascii="Calibri" w:eastAsia="Times New Roman" w:hAnsi="Calibri"/>
                <w:color w:val="000000"/>
                <w:sz w:val="22"/>
              </w:rPr>
              <w:t>5043.5</w:t>
            </w:r>
          </w:p>
          <w:p w14:paraId="6599A329" w14:textId="6BA19C3E" w:rsidR="0091697A" w:rsidRDefault="00B71D04" w:rsidP="00553224">
            <w:pPr>
              <w:ind w:right="42"/>
              <w:jc w:val="right"/>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ascii="Calibri" w:eastAsia="Times New Roman" w:hAnsi="Calibri"/>
                <w:color w:val="000000"/>
                <w:sz w:val="22"/>
              </w:rPr>
              <w:t>1.277089</w:t>
            </w:r>
          </w:p>
        </w:tc>
      </w:tr>
    </w:tbl>
    <w:p w14:paraId="54C5EB08" w14:textId="77777777" w:rsidR="002F7B86" w:rsidRDefault="002F7B86" w:rsidP="003D554C"/>
    <w:p w14:paraId="695CCE6B" w14:textId="77777777" w:rsidR="00B871E7" w:rsidRDefault="00B71D04" w:rsidP="003D554C">
      <w:pPr>
        <w:rPr>
          <w:i/>
          <w:iCs/>
          <w:u w:val="single"/>
        </w:rPr>
      </w:pPr>
      <w:r w:rsidRPr="004025E2">
        <w:rPr>
          <w:i/>
          <w:iCs/>
          <w:u w:val="single"/>
        </w:rPr>
        <w:t xml:space="preserve">Stock holding days </w:t>
      </w:r>
    </w:p>
    <w:tbl>
      <w:tblPr>
        <w:tblStyle w:val="ListTable7ColourfulAccent6"/>
        <w:tblW w:w="0" w:type="auto"/>
        <w:jc w:val="center"/>
        <w:shd w:val="clear" w:color="auto" w:fill="FFC000" w:themeFill="accent4"/>
        <w:tblLayout w:type="fixed"/>
        <w:tblLook w:val="04A0" w:firstRow="1" w:lastRow="0" w:firstColumn="1" w:lastColumn="0" w:noHBand="0" w:noVBand="1"/>
      </w:tblPr>
      <w:tblGrid>
        <w:gridCol w:w="6176"/>
        <w:gridCol w:w="1109"/>
        <w:gridCol w:w="1530"/>
      </w:tblGrid>
      <w:tr w:rsidR="00023256" w14:paraId="3704DBEB" w14:textId="77777777" w:rsidTr="00023256">
        <w:trPr>
          <w:cnfStyle w:val="100000000000" w:firstRow="1" w:lastRow="0" w:firstColumn="0" w:lastColumn="0" w:oddVBand="0" w:evenVBand="0" w:oddHBand="0" w:evenHBand="0" w:firstRowFirstColumn="0" w:firstRowLastColumn="0" w:lastRowFirstColumn="0" w:lastRowLastColumn="0"/>
          <w:trHeight w:val="305"/>
          <w:jc w:val="center"/>
        </w:trPr>
        <w:tc>
          <w:tcPr>
            <w:cnfStyle w:val="001000000100" w:firstRow="0" w:lastRow="0" w:firstColumn="1" w:lastColumn="0" w:oddVBand="0" w:evenVBand="0" w:oddHBand="0" w:evenHBand="0" w:firstRowFirstColumn="1" w:firstRowLastColumn="0" w:lastRowFirstColumn="0" w:lastRowLastColumn="0"/>
            <w:tcW w:w="8815" w:type="dxa"/>
            <w:gridSpan w:val="3"/>
            <w:tcBorders>
              <w:top w:val="nil"/>
              <w:left w:val="nil"/>
            </w:tcBorders>
            <w:shd w:val="clear" w:color="auto" w:fill="FFC000" w:themeFill="accent4"/>
            <w:hideMark/>
          </w:tcPr>
          <w:p w14:paraId="1B8E23EC" w14:textId="77777777" w:rsidR="0091697A" w:rsidRDefault="00B71D04" w:rsidP="00553224">
            <w:pPr>
              <w:jc w:val="center"/>
              <w:rPr>
                <w:rFonts w:cs="Calibri"/>
              </w:rPr>
            </w:pPr>
            <w:r>
              <w:rPr>
                <w:color w:val="auto"/>
              </w:rPr>
              <w:t xml:space="preserve">Calculation of </w:t>
            </w:r>
            <w:r>
              <w:rPr>
                <w:color w:val="auto"/>
                <w:shd w:val="clear" w:color="auto" w:fill="DAEEF3"/>
              </w:rPr>
              <w:t>Stock holding days</w:t>
            </w:r>
          </w:p>
        </w:tc>
      </w:tr>
      <w:tr w:rsidR="00023256" w14:paraId="78C6BED4" w14:textId="77777777" w:rsidTr="0002325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6176" w:type="dxa"/>
            <w:tcBorders>
              <w:top w:val="nil"/>
              <w:left w:val="nil"/>
              <w:bottom w:val="nil"/>
            </w:tcBorders>
            <w:shd w:val="clear" w:color="auto" w:fill="FFC000" w:themeFill="accent4"/>
            <w:hideMark/>
          </w:tcPr>
          <w:p w14:paraId="50758F47" w14:textId="77777777" w:rsidR="0091697A" w:rsidRDefault="00B71D04" w:rsidP="00553224">
            <w:pPr>
              <w:jc w:val="center"/>
              <w:rPr>
                <w:rFonts w:eastAsia="Times New Roman" w:cs="Times New Roman"/>
              </w:rPr>
            </w:pPr>
            <w:r>
              <w:rPr>
                <w:rFonts w:eastAsia="Times New Roman" w:cs="Times New Roman"/>
                <w:color w:val="auto"/>
              </w:rPr>
              <w:t>Particulars </w:t>
            </w:r>
          </w:p>
        </w:tc>
        <w:tc>
          <w:tcPr>
            <w:tcW w:w="1109" w:type="dxa"/>
            <w:shd w:val="clear" w:color="auto" w:fill="FFC000" w:themeFill="accent4"/>
            <w:hideMark/>
          </w:tcPr>
          <w:p w14:paraId="49066684" w14:textId="77777777" w:rsidR="0091697A"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2022</w:t>
            </w:r>
          </w:p>
        </w:tc>
        <w:tc>
          <w:tcPr>
            <w:tcW w:w="1530" w:type="dxa"/>
            <w:shd w:val="clear" w:color="auto" w:fill="FFC000" w:themeFill="accent4"/>
            <w:hideMark/>
          </w:tcPr>
          <w:p w14:paraId="1597B9FC" w14:textId="77777777" w:rsidR="0091697A" w:rsidRDefault="00B71D04" w:rsidP="00553224">
            <w:pPr>
              <w:jc w:val="center"/>
              <w:cnfStyle w:val="000000100000" w:firstRow="0" w:lastRow="0" w:firstColumn="0" w:lastColumn="0" w:oddVBand="0" w:evenVBand="0" w:oddHBand="1" w:evenHBand="0" w:firstRowFirstColumn="0" w:firstRowLastColumn="0" w:lastRowFirstColumn="0" w:lastRowLastColumn="0"/>
              <w:rPr>
                <w:rFonts w:cs="Calibri"/>
                <w:lang w:eastAsia="en-GB"/>
              </w:rPr>
            </w:pPr>
            <w:r>
              <w:rPr>
                <w:color w:val="auto"/>
              </w:rPr>
              <w:t>2021</w:t>
            </w:r>
          </w:p>
        </w:tc>
      </w:tr>
      <w:tr w:rsidR="00023256" w14:paraId="2B799D0D" w14:textId="77777777" w:rsidTr="00023256">
        <w:trPr>
          <w:trHeight w:val="305"/>
          <w:jc w:val="center"/>
        </w:trPr>
        <w:tc>
          <w:tcPr>
            <w:cnfStyle w:val="001000000000" w:firstRow="0" w:lastRow="0" w:firstColumn="1" w:lastColumn="0" w:oddVBand="0" w:evenVBand="0" w:oddHBand="0" w:evenHBand="0" w:firstRowFirstColumn="0" w:firstRowLastColumn="0" w:lastRowFirstColumn="0" w:lastRowLastColumn="0"/>
            <w:tcW w:w="6176" w:type="dxa"/>
            <w:tcBorders>
              <w:top w:val="nil"/>
              <w:left w:val="nil"/>
              <w:bottom w:val="nil"/>
            </w:tcBorders>
            <w:shd w:val="clear" w:color="auto" w:fill="FFC000" w:themeFill="accent4"/>
            <w:hideMark/>
          </w:tcPr>
          <w:p w14:paraId="7B93B363" w14:textId="77777777" w:rsidR="0091697A" w:rsidRDefault="00B71D04" w:rsidP="00553224">
            <w:pPr>
              <w:jc w:val="center"/>
              <w:rPr>
                <w:rFonts w:eastAsia="Times New Roman" w:cs="Times New Roman"/>
              </w:rPr>
            </w:pPr>
            <w:r>
              <w:rPr>
                <w:rFonts w:eastAsia="Times New Roman" w:cs="Times New Roman"/>
                <w:color w:val="auto"/>
              </w:rPr>
              <w:t>Closing stock </w:t>
            </w:r>
          </w:p>
        </w:tc>
        <w:tc>
          <w:tcPr>
            <w:tcW w:w="1109" w:type="dxa"/>
            <w:shd w:val="clear" w:color="auto" w:fill="FFC000" w:themeFill="accent4"/>
            <w:hideMark/>
          </w:tcPr>
          <w:p w14:paraId="6C55DE37" w14:textId="77777777" w:rsidR="0091697A" w:rsidRPr="00A042CB"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rPr>
            </w:pPr>
            <w:r w:rsidRPr="00A042CB">
              <w:rPr>
                <w:rFonts w:eastAsia="Times New Roman" w:cs="Times New Roman"/>
                <w:color w:val="auto"/>
              </w:rPr>
              <w:t>708</w:t>
            </w:r>
          </w:p>
        </w:tc>
        <w:tc>
          <w:tcPr>
            <w:tcW w:w="1530" w:type="dxa"/>
            <w:shd w:val="clear" w:color="auto" w:fill="FFC000" w:themeFill="accent4"/>
            <w:hideMark/>
          </w:tcPr>
          <w:p w14:paraId="353ACA8F" w14:textId="77777777" w:rsidR="0091697A" w:rsidRPr="00A042CB"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rPr>
            </w:pPr>
            <w:r w:rsidRPr="00A042CB">
              <w:rPr>
                <w:color w:val="auto"/>
              </w:rPr>
              <w:t>659</w:t>
            </w:r>
          </w:p>
        </w:tc>
      </w:tr>
      <w:tr w:rsidR="00023256" w14:paraId="396C0DC1" w14:textId="77777777" w:rsidTr="0002325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6176" w:type="dxa"/>
            <w:tcBorders>
              <w:top w:val="nil"/>
              <w:left w:val="nil"/>
              <w:bottom w:val="nil"/>
            </w:tcBorders>
            <w:shd w:val="clear" w:color="auto" w:fill="FFC000" w:themeFill="accent4"/>
            <w:hideMark/>
          </w:tcPr>
          <w:p w14:paraId="738AD20A" w14:textId="77777777" w:rsidR="0091697A" w:rsidRDefault="00B71D04" w:rsidP="00553224">
            <w:pPr>
              <w:jc w:val="center"/>
              <w:rPr>
                <w:rFonts w:eastAsia="Times New Roman" w:cs="Times New Roman"/>
              </w:rPr>
            </w:pPr>
            <w:r>
              <w:rPr>
                <w:rFonts w:eastAsia="Times New Roman" w:cs="Times New Roman"/>
                <w:color w:val="auto"/>
              </w:rPr>
              <w:t>Cost of goods sold </w:t>
            </w:r>
          </w:p>
        </w:tc>
        <w:tc>
          <w:tcPr>
            <w:tcW w:w="1109" w:type="dxa"/>
            <w:shd w:val="clear" w:color="auto" w:fill="FFC000" w:themeFill="accent4"/>
            <w:hideMark/>
          </w:tcPr>
          <w:p w14:paraId="2FA8AD10" w14:textId="77777777" w:rsidR="0091697A" w:rsidRPr="00A042CB"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rPr>
            </w:pPr>
            <w:r w:rsidRPr="00A042CB">
              <w:rPr>
                <w:rFonts w:eastAsia="Times New Roman" w:cs="Times New Roman"/>
                <w:color w:val="auto"/>
              </w:rPr>
              <w:t>3235</w:t>
            </w:r>
          </w:p>
        </w:tc>
        <w:tc>
          <w:tcPr>
            <w:tcW w:w="1530" w:type="dxa"/>
            <w:shd w:val="clear" w:color="auto" w:fill="FFC000" w:themeFill="accent4"/>
            <w:hideMark/>
          </w:tcPr>
          <w:p w14:paraId="75041A26" w14:textId="77777777" w:rsidR="0091697A" w:rsidRPr="00A042CB"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rPr>
            </w:pPr>
            <w:r w:rsidRPr="00A042CB">
              <w:rPr>
                <w:color w:val="auto"/>
              </w:rPr>
              <w:t>3096</w:t>
            </w:r>
          </w:p>
        </w:tc>
      </w:tr>
      <w:tr w:rsidR="00023256" w14:paraId="0B59519D" w14:textId="77777777" w:rsidTr="00023256">
        <w:trPr>
          <w:trHeight w:val="305"/>
          <w:jc w:val="center"/>
        </w:trPr>
        <w:tc>
          <w:tcPr>
            <w:cnfStyle w:val="001000000000" w:firstRow="0" w:lastRow="0" w:firstColumn="1" w:lastColumn="0" w:oddVBand="0" w:evenVBand="0" w:oddHBand="0" w:evenHBand="0" w:firstRowFirstColumn="0" w:firstRowLastColumn="0" w:lastRowFirstColumn="0" w:lastRowLastColumn="0"/>
            <w:tcW w:w="6176" w:type="dxa"/>
            <w:tcBorders>
              <w:top w:val="nil"/>
              <w:left w:val="nil"/>
              <w:bottom w:val="nil"/>
            </w:tcBorders>
            <w:shd w:val="clear" w:color="auto" w:fill="FFC000" w:themeFill="accent4"/>
            <w:hideMark/>
          </w:tcPr>
          <w:p w14:paraId="015878F6" w14:textId="77777777" w:rsidR="0091697A" w:rsidRDefault="00B71D04" w:rsidP="00553224">
            <w:pPr>
              <w:jc w:val="center"/>
              <w:rPr>
                <w:rFonts w:eastAsia="Times New Roman" w:cs="Times New Roman"/>
              </w:rPr>
            </w:pPr>
            <w:r>
              <w:rPr>
                <w:rFonts w:eastAsia="Times New Roman" w:cs="Times New Roman"/>
                <w:color w:val="auto"/>
              </w:rPr>
              <w:t xml:space="preserve">Stock holding days (Closing stock/cost of goods sold) x 365 </w:t>
            </w:r>
          </w:p>
        </w:tc>
        <w:tc>
          <w:tcPr>
            <w:tcW w:w="1109" w:type="dxa"/>
            <w:shd w:val="clear" w:color="auto" w:fill="FFC000" w:themeFill="accent4"/>
            <w:hideMark/>
          </w:tcPr>
          <w:p w14:paraId="6A6A4E46" w14:textId="2246BDA3" w:rsidR="00A042CB"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rPr>
            </w:pPr>
            <w:r>
              <w:rPr>
                <w:rFonts w:eastAsia="Times New Roman" w:cs="Times New Roman"/>
                <w:color w:val="auto"/>
              </w:rPr>
              <w:t>=</w:t>
            </w:r>
            <w:r w:rsidR="009C67D8">
              <w:rPr>
                <w:rFonts w:eastAsia="Times New Roman" w:cs="Times New Roman"/>
                <w:color w:val="auto"/>
              </w:rPr>
              <w:t>708/3235*365</w:t>
            </w:r>
          </w:p>
          <w:p w14:paraId="3A2532A9" w14:textId="0D5E0173" w:rsidR="0091697A" w:rsidRPr="00A042CB"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rPr>
            </w:pPr>
            <w:r w:rsidRPr="00A042CB">
              <w:rPr>
                <w:rFonts w:eastAsia="Times New Roman" w:cs="Times New Roman"/>
                <w:color w:val="auto"/>
              </w:rPr>
              <w:t>79.8825</w:t>
            </w:r>
          </w:p>
        </w:tc>
        <w:tc>
          <w:tcPr>
            <w:tcW w:w="1530" w:type="dxa"/>
            <w:shd w:val="clear" w:color="auto" w:fill="FFC000" w:themeFill="accent4"/>
            <w:hideMark/>
          </w:tcPr>
          <w:p w14:paraId="2331DD8C" w14:textId="6025D3C7" w:rsidR="009C67D8" w:rsidRDefault="00B71D04" w:rsidP="00553224">
            <w:pPr>
              <w:pStyle w:val="NormalWeb"/>
              <w:spacing w:line="480" w:lineRule="auto"/>
              <w:jc w:val="center"/>
              <w:cnfStyle w:val="000000000000" w:firstRow="0" w:lastRow="0" w:firstColumn="0" w:lastColumn="0" w:oddVBand="0" w:evenVBand="0" w:oddHBand="0" w:evenHBand="0" w:firstRowFirstColumn="0" w:firstRowLastColumn="0" w:lastRowFirstColumn="0" w:lastRowLastColumn="0"/>
              <w:rPr>
                <w:color w:val="auto"/>
              </w:rPr>
            </w:pPr>
            <w:r>
              <w:rPr>
                <w:color w:val="auto"/>
              </w:rPr>
              <w:t>659/3096*365</w:t>
            </w:r>
          </w:p>
          <w:p w14:paraId="40154733" w14:textId="0EE5DBE7" w:rsidR="0091697A" w:rsidRPr="00A042CB" w:rsidRDefault="00B71D04" w:rsidP="00553224">
            <w:pPr>
              <w:pStyle w:val="NormalWeb"/>
              <w:spacing w:line="480" w:lineRule="auto"/>
              <w:jc w:val="center"/>
              <w:cnfStyle w:val="000000000000" w:firstRow="0" w:lastRow="0" w:firstColumn="0" w:lastColumn="0" w:oddVBand="0" w:evenVBand="0" w:oddHBand="0" w:evenHBand="0" w:firstRowFirstColumn="0" w:firstRowLastColumn="0" w:lastRowFirstColumn="0" w:lastRowLastColumn="0"/>
              <w:rPr>
                <w:color w:val="auto"/>
              </w:rPr>
            </w:pPr>
            <w:r w:rsidRPr="00A042CB">
              <w:rPr>
                <w:color w:val="auto"/>
              </w:rPr>
              <w:t>77.69218346</w:t>
            </w:r>
          </w:p>
        </w:tc>
      </w:tr>
    </w:tbl>
    <w:p w14:paraId="048EB181" w14:textId="77777777" w:rsidR="002F7B86" w:rsidRDefault="002F7B86" w:rsidP="003D554C"/>
    <w:p w14:paraId="252C2E4B" w14:textId="77777777" w:rsidR="00B871E7" w:rsidRPr="004025E2" w:rsidRDefault="00B71D04" w:rsidP="003D554C">
      <w:pPr>
        <w:rPr>
          <w:i/>
          <w:iCs/>
          <w:u w:val="single"/>
        </w:rPr>
      </w:pPr>
      <w:r w:rsidRPr="004025E2">
        <w:rPr>
          <w:i/>
          <w:iCs/>
          <w:u w:val="single"/>
        </w:rPr>
        <w:t xml:space="preserve">Debtors collection period </w:t>
      </w:r>
    </w:p>
    <w:tbl>
      <w:tblPr>
        <w:tblStyle w:val="ListTable7ColourfulAccent6"/>
        <w:tblW w:w="0" w:type="auto"/>
        <w:jc w:val="center"/>
        <w:shd w:val="clear" w:color="auto" w:fill="FFC000" w:themeFill="accent4"/>
        <w:tblLook w:val="04A0" w:firstRow="1" w:lastRow="0" w:firstColumn="1" w:lastColumn="0" w:noHBand="0" w:noVBand="1"/>
      </w:tblPr>
      <w:tblGrid>
        <w:gridCol w:w="5975"/>
        <w:gridCol w:w="1747"/>
        <w:gridCol w:w="1638"/>
      </w:tblGrid>
      <w:tr w:rsidR="00023256" w14:paraId="70467573" w14:textId="77777777" w:rsidTr="00023256">
        <w:trPr>
          <w:cnfStyle w:val="100000000000" w:firstRow="1" w:lastRow="0" w:firstColumn="0" w:lastColumn="0" w:oddVBand="0" w:evenVBand="0" w:oddHBand="0" w:evenHBand="0" w:firstRowFirstColumn="0" w:firstRowLastColumn="0" w:lastRowFirstColumn="0" w:lastRowLastColumn="0"/>
          <w:trHeight w:val="555"/>
          <w:jc w:val="center"/>
        </w:trPr>
        <w:tc>
          <w:tcPr>
            <w:cnfStyle w:val="001000000100" w:firstRow="0" w:lastRow="0" w:firstColumn="1" w:lastColumn="0" w:oddVBand="0" w:evenVBand="0" w:oddHBand="0" w:evenHBand="0" w:firstRowFirstColumn="1" w:firstRowLastColumn="0" w:lastRowFirstColumn="0" w:lastRowLastColumn="0"/>
            <w:tcW w:w="0" w:type="auto"/>
            <w:gridSpan w:val="3"/>
            <w:tcBorders>
              <w:top w:val="nil"/>
              <w:left w:val="nil"/>
            </w:tcBorders>
            <w:shd w:val="clear" w:color="auto" w:fill="FFC000" w:themeFill="accent4"/>
            <w:hideMark/>
          </w:tcPr>
          <w:p w14:paraId="1C4077F3" w14:textId="77777777" w:rsidR="00C10139" w:rsidRDefault="00B71D04" w:rsidP="00553224">
            <w:pPr>
              <w:jc w:val="center"/>
              <w:rPr>
                <w:rFonts w:cs="Calibri"/>
              </w:rPr>
            </w:pPr>
            <w:r>
              <w:rPr>
                <w:color w:val="auto"/>
                <w:shd w:val="clear" w:color="auto" w:fill="DAEEF3"/>
              </w:rPr>
              <w:t>Calculation of debtors' collection period</w:t>
            </w:r>
          </w:p>
        </w:tc>
      </w:tr>
      <w:tr w:rsidR="00023256" w14:paraId="7266578C" w14:textId="77777777" w:rsidTr="0002325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5A14AFC1" w14:textId="77777777" w:rsidR="00C10139" w:rsidRDefault="00B71D04" w:rsidP="00553224">
            <w:pPr>
              <w:jc w:val="center"/>
              <w:rPr>
                <w:rFonts w:eastAsia="Times New Roman" w:cs="Times New Roman"/>
              </w:rPr>
            </w:pPr>
            <w:r>
              <w:rPr>
                <w:rFonts w:eastAsia="Times New Roman" w:cs="Times New Roman"/>
                <w:color w:val="auto"/>
              </w:rPr>
              <w:t>Particulars </w:t>
            </w:r>
          </w:p>
        </w:tc>
        <w:tc>
          <w:tcPr>
            <w:tcW w:w="0" w:type="auto"/>
            <w:shd w:val="clear" w:color="auto" w:fill="FFC000" w:themeFill="accent4"/>
            <w:hideMark/>
          </w:tcPr>
          <w:p w14:paraId="66A761CB" w14:textId="77777777" w:rsidR="00C10139"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2022</w:t>
            </w:r>
          </w:p>
        </w:tc>
        <w:tc>
          <w:tcPr>
            <w:tcW w:w="0" w:type="auto"/>
            <w:shd w:val="clear" w:color="auto" w:fill="FFC000" w:themeFill="accent4"/>
            <w:hideMark/>
          </w:tcPr>
          <w:p w14:paraId="3E5F8B0D" w14:textId="77777777" w:rsidR="00C10139"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2021</w:t>
            </w:r>
          </w:p>
        </w:tc>
      </w:tr>
      <w:tr w:rsidR="00023256" w14:paraId="69525E14" w14:textId="77777777" w:rsidTr="0002325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5B39904A" w14:textId="77777777" w:rsidR="00C10139" w:rsidRDefault="00B71D04" w:rsidP="00553224">
            <w:pPr>
              <w:jc w:val="center"/>
              <w:rPr>
                <w:rFonts w:eastAsia="Times New Roman" w:cs="Times New Roman"/>
              </w:rPr>
            </w:pPr>
            <w:r>
              <w:rPr>
                <w:rFonts w:eastAsia="Times New Roman" w:cs="Times New Roman"/>
                <w:color w:val="auto"/>
              </w:rPr>
              <w:t xml:space="preserve">The amount owed by Debtors </w:t>
            </w:r>
          </w:p>
        </w:tc>
        <w:tc>
          <w:tcPr>
            <w:tcW w:w="0" w:type="auto"/>
            <w:shd w:val="clear" w:color="auto" w:fill="FFC000" w:themeFill="accent4"/>
            <w:hideMark/>
          </w:tcPr>
          <w:p w14:paraId="4A615F98" w14:textId="77777777" w:rsidR="00C10139" w:rsidRPr="00713904"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rPr>
            </w:pPr>
            <w:r w:rsidRPr="00713904">
              <w:rPr>
                <w:rFonts w:ascii="Calibri" w:eastAsia="Times New Roman" w:hAnsi="Calibri"/>
                <w:color w:val="auto"/>
                <w:sz w:val="22"/>
              </w:rPr>
              <w:t>1,249</w:t>
            </w:r>
          </w:p>
        </w:tc>
        <w:tc>
          <w:tcPr>
            <w:tcW w:w="0" w:type="auto"/>
            <w:shd w:val="clear" w:color="auto" w:fill="FFC000" w:themeFill="accent4"/>
            <w:hideMark/>
          </w:tcPr>
          <w:p w14:paraId="149D1599" w14:textId="77777777" w:rsidR="00C10139" w:rsidRPr="00713904" w:rsidRDefault="00B71D04" w:rsidP="00553224">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auto"/>
                <w:sz w:val="22"/>
              </w:rPr>
            </w:pPr>
            <w:r w:rsidRPr="00713904">
              <w:rPr>
                <w:rFonts w:ascii="Calibri" w:eastAsia="Times New Roman" w:hAnsi="Calibri"/>
                <w:color w:val="auto"/>
                <w:sz w:val="22"/>
              </w:rPr>
              <w:t>1287</w:t>
            </w:r>
          </w:p>
        </w:tc>
      </w:tr>
      <w:tr w:rsidR="00023256" w14:paraId="156AEA1A" w14:textId="77777777" w:rsidTr="0002325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17F01AC2" w14:textId="77777777" w:rsidR="00C10139" w:rsidRDefault="00B71D04" w:rsidP="00553224">
            <w:pPr>
              <w:jc w:val="center"/>
              <w:rPr>
                <w:rFonts w:eastAsia="Times New Roman" w:cs="Times New Roman"/>
                <w:szCs w:val="24"/>
              </w:rPr>
            </w:pPr>
            <w:r>
              <w:rPr>
                <w:rFonts w:eastAsia="Times New Roman" w:cs="Times New Roman"/>
                <w:color w:val="auto"/>
              </w:rPr>
              <w:t>credit sales </w:t>
            </w:r>
          </w:p>
        </w:tc>
        <w:tc>
          <w:tcPr>
            <w:tcW w:w="0" w:type="auto"/>
            <w:shd w:val="clear" w:color="auto" w:fill="FFC000" w:themeFill="accent4"/>
            <w:hideMark/>
          </w:tcPr>
          <w:p w14:paraId="713F30C2" w14:textId="77777777" w:rsidR="00C10139" w:rsidRPr="00713904"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rPr>
            </w:pPr>
            <w:r w:rsidRPr="00713904">
              <w:rPr>
                <w:rFonts w:ascii="Calibri" w:eastAsia="Times New Roman" w:hAnsi="Calibri"/>
                <w:color w:val="auto"/>
                <w:sz w:val="22"/>
              </w:rPr>
              <w:t>6,738</w:t>
            </w:r>
          </w:p>
        </w:tc>
        <w:tc>
          <w:tcPr>
            <w:tcW w:w="0" w:type="auto"/>
            <w:shd w:val="clear" w:color="auto" w:fill="FFC000" w:themeFill="accent4"/>
            <w:hideMark/>
          </w:tcPr>
          <w:p w14:paraId="203E69BB" w14:textId="77777777" w:rsidR="00C10139" w:rsidRPr="00713904" w:rsidRDefault="00B71D04" w:rsidP="00553224">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auto"/>
                <w:sz w:val="22"/>
              </w:rPr>
            </w:pPr>
            <w:r w:rsidRPr="00713904">
              <w:rPr>
                <w:rFonts w:ascii="Calibri" w:eastAsia="Times New Roman" w:hAnsi="Calibri"/>
                <w:color w:val="auto"/>
                <w:sz w:val="22"/>
              </w:rPr>
              <w:t>6441</w:t>
            </w:r>
          </w:p>
        </w:tc>
      </w:tr>
      <w:tr w:rsidR="00023256" w14:paraId="7FB35EFB" w14:textId="77777777" w:rsidTr="0002325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41A39FA4" w14:textId="77777777" w:rsidR="00C10139" w:rsidRDefault="00B71D04" w:rsidP="00553224">
            <w:pPr>
              <w:jc w:val="center"/>
              <w:rPr>
                <w:rFonts w:eastAsia="Times New Roman" w:cs="Times New Roman"/>
                <w:szCs w:val="24"/>
              </w:rPr>
            </w:pPr>
            <w:r>
              <w:rPr>
                <w:rFonts w:eastAsia="Times New Roman" w:cs="Times New Roman"/>
                <w:color w:val="auto"/>
              </w:rPr>
              <w:t xml:space="preserve">Debtors collection period (Amount owed by debtor/annual credit sales) x 365 </w:t>
            </w:r>
          </w:p>
        </w:tc>
        <w:tc>
          <w:tcPr>
            <w:tcW w:w="0" w:type="auto"/>
            <w:shd w:val="clear" w:color="auto" w:fill="FFC000" w:themeFill="accent4"/>
            <w:hideMark/>
          </w:tcPr>
          <w:p w14:paraId="7A12AADF" w14:textId="131E6310" w:rsidR="00713904" w:rsidRDefault="00B71D04" w:rsidP="00553224">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rPr>
            </w:pPr>
            <w:r>
              <w:rPr>
                <w:rFonts w:ascii="Calibri" w:eastAsia="Times New Roman" w:hAnsi="Calibri"/>
                <w:color w:val="auto"/>
                <w:sz w:val="22"/>
              </w:rPr>
              <w:t>=1249/6738*365</w:t>
            </w:r>
          </w:p>
          <w:p w14:paraId="3D303942" w14:textId="00CE0140" w:rsidR="00C10139" w:rsidRPr="00713904"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rPr>
            </w:pPr>
            <w:r w:rsidRPr="00713904">
              <w:rPr>
                <w:rFonts w:ascii="Calibri" w:eastAsia="Times New Roman" w:hAnsi="Calibri"/>
                <w:color w:val="auto"/>
                <w:sz w:val="22"/>
              </w:rPr>
              <w:t>67.6588</w:t>
            </w:r>
          </w:p>
        </w:tc>
        <w:tc>
          <w:tcPr>
            <w:tcW w:w="0" w:type="auto"/>
            <w:shd w:val="clear" w:color="auto" w:fill="FFC000" w:themeFill="accent4"/>
            <w:hideMark/>
          </w:tcPr>
          <w:p w14:paraId="7D6D6AD8" w14:textId="72D7B3F9" w:rsidR="00F21537" w:rsidRDefault="00B71D04" w:rsidP="00553224">
            <w:pPr>
              <w:jc w:val="center"/>
              <w:cnfStyle w:val="000000000000" w:firstRow="0" w:lastRow="0" w:firstColumn="0" w:lastColumn="0" w:oddVBand="0" w:evenVBand="0" w:oddHBand="0" w:evenHBand="0" w:firstRowFirstColumn="0" w:firstRowLastColumn="0" w:lastRowFirstColumn="0" w:lastRowLastColumn="0"/>
              <w:rPr>
                <w:rFonts w:ascii="Calibri" w:hAnsi="Calibri"/>
                <w:color w:val="auto"/>
                <w:sz w:val="22"/>
              </w:rPr>
            </w:pPr>
            <w:r>
              <w:rPr>
                <w:rFonts w:ascii="Calibri" w:hAnsi="Calibri"/>
                <w:color w:val="auto"/>
                <w:sz w:val="22"/>
              </w:rPr>
              <w:t>1287/6441*365</w:t>
            </w:r>
          </w:p>
          <w:p w14:paraId="7E117B47" w14:textId="0FCB183C" w:rsidR="00C10139" w:rsidRPr="00713904" w:rsidRDefault="00B71D04" w:rsidP="00553224">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auto"/>
                <w:sz w:val="22"/>
              </w:rPr>
            </w:pPr>
            <w:r w:rsidRPr="00713904">
              <w:rPr>
                <w:rFonts w:ascii="Calibri" w:hAnsi="Calibri"/>
                <w:color w:val="auto"/>
                <w:sz w:val="22"/>
              </w:rPr>
              <w:t>72.93199814</w:t>
            </w:r>
          </w:p>
        </w:tc>
      </w:tr>
    </w:tbl>
    <w:p w14:paraId="3366337C" w14:textId="77777777" w:rsidR="002F7B86" w:rsidRDefault="002F7B86" w:rsidP="003D554C"/>
    <w:p w14:paraId="1A02E5AD" w14:textId="77777777" w:rsidR="00B871E7" w:rsidRPr="004025E2" w:rsidRDefault="00B71D04" w:rsidP="003D554C">
      <w:pPr>
        <w:rPr>
          <w:i/>
          <w:iCs/>
          <w:u w:val="single"/>
        </w:rPr>
      </w:pPr>
      <w:r w:rsidRPr="004025E2">
        <w:rPr>
          <w:i/>
          <w:iCs/>
          <w:u w:val="single"/>
        </w:rPr>
        <w:t xml:space="preserve">Current ratio </w:t>
      </w:r>
    </w:p>
    <w:tbl>
      <w:tblPr>
        <w:tblStyle w:val="ListTable7ColourfulAccent6"/>
        <w:tblW w:w="0" w:type="auto"/>
        <w:jc w:val="center"/>
        <w:shd w:val="clear" w:color="auto" w:fill="FFC000" w:themeFill="accent4"/>
        <w:tblLook w:val="04A0" w:firstRow="1" w:lastRow="0" w:firstColumn="1" w:lastColumn="0" w:noHBand="0" w:noVBand="1"/>
      </w:tblPr>
      <w:tblGrid>
        <w:gridCol w:w="4332"/>
        <w:gridCol w:w="1303"/>
        <w:gridCol w:w="1387"/>
      </w:tblGrid>
      <w:tr w:rsidR="00023256" w14:paraId="6A15786B" w14:textId="77777777" w:rsidTr="00023256">
        <w:trPr>
          <w:cnfStyle w:val="100000000000" w:firstRow="1" w:lastRow="0" w:firstColumn="0" w:lastColumn="0" w:oddVBand="0" w:evenVBand="0" w:oddHBand="0" w:evenHBand="0" w:firstRowFirstColumn="0" w:firstRowLastColumn="0" w:lastRowFirstColumn="0" w:lastRowLastColumn="0"/>
          <w:trHeight w:val="305"/>
          <w:jc w:val="center"/>
        </w:trPr>
        <w:tc>
          <w:tcPr>
            <w:cnfStyle w:val="001000000100" w:firstRow="0" w:lastRow="0" w:firstColumn="1" w:lastColumn="0" w:oddVBand="0" w:evenVBand="0" w:oddHBand="0" w:evenHBand="0" w:firstRowFirstColumn="1" w:firstRowLastColumn="0" w:lastRowFirstColumn="0" w:lastRowLastColumn="0"/>
            <w:tcW w:w="6502" w:type="dxa"/>
            <w:gridSpan w:val="3"/>
            <w:tcBorders>
              <w:top w:val="nil"/>
              <w:left w:val="nil"/>
            </w:tcBorders>
            <w:shd w:val="clear" w:color="auto" w:fill="FFC000" w:themeFill="accent4"/>
            <w:hideMark/>
          </w:tcPr>
          <w:p w14:paraId="0D3CA1BD" w14:textId="77777777" w:rsidR="00C10139" w:rsidRDefault="00B71D04" w:rsidP="00553224">
            <w:pPr>
              <w:jc w:val="center"/>
              <w:rPr>
                <w:rFonts w:eastAsia="Times New Roman" w:cs="Times New Roman"/>
              </w:rPr>
            </w:pPr>
            <w:r>
              <w:rPr>
                <w:color w:val="auto"/>
                <w:shd w:val="clear" w:color="auto" w:fill="DAEEF3"/>
              </w:rPr>
              <w:lastRenderedPageBreak/>
              <w:t>Calculation of the current ratio</w:t>
            </w:r>
          </w:p>
        </w:tc>
      </w:tr>
      <w:tr w:rsidR="00023256" w14:paraId="734190A7" w14:textId="77777777" w:rsidTr="0002325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54B999E1" w14:textId="77777777" w:rsidR="00C10139" w:rsidRDefault="00B71D04" w:rsidP="00553224">
            <w:pPr>
              <w:jc w:val="center"/>
              <w:rPr>
                <w:rFonts w:eastAsia="Times New Roman" w:cs="Times New Roman"/>
              </w:rPr>
            </w:pPr>
            <w:r>
              <w:rPr>
                <w:rFonts w:eastAsia="Times New Roman" w:cs="Times New Roman"/>
                <w:color w:val="auto"/>
              </w:rPr>
              <w:t>Particulars </w:t>
            </w:r>
          </w:p>
        </w:tc>
        <w:tc>
          <w:tcPr>
            <w:tcW w:w="0" w:type="auto"/>
            <w:shd w:val="clear" w:color="auto" w:fill="FFC000" w:themeFill="accent4"/>
            <w:hideMark/>
          </w:tcPr>
          <w:p w14:paraId="6F5133FD" w14:textId="77777777" w:rsidR="00C10139" w:rsidRPr="00F21537"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rPr>
            </w:pPr>
            <w:r w:rsidRPr="00F21537">
              <w:rPr>
                <w:rFonts w:eastAsia="Times New Roman" w:cs="Times New Roman"/>
                <w:color w:val="auto"/>
              </w:rPr>
              <w:t>2022</w:t>
            </w:r>
          </w:p>
        </w:tc>
        <w:tc>
          <w:tcPr>
            <w:tcW w:w="1201" w:type="dxa"/>
            <w:shd w:val="clear" w:color="auto" w:fill="FFC000" w:themeFill="accent4"/>
          </w:tcPr>
          <w:p w14:paraId="1944564A" w14:textId="77777777" w:rsidR="00C10139" w:rsidRPr="00F21537" w:rsidRDefault="00B71D04" w:rsidP="00553224">
            <w:pPr>
              <w:pStyle w:val="NormalWeb"/>
              <w:spacing w:line="480" w:lineRule="auto"/>
              <w:jc w:val="center"/>
              <w:cnfStyle w:val="000000100000" w:firstRow="0" w:lastRow="0" w:firstColumn="0" w:lastColumn="0" w:oddVBand="0" w:evenVBand="0" w:oddHBand="1" w:evenHBand="0" w:firstRowFirstColumn="0" w:firstRowLastColumn="0" w:lastRowFirstColumn="0" w:lastRowLastColumn="0"/>
              <w:rPr>
                <w:color w:val="auto"/>
              </w:rPr>
            </w:pPr>
            <w:r w:rsidRPr="00F21537">
              <w:rPr>
                <w:color w:val="auto"/>
              </w:rPr>
              <w:t>2021</w:t>
            </w:r>
          </w:p>
          <w:p w14:paraId="6DAF2594" w14:textId="77777777" w:rsidR="00C10139" w:rsidRPr="00F21537" w:rsidRDefault="00C10139"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rPr>
            </w:pPr>
          </w:p>
        </w:tc>
      </w:tr>
      <w:tr w:rsidR="00023256" w14:paraId="372299BB" w14:textId="77777777" w:rsidTr="0002325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35575A78" w14:textId="77777777" w:rsidR="00C10139" w:rsidRDefault="00B71D04" w:rsidP="00553224">
            <w:pPr>
              <w:jc w:val="center"/>
              <w:rPr>
                <w:rFonts w:eastAsia="Times New Roman" w:cs="Times New Roman"/>
              </w:rPr>
            </w:pPr>
            <w:r>
              <w:rPr>
                <w:rFonts w:ascii="Calibri" w:eastAsia="Times New Roman" w:hAnsi="Calibri"/>
                <w:color w:val="auto"/>
                <w:sz w:val="22"/>
              </w:rPr>
              <w:t>Current asset </w:t>
            </w:r>
          </w:p>
        </w:tc>
        <w:tc>
          <w:tcPr>
            <w:tcW w:w="0" w:type="auto"/>
            <w:shd w:val="clear" w:color="auto" w:fill="FFC000" w:themeFill="accent4"/>
            <w:hideMark/>
          </w:tcPr>
          <w:p w14:paraId="7336748C" w14:textId="77777777" w:rsidR="00C10139" w:rsidRPr="00F21537"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rPr>
            </w:pPr>
            <w:r w:rsidRPr="00F21537">
              <w:rPr>
                <w:rFonts w:ascii="Calibri" w:eastAsia="Times New Roman" w:hAnsi="Calibri"/>
                <w:color w:val="auto"/>
                <w:sz w:val="22"/>
              </w:rPr>
              <w:t>9,736</w:t>
            </w:r>
          </w:p>
        </w:tc>
        <w:tc>
          <w:tcPr>
            <w:tcW w:w="1201" w:type="dxa"/>
            <w:shd w:val="clear" w:color="auto" w:fill="FFC000" w:themeFill="accent4"/>
            <w:hideMark/>
          </w:tcPr>
          <w:p w14:paraId="0B221F97" w14:textId="77777777" w:rsidR="00C10139" w:rsidRPr="00F21537" w:rsidRDefault="00B71D04" w:rsidP="00553224">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auto"/>
                <w:sz w:val="22"/>
              </w:rPr>
            </w:pPr>
            <w:r w:rsidRPr="00F21537">
              <w:rPr>
                <w:rFonts w:ascii="Calibri" w:hAnsi="Calibri"/>
                <w:color w:val="auto"/>
                <w:sz w:val="22"/>
              </w:rPr>
              <w:t>10,087</w:t>
            </w:r>
          </w:p>
        </w:tc>
      </w:tr>
      <w:tr w:rsidR="00023256" w14:paraId="4D12D7B4" w14:textId="77777777" w:rsidTr="0002325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7A048779" w14:textId="0019C788" w:rsidR="00F21537" w:rsidRDefault="00B71D04" w:rsidP="00F21537">
            <w:pPr>
              <w:jc w:val="center"/>
              <w:rPr>
                <w:rFonts w:ascii="Calibri" w:eastAsia="Times New Roman" w:hAnsi="Calibri"/>
                <w:color w:val="auto"/>
                <w:sz w:val="22"/>
              </w:rPr>
            </w:pPr>
            <w:r>
              <w:rPr>
                <w:rFonts w:ascii="Calibri" w:eastAsia="Times New Roman" w:hAnsi="Calibri"/>
                <w:color w:val="auto"/>
                <w:sz w:val="22"/>
              </w:rPr>
              <w:t xml:space="preserve">Current </w:t>
            </w:r>
            <w:r>
              <w:rPr>
                <w:rFonts w:ascii="Calibri" w:eastAsia="Times New Roman" w:hAnsi="Calibri"/>
                <w:color w:val="auto"/>
                <w:sz w:val="22"/>
              </w:rPr>
              <w:t>liabilities </w:t>
            </w:r>
          </w:p>
          <w:p w14:paraId="4570656A" w14:textId="77777777" w:rsidR="00F21537" w:rsidRPr="00F21537" w:rsidRDefault="00F21537" w:rsidP="00F21537">
            <w:pPr>
              <w:rPr>
                <w:rFonts w:eastAsia="Times New Roman" w:cs="Times New Roman"/>
                <w:szCs w:val="24"/>
              </w:rPr>
            </w:pPr>
          </w:p>
        </w:tc>
        <w:tc>
          <w:tcPr>
            <w:tcW w:w="0" w:type="auto"/>
            <w:shd w:val="clear" w:color="auto" w:fill="FFC000" w:themeFill="accent4"/>
            <w:hideMark/>
          </w:tcPr>
          <w:p w14:paraId="03EF5C1E" w14:textId="77777777" w:rsidR="00C10139" w:rsidRPr="00F21537"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rPr>
            </w:pPr>
            <w:r w:rsidRPr="00F21537">
              <w:rPr>
                <w:rFonts w:ascii="Calibri" w:eastAsia="Times New Roman" w:hAnsi="Calibri"/>
                <w:color w:val="auto"/>
                <w:sz w:val="22"/>
              </w:rPr>
              <w:t>2,511</w:t>
            </w:r>
          </w:p>
        </w:tc>
        <w:tc>
          <w:tcPr>
            <w:tcW w:w="1201" w:type="dxa"/>
            <w:shd w:val="clear" w:color="auto" w:fill="FFC000" w:themeFill="accent4"/>
          </w:tcPr>
          <w:p w14:paraId="10AD9EC1" w14:textId="77777777" w:rsidR="00C10139" w:rsidRPr="00F21537" w:rsidRDefault="00B71D04" w:rsidP="00553224">
            <w:pPr>
              <w:pStyle w:val="NormalWeb"/>
              <w:spacing w:line="480" w:lineRule="auto"/>
              <w:jc w:val="center"/>
              <w:cnfStyle w:val="000000100000" w:firstRow="0" w:lastRow="0" w:firstColumn="0" w:lastColumn="0" w:oddVBand="0" w:evenVBand="0" w:oddHBand="1" w:evenHBand="0" w:firstRowFirstColumn="0" w:firstRowLastColumn="0" w:lastRowFirstColumn="0" w:lastRowLastColumn="0"/>
              <w:rPr>
                <w:color w:val="auto"/>
              </w:rPr>
            </w:pPr>
            <w:r w:rsidRPr="00F21537">
              <w:rPr>
                <w:rFonts w:ascii="Calibri" w:hAnsi="Calibri" w:cs="Calibri"/>
                <w:color w:val="auto"/>
                <w:sz w:val="22"/>
                <w:szCs w:val="22"/>
              </w:rPr>
              <w:t>3,046</w:t>
            </w:r>
          </w:p>
          <w:p w14:paraId="6FAFF9E6" w14:textId="77777777" w:rsidR="00C10139" w:rsidRPr="00F21537" w:rsidRDefault="00C10139" w:rsidP="00553224">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rPr>
            </w:pPr>
          </w:p>
        </w:tc>
      </w:tr>
      <w:tr w:rsidR="00023256" w14:paraId="1355E0CD" w14:textId="77777777" w:rsidTr="0002325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66E9E4A3" w14:textId="5B10AD6D" w:rsidR="00C10139" w:rsidRDefault="00B71D04" w:rsidP="00553224">
            <w:pPr>
              <w:rPr>
                <w:rFonts w:eastAsia="Times New Roman" w:cs="Times New Roman"/>
                <w:szCs w:val="24"/>
              </w:rPr>
            </w:pPr>
            <w:r>
              <w:rPr>
                <w:rFonts w:ascii="Calibri" w:eastAsia="Times New Roman" w:hAnsi="Calibri"/>
                <w:color w:val="auto"/>
                <w:sz w:val="22"/>
              </w:rPr>
              <w:t xml:space="preserve">Current ratio </w:t>
            </w:r>
            <w:r w:rsidR="00DA1D3D">
              <w:rPr>
                <w:rFonts w:ascii="Calibri" w:eastAsia="Times New Roman" w:hAnsi="Calibri"/>
                <w:color w:val="auto"/>
                <w:sz w:val="22"/>
              </w:rPr>
              <w:t>(</w:t>
            </w:r>
            <w:r>
              <w:rPr>
                <w:rFonts w:ascii="Calibri" w:eastAsia="Times New Roman" w:hAnsi="Calibri"/>
                <w:color w:val="auto"/>
                <w:sz w:val="22"/>
              </w:rPr>
              <w:t>current asset/ current liabilities</w:t>
            </w:r>
            <w:r w:rsidR="00DA1D3D">
              <w:rPr>
                <w:rFonts w:ascii="Calibri" w:eastAsia="Times New Roman" w:hAnsi="Calibri"/>
                <w:color w:val="auto"/>
                <w:sz w:val="22"/>
              </w:rPr>
              <w:t>)</w:t>
            </w:r>
            <w:r>
              <w:rPr>
                <w:rFonts w:ascii="Calibri" w:eastAsia="Times New Roman" w:hAnsi="Calibri"/>
                <w:color w:val="auto"/>
                <w:sz w:val="22"/>
              </w:rPr>
              <w:t xml:space="preserve"> </w:t>
            </w:r>
          </w:p>
        </w:tc>
        <w:tc>
          <w:tcPr>
            <w:tcW w:w="0" w:type="auto"/>
            <w:shd w:val="clear" w:color="auto" w:fill="FFC000" w:themeFill="accent4"/>
            <w:hideMark/>
          </w:tcPr>
          <w:p w14:paraId="755BA6E0" w14:textId="2FE7E60F" w:rsidR="00F21537" w:rsidRDefault="00B71D04" w:rsidP="00553224">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rPr>
            </w:pPr>
            <w:r>
              <w:rPr>
                <w:rFonts w:ascii="Calibri" w:eastAsia="Times New Roman" w:hAnsi="Calibri"/>
                <w:color w:val="auto"/>
                <w:sz w:val="22"/>
              </w:rPr>
              <w:t>=</w:t>
            </w:r>
            <w:r w:rsidR="00C015EC">
              <w:rPr>
                <w:rFonts w:ascii="Calibri" w:eastAsia="Times New Roman" w:hAnsi="Calibri"/>
                <w:color w:val="auto"/>
                <w:sz w:val="22"/>
              </w:rPr>
              <w:t>9736/2511</w:t>
            </w:r>
          </w:p>
          <w:p w14:paraId="35F52FA9" w14:textId="780866C6" w:rsidR="00C10139" w:rsidRPr="00F21537"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rPr>
            </w:pPr>
            <w:r w:rsidRPr="00F21537">
              <w:rPr>
                <w:rFonts w:ascii="Calibri" w:eastAsia="Times New Roman" w:hAnsi="Calibri"/>
                <w:color w:val="auto"/>
                <w:sz w:val="22"/>
              </w:rPr>
              <w:t>3.87734</w:t>
            </w:r>
          </w:p>
        </w:tc>
        <w:tc>
          <w:tcPr>
            <w:tcW w:w="1201" w:type="dxa"/>
            <w:shd w:val="clear" w:color="auto" w:fill="FFC000" w:themeFill="accent4"/>
            <w:hideMark/>
          </w:tcPr>
          <w:p w14:paraId="17A4A525" w14:textId="73ED8083" w:rsidR="00C015EC" w:rsidRDefault="00B71D04" w:rsidP="00553224">
            <w:pPr>
              <w:jc w:val="center"/>
              <w:cnfStyle w:val="000000000000" w:firstRow="0" w:lastRow="0" w:firstColumn="0" w:lastColumn="0" w:oddVBand="0" w:evenVBand="0" w:oddHBand="0" w:evenHBand="0" w:firstRowFirstColumn="0" w:firstRowLastColumn="0" w:lastRowFirstColumn="0" w:lastRowLastColumn="0"/>
              <w:rPr>
                <w:rFonts w:ascii="Calibri" w:hAnsi="Calibri"/>
                <w:color w:val="auto"/>
                <w:sz w:val="22"/>
              </w:rPr>
            </w:pPr>
            <w:r>
              <w:rPr>
                <w:rFonts w:ascii="Calibri" w:hAnsi="Calibri"/>
                <w:color w:val="auto"/>
                <w:sz w:val="22"/>
              </w:rPr>
              <w:t>10087/3046</w:t>
            </w:r>
          </w:p>
          <w:p w14:paraId="1A323632" w14:textId="6E719D18" w:rsidR="00C10139" w:rsidRPr="00F21537" w:rsidRDefault="00B71D04" w:rsidP="00553224">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auto"/>
                <w:sz w:val="22"/>
              </w:rPr>
            </w:pPr>
            <w:r w:rsidRPr="00F21537">
              <w:rPr>
                <w:rFonts w:ascii="Calibri" w:hAnsi="Calibri"/>
                <w:color w:val="auto"/>
                <w:sz w:val="22"/>
              </w:rPr>
              <w:t>3.311556139</w:t>
            </w:r>
          </w:p>
        </w:tc>
      </w:tr>
    </w:tbl>
    <w:p w14:paraId="7A06EBD3" w14:textId="77777777" w:rsidR="002F7B86" w:rsidRDefault="002F7B86" w:rsidP="003D554C"/>
    <w:p w14:paraId="2CEE4213" w14:textId="77777777" w:rsidR="00B871E7" w:rsidRPr="004025E2" w:rsidRDefault="00B71D04" w:rsidP="003D554C">
      <w:pPr>
        <w:rPr>
          <w:i/>
          <w:iCs/>
          <w:u w:val="single"/>
        </w:rPr>
      </w:pPr>
      <w:r w:rsidRPr="004025E2">
        <w:rPr>
          <w:i/>
          <w:iCs/>
          <w:u w:val="single"/>
        </w:rPr>
        <w:t xml:space="preserve">Gearing ratio </w:t>
      </w:r>
    </w:p>
    <w:tbl>
      <w:tblPr>
        <w:tblStyle w:val="ListTable7ColourfulAccent6"/>
        <w:tblW w:w="0" w:type="auto"/>
        <w:jc w:val="center"/>
        <w:shd w:val="clear" w:color="auto" w:fill="DEEAF6" w:themeFill="accent5" w:themeFillTint="33"/>
        <w:tblLook w:val="04A0" w:firstRow="1" w:lastRow="0" w:firstColumn="1" w:lastColumn="0" w:noHBand="0" w:noVBand="1"/>
      </w:tblPr>
      <w:tblGrid>
        <w:gridCol w:w="5583"/>
        <w:gridCol w:w="1420"/>
        <w:gridCol w:w="1518"/>
      </w:tblGrid>
      <w:tr w:rsidR="00023256" w14:paraId="76A4E009" w14:textId="77777777" w:rsidTr="00023256">
        <w:trPr>
          <w:cnfStyle w:val="100000000000" w:firstRow="1" w:lastRow="0" w:firstColumn="0" w:lastColumn="0" w:oddVBand="0" w:evenVBand="0" w:oddHBand="0" w:evenHBand="0" w:firstRowFirstColumn="0" w:firstRowLastColumn="0" w:lastRowFirstColumn="0" w:lastRowLastColumn="0"/>
          <w:trHeight w:val="305"/>
          <w:jc w:val="center"/>
        </w:trPr>
        <w:tc>
          <w:tcPr>
            <w:cnfStyle w:val="001000000100" w:firstRow="0" w:lastRow="0" w:firstColumn="1" w:lastColumn="0" w:oddVBand="0" w:evenVBand="0" w:oddHBand="0" w:evenHBand="0" w:firstRowFirstColumn="1" w:firstRowLastColumn="0" w:lastRowFirstColumn="0" w:lastRowLastColumn="0"/>
            <w:tcW w:w="0" w:type="auto"/>
            <w:gridSpan w:val="3"/>
            <w:tcBorders>
              <w:top w:val="nil"/>
              <w:left w:val="nil"/>
            </w:tcBorders>
            <w:shd w:val="clear" w:color="auto" w:fill="DEEAF6" w:themeFill="accent5" w:themeFillTint="33"/>
            <w:hideMark/>
          </w:tcPr>
          <w:p w14:paraId="64BE613A" w14:textId="77777777" w:rsidR="00014DBF" w:rsidRPr="00B007F0" w:rsidRDefault="00B71D04" w:rsidP="00553224">
            <w:pPr>
              <w:jc w:val="center"/>
              <w:rPr>
                <w:rFonts w:eastAsia="Times New Roman" w:cs="Times New Roman"/>
              </w:rPr>
            </w:pPr>
            <w:r w:rsidRPr="00B007F0">
              <w:rPr>
                <w:color w:val="auto"/>
                <w:shd w:val="clear" w:color="auto" w:fill="DAEEF3"/>
              </w:rPr>
              <w:t>Calculation of gearing ratio</w:t>
            </w:r>
          </w:p>
        </w:tc>
      </w:tr>
      <w:tr w:rsidR="00023256" w14:paraId="693927BC" w14:textId="77777777" w:rsidTr="0002325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2E339DAD" w14:textId="77777777" w:rsidR="00014DBF" w:rsidRDefault="00B71D04" w:rsidP="00553224">
            <w:pPr>
              <w:jc w:val="center"/>
              <w:rPr>
                <w:rFonts w:cs="Calibri"/>
              </w:rPr>
            </w:pPr>
            <w:r>
              <w:rPr>
                <w:color w:val="auto"/>
              </w:rPr>
              <w:t>Particulars</w:t>
            </w:r>
          </w:p>
        </w:tc>
        <w:tc>
          <w:tcPr>
            <w:tcW w:w="0" w:type="auto"/>
            <w:shd w:val="clear" w:color="auto" w:fill="DEEAF6" w:themeFill="accent5" w:themeFillTint="33"/>
            <w:hideMark/>
          </w:tcPr>
          <w:p w14:paraId="0D34B89D" w14:textId="77777777" w:rsidR="00014DBF"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2022</w:t>
            </w:r>
          </w:p>
        </w:tc>
        <w:tc>
          <w:tcPr>
            <w:tcW w:w="0" w:type="auto"/>
            <w:shd w:val="clear" w:color="auto" w:fill="DEEAF6" w:themeFill="accent5" w:themeFillTint="33"/>
            <w:hideMark/>
          </w:tcPr>
          <w:p w14:paraId="3A9B0C71" w14:textId="77777777" w:rsidR="00014DBF"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2021</w:t>
            </w:r>
          </w:p>
        </w:tc>
      </w:tr>
      <w:tr w:rsidR="00023256" w14:paraId="70332102" w14:textId="77777777" w:rsidTr="0002325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50B64B96" w14:textId="77777777" w:rsidR="00014DBF" w:rsidRDefault="00B71D04" w:rsidP="00553224">
            <w:pPr>
              <w:jc w:val="center"/>
              <w:rPr>
                <w:rFonts w:cs="Calibri"/>
              </w:rPr>
            </w:pPr>
            <w:r>
              <w:rPr>
                <w:color w:val="auto"/>
              </w:rPr>
              <w:t>Loans and borrowings</w:t>
            </w:r>
          </w:p>
        </w:tc>
        <w:tc>
          <w:tcPr>
            <w:tcW w:w="0" w:type="auto"/>
            <w:shd w:val="clear" w:color="auto" w:fill="DEEAF6" w:themeFill="accent5" w:themeFillTint="33"/>
            <w:hideMark/>
          </w:tcPr>
          <w:p w14:paraId="7C7E8FBB" w14:textId="77777777" w:rsidR="00014DBF" w:rsidRPr="00F07C9F" w:rsidRDefault="00B71D04" w:rsidP="00553224">
            <w:pPr>
              <w:ind w:right="41"/>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rPr>
            </w:pPr>
            <w:r w:rsidRPr="00F07C9F">
              <w:rPr>
                <w:rFonts w:eastAsia="Times New Roman" w:cs="Times New Roman"/>
                <w:color w:val="auto"/>
              </w:rPr>
              <w:t>4137</w:t>
            </w:r>
          </w:p>
        </w:tc>
        <w:tc>
          <w:tcPr>
            <w:tcW w:w="0" w:type="auto"/>
            <w:shd w:val="clear" w:color="auto" w:fill="DEEAF6" w:themeFill="accent5" w:themeFillTint="33"/>
            <w:hideMark/>
          </w:tcPr>
          <w:p w14:paraId="1E5CFBC3" w14:textId="77777777" w:rsidR="00014DBF" w:rsidRPr="00F07C9F" w:rsidRDefault="00B71D04" w:rsidP="00553224">
            <w:pPr>
              <w:ind w:right="41"/>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rPr>
            </w:pPr>
            <w:r w:rsidRPr="00F07C9F">
              <w:rPr>
                <w:rFonts w:eastAsia="Times New Roman" w:cs="Times New Roman"/>
                <w:color w:val="auto"/>
              </w:rPr>
              <w:t>4129</w:t>
            </w:r>
          </w:p>
        </w:tc>
      </w:tr>
      <w:tr w:rsidR="00023256" w14:paraId="48FAD686" w14:textId="77777777" w:rsidTr="0002325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74863A44" w14:textId="77777777" w:rsidR="00014DBF" w:rsidRDefault="00B71D04" w:rsidP="00553224">
            <w:pPr>
              <w:jc w:val="center"/>
              <w:rPr>
                <w:rFonts w:cs="Calibri"/>
              </w:rPr>
            </w:pPr>
            <w:r>
              <w:rPr>
                <w:color w:val="auto"/>
              </w:rPr>
              <w:t>Shareholder equity</w:t>
            </w:r>
          </w:p>
        </w:tc>
        <w:tc>
          <w:tcPr>
            <w:tcW w:w="0" w:type="auto"/>
            <w:shd w:val="clear" w:color="auto" w:fill="DEEAF6" w:themeFill="accent5" w:themeFillTint="33"/>
            <w:hideMark/>
          </w:tcPr>
          <w:p w14:paraId="5C763C4F" w14:textId="77777777" w:rsidR="00014DBF" w:rsidRPr="00F07C9F" w:rsidRDefault="00B71D04" w:rsidP="00553224">
            <w:pPr>
              <w:ind w:right="44"/>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rPr>
            </w:pPr>
            <w:r w:rsidRPr="00F07C9F">
              <w:rPr>
                <w:rFonts w:eastAsia="Times New Roman" w:cs="Times New Roman"/>
                <w:color w:val="auto"/>
              </w:rPr>
              <w:t>3,088</w:t>
            </w:r>
          </w:p>
        </w:tc>
        <w:tc>
          <w:tcPr>
            <w:tcW w:w="0" w:type="auto"/>
            <w:shd w:val="clear" w:color="auto" w:fill="DEEAF6" w:themeFill="accent5" w:themeFillTint="33"/>
            <w:hideMark/>
          </w:tcPr>
          <w:p w14:paraId="3EF49B69" w14:textId="77777777" w:rsidR="00014DBF" w:rsidRPr="00F07C9F" w:rsidRDefault="00B71D04" w:rsidP="00553224">
            <w:pPr>
              <w:ind w:right="44"/>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rPr>
            </w:pPr>
            <w:r w:rsidRPr="00F07C9F">
              <w:rPr>
                <w:rFonts w:eastAsia="Times New Roman" w:cs="Times New Roman"/>
                <w:color w:val="auto"/>
              </w:rPr>
              <w:t>2912</w:t>
            </w:r>
          </w:p>
        </w:tc>
      </w:tr>
      <w:tr w:rsidR="00023256" w14:paraId="6588464A" w14:textId="77777777" w:rsidTr="0002325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5A04A22D" w14:textId="77777777" w:rsidR="00014DBF" w:rsidRDefault="00B71D04" w:rsidP="00553224">
            <w:pPr>
              <w:jc w:val="center"/>
              <w:rPr>
                <w:rFonts w:cs="Calibri"/>
              </w:rPr>
            </w:pPr>
            <w:r>
              <w:rPr>
                <w:color w:val="auto"/>
              </w:rPr>
              <w:t>Gearing ratio loans and borrowings/shareholder equity</w:t>
            </w:r>
          </w:p>
        </w:tc>
        <w:tc>
          <w:tcPr>
            <w:tcW w:w="0" w:type="auto"/>
            <w:shd w:val="clear" w:color="auto" w:fill="DEEAF6" w:themeFill="accent5" w:themeFillTint="33"/>
            <w:hideMark/>
          </w:tcPr>
          <w:p w14:paraId="08495426" w14:textId="002DD91A" w:rsidR="00F3486F" w:rsidRDefault="00B71D04" w:rsidP="00F3486F">
            <w:pPr>
              <w:ind w:right="41"/>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rPr>
            </w:pPr>
            <w:r>
              <w:rPr>
                <w:rFonts w:eastAsia="Times New Roman" w:cs="Times New Roman"/>
                <w:color w:val="auto"/>
              </w:rPr>
              <w:t>=4137/3088</w:t>
            </w:r>
          </w:p>
          <w:p w14:paraId="7ECE8DD5" w14:textId="79680D2F" w:rsidR="00014DBF" w:rsidRPr="00F07C9F" w:rsidRDefault="00B71D04" w:rsidP="00553224">
            <w:pPr>
              <w:ind w:right="41"/>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rPr>
            </w:pPr>
            <w:r w:rsidRPr="00F07C9F">
              <w:rPr>
                <w:rFonts w:eastAsia="Times New Roman" w:cs="Times New Roman"/>
                <w:color w:val="auto"/>
              </w:rPr>
              <w:t>1.42067</w:t>
            </w:r>
          </w:p>
        </w:tc>
        <w:tc>
          <w:tcPr>
            <w:tcW w:w="0" w:type="auto"/>
            <w:shd w:val="clear" w:color="auto" w:fill="DEEAF6" w:themeFill="accent5" w:themeFillTint="33"/>
            <w:hideMark/>
          </w:tcPr>
          <w:p w14:paraId="48698606" w14:textId="36B9FEDB" w:rsidR="00F3486F" w:rsidRDefault="00B71D04" w:rsidP="00553224">
            <w:pPr>
              <w:ind w:right="41"/>
              <w:jc w:val="right"/>
              <w:cnfStyle w:val="000000000000" w:firstRow="0" w:lastRow="0" w:firstColumn="0" w:lastColumn="0" w:oddVBand="0" w:evenVBand="0" w:oddHBand="0" w:evenHBand="0" w:firstRowFirstColumn="0" w:firstRowLastColumn="0" w:lastRowFirstColumn="0" w:lastRowLastColumn="0"/>
              <w:rPr>
                <w:color w:val="auto"/>
              </w:rPr>
            </w:pPr>
            <w:r>
              <w:rPr>
                <w:color w:val="auto"/>
              </w:rPr>
              <w:t>4129/2912</w:t>
            </w:r>
          </w:p>
          <w:p w14:paraId="55241D63" w14:textId="79EE5CC2" w:rsidR="00014DBF" w:rsidRPr="00F07C9F" w:rsidRDefault="00B71D04" w:rsidP="00553224">
            <w:pPr>
              <w:ind w:right="41"/>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rPr>
            </w:pPr>
            <w:r w:rsidRPr="00F07C9F">
              <w:rPr>
                <w:color w:val="auto"/>
              </w:rPr>
              <w:t>1.417925824</w:t>
            </w:r>
          </w:p>
        </w:tc>
      </w:tr>
    </w:tbl>
    <w:p w14:paraId="5ACD0068" w14:textId="77777777" w:rsidR="002F7B86" w:rsidRDefault="002F7B86" w:rsidP="003D554C"/>
    <w:p w14:paraId="0BFC810A" w14:textId="580E054D" w:rsidR="00B871E7" w:rsidRPr="004025E2" w:rsidRDefault="00B71D04" w:rsidP="003D554C">
      <w:pPr>
        <w:rPr>
          <w:i/>
          <w:iCs/>
          <w:u w:val="single"/>
        </w:rPr>
      </w:pPr>
      <w:r w:rsidRPr="004025E2">
        <w:rPr>
          <w:i/>
          <w:iCs/>
          <w:u w:val="single"/>
        </w:rPr>
        <w:t>Interest cover</w:t>
      </w:r>
    </w:p>
    <w:tbl>
      <w:tblPr>
        <w:tblStyle w:val="ListTable7ColourfulAccent6"/>
        <w:tblW w:w="0" w:type="auto"/>
        <w:jc w:val="center"/>
        <w:shd w:val="clear" w:color="auto" w:fill="FFC000" w:themeFill="accent4"/>
        <w:tblLook w:val="04A0" w:firstRow="1" w:lastRow="0" w:firstColumn="1" w:lastColumn="0" w:noHBand="0" w:noVBand="1"/>
      </w:tblPr>
      <w:tblGrid>
        <w:gridCol w:w="3915"/>
        <w:gridCol w:w="1130"/>
        <w:gridCol w:w="1387"/>
      </w:tblGrid>
      <w:tr w:rsidR="00023256" w14:paraId="4D930EEB" w14:textId="77777777" w:rsidTr="00023256">
        <w:trPr>
          <w:cnfStyle w:val="100000000000" w:firstRow="1" w:lastRow="0" w:firstColumn="0" w:lastColumn="0" w:oddVBand="0" w:evenVBand="0" w:oddHBand="0" w:evenHBand="0" w:firstRowFirstColumn="0" w:firstRowLastColumn="0" w:lastRowFirstColumn="0" w:lastRowLastColumn="0"/>
          <w:trHeight w:val="305"/>
          <w:jc w:val="center"/>
        </w:trPr>
        <w:tc>
          <w:tcPr>
            <w:cnfStyle w:val="001000000100" w:firstRow="0" w:lastRow="0" w:firstColumn="1" w:lastColumn="0" w:oddVBand="0" w:evenVBand="0" w:oddHBand="0" w:evenHBand="0" w:firstRowFirstColumn="1" w:firstRowLastColumn="0" w:lastRowFirstColumn="0" w:lastRowLastColumn="0"/>
            <w:tcW w:w="6380" w:type="dxa"/>
            <w:gridSpan w:val="3"/>
            <w:tcBorders>
              <w:top w:val="nil"/>
              <w:left w:val="nil"/>
            </w:tcBorders>
            <w:shd w:val="clear" w:color="auto" w:fill="FFC000" w:themeFill="accent4"/>
            <w:hideMark/>
          </w:tcPr>
          <w:p w14:paraId="7904F0B3" w14:textId="77777777" w:rsidR="003805BB" w:rsidRPr="00B007F0" w:rsidRDefault="00B71D04" w:rsidP="00553224">
            <w:pPr>
              <w:jc w:val="center"/>
              <w:rPr>
                <w:rFonts w:eastAsia="Times New Roman" w:cs="Times New Roman"/>
              </w:rPr>
            </w:pPr>
            <w:r w:rsidRPr="00B007F0">
              <w:rPr>
                <w:color w:val="auto"/>
                <w:shd w:val="clear" w:color="auto" w:fill="DAEEF3"/>
              </w:rPr>
              <w:t>Calculation of interest cover</w:t>
            </w:r>
          </w:p>
        </w:tc>
      </w:tr>
      <w:tr w:rsidR="00023256" w14:paraId="35D63CA2" w14:textId="77777777" w:rsidTr="0002325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1DB02C02" w14:textId="77777777" w:rsidR="003805BB" w:rsidRDefault="00B71D04" w:rsidP="00553224">
            <w:pPr>
              <w:jc w:val="center"/>
              <w:rPr>
                <w:rFonts w:eastAsia="Times New Roman" w:cs="Times New Roman"/>
              </w:rPr>
            </w:pPr>
            <w:r>
              <w:rPr>
                <w:rFonts w:eastAsia="Times New Roman" w:cs="Times New Roman"/>
                <w:color w:val="auto"/>
              </w:rPr>
              <w:t>Particulars </w:t>
            </w:r>
          </w:p>
        </w:tc>
        <w:tc>
          <w:tcPr>
            <w:tcW w:w="0" w:type="auto"/>
            <w:shd w:val="clear" w:color="auto" w:fill="FFC000" w:themeFill="accent4"/>
            <w:hideMark/>
          </w:tcPr>
          <w:p w14:paraId="0A950C04" w14:textId="77777777" w:rsidR="003805BB"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2022</w:t>
            </w:r>
          </w:p>
        </w:tc>
        <w:tc>
          <w:tcPr>
            <w:tcW w:w="1329" w:type="dxa"/>
            <w:shd w:val="clear" w:color="auto" w:fill="FFC000" w:themeFill="accent4"/>
            <w:hideMark/>
          </w:tcPr>
          <w:p w14:paraId="12FAAD47" w14:textId="77777777" w:rsidR="003805BB"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2021</w:t>
            </w:r>
          </w:p>
        </w:tc>
      </w:tr>
      <w:tr w:rsidR="00023256" w14:paraId="2A6E09A8" w14:textId="77777777" w:rsidTr="0002325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76E0E365" w14:textId="77777777" w:rsidR="003805BB" w:rsidRDefault="00B71D04" w:rsidP="00553224">
            <w:pPr>
              <w:jc w:val="center"/>
              <w:rPr>
                <w:rFonts w:eastAsia="Times New Roman" w:cs="Times New Roman"/>
              </w:rPr>
            </w:pPr>
            <w:r>
              <w:rPr>
                <w:rFonts w:eastAsia="Times New Roman" w:cs="Times New Roman"/>
                <w:color w:val="auto"/>
              </w:rPr>
              <w:t>Earnings before interest and taxes </w:t>
            </w:r>
          </w:p>
        </w:tc>
        <w:tc>
          <w:tcPr>
            <w:tcW w:w="0" w:type="auto"/>
            <w:shd w:val="clear" w:color="auto" w:fill="FFC000" w:themeFill="accent4"/>
            <w:hideMark/>
          </w:tcPr>
          <w:p w14:paraId="2C80A403" w14:textId="77777777" w:rsidR="003805BB" w:rsidRPr="00F3486F"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rPr>
            </w:pPr>
            <w:r w:rsidRPr="00F3486F">
              <w:rPr>
                <w:rFonts w:eastAsia="Times New Roman" w:cs="Times New Roman"/>
                <w:color w:val="auto"/>
              </w:rPr>
              <w:t>805</w:t>
            </w:r>
          </w:p>
        </w:tc>
        <w:tc>
          <w:tcPr>
            <w:tcW w:w="1329" w:type="dxa"/>
            <w:shd w:val="clear" w:color="auto" w:fill="FFC000" w:themeFill="accent4"/>
            <w:hideMark/>
          </w:tcPr>
          <w:p w14:paraId="5E20C68D" w14:textId="77777777" w:rsidR="003805BB" w:rsidRPr="00F3486F"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rPr>
            </w:pPr>
            <w:r w:rsidRPr="00F3486F">
              <w:rPr>
                <w:rFonts w:eastAsia="Times New Roman" w:cs="Times New Roman"/>
                <w:color w:val="auto"/>
              </w:rPr>
              <w:t>699</w:t>
            </w:r>
          </w:p>
        </w:tc>
      </w:tr>
      <w:tr w:rsidR="00023256" w14:paraId="6A22FA45" w14:textId="77777777" w:rsidTr="0002325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5A75443A" w14:textId="77777777" w:rsidR="003805BB" w:rsidRDefault="00B71D04" w:rsidP="00553224">
            <w:pPr>
              <w:jc w:val="center"/>
              <w:rPr>
                <w:rFonts w:eastAsia="Times New Roman" w:cs="Times New Roman"/>
              </w:rPr>
            </w:pPr>
            <w:r>
              <w:rPr>
                <w:rFonts w:eastAsia="Times New Roman" w:cs="Times New Roman"/>
                <w:color w:val="auto"/>
              </w:rPr>
              <w:lastRenderedPageBreak/>
              <w:t>Interest expenses </w:t>
            </w:r>
          </w:p>
        </w:tc>
        <w:tc>
          <w:tcPr>
            <w:tcW w:w="0" w:type="auto"/>
            <w:shd w:val="clear" w:color="auto" w:fill="FFC000" w:themeFill="accent4"/>
            <w:hideMark/>
          </w:tcPr>
          <w:p w14:paraId="5FC748E0" w14:textId="77777777" w:rsidR="003805BB" w:rsidRPr="00F3486F" w:rsidRDefault="00B71D04" w:rsidP="0055322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rPr>
            </w:pPr>
            <w:r w:rsidRPr="00F3486F">
              <w:rPr>
                <w:rFonts w:ascii="Calibri" w:eastAsia="Times New Roman" w:hAnsi="Calibri"/>
                <w:color w:val="auto"/>
                <w:sz w:val="22"/>
              </w:rPr>
              <w:t>226</w:t>
            </w:r>
          </w:p>
        </w:tc>
        <w:tc>
          <w:tcPr>
            <w:tcW w:w="1329" w:type="dxa"/>
            <w:shd w:val="clear" w:color="auto" w:fill="FFC000" w:themeFill="accent4"/>
            <w:hideMark/>
          </w:tcPr>
          <w:p w14:paraId="7B43911D" w14:textId="77777777" w:rsidR="003805BB" w:rsidRPr="00F3486F" w:rsidRDefault="00B71D04" w:rsidP="00553224">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auto"/>
                <w:sz w:val="22"/>
              </w:rPr>
            </w:pPr>
            <w:r w:rsidRPr="00F3486F">
              <w:rPr>
                <w:rFonts w:ascii="Calibri" w:eastAsia="Times New Roman" w:hAnsi="Calibri"/>
                <w:color w:val="auto"/>
                <w:sz w:val="22"/>
              </w:rPr>
              <w:t>181</w:t>
            </w:r>
          </w:p>
        </w:tc>
      </w:tr>
      <w:tr w:rsidR="00023256" w14:paraId="3CD2F1F3" w14:textId="77777777" w:rsidTr="0002325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FFC000" w:themeFill="accent4"/>
            <w:hideMark/>
          </w:tcPr>
          <w:p w14:paraId="5AE82944" w14:textId="77777777" w:rsidR="003805BB" w:rsidRDefault="00B71D04" w:rsidP="00553224">
            <w:pPr>
              <w:jc w:val="center"/>
              <w:rPr>
                <w:rFonts w:eastAsia="Times New Roman" w:cs="Times New Roman"/>
                <w:szCs w:val="24"/>
              </w:rPr>
            </w:pPr>
            <w:r>
              <w:rPr>
                <w:rFonts w:eastAsia="Times New Roman" w:cs="Times New Roman"/>
                <w:color w:val="auto"/>
              </w:rPr>
              <w:t xml:space="preserve">Interest covers EBIT/Interest expenses </w:t>
            </w:r>
          </w:p>
        </w:tc>
        <w:tc>
          <w:tcPr>
            <w:tcW w:w="0" w:type="auto"/>
            <w:shd w:val="clear" w:color="auto" w:fill="FFC000" w:themeFill="accent4"/>
            <w:hideMark/>
          </w:tcPr>
          <w:p w14:paraId="0B75D54F" w14:textId="60846474" w:rsidR="00F3486F" w:rsidRDefault="00B71D04" w:rsidP="00553224">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rPr>
            </w:pPr>
            <w:r>
              <w:rPr>
                <w:rFonts w:ascii="Calibri" w:eastAsia="Times New Roman" w:hAnsi="Calibri"/>
                <w:color w:val="auto"/>
                <w:sz w:val="22"/>
              </w:rPr>
              <w:t>=</w:t>
            </w:r>
            <w:r w:rsidR="003E3CEF">
              <w:rPr>
                <w:rFonts w:ascii="Calibri" w:eastAsia="Times New Roman" w:hAnsi="Calibri"/>
                <w:color w:val="auto"/>
                <w:sz w:val="22"/>
              </w:rPr>
              <w:t xml:space="preserve"> </w:t>
            </w:r>
            <w:r w:rsidR="00655B98">
              <w:rPr>
                <w:rFonts w:ascii="Calibri" w:eastAsia="Times New Roman" w:hAnsi="Calibri"/>
                <w:color w:val="auto"/>
                <w:sz w:val="22"/>
              </w:rPr>
              <w:t>805/226</w:t>
            </w:r>
          </w:p>
          <w:p w14:paraId="17840DBE" w14:textId="1872E988" w:rsidR="003805BB" w:rsidRPr="00F3486F" w:rsidRDefault="00B71D04" w:rsidP="0055322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rPr>
            </w:pPr>
            <w:r w:rsidRPr="00F3486F">
              <w:rPr>
                <w:rFonts w:ascii="Calibri" w:eastAsia="Times New Roman" w:hAnsi="Calibri"/>
                <w:color w:val="auto"/>
                <w:sz w:val="22"/>
              </w:rPr>
              <w:t>3.561947</w:t>
            </w:r>
          </w:p>
        </w:tc>
        <w:tc>
          <w:tcPr>
            <w:tcW w:w="1329" w:type="dxa"/>
            <w:shd w:val="clear" w:color="auto" w:fill="FFC000" w:themeFill="accent4"/>
            <w:hideMark/>
          </w:tcPr>
          <w:p w14:paraId="17DDF202" w14:textId="7C363A79" w:rsidR="00655B98" w:rsidRDefault="00B71D04" w:rsidP="00553224">
            <w:pPr>
              <w:jc w:val="center"/>
              <w:cnfStyle w:val="000000000000" w:firstRow="0" w:lastRow="0" w:firstColumn="0" w:lastColumn="0" w:oddVBand="0" w:evenVBand="0" w:oddHBand="0" w:evenHBand="0" w:firstRowFirstColumn="0" w:firstRowLastColumn="0" w:lastRowFirstColumn="0" w:lastRowLastColumn="0"/>
              <w:rPr>
                <w:rFonts w:ascii="Calibri" w:hAnsi="Calibri"/>
                <w:color w:val="auto"/>
                <w:sz w:val="22"/>
              </w:rPr>
            </w:pPr>
            <w:r>
              <w:rPr>
                <w:rFonts w:ascii="Calibri" w:hAnsi="Calibri"/>
                <w:color w:val="auto"/>
                <w:sz w:val="22"/>
              </w:rPr>
              <w:t>699/181</w:t>
            </w:r>
          </w:p>
          <w:p w14:paraId="400FE50D" w14:textId="520EABB4" w:rsidR="003805BB" w:rsidRPr="00F3486F" w:rsidRDefault="00B71D04" w:rsidP="00553224">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auto"/>
                <w:sz w:val="22"/>
              </w:rPr>
            </w:pPr>
            <w:r w:rsidRPr="00F3486F">
              <w:rPr>
                <w:rFonts w:ascii="Calibri" w:hAnsi="Calibri"/>
                <w:color w:val="auto"/>
                <w:sz w:val="22"/>
              </w:rPr>
              <w:t>3.861878453</w:t>
            </w:r>
          </w:p>
        </w:tc>
      </w:tr>
    </w:tbl>
    <w:p w14:paraId="415ED84C" w14:textId="77777777" w:rsidR="001F3D95" w:rsidRDefault="001F3D95" w:rsidP="00012EEC"/>
    <w:p w14:paraId="0A716AE8" w14:textId="0E8AA424" w:rsidR="001F3D95" w:rsidRPr="00486448" w:rsidRDefault="00B71D04" w:rsidP="00012EEC">
      <w:pPr>
        <w:rPr>
          <w:b/>
          <w:bCs/>
          <w:i/>
          <w:iCs/>
          <w:u w:val="single"/>
        </w:rPr>
      </w:pPr>
      <w:r w:rsidRPr="00486448">
        <w:rPr>
          <w:b/>
          <w:bCs/>
          <w:i/>
          <w:iCs/>
          <w:u w:val="single"/>
        </w:rPr>
        <w:t xml:space="preserve">Critically evaluating the above calculations of the ratio for </w:t>
      </w:r>
      <w:r w:rsidR="00AE4ACA" w:rsidRPr="00486448">
        <w:rPr>
          <w:b/>
          <w:bCs/>
          <w:i/>
          <w:iCs/>
          <w:u w:val="single"/>
        </w:rPr>
        <w:t>Sweets Plc for the year 2021 as well as 2022</w:t>
      </w:r>
    </w:p>
    <w:p w14:paraId="74C48761" w14:textId="77777777" w:rsidR="00FC30E1" w:rsidRDefault="00B71D04" w:rsidP="00FC30E1">
      <w:pPr>
        <w:rPr>
          <w:i/>
          <w:iCs/>
          <w:u w:val="single"/>
        </w:rPr>
      </w:pPr>
      <w:r w:rsidRPr="008A0BDB">
        <w:rPr>
          <w:i/>
          <w:iCs/>
          <w:u w:val="single"/>
        </w:rPr>
        <w:t>ROSE</w:t>
      </w:r>
    </w:p>
    <w:p w14:paraId="06095F24" w14:textId="4BF85297" w:rsidR="00EB09E1" w:rsidRPr="008A0BDB" w:rsidRDefault="00B71D04" w:rsidP="00EB09E1">
      <w:r>
        <w:t xml:space="preserve">The positive outcome within the ratio of return on </w:t>
      </w:r>
      <w:r>
        <w:t>capital employed for the particular company Sweets Plc has been determined for the years 2021 and 2022 as 9.93% and 11.14% respectively.</w:t>
      </w:r>
      <w:r w:rsidR="008D35F6">
        <w:t xml:space="preserve"> This highlights the increase in the profitability of the business as well as the significant utili</w:t>
      </w:r>
      <w:r w:rsidR="004B0CF6">
        <w:t>s</w:t>
      </w:r>
      <w:r w:rsidR="008D35F6">
        <w:t>ation of the value of capital investment of the company</w:t>
      </w:r>
      <w:r w:rsidR="004240AA">
        <w:t xml:space="preserve"> (</w:t>
      </w:r>
      <w:r w:rsidR="004240AA" w:rsidRPr="00142A4F">
        <w:t>Kliestik</w:t>
      </w:r>
      <w:r w:rsidR="004240AA">
        <w:t xml:space="preserve"> </w:t>
      </w:r>
      <w:r w:rsidR="004240AA">
        <w:rPr>
          <w:i/>
          <w:iCs/>
        </w:rPr>
        <w:t xml:space="preserve">et al., </w:t>
      </w:r>
      <w:r w:rsidR="004240AA" w:rsidRPr="00142A4F">
        <w:t>2020</w:t>
      </w:r>
      <w:r w:rsidR="004240AA">
        <w:t>)</w:t>
      </w:r>
      <w:r w:rsidR="008D35F6">
        <w:t xml:space="preserve">. </w:t>
      </w:r>
      <w:r w:rsidR="004B0CF6">
        <w:t>Therefore it may attract the potential investors towards the company as the community of the company is effective. In order to increase the rate the company may need to acquire skilful employees who can improve the productivity of the company.</w:t>
      </w:r>
    </w:p>
    <w:p w14:paraId="328A8DEC" w14:textId="77777777" w:rsidR="00FC30E1" w:rsidRDefault="00B71D04" w:rsidP="00FC30E1">
      <w:pPr>
        <w:rPr>
          <w:i/>
          <w:iCs/>
          <w:u w:val="single"/>
        </w:rPr>
      </w:pPr>
      <w:r w:rsidRPr="004025E2">
        <w:rPr>
          <w:i/>
          <w:iCs/>
          <w:u w:val="single"/>
        </w:rPr>
        <w:t xml:space="preserve">ROE </w:t>
      </w:r>
    </w:p>
    <w:p w14:paraId="29282F3E" w14:textId="20470C65" w:rsidR="00EB09E1" w:rsidRPr="00972177" w:rsidRDefault="00B71D04" w:rsidP="00EB09E1">
      <w:r>
        <w:t xml:space="preserve">Rapid enhancement within the value of particular businesses ROE has been determined </w:t>
      </w:r>
      <w:r w:rsidR="001D0752">
        <w:t xml:space="preserve">as 1.22 and 1.43 for the years 2021 and 2022. </w:t>
      </w:r>
      <w:r w:rsidR="005F6091">
        <w:t>It has indicated that the company has been able to use the funds of the shareholders in an effective manner for which they have been able to get a higher rate of profitability in the following year</w:t>
      </w:r>
      <w:r w:rsidR="002C5A1E">
        <w:t xml:space="preserve"> (</w:t>
      </w:r>
      <w:r w:rsidR="002C5A1E" w:rsidRPr="00142A4F">
        <w:t>Hasanaj</w:t>
      </w:r>
      <w:r w:rsidR="002C5A1E">
        <w:t xml:space="preserve"> </w:t>
      </w:r>
      <w:r w:rsidR="002C5A1E" w:rsidRPr="00142A4F">
        <w:t>and Kuqi,</w:t>
      </w:r>
      <w:r w:rsidR="002C5A1E">
        <w:t xml:space="preserve"> </w:t>
      </w:r>
      <w:r w:rsidR="002C5A1E" w:rsidRPr="00142A4F">
        <w:t>2019</w:t>
      </w:r>
      <w:r w:rsidR="002C5A1E">
        <w:t>)</w:t>
      </w:r>
      <w:r w:rsidR="005F6091">
        <w:t xml:space="preserve">. Apart from this, the company is also able to do effective management which helps them in generating higher rates of returns. In order to sustain this particular practice it is necessary for the respective business to concentrate on diversifying lines of the products as well as expanding the </w:t>
      </w:r>
      <w:r w:rsidR="00972177">
        <w:t>research within the market.</w:t>
      </w:r>
      <w:r w:rsidR="00367C13">
        <w:t xml:space="preserve"> This will </w:t>
      </w:r>
      <w:r w:rsidR="00367C13">
        <w:lastRenderedPageBreak/>
        <w:t>allow them to strengthen the efficiency of operations as well as make more investments in innovation.</w:t>
      </w:r>
    </w:p>
    <w:p w14:paraId="08736FFA" w14:textId="77777777" w:rsidR="00FC30E1" w:rsidRDefault="00B71D04" w:rsidP="00FC30E1">
      <w:pPr>
        <w:rPr>
          <w:i/>
          <w:iCs/>
          <w:u w:val="single"/>
        </w:rPr>
      </w:pPr>
      <w:r w:rsidRPr="004025E2">
        <w:rPr>
          <w:i/>
          <w:iCs/>
          <w:u w:val="single"/>
        </w:rPr>
        <w:t xml:space="preserve">Earnings per share </w:t>
      </w:r>
    </w:p>
    <w:p w14:paraId="46874A6D" w14:textId="60164215" w:rsidR="00EB09E1" w:rsidRPr="004025E2" w:rsidRDefault="00B71D04" w:rsidP="00EB09E1">
      <w:r>
        <w:t>The ratio of funding per share has highlighted a sharp decline within the business entity from the year 2021 to 2022 as the value of EPS has been determined as 2.4 to 1.4. Therefore the profitability of the company has decreased at that time which may happen due to various factors which include a reduction in the revenue or an enhancement within the cost of operations</w:t>
      </w:r>
      <w:r w:rsidR="00D778D0">
        <w:t xml:space="preserve"> (</w:t>
      </w:r>
      <w:r w:rsidR="00D778D0" w:rsidRPr="00142A4F">
        <w:t>Gowthorpe</w:t>
      </w:r>
      <w:r w:rsidR="00D778D0">
        <w:t xml:space="preserve">, </w:t>
      </w:r>
      <w:r w:rsidR="00D778D0" w:rsidRPr="00142A4F">
        <w:t>2021</w:t>
      </w:r>
      <w:r w:rsidR="00D778D0">
        <w:t>)</w:t>
      </w:r>
      <w:r>
        <w:t xml:space="preserve">. Therefore the company </w:t>
      </w:r>
      <w:r>
        <w:t>exists to foster some effective measures of cost efficiency apart from this diversifying the lines of the product can also help the company boost their sales level.</w:t>
      </w:r>
    </w:p>
    <w:p w14:paraId="4F9B8A1C" w14:textId="77777777" w:rsidR="00FC30E1" w:rsidRDefault="00B71D04" w:rsidP="00FC30E1">
      <w:pPr>
        <w:rPr>
          <w:i/>
          <w:iCs/>
          <w:u w:val="single"/>
        </w:rPr>
      </w:pPr>
      <w:r w:rsidRPr="004025E2">
        <w:rPr>
          <w:i/>
          <w:iCs/>
          <w:u w:val="single"/>
        </w:rPr>
        <w:t xml:space="preserve">Net profit margin </w:t>
      </w:r>
    </w:p>
    <w:p w14:paraId="3F312285" w14:textId="3996A428" w:rsidR="00EB09E1" w:rsidRDefault="00B71D04" w:rsidP="00EB09E1">
      <w:r>
        <w:t xml:space="preserve">The above calculation demonstrates the net profit of the particular business where a slight enhancement within the </w:t>
      </w:r>
      <w:r w:rsidR="008305CA">
        <w:t xml:space="preserve">margin of the </w:t>
      </w:r>
      <w:r>
        <w:t>net profit in 2022 has been seen as 6.39</w:t>
      </w:r>
      <w:r w:rsidR="000705D9">
        <w:t xml:space="preserve">. </w:t>
      </w:r>
      <w:r w:rsidR="0036659C">
        <w:t>Therefore this particular enhancement has happened within the company as they are able to save some of their costs while operating their business activities</w:t>
      </w:r>
      <w:r w:rsidR="0024486B">
        <w:t xml:space="preserve"> (</w:t>
      </w:r>
      <w:r w:rsidR="0024486B" w:rsidRPr="00142A4F">
        <w:t>Dong</w:t>
      </w:r>
      <w:r w:rsidR="0024486B">
        <w:t xml:space="preserve"> </w:t>
      </w:r>
      <w:r w:rsidR="0024486B">
        <w:rPr>
          <w:i/>
          <w:iCs/>
        </w:rPr>
        <w:t xml:space="preserve">et al., </w:t>
      </w:r>
      <w:r w:rsidR="0024486B" w:rsidRPr="00142A4F">
        <w:t>2018</w:t>
      </w:r>
      <w:r w:rsidR="0024486B">
        <w:t>)</w:t>
      </w:r>
      <w:r w:rsidR="0036659C">
        <w:t>. In order to put more focus on developing the profitability margin the company can be suggested to foster technological factors in their business operation which will help them save time and manufacture more products.</w:t>
      </w:r>
    </w:p>
    <w:p w14:paraId="1D0E282B" w14:textId="77777777" w:rsidR="00FC30E1" w:rsidRDefault="00B71D04" w:rsidP="00FC30E1">
      <w:pPr>
        <w:rPr>
          <w:i/>
          <w:iCs/>
          <w:u w:val="single"/>
        </w:rPr>
      </w:pPr>
      <w:r w:rsidRPr="004025E2">
        <w:rPr>
          <w:i/>
          <w:iCs/>
          <w:u w:val="single"/>
        </w:rPr>
        <w:t xml:space="preserve">Asset turnover </w:t>
      </w:r>
    </w:p>
    <w:p w14:paraId="12BE4836" w14:textId="261A4C9F" w:rsidR="00EB09E1" w:rsidRDefault="00B71D04" w:rsidP="00EB09E1">
      <w:r>
        <w:t>On the basis of the hour of calculation, a sharp decline within the ratio of asset turnover for the respective business has been seen in the year 2022. In 2021 it was identified as 1.28 which declined to 0.68 in the following year this signifies that the company was suffering from enhancing its efficiency in generating revenue out of its assets</w:t>
      </w:r>
      <w:r w:rsidR="0024486B">
        <w:t xml:space="preserve"> (</w:t>
      </w:r>
      <w:r w:rsidR="0024486B" w:rsidRPr="00142A4F">
        <w:t>Lee</w:t>
      </w:r>
      <w:r w:rsidR="0024486B">
        <w:t xml:space="preserve"> </w:t>
      </w:r>
      <w:r w:rsidR="0024486B">
        <w:rPr>
          <w:i/>
          <w:iCs/>
        </w:rPr>
        <w:t xml:space="preserve">et al., </w:t>
      </w:r>
      <w:r w:rsidR="0024486B" w:rsidRPr="00142A4F">
        <w:t>2018</w:t>
      </w:r>
      <w:r w:rsidR="0024486B">
        <w:t>)</w:t>
      </w:r>
      <w:r>
        <w:t>.</w:t>
      </w:r>
      <w:r w:rsidR="006620AA">
        <w:t xml:space="preserve"> To boost this ratio the particular </w:t>
      </w:r>
      <w:r w:rsidR="006620AA">
        <w:lastRenderedPageBreak/>
        <w:t>entity had to learn if it is a strategy to use the assets within their business in a more effective manner.</w:t>
      </w:r>
    </w:p>
    <w:p w14:paraId="4327C4D9" w14:textId="77777777" w:rsidR="00FC30E1" w:rsidRDefault="00B71D04" w:rsidP="00FC30E1">
      <w:pPr>
        <w:rPr>
          <w:i/>
          <w:iCs/>
          <w:u w:val="single"/>
        </w:rPr>
      </w:pPr>
      <w:r w:rsidRPr="004025E2">
        <w:rPr>
          <w:i/>
          <w:iCs/>
          <w:u w:val="single"/>
        </w:rPr>
        <w:t xml:space="preserve">Stock holding days </w:t>
      </w:r>
    </w:p>
    <w:p w14:paraId="71CA7756" w14:textId="6E6C796C" w:rsidR="00EB09E1" w:rsidRPr="0059531E" w:rsidRDefault="00B71D04" w:rsidP="00EB09E1">
      <w:r>
        <w:t>The stockholding days are basically inventory turnover days which reflects that the particular business has used two more extra days in 2022 in comparison to 2021.</w:t>
      </w:r>
      <w:r w:rsidR="004642B3">
        <w:t xml:space="preserve"> This signifies that the company is unable to forecast the demand as well as the amount of production required for its business. In order to increase the performance it is necessary for the company to foster a better management process </w:t>
      </w:r>
      <w:r w:rsidR="00185FE5">
        <w:t>and produce a small number of products for selling</w:t>
      </w:r>
      <w:r w:rsidR="000A36BD">
        <w:t xml:space="preserve"> (</w:t>
      </w:r>
      <w:r w:rsidR="000A36BD" w:rsidRPr="000A36BD">
        <w:rPr>
          <w:lang w:val="en-US"/>
        </w:rPr>
        <w:t>Serran</w:t>
      </w:r>
      <w:r w:rsidR="000A36BD">
        <w:rPr>
          <w:lang w:val="en-US"/>
        </w:rPr>
        <w:t xml:space="preserve"> </w:t>
      </w:r>
      <w:r w:rsidR="000A36BD">
        <w:rPr>
          <w:i/>
          <w:iCs/>
          <w:lang w:val="en-US"/>
        </w:rPr>
        <w:t xml:space="preserve">et al., </w:t>
      </w:r>
      <w:r w:rsidR="000A36BD" w:rsidRPr="000A36BD">
        <w:rPr>
          <w:lang w:val="en-US"/>
        </w:rPr>
        <w:t>2019)</w:t>
      </w:r>
      <w:r w:rsidR="00185FE5">
        <w:t xml:space="preserve">. </w:t>
      </w:r>
    </w:p>
    <w:p w14:paraId="65A251D1" w14:textId="77777777" w:rsidR="00EB09E1" w:rsidRDefault="00B71D04" w:rsidP="00FC30E1">
      <w:pPr>
        <w:rPr>
          <w:i/>
          <w:iCs/>
          <w:u w:val="single"/>
        </w:rPr>
      </w:pPr>
      <w:r w:rsidRPr="004025E2">
        <w:rPr>
          <w:i/>
          <w:iCs/>
          <w:u w:val="single"/>
        </w:rPr>
        <w:t>Debtors collection period</w:t>
      </w:r>
    </w:p>
    <w:p w14:paraId="67B7A0C1" w14:textId="527B0929" w:rsidR="00FC30E1" w:rsidRPr="004025E2" w:rsidRDefault="000A49CD" w:rsidP="00EB09E1">
      <w:r>
        <w:t>The calculation of data collection time or number of days for the particular business shows the ability of the business to collect all their money from their debtors or customers in a small number of days in comparison to 2021 where it has used 72 days and donated 32 it has used 67 days. This suggests the efficiency of the company in serving effective payment of customers as well as creating policies.</w:t>
      </w:r>
    </w:p>
    <w:p w14:paraId="0A9F09D9" w14:textId="77777777" w:rsidR="00FC30E1" w:rsidRDefault="00B71D04" w:rsidP="00FC30E1">
      <w:pPr>
        <w:rPr>
          <w:i/>
          <w:iCs/>
          <w:u w:val="single"/>
        </w:rPr>
      </w:pPr>
      <w:r w:rsidRPr="004025E2">
        <w:rPr>
          <w:i/>
          <w:iCs/>
          <w:u w:val="single"/>
        </w:rPr>
        <w:t xml:space="preserve">Current ratio </w:t>
      </w:r>
    </w:p>
    <w:p w14:paraId="1A0FE64B" w14:textId="4F9A162D" w:rsidR="00EB09E1" w:rsidRPr="004025E2" w:rsidRDefault="00B71D04" w:rsidP="00C04780">
      <w:r>
        <w:t xml:space="preserve">The determination of the current ratio for the respective business has been </w:t>
      </w:r>
      <w:r>
        <w:t>identified through which 3.31 and 3.8 rate has been gathered for the year 2021 and 2022. This indicates the enhanced ability of the company to mitigate its immediate obligations and liquidity</w:t>
      </w:r>
      <w:r w:rsidR="00AE3E22">
        <w:t xml:space="preserve"> (</w:t>
      </w:r>
      <w:r w:rsidR="00AE3E22" w:rsidRPr="00142A4F">
        <w:t>Fago</w:t>
      </w:r>
      <w:r w:rsidR="00AE3E22">
        <w:t xml:space="preserve">, </w:t>
      </w:r>
      <w:r w:rsidR="00AE3E22" w:rsidRPr="00142A4F">
        <w:t>2019</w:t>
      </w:r>
      <w:r w:rsidR="00AE3E22">
        <w:t>)</w:t>
      </w:r>
      <w:r>
        <w:t>.</w:t>
      </w:r>
    </w:p>
    <w:p w14:paraId="1249755E" w14:textId="77777777" w:rsidR="00FC30E1" w:rsidRDefault="00B71D04" w:rsidP="00FC30E1">
      <w:pPr>
        <w:rPr>
          <w:i/>
          <w:iCs/>
          <w:u w:val="single"/>
        </w:rPr>
      </w:pPr>
      <w:r w:rsidRPr="004025E2">
        <w:rPr>
          <w:i/>
          <w:iCs/>
          <w:u w:val="single"/>
        </w:rPr>
        <w:t xml:space="preserve">Gearing ratio </w:t>
      </w:r>
    </w:p>
    <w:p w14:paraId="2CB2FF3F" w14:textId="7BC4E498" w:rsidR="00C04780" w:rsidRPr="00EF4D3D" w:rsidRDefault="00B71D04" w:rsidP="000A5B5C">
      <w:r>
        <w:t xml:space="preserve">The gearing ratio of the particular company has been </w:t>
      </w:r>
      <w:r w:rsidR="0069172C">
        <w:t xml:space="preserve">slightly </w:t>
      </w:r>
      <w:r>
        <w:t xml:space="preserve">increased in the year </w:t>
      </w:r>
      <w:r w:rsidR="00503811">
        <w:t xml:space="preserve">2022 </w:t>
      </w:r>
      <w:r w:rsidR="00FE4694">
        <w:t xml:space="preserve">as 1.42 which has been determined as </w:t>
      </w:r>
      <w:r w:rsidR="00EF4D3D">
        <w:t>1.41 in 2021</w:t>
      </w:r>
      <w:r w:rsidR="006A1C07">
        <w:t xml:space="preserve">. </w:t>
      </w:r>
      <w:r w:rsidR="00A702CE">
        <w:t xml:space="preserve">This suggests that the company is able to manage its </w:t>
      </w:r>
      <w:r w:rsidR="00A702CE">
        <w:lastRenderedPageBreak/>
        <w:t>debt label in an effective manner by avoiding any kind of financial risk. The further enhancement of this ratio the company needs to implement debt management strategies</w:t>
      </w:r>
      <w:r w:rsidR="00BB39B1">
        <w:t xml:space="preserve"> (</w:t>
      </w:r>
      <w:r w:rsidR="00BB39B1" w:rsidRPr="00142A4F">
        <w:t>Zizi</w:t>
      </w:r>
      <w:r w:rsidR="00BB39B1">
        <w:t xml:space="preserve"> </w:t>
      </w:r>
      <w:r w:rsidR="00BB39B1">
        <w:rPr>
          <w:i/>
          <w:iCs/>
        </w:rPr>
        <w:t xml:space="preserve">et al., </w:t>
      </w:r>
      <w:r w:rsidR="00BB39B1" w:rsidRPr="00142A4F">
        <w:t>2020</w:t>
      </w:r>
      <w:r w:rsidR="00BB39B1">
        <w:t>)</w:t>
      </w:r>
      <w:r w:rsidR="00A702CE">
        <w:t>.</w:t>
      </w:r>
    </w:p>
    <w:p w14:paraId="27285F15" w14:textId="77777777" w:rsidR="00FC30E1" w:rsidRDefault="00B71D04" w:rsidP="00FC30E1">
      <w:pPr>
        <w:rPr>
          <w:i/>
          <w:iCs/>
          <w:u w:val="single"/>
        </w:rPr>
      </w:pPr>
      <w:r w:rsidRPr="004025E2">
        <w:rPr>
          <w:i/>
          <w:iCs/>
          <w:u w:val="single"/>
        </w:rPr>
        <w:t>Interest cover</w:t>
      </w:r>
    </w:p>
    <w:p w14:paraId="4F992DC3" w14:textId="7470F17E" w:rsidR="000A5B5C" w:rsidRPr="004025E2" w:rsidRDefault="00B71D04" w:rsidP="005A2EFA">
      <w:r>
        <w:t>The potential strain of the particular business entity can be understood by the decline in the ratio of interest cover. Here the reduction can be seen from 3.86 to 3.56 in 2022. In order to improve this particular ratio the companies suggest focusing on increasing their profitability or even reducing their debt label for the sake of covering interest coverage</w:t>
      </w:r>
      <w:r w:rsidR="00BB39B1">
        <w:t xml:space="preserve"> (</w:t>
      </w:r>
      <w:r w:rsidR="00BB39B1" w:rsidRPr="00142A4F">
        <w:t>Flores</w:t>
      </w:r>
      <w:r w:rsidR="00BB39B1">
        <w:t xml:space="preserve"> and </w:t>
      </w:r>
      <w:r w:rsidR="00BB39B1" w:rsidRPr="00142A4F">
        <w:t>Jimeno</w:t>
      </w:r>
      <w:r w:rsidR="00BB39B1">
        <w:t xml:space="preserve">, </w:t>
      </w:r>
      <w:r w:rsidR="00BB39B1" w:rsidRPr="00142A4F">
        <w:t>2019</w:t>
      </w:r>
      <w:r w:rsidR="00BB39B1">
        <w:t>)</w:t>
      </w:r>
      <w:r>
        <w:t>.</w:t>
      </w:r>
    </w:p>
    <w:p w14:paraId="0D93C548" w14:textId="77777777" w:rsidR="007D3F8D" w:rsidRDefault="007D3F8D" w:rsidP="00486448"/>
    <w:p w14:paraId="1B4793D3" w14:textId="790423E9" w:rsidR="0004191D" w:rsidRDefault="00B71D04" w:rsidP="003D554C">
      <w:r>
        <w:br w:type="page"/>
      </w:r>
    </w:p>
    <w:p w14:paraId="7DCEDBA2" w14:textId="6E5428E0" w:rsidR="0004191D" w:rsidRDefault="00B71D04" w:rsidP="00183231">
      <w:pPr>
        <w:pStyle w:val="Heading1"/>
      </w:pPr>
      <w:bookmarkStart w:id="5" w:name="_Toc153200956"/>
      <w:r>
        <w:lastRenderedPageBreak/>
        <w:t>Conclusion</w:t>
      </w:r>
      <w:bookmarkEnd w:id="5"/>
      <w:r>
        <w:t xml:space="preserve"> </w:t>
      </w:r>
    </w:p>
    <w:p w14:paraId="6404BC94" w14:textId="0E0C5898" w:rsidR="00183231" w:rsidRDefault="00B71D04" w:rsidP="00A85616">
      <w:r>
        <w:t>The above study has emphasized developing a detailed understanding of the various concepts of accounting and finances within a business entity.</w:t>
      </w:r>
      <w:r w:rsidR="002055A0">
        <w:t xml:space="preserve"> In order to prepare that it has used six scenarios of financial and accounting concept through which different aspects of accounting has been determined. For example, it has critically evaluated the way non-current assets of a business entity cannot be moved or placed from one place to another</w:t>
      </w:r>
      <w:r w:rsidR="00D84B9D">
        <w:t xml:space="preserve">. </w:t>
      </w:r>
      <w:r w:rsidR="00757C32">
        <w:t xml:space="preserve">Apart from this according to the statement, there was information regarding that a business may not require the financial regulations while preparing their financial accounts which has also been evaluated with proper reasons of the necessity of maintaining the </w:t>
      </w:r>
      <w:r w:rsidR="006B7291">
        <w:t>regulations</w:t>
      </w:r>
      <w:r w:rsidR="003378F3">
        <w:t xml:space="preserve"> in finances.</w:t>
      </w:r>
      <w:r w:rsidR="00BD3FE9">
        <w:t xml:space="preserve"> Moving ahead it has also developed an accounting computation of the income statement of Wales Plc in which the respective business has acquired a net profit of around </w:t>
      </w:r>
      <w:r w:rsidR="00CE710F">
        <w:rPr>
          <w:rFonts w:cs="Times New Roman"/>
        </w:rPr>
        <w:t xml:space="preserve">£ </w:t>
      </w:r>
      <w:r w:rsidR="00046844">
        <w:rPr>
          <w:rFonts w:cs="Times New Roman"/>
        </w:rPr>
        <w:t xml:space="preserve">613000. </w:t>
      </w:r>
      <w:r w:rsidR="00372FA6">
        <w:rPr>
          <w:rFonts w:cs="Times New Roman"/>
        </w:rPr>
        <w:t xml:space="preserve">In addition to this, the financial performance of Sweets Plc for the years 2021 and 2022 has been designed </w:t>
      </w:r>
      <w:r w:rsidR="00DF6E6F">
        <w:rPr>
          <w:rFonts w:cs="Times New Roman"/>
        </w:rPr>
        <w:t xml:space="preserve">by using accounting ratios on the basis of which it has been identified that </w:t>
      </w:r>
      <w:r w:rsidR="008C4AB2">
        <w:rPr>
          <w:rFonts w:cs="Times New Roman"/>
        </w:rPr>
        <w:t>in 2022 its performance has been increased.</w:t>
      </w:r>
      <w:r>
        <w:br w:type="page"/>
      </w:r>
    </w:p>
    <w:p w14:paraId="785F0574" w14:textId="1C447A2B" w:rsidR="00183231" w:rsidRDefault="00B71D04" w:rsidP="007D4F6B">
      <w:pPr>
        <w:pStyle w:val="Heading1"/>
      </w:pPr>
      <w:bookmarkStart w:id="6" w:name="_Toc153200957"/>
      <w:r>
        <w:lastRenderedPageBreak/>
        <w:t>References</w:t>
      </w:r>
      <w:bookmarkEnd w:id="6"/>
      <w:r>
        <w:t xml:space="preserve"> </w:t>
      </w:r>
    </w:p>
    <w:p w14:paraId="43FEC312" w14:textId="77777777" w:rsidR="00B14FE9" w:rsidRDefault="00B14FE9" w:rsidP="00D85160">
      <w:r>
        <w:t>aatcomment, (2020). Accruals and prepayments – Level 3 study tips. [Online] Available at: https://www.aatcomment.org.uk/audience/students/accruals-and-prepayments-level-3-study-tips/ [Accessed 5 December 2023].</w:t>
      </w:r>
    </w:p>
    <w:p w14:paraId="1F8E6B19" w14:textId="77777777" w:rsidR="00B14FE9" w:rsidRDefault="00B14FE9" w:rsidP="00D85160">
      <w:r>
        <w:t>accountingtools, (2023). Statement of financial position definition. [Online] Available at: https://www.accountingtools.com/articles/what-is-the-statement-of-financial-position.html [Accessed 4 December 2023].</w:t>
      </w:r>
    </w:p>
    <w:p w14:paraId="35AF6497" w14:textId="77777777" w:rsidR="00B14FE9" w:rsidRDefault="00B14FE9" w:rsidP="00D85160">
      <w:r>
        <w:t>corporatefinanceinstitute, (2023). Income Statement. [Online] Available at: https://corporatefinanceinstitute.com/resources/accounting/income-statement/ [Accessed 5 December 2023].</w:t>
      </w:r>
    </w:p>
    <w:p w14:paraId="24B2CBC6" w14:textId="77777777" w:rsidR="00B14FE9" w:rsidRDefault="00B14FE9" w:rsidP="00D85160">
      <w:r>
        <w:t>Davis, J., (2021). The Difference Between Current and Non-Current Assets. [Online] Available at: https://managerplus.iofficecorp.com/blog/current-vs-non-current-assets [Accessed 5 December 2023].</w:t>
      </w:r>
    </w:p>
    <w:p w14:paraId="7A403960" w14:textId="77777777" w:rsidR="00B14FE9" w:rsidRPr="00142A4F" w:rsidRDefault="00B14FE9" w:rsidP="00D97D3C">
      <w:r w:rsidRPr="00142A4F">
        <w:t xml:space="preserve">Dong, M.C., Tian, S. and Chen, C.W., </w:t>
      </w:r>
      <w:r>
        <w:t>(</w:t>
      </w:r>
      <w:r w:rsidRPr="00142A4F">
        <w:t>2018</w:t>
      </w:r>
      <w:r>
        <w:t>)</w:t>
      </w:r>
      <w:r w:rsidRPr="00142A4F">
        <w:t>. Predicting failure risk using financial ratios: Quantile hazard model approach. The North American Journal of Economics and Finance, 44, pp.204-220.</w:t>
      </w:r>
    </w:p>
    <w:p w14:paraId="0CE61EE6" w14:textId="77777777" w:rsidR="00B14FE9" w:rsidRPr="00142A4F" w:rsidRDefault="00B14FE9" w:rsidP="00D97D3C">
      <w:r w:rsidRPr="00142A4F">
        <w:t xml:space="preserve">Fago, G., </w:t>
      </w:r>
      <w:r>
        <w:t>(</w:t>
      </w:r>
      <w:r w:rsidRPr="00142A4F">
        <w:t>2019</w:t>
      </w:r>
      <w:r>
        <w:t>)</w:t>
      </w:r>
      <w:r w:rsidRPr="00142A4F">
        <w:t>. Financial ratios and corporate failure (Doctoral dissertation).</w:t>
      </w:r>
    </w:p>
    <w:p w14:paraId="733C1D51" w14:textId="77777777" w:rsidR="00B14FE9" w:rsidRPr="00142A4F" w:rsidRDefault="00B14FE9" w:rsidP="00D97D3C">
      <w:r w:rsidRPr="00142A4F">
        <w:t xml:space="preserve">Flores-Jimeno, R. and Jimeno-García, I., </w:t>
      </w:r>
      <w:r>
        <w:t>(</w:t>
      </w:r>
      <w:r w:rsidRPr="00142A4F">
        <w:t>2019</w:t>
      </w:r>
      <w:r>
        <w:t>)</w:t>
      </w:r>
      <w:r w:rsidRPr="00142A4F">
        <w:t>. Analysing business failure processes. International Journal of Accounting and Finance, 9(2-4), pp.130-151.</w:t>
      </w:r>
    </w:p>
    <w:p w14:paraId="643D9C5E" w14:textId="77777777" w:rsidR="00B14FE9" w:rsidRPr="00142A4F" w:rsidRDefault="00B14FE9" w:rsidP="00D97D3C">
      <w:r w:rsidRPr="00142A4F">
        <w:t xml:space="preserve">Gowthorpe, C., </w:t>
      </w:r>
      <w:r>
        <w:t>(</w:t>
      </w:r>
      <w:r w:rsidRPr="00142A4F">
        <w:t>2021</w:t>
      </w:r>
      <w:r>
        <w:t>)</w:t>
      </w:r>
      <w:r w:rsidRPr="00142A4F">
        <w:t>. Business accounting and finance. Catherine Gowthorpe.</w:t>
      </w:r>
    </w:p>
    <w:p w14:paraId="2AA4AA60" w14:textId="77777777" w:rsidR="00B14FE9" w:rsidRPr="00142A4F" w:rsidRDefault="00B14FE9" w:rsidP="00D97D3C">
      <w:r w:rsidRPr="00142A4F">
        <w:lastRenderedPageBreak/>
        <w:t xml:space="preserve">Hasanaj, P. and Kuqi, B., </w:t>
      </w:r>
      <w:r>
        <w:t>(</w:t>
      </w:r>
      <w:r w:rsidRPr="00142A4F">
        <w:t>2019</w:t>
      </w:r>
      <w:r>
        <w:t>)</w:t>
      </w:r>
      <w:r w:rsidRPr="00142A4F">
        <w:t>. Analysis of financial statements. Humanities and Social Science Research, 2(2), pp.p17-p17.</w:t>
      </w:r>
    </w:p>
    <w:p w14:paraId="0A28F1C1" w14:textId="77777777" w:rsidR="00B14FE9" w:rsidRPr="00142A4F" w:rsidRDefault="00B14FE9" w:rsidP="00D97D3C">
      <w:r w:rsidRPr="00142A4F">
        <w:t xml:space="preserve">Kliestik, T., Valaskova, K., Lazaroiu, G., Kovacova, M. and Vrbka, J., </w:t>
      </w:r>
      <w:r>
        <w:t>(</w:t>
      </w:r>
      <w:r w:rsidRPr="00142A4F">
        <w:t>2020</w:t>
      </w:r>
      <w:r>
        <w:t>)</w:t>
      </w:r>
      <w:r w:rsidRPr="00142A4F">
        <w:t>. Remaining financially healthy and competitive: The role of financial predictors. Journal of Competitiveness, (1).</w:t>
      </w:r>
    </w:p>
    <w:p w14:paraId="5FCF3A86" w14:textId="77777777" w:rsidR="00B14FE9" w:rsidRPr="00142A4F" w:rsidRDefault="00B14FE9" w:rsidP="00D97D3C">
      <w:r w:rsidRPr="00142A4F">
        <w:t xml:space="preserve">Lee, B.H. and Lee, S.H., </w:t>
      </w:r>
      <w:r>
        <w:t>(</w:t>
      </w:r>
      <w:r w:rsidRPr="00142A4F">
        <w:t>2018</w:t>
      </w:r>
      <w:r>
        <w:t>)</w:t>
      </w:r>
      <w:r w:rsidRPr="00142A4F">
        <w:t>. A study on financial ratio and prediction of financial distress in financial markets. Journal of Distribution Science, 16(11), pp.21-27.</w:t>
      </w:r>
    </w:p>
    <w:p w14:paraId="2C051679" w14:textId="77777777" w:rsidR="00B14FE9" w:rsidRDefault="00B14FE9" w:rsidP="00D85160">
      <w:r>
        <w:t>lumenlearning, (2023). Preparing a Trial Balance. [Online] Available at: https://courses.lumenlearning.com/suny-finaccounting/chapter/preparing-a-trial-balance/#:~:text=A%20trial%20balance%20is%20a,preparation%20of%20accurate%20financial%20statements. [Accessed 5 December 2023].</w:t>
      </w:r>
    </w:p>
    <w:p w14:paraId="5A3BFA18" w14:textId="77777777" w:rsidR="00B14FE9" w:rsidRDefault="00B14FE9" w:rsidP="00D85160">
      <w:r>
        <w:t>openstax, (2023). 1.2 Identify Users of Accounting Information and How They Apply Information. [Online] Available at: https://openstax.org/books/principles-financial-accounting/pages/1-2-identify-users-of-accounting-information-and-how-they-apply-informatio [Accessed 5 December 2023].</w:t>
      </w:r>
    </w:p>
    <w:p w14:paraId="49F65843" w14:textId="77777777" w:rsidR="00B14FE9" w:rsidRPr="00142A4F" w:rsidRDefault="00B14FE9" w:rsidP="00D97D3C">
      <w:r w:rsidRPr="00B14FE9">
        <w:rPr>
          <w:lang w:val="it-IT"/>
        </w:rPr>
        <w:t xml:space="preserve">Serrano-Cinca, C., Gutiérrez-Nieto, B. and Bernate-Valbuena, M., (2019). </w:t>
      </w:r>
      <w:r w:rsidRPr="00142A4F">
        <w:t>The use of accounting anomalies indicators to predict business failure. European Management Journal, 37(3), pp.353-375.</w:t>
      </w:r>
    </w:p>
    <w:p w14:paraId="0AA4F19D" w14:textId="77777777" w:rsidR="00B14FE9" w:rsidRDefault="00B14FE9" w:rsidP="00D85160">
      <w:r>
        <w:t>White, L. J., (2023). The Role of Financial Regulation in a World of Deregulation and Market Forces. [Online] Available at: https://www.imf.org/external/pubs/ft/seminar/1999/reforms/white.htm [Accessed 5 December 2023].</w:t>
      </w:r>
    </w:p>
    <w:p w14:paraId="74D5BD65" w14:textId="77777777" w:rsidR="00B14FE9" w:rsidRDefault="00B14FE9" w:rsidP="00D97D3C">
      <w:r w:rsidRPr="00142A4F">
        <w:lastRenderedPageBreak/>
        <w:t xml:space="preserve">Zizi, Y., Oudgou, M. and El Moudden, A., </w:t>
      </w:r>
      <w:r>
        <w:t>(</w:t>
      </w:r>
      <w:r w:rsidRPr="00142A4F">
        <w:t>2020</w:t>
      </w:r>
      <w:r>
        <w:t>)</w:t>
      </w:r>
      <w:r w:rsidRPr="00142A4F">
        <w:t>. Determinants and predictors of smes’ financial failure: A logistic regression approach. Risks, 8(4), p.107.</w:t>
      </w:r>
    </w:p>
    <w:p w14:paraId="28951291" w14:textId="77777777" w:rsidR="00B14FE9" w:rsidRPr="00142A4F" w:rsidRDefault="00B14FE9" w:rsidP="00D97D3C"/>
    <w:p w14:paraId="14877A87" w14:textId="3B31F330" w:rsidR="00D85160" w:rsidRDefault="00D85160" w:rsidP="00D85160"/>
    <w:p w14:paraId="0648FE07" w14:textId="77777777" w:rsidR="007D4F6B" w:rsidRPr="007D4F6B" w:rsidRDefault="007D4F6B" w:rsidP="007D4F6B"/>
    <w:p w14:paraId="794A43CE" w14:textId="77777777" w:rsidR="00B01292" w:rsidRPr="00B01292" w:rsidRDefault="00B01292" w:rsidP="00B01292"/>
    <w:sectPr w:rsidR="00B01292" w:rsidRPr="00B01292" w:rsidSect="00E05C73">
      <w:headerReference w:type="default" r:id="rId7"/>
      <w:footerReference w:type="defaul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C572E" w14:textId="77777777" w:rsidR="00096C9B" w:rsidRDefault="00096C9B">
      <w:pPr>
        <w:spacing w:after="0" w:line="240" w:lineRule="auto"/>
      </w:pPr>
      <w:r>
        <w:separator/>
      </w:r>
    </w:p>
  </w:endnote>
  <w:endnote w:type="continuationSeparator" w:id="0">
    <w:p w14:paraId="62F6893E" w14:textId="77777777" w:rsidR="00096C9B" w:rsidRDefault="00096C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7805835"/>
      <w:docPartObj>
        <w:docPartGallery w:val="Page Numbers (Bottom of Page)"/>
        <w:docPartUnique/>
      </w:docPartObj>
    </w:sdtPr>
    <w:sdtEndPr/>
    <w:sdtContent>
      <w:sdt>
        <w:sdtPr>
          <w:id w:val="-1769616900"/>
          <w:docPartObj>
            <w:docPartGallery w:val="Page Numbers (Top of Page)"/>
            <w:docPartUnique/>
          </w:docPartObj>
        </w:sdtPr>
        <w:sdtEndPr/>
        <w:sdtContent>
          <w:p w14:paraId="13846402" w14:textId="0B548C64" w:rsidR="00E05C73" w:rsidRDefault="00B71D0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BBC0354" w14:textId="77777777" w:rsidR="00E05C73" w:rsidRDefault="00E05C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212594" w14:textId="77777777" w:rsidR="00096C9B" w:rsidRDefault="00096C9B">
      <w:pPr>
        <w:spacing w:after="0" w:line="240" w:lineRule="auto"/>
      </w:pPr>
      <w:r>
        <w:separator/>
      </w:r>
    </w:p>
  </w:footnote>
  <w:footnote w:type="continuationSeparator" w:id="0">
    <w:p w14:paraId="71F132FB" w14:textId="77777777" w:rsidR="00096C9B" w:rsidRDefault="00096C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ACAC5" w14:textId="07AEF463" w:rsidR="00E05C73" w:rsidRDefault="00B71D04" w:rsidP="00E05C73">
    <w:pPr>
      <w:jc w:val="right"/>
    </w:pPr>
    <w:r>
      <w:rPr>
        <w:shd w:val="clear" w:color="auto" w:fill="FFFFFF"/>
      </w:rPr>
      <w:t>Accounting Fundamentals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removePersonalInformation/>
  <w:removeDateAndTime/>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538"/>
    <w:rsid w:val="000109D8"/>
    <w:rsid w:val="00012EEC"/>
    <w:rsid w:val="00014DBF"/>
    <w:rsid w:val="00023256"/>
    <w:rsid w:val="0002406A"/>
    <w:rsid w:val="000308C6"/>
    <w:rsid w:val="00035E4A"/>
    <w:rsid w:val="0004191D"/>
    <w:rsid w:val="00046844"/>
    <w:rsid w:val="00053D87"/>
    <w:rsid w:val="00066D46"/>
    <w:rsid w:val="000705D9"/>
    <w:rsid w:val="000829B1"/>
    <w:rsid w:val="00087C68"/>
    <w:rsid w:val="00096C9B"/>
    <w:rsid w:val="000A16E6"/>
    <w:rsid w:val="000A36BD"/>
    <w:rsid w:val="000A49CD"/>
    <w:rsid w:val="000A5B5C"/>
    <w:rsid w:val="000A770E"/>
    <w:rsid w:val="000C2846"/>
    <w:rsid w:val="000D245C"/>
    <w:rsid w:val="000E6CC3"/>
    <w:rsid w:val="000E7D8C"/>
    <w:rsid w:val="000F7A66"/>
    <w:rsid w:val="00100F6F"/>
    <w:rsid w:val="00107263"/>
    <w:rsid w:val="0011287D"/>
    <w:rsid w:val="001207AE"/>
    <w:rsid w:val="00131949"/>
    <w:rsid w:val="00143866"/>
    <w:rsid w:val="00146BC5"/>
    <w:rsid w:val="00146D88"/>
    <w:rsid w:val="00161E4D"/>
    <w:rsid w:val="001730EB"/>
    <w:rsid w:val="00183231"/>
    <w:rsid w:val="00185FE5"/>
    <w:rsid w:val="001A4F1B"/>
    <w:rsid w:val="001D04C4"/>
    <w:rsid w:val="001D0752"/>
    <w:rsid w:val="001F31C3"/>
    <w:rsid w:val="001F3D95"/>
    <w:rsid w:val="001F4146"/>
    <w:rsid w:val="0020348A"/>
    <w:rsid w:val="002055A0"/>
    <w:rsid w:val="0022264A"/>
    <w:rsid w:val="0022712B"/>
    <w:rsid w:val="0024486B"/>
    <w:rsid w:val="00245202"/>
    <w:rsid w:val="002575ED"/>
    <w:rsid w:val="00264DB2"/>
    <w:rsid w:val="002720BE"/>
    <w:rsid w:val="00275603"/>
    <w:rsid w:val="00282167"/>
    <w:rsid w:val="002A0CB5"/>
    <w:rsid w:val="002B0335"/>
    <w:rsid w:val="002B1F7C"/>
    <w:rsid w:val="002C48CC"/>
    <w:rsid w:val="002C5A1E"/>
    <w:rsid w:val="002E018A"/>
    <w:rsid w:val="002F7B86"/>
    <w:rsid w:val="003048AC"/>
    <w:rsid w:val="00305025"/>
    <w:rsid w:val="003117A3"/>
    <w:rsid w:val="00314370"/>
    <w:rsid w:val="00316201"/>
    <w:rsid w:val="003342B5"/>
    <w:rsid w:val="00334930"/>
    <w:rsid w:val="003378F3"/>
    <w:rsid w:val="00351B33"/>
    <w:rsid w:val="003539C5"/>
    <w:rsid w:val="00362FBC"/>
    <w:rsid w:val="0036659C"/>
    <w:rsid w:val="00367C13"/>
    <w:rsid w:val="0037152A"/>
    <w:rsid w:val="00372FA6"/>
    <w:rsid w:val="003730DE"/>
    <w:rsid w:val="003805BB"/>
    <w:rsid w:val="00386BD2"/>
    <w:rsid w:val="003B5FB6"/>
    <w:rsid w:val="003C2A58"/>
    <w:rsid w:val="003D2263"/>
    <w:rsid w:val="003D554C"/>
    <w:rsid w:val="003E3CEF"/>
    <w:rsid w:val="004025E2"/>
    <w:rsid w:val="00403B65"/>
    <w:rsid w:val="00407E27"/>
    <w:rsid w:val="00416C5E"/>
    <w:rsid w:val="004240AA"/>
    <w:rsid w:val="00436FCC"/>
    <w:rsid w:val="0044789C"/>
    <w:rsid w:val="00455D70"/>
    <w:rsid w:val="00460AD3"/>
    <w:rsid w:val="004642B3"/>
    <w:rsid w:val="00480247"/>
    <w:rsid w:val="00486448"/>
    <w:rsid w:val="004916A4"/>
    <w:rsid w:val="00491F63"/>
    <w:rsid w:val="00493251"/>
    <w:rsid w:val="004B0CF6"/>
    <w:rsid w:val="004B3086"/>
    <w:rsid w:val="004C5FB6"/>
    <w:rsid w:val="004D23B1"/>
    <w:rsid w:val="004D242D"/>
    <w:rsid w:val="004F3BBA"/>
    <w:rsid w:val="005002DD"/>
    <w:rsid w:val="00503811"/>
    <w:rsid w:val="0050597F"/>
    <w:rsid w:val="005067D5"/>
    <w:rsid w:val="00507B3E"/>
    <w:rsid w:val="00507C74"/>
    <w:rsid w:val="005310D7"/>
    <w:rsid w:val="00533F4C"/>
    <w:rsid w:val="00553224"/>
    <w:rsid w:val="00566AB7"/>
    <w:rsid w:val="00570D5A"/>
    <w:rsid w:val="00574F93"/>
    <w:rsid w:val="00581685"/>
    <w:rsid w:val="005835C7"/>
    <w:rsid w:val="00586560"/>
    <w:rsid w:val="00591586"/>
    <w:rsid w:val="005922A1"/>
    <w:rsid w:val="0059519C"/>
    <w:rsid w:val="0059531E"/>
    <w:rsid w:val="005A1F2A"/>
    <w:rsid w:val="005A2EFA"/>
    <w:rsid w:val="005B023D"/>
    <w:rsid w:val="005B66E5"/>
    <w:rsid w:val="005C11F7"/>
    <w:rsid w:val="005C45BF"/>
    <w:rsid w:val="005C7A6C"/>
    <w:rsid w:val="005D59AF"/>
    <w:rsid w:val="005D6901"/>
    <w:rsid w:val="005F3986"/>
    <w:rsid w:val="005F6091"/>
    <w:rsid w:val="006134F6"/>
    <w:rsid w:val="0061500A"/>
    <w:rsid w:val="00635F0D"/>
    <w:rsid w:val="00647EF7"/>
    <w:rsid w:val="00655B98"/>
    <w:rsid w:val="006620AA"/>
    <w:rsid w:val="0066743B"/>
    <w:rsid w:val="0069172C"/>
    <w:rsid w:val="00691AD1"/>
    <w:rsid w:val="006A1C07"/>
    <w:rsid w:val="006A4AB7"/>
    <w:rsid w:val="006B197A"/>
    <w:rsid w:val="006B7291"/>
    <w:rsid w:val="006C4AD5"/>
    <w:rsid w:val="006C58FE"/>
    <w:rsid w:val="006D1783"/>
    <w:rsid w:val="006D411C"/>
    <w:rsid w:val="006E40F0"/>
    <w:rsid w:val="006E46AD"/>
    <w:rsid w:val="006E532B"/>
    <w:rsid w:val="006F2772"/>
    <w:rsid w:val="006F3547"/>
    <w:rsid w:val="006F6CF7"/>
    <w:rsid w:val="00713904"/>
    <w:rsid w:val="007155F3"/>
    <w:rsid w:val="00740248"/>
    <w:rsid w:val="007440BA"/>
    <w:rsid w:val="00757C32"/>
    <w:rsid w:val="00764764"/>
    <w:rsid w:val="00767A5A"/>
    <w:rsid w:val="00773968"/>
    <w:rsid w:val="00783020"/>
    <w:rsid w:val="00784928"/>
    <w:rsid w:val="00785792"/>
    <w:rsid w:val="00786D31"/>
    <w:rsid w:val="007A3582"/>
    <w:rsid w:val="007B2ACD"/>
    <w:rsid w:val="007B3549"/>
    <w:rsid w:val="007D274F"/>
    <w:rsid w:val="007D3F8D"/>
    <w:rsid w:val="007D4F6B"/>
    <w:rsid w:val="00810286"/>
    <w:rsid w:val="008125FD"/>
    <w:rsid w:val="00814306"/>
    <w:rsid w:val="008305CA"/>
    <w:rsid w:val="008305D3"/>
    <w:rsid w:val="008423EE"/>
    <w:rsid w:val="008767E0"/>
    <w:rsid w:val="0088274F"/>
    <w:rsid w:val="008947EA"/>
    <w:rsid w:val="008A0BDB"/>
    <w:rsid w:val="008A0FB8"/>
    <w:rsid w:val="008A344E"/>
    <w:rsid w:val="008A6FBD"/>
    <w:rsid w:val="008C4AB2"/>
    <w:rsid w:val="008C52C6"/>
    <w:rsid w:val="008C5931"/>
    <w:rsid w:val="008D1E0D"/>
    <w:rsid w:val="008D33AC"/>
    <w:rsid w:val="008D35F6"/>
    <w:rsid w:val="008F0520"/>
    <w:rsid w:val="008F11A0"/>
    <w:rsid w:val="008F6191"/>
    <w:rsid w:val="009026E5"/>
    <w:rsid w:val="00902A3F"/>
    <w:rsid w:val="00903A6B"/>
    <w:rsid w:val="0091179C"/>
    <w:rsid w:val="0091697A"/>
    <w:rsid w:val="00926DC4"/>
    <w:rsid w:val="0094599D"/>
    <w:rsid w:val="0094638E"/>
    <w:rsid w:val="00950735"/>
    <w:rsid w:val="00955497"/>
    <w:rsid w:val="009574E4"/>
    <w:rsid w:val="00964E62"/>
    <w:rsid w:val="0097179F"/>
    <w:rsid w:val="00972177"/>
    <w:rsid w:val="009741EA"/>
    <w:rsid w:val="009771E7"/>
    <w:rsid w:val="0098375D"/>
    <w:rsid w:val="00985443"/>
    <w:rsid w:val="00994475"/>
    <w:rsid w:val="00994703"/>
    <w:rsid w:val="009C14AE"/>
    <w:rsid w:val="009C64E5"/>
    <w:rsid w:val="009C67D8"/>
    <w:rsid w:val="009D6C42"/>
    <w:rsid w:val="009E1210"/>
    <w:rsid w:val="00A042CB"/>
    <w:rsid w:val="00A07CEA"/>
    <w:rsid w:val="00A11B09"/>
    <w:rsid w:val="00A21946"/>
    <w:rsid w:val="00A24439"/>
    <w:rsid w:val="00A366B0"/>
    <w:rsid w:val="00A367D0"/>
    <w:rsid w:val="00A40323"/>
    <w:rsid w:val="00A4296A"/>
    <w:rsid w:val="00A548B3"/>
    <w:rsid w:val="00A6485C"/>
    <w:rsid w:val="00A64948"/>
    <w:rsid w:val="00A649B1"/>
    <w:rsid w:val="00A702CE"/>
    <w:rsid w:val="00A81120"/>
    <w:rsid w:val="00A814BE"/>
    <w:rsid w:val="00A85616"/>
    <w:rsid w:val="00A87C94"/>
    <w:rsid w:val="00A91FA4"/>
    <w:rsid w:val="00A95CBB"/>
    <w:rsid w:val="00AA02EF"/>
    <w:rsid w:val="00AC4EFA"/>
    <w:rsid w:val="00AC6E4D"/>
    <w:rsid w:val="00AE3E22"/>
    <w:rsid w:val="00AE4ACA"/>
    <w:rsid w:val="00AF0DEE"/>
    <w:rsid w:val="00AF17F1"/>
    <w:rsid w:val="00AF4177"/>
    <w:rsid w:val="00B007F0"/>
    <w:rsid w:val="00B01292"/>
    <w:rsid w:val="00B14FE9"/>
    <w:rsid w:val="00B52DDD"/>
    <w:rsid w:val="00B53CD3"/>
    <w:rsid w:val="00B6512D"/>
    <w:rsid w:val="00B65872"/>
    <w:rsid w:val="00B71D04"/>
    <w:rsid w:val="00B726B5"/>
    <w:rsid w:val="00B763C5"/>
    <w:rsid w:val="00B83685"/>
    <w:rsid w:val="00B851D1"/>
    <w:rsid w:val="00B871E7"/>
    <w:rsid w:val="00BA1538"/>
    <w:rsid w:val="00BB37A5"/>
    <w:rsid w:val="00BB39B1"/>
    <w:rsid w:val="00BB4BA6"/>
    <w:rsid w:val="00BB63A3"/>
    <w:rsid w:val="00BD3FE9"/>
    <w:rsid w:val="00BE11BC"/>
    <w:rsid w:val="00C015EC"/>
    <w:rsid w:val="00C01C6A"/>
    <w:rsid w:val="00C04780"/>
    <w:rsid w:val="00C10139"/>
    <w:rsid w:val="00C26EA1"/>
    <w:rsid w:val="00C34ACF"/>
    <w:rsid w:val="00C374FB"/>
    <w:rsid w:val="00C50073"/>
    <w:rsid w:val="00C6153D"/>
    <w:rsid w:val="00C67A76"/>
    <w:rsid w:val="00C70C3B"/>
    <w:rsid w:val="00C72551"/>
    <w:rsid w:val="00C76A05"/>
    <w:rsid w:val="00C876D7"/>
    <w:rsid w:val="00C90A87"/>
    <w:rsid w:val="00C91CFC"/>
    <w:rsid w:val="00CA0C8B"/>
    <w:rsid w:val="00CC5292"/>
    <w:rsid w:val="00CD193A"/>
    <w:rsid w:val="00CD40D5"/>
    <w:rsid w:val="00CD4580"/>
    <w:rsid w:val="00CD6991"/>
    <w:rsid w:val="00CE1118"/>
    <w:rsid w:val="00CE4DFE"/>
    <w:rsid w:val="00CE710F"/>
    <w:rsid w:val="00CF0537"/>
    <w:rsid w:val="00CF4CCD"/>
    <w:rsid w:val="00D07543"/>
    <w:rsid w:val="00D16E1B"/>
    <w:rsid w:val="00D22ED5"/>
    <w:rsid w:val="00D26EA6"/>
    <w:rsid w:val="00D34D0A"/>
    <w:rsid w:val="00D46F30"/>
    <w:rsid w:val="00D54871"/>
    <w:rsid w:val="00D65B11"/>
    <w:rsid w:val="00D74640"/>
    <w:rsid w:val="00D778D0"/>
    <w:rsid w:val="00D82C9A"/>
    <w:rsid w:val="00D846A1"/>
    <w:rsid w:val="00D84B9D"/>
    <w:rsid w:val="00D85160"/>
    <w:rsid w:val="00D94834"/>
    <w:rsid w:val="00D97D3C"/>
    <w:rsid w:val="00DA1D3D"/>
    <w:rsid w:val="00DA2756"/>
    <w:rsid w:val="00DC0723"/>
    <w:rsid w:val="00DC5F1C"/>
    <w:rsid w:val="00DD481E"/>
    <w:rsid w:val="00DE0F21"/>
    <w:rsid w:val="00DE135B"/>
    <w:rsid w:val="00DE42BB"/>
    <w:rsid w:val="00DF6DAC"/>
    <w:rsid w:val="00DF6E6F"/>
    <w:rsid w:val="00E0122A"/>
    <w:rsid w:val="00E05C73"/>
    <w:rsid w:val="00E104B0"/>
    <w:rsid w:val="00E35849"/>
    <w:rsid w:val="00E3660C"/>
    <w:rsid w:val="00E84F28"/>
    <w:rsid w:val="00E93C83"/>
    <w:rsid w:val="00EB09E1"/>
    <w:rsid w:val="00EC2C87"/>
    <w:rsid w:val="00ED121C"/>
    <w:rsid w:val="00ED44DE"/>
    <w:rsid w:val="00ED66AE"/>
    <w:rsid w:val="00EE552C"/>
    <w:rsid w:val="00EF40FE"/>
    <w:rsid w:val="00EF4D3D"/>
    <w:rsid w:val="00EF755D"/>
    <w:rsid w:val="00F06571"/>
    <w:rsid w:val="00F07C9F"/>
    <w:rsid w:val="00F13DC2"/>
    <w:rsid w:val="00F207EB"/>
    <w:rsid w:val="00F21537"/>
    <w:rsid w:val="00F2216C"/>
    <w:rsid w:val="00F237A9"/>
    <w:rsid w:val="00F25A39"/>
    <w:rsid w:val="00F3486F"/>
    <w:rsid w:val="00F37EBA"/>
    <w:rsid w:val="00F57AB3"/>
    <w:rsid w:val="00F73263"/>
    <w:rsid w:val="00F90CCC"/>
    <w:rsid w:val="00F90F2D"/>
    <w:rsid w:val="00F93996"/>
    <w:rsid w:val="00FA02F6"/>
    <w:rsid w:val="00FB3814"/>
    <w:rsid w:val="00FC30E1"/>
    <w:rsid w:val="00FC3C50"/>
    <w:rsid w:val="00FC500B"/>
    <w:rsid w:val="00FE1243"/>
    <w:rsid w:val="00FE4694"/>
    <w:rsid w:val="00FE48E6"/>
    <w:rsid w:val="00FE5D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0FC41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3866"/>
    <w:pPr>
      <w:spacing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146D88"/>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146D88"/>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0109D8"/>
    <w:pPr>
      <w:keepNext/>
      <w:keepLines/>
      <w:spacing w:before="320" w:after="80"/>
      <w:outlineLvl w:val="2"/>
    </w:pPr>
    <w:rPr>
      <w:b/>
      <w:color w:val="000000" w:themeColor="text1"/>
      <w:sz w:val="26"/>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46D88"/>
    <w:rPr>
      <w:rFonts w:ascii="Times New Roman" w:eastAsiaTheme="majorEastAsia" w:hAnsi="Times New Roman" w:cstheme="majorBidi"/>
      <w:b/>
      <w:color w:val="000000" w:themeColor="text1"/>
      <w:sz w:val="26"/>
      <w:szCs w:val="26"/>
    </w:rPr>
  </w:style>
  <w:style w:type="character" w:customStyle="1" w:styleId="Heading1Char">
    <w:name w:val="Heading 1 Char"/>
    <w:basedOn w:val="DefaultParagraphFont"/>
    <w:link w:val="Heading1"/>
    <w:uiPriority w:val="9"/>
    <w:rsid w:val="00146D88"/>
    <w:rPr>
      <w:rFonts w:ascii="Times New Roman" w:eastAsiaTheme="majorEastAsia" w:hAnsi="Times New Roman" w:cstheme="majorBidi"/>
      <w:b/>
      <w:color w:val="000000" w:themeColor="text1"/>
      <w:sz w:val="28"/>
      <w:szCs w:val="32"/>
    </w:rPr>
  </w:style>
  <w:style w:type="paragraph" w:styleId="NoSpacing">
    <w:name w:val="No Spacing"/>
    <w:autoRedefine/>
    <w:uiPriority w:val="1"/>
    <w:qFormat/>
    <w:rsid w:val="00B6512D"/>
    <w:pPr>
      <w:spacing w:after="0" w:line="480" w:lineRule="auto"/>
      <w:jc w:val="both"/>
    </w:pPr>
    <w:rPr>
      <w:rFonts w:ascii="Times New Roman" w:hAnsi="Times New Roman" w:cs="Arial"/>
      <w:kern w:val="0"/>
      <w:sz w:val="24"/>
      <w:lang w:val="en"/>
      <w14:ligatures w14:val="none"/>
    </w:rPr>
  </w:style>
  <w:style w:type="character" w:customStyle="1" w:styleId="Heading3Char">
    <w:name w:val="Heading 3 Char"/>
    <w:basedOn w:val="DefaultParagraphFont"/>
    <w:link w:val="Heading3"/>
    <w:uiPriority w:val="9"/>
    <w:rsid w:val="000109D8"/>
    <w:rPr>
      <w:rFonts w:ascii="Times New Roman" w:hAnsi="Times New Roman" w:cs="Arial"/>
      <w:b/>
      <w:color w:val="000000" w:themeColor="text1"/>
      <w:kern w:val="0"/>
      <w:sz w:val="26"/>
      <w:szCs w:val="28"/>
      <w:lang w:val="en" w:eastAsia="en-IN"/>
      <w14:ligatures w14:val="none"/>
    </w:rPr>
  </w:style>
  <w:style w:type="paragraph" w:styleId="Header">
    <w:name w:val="header"/>
    <w:basedOn w:val="Normal"/>
    <w:link w:val="HeaderChar"/>
    <w:uiPriority w:val="99"/>
    <w:unhideWhenUsed/>
    <w:rsid w:val="00E05C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5C73"/>
    <w:rPr>
      <w:rFonts w:ascii="Times New Roman" w:hAnsi="Times New Roman"/>
      <w:kern w:val="0"/>
      <w:sz w:val="24"/>
      <w:lang w:val="en-GB"/>
      <w14:ligatures w14:val="none"/>
    </w:rPr>
  </w:style>
  <w:style w:type="paragraph" w:styleId="Footer">
    <w:name w:val="footer"/>
    <w:basedOn w:val="Normal"/>
    <w:link w:val="FooterChar"/>
    <w:uiPriority w:val="99"/>
    <w:unhideWhenUsed/>
    <w:rsid w:val="00E05C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5C73"/>
    <w:rPr>
      <w:rFonts w:ascii="Times New Roman" w:hAnsi="Times New Roman"/>
      <w:kern w:val="0"/>
      <w:sz w:val="24"/>
      <w:lang w:val="en-GB"/>
      <w14:ligatures w14:val="none"/>
    </w:rPr>
  </w:style>
  <w:style w:type="paragraph" w:styleId="ListParagraph">
    <w:name w:val="List Paragraph"/>
    <w:basedOn w:val="Normal"/>
    <w:uiPriority w:val="34"/>
    <w:qFormat/>
    <w:rsid w:val="0061500A"/>
    <w:pPr>
      <w:ind w:left="720"/>
      <w:contextualSpacing/>
    </w:pPr>
  </w:style>
  <w:style w:type="table" w:styleId="ListTable7ColourfulAccent6">
    <w:name w:val="List Table 7 Colorful Accent 6"/>
    <w:basedOn w:val="TableNormal"/>
    <w:uiPriority w:val="52"/>
    <w:rsid w:val="00C374FB"/>
    <w:pPr>
      <w:spacing w:after="0" w:line="240" w:lineRule="auto"/>
    </w:pPr>
    <w:rPr>
      <w:rFonts w:eastAsia="Calibri"/>
      <w:color w:val="538135" w:themeColor="accent6" w:themeShade="BF"/>
      <w:kern w:val="0"/>
      <w14:ligatures w14:val="none"/>
    </w:rPr>
    <w:tblPr>
      <w:tblStyleRowBandSize w:val="1"/>
      <w:tblStyleColBandSize w:val="1"/>
    </w:tblPr>
    <w:tblStylePr w:type="firstRow">
      <w:rPr>
        <w:rFonts w:asciiTheme="majorHAnsi" w:eastAsiaTheme="majorEastAsia" w:hAnsiTheme="majorHAnsi" w:cstheme="majorBidi" w:hint="default"/>
        <w:i/>
        <w:iCs/>
        <w:sz w:val="26"/>
        <w:szCs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hint="default"/>
        <w:i/>
        <w:iCs/>
        <w:sz w:val="26"/>
        <w:szCs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hint="default"/>
        <w:i/>
        <w:iCs/>
        <w:sz w:val="26"/>
        <w:szCs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hint="default"/>
        <w:i/>
        <w:iCs/>
        <w:sz w:val="26"/>
        <w:szCs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rmalWeb">
    <w:name w:val="Normal (Web)"/>
    <w:basedOn w:val="Normal"/>
    <w:uiPriority w:val="99"/>
    <w:semiHidden/>
    <w:unhideWhenUsed/>
    <w:rsid w:val="0020348A"/>
    <w:pPr>
      <w:spacing w:before="100" w:beforeAutospacing="1" w:after="100" w:afterAutospacing="1" w:line="240" w:lineRule="auto"/>
      <w:jc w:val="left"/>
    </w:pPr>
    <w:rPr>
      <w:rFonts w:eastAsia="Times New Roman" w:cs="Times New Roman"/>
      <w:szCs w:val="24"/>
      <w:lang w:val="en-US"/>
    </w:rPr>
  </w:style>
  <w:style w:type="paragraph" w:styleId="Bibliography">
    <w:name w:val="Bibliography"/>
    <w:basedOn w:val="Normal"/>
    <w:next w:val="Normal"/>
    <w:uiPriority w:val="37"/>
    <w:unhideWhenUsed/>
    <w:rsid w:val="00D85160"/>
  </w:style>
  <w:style w:type="character" w:styleId="Hyperlink">
    <w:name w:val="Hyperlink"/>
    <w:basedOn w:val="DefaultParagraphFont"/>
    <w:uiPriority w:val="99"/>
    <w:unhideWhenUsed/>
    <w:rsid w:val="00D85160"/>
    <w:rPr>
      <w:color w:val="0563C1" w:themeColor="hyperlink"/>
      <w:u w:val="single"/>
    </w:rPr>
  </w:style>
  <w:style w:type="character" w:styleId="UnresolvedMention">
    <w:name w:val="Unresolved Mention"/>
    <w:basedOn w:val="DefaultParagraphFont"/>
    <w:uiPriority w:val="99"/>
    <w:semiHidden/>
    <w:unhideWhenUsed/>
    <w:rsid w:val="00D85160"/>
    <w:rPr>
      <w:color w:val="605E5C"/>
      <w:shd w:val="clear" w:color="auto" w:fill="E1DFDD"/>
    </w:rPr>
  </w:style>
  <w:style w:type="paragraph" w:styleId="TOCHeading">
    <w:name w:val="TOC Heading"/>
    <w:basedOn w:val="Heading1"/>
    <w:next w:val="Normal"/>
    <w:uiPriority w:val="39"/>
    <w:unhideWhenUsed/>
    <w:qFormat/>
    <w:rsid w:val="00ED44DE"/>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D44D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020502">
      <w:bodyDiv w:val="1"/>
      <w:marLeft w:val="0"/>
      <w:marRight w:val="0"/>
      <w:marTop w:val="0"/>
      <w:marBottom w:val="0"/>
      <w:divBdr>
        <w:top w:val="none" w:sz="0" w:space="0" w:color="auto"/>
        <w:left w:val="none" w:sz="0" w:space="0" w:color="auto"/>
        <w:bottom w:val="none" w:sz="0" w:space="0" w:color="auto"/>
        <w:right w:val="none" w:sz="0" w:space="0" w:color="auto"/>
      </w:divBdr>
    </w:div>
    <w:div w:id="260991911">
      <w:bodyDiv w:val="1"/>
      <w:marLeft w:val="0"/>
      <w:marRight w:val="0"/>
      <w:marTop w:val="0"/>
      <w:marBottom w:val="0"/>
      <w:divBdr>
        <w:top w:val="none" w:sz="0" w:space="0" w:color="auto"/>
        <w:left w:val="none" w:sz="0" w:space="0" w:color="auto"/>
        <w:bottom w:val="none" w:sz="0" w:space="0" w:color="auto"/>
        <w:right w:val="none" w:sz="0" w:space="0" w:color="auto"/>
      </w:divBdr>
    </w:div>
    <w:div w:id="296380633">
      <w:bodyDiv w:val="1"/>
      <w:marLeft w:val="0"/>
      <w:marRight w:val="0"/>
      <w:marTop w:val="0"/>
      <w:marBottom w:val="0"/>
      <w:divBdr>
        <w:top w:val="none" w:sz="0" w:space="0" w:color="auto"/>
        <w:left w:val="none" w:sz="0" w:space="0" w:color="auto"/>
        <w:bottom w:val="none" w:sz="0" w:space="0" w:color="auto"/>
        <w:right w:val="none" w:sz="0" w:space="0" w:color="auto"/>
      </w:divBdr>
    </w:div>
    <w:div w:id="624192229">
      <w:bodyDiv w:val="1"/>
      <w:marLeft w:val="0"/>
      <w:marRight w:val="0"/>
      <w:marTop w:val="0"/>
      <w:marBottom w:val="0"/>
      <w:divBdr>
        <w:top w:val="none" w:sz="0" w:space="0" w:color="auto"/>
        <w:left w:val="none" w:sz="0" w:space="0" w:color="auto"/>
        <w:bottom w:val="none" w:sz="0" w:space="0" w:color="auto"/>
        <w:right w:val="none" w:sz="0" w:space="0" w:color="auto"/>
      </w:divBdr>
    </w:div>
    <w:div w:id="745734954">
      <w:bodyDiv w:val="1"/>
      <w:marLeft w:val="0"/>
      <w:marRight w:val="0"/>
      <w:marTop w:val="0"/>
      <w:marBottom w:val="0"/>
      <w:divBdr>
        <w:top w:val="none" w:sz="0" w:space="0" w:color="auto"/>
        <w:left w:val="none" w:sz="0" w:space="0" w:color="auto"/>
        <w:bottom w:val="none" w:sz="0" w:space="0" w:color="auto"/>
        <w:right w:val="none" w:sz="0" w:space="0" w:color="auto"/>
      </w:divBdr>
    </w:div>
    <w:div w:id="1431658749">
      <w:bodyDiv w:val="1"/>
      <w:marLeft w:val="0"/>
      <w:marRight w:val="0"/>
      <w:marTop w:val="0"/>
      <w:marBottom w:val="0"/>
      <w:divBdr>
        <w:top w:val="none" w:sz="0" w:space="0" w:color="auto"/>
        <w:left w:val="none" w:sz="0" w:space="0" w:color="auto"/>
        <w:bottom w:val="none" w:sz="0" w:space="0" w:color="auto"/>
        <w:right w:val="none" w:sz="0" w:space="0" w:color="auto"/>
      </w:divBdr>
    </w:div>
    <w:div w:id="1692877763">
      <w:bodyDiv w:val="1"/>
      <w:marLeft w:val="0"/>
      <w:marRight w:val="0"/>
      <w:marTop w:val="0"/>
      <w:marBottom w:val="0"/>
      <w:divBdr>
        <w:top w:val="none" w:sz="0" w:space="0" w:color="auto"/>
        <w:left w:val="none" w:sz="0" w:space="0" w:color="auto"/>
        <w:bottom w:val="none" w:sz="0" w:space="0" w:color="auto"/>
        <w:right w:val="none" w:sz="0" w:space="0" w:color="auto"/>
      </w:divBdr>
    </w:div>
    <w:div w:id="1830632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acc2388</b:Tag>
    <b:SourceType>InternetSite</b:SourceType>
    <b:Guid>{78AFA2DA-5CCE-4754-917A-247402630762}</b:Guid>
    <b:Author>
      <b:Author>
        <b:Corporate>accountingtools</b:Corporate>
      </b:Author>
    </b:Author>
    <b:Title>Statement of financial position definition</b:Title>
    <b:Year>2023</b:Year>
    <b:YearAccessed>2023</b:YearAccessed>
    <b:MonthAccessed>December </b:MonthAccessed>
    <b:DayAccessed>4</b:DayAccessed>
    <b:URL>https://www.accountingtools.com/articles/what-is-the-statement-of-financial-position.html</b:URL>
    <b:RefOrder>1</b:RefOrder>
  </b:Source>
  <b:Source>
    <b:Tag>Jon213</b:Tag>
    <b:SourceType>InternetSite</b:SourceType>
    <b:Guid>{65A042B0-63CF-40E0-A5ED-420DDD028BD2}</b:Guid>
    <b:Author>
      <b:Author>
        <b:NameList>
          <b:Person>
            <b:Last>Davis</b:Last>
            <b:First>Jonathan</b:First>
          </b:Person>
        </b:NameList>
      </b:Author>
    </b:Author>
    <b:Title>The Difference Between Current and Non-Current Assets</b:Title>
    <b:Year>2021</b:Year>
    <b:YearAccessed>2023</b:YearAccessed>
    <b:MonthAccessed>December </b:MonthAccessed>
    <b:DayAccessed>5</b:DayAccessed>
    <b:URL>https://managerplus.iofficecorp.com/blog/current-vs-non-current-assets</b:URL>
    <b:RefOrder>2</b:RefOrder>
  </b:Source>
  <b:Source>
    <b:Tag>ope237</b:Tag>
    <b:SourceType>InternetSite</b:SourceType>
    <b:Guid>{DAFCDC97-940F-4752-B9C7-E04571559D60}</b:Guid>
    <b:Author>
      <b:Author>
        <b:Corporate>openstax</b:Corporate>
      </b:Author>
    </b:Author>
    <b:Title>1.2 Identify Users of Accounting Information and How They Apply Information</b:Title>
    <b:Year>2023</b:Year>
    <b:YearAccessed>2023</b:YearAccessed>
    <b:MonthAccessed>December </b:MonthAccessed>
    <b:DayAccessed>5</b:DayAccessed>
    <b:URL>https://openstax.org/books/principles-financial-accounting/pages/1-2-identify-users-of-accounting-information-and-how-they-apply-information</b:URL>
    <b:RefOrder>3</b:RefOrder>
  </b:Source>
  <b:Source>
    <b:Tag>aat20</b:Tag>
    <b:SourceType>InternetSite</b:SourceType>
    <b:Guid>{A30509C0-8CD3-43E2-88AA-7551798377BB}</b:Guid>
    <b:Author>
      <b:Author>
        <b:Corporate>aatcomment</b:Corporate>
      </b:Author>
    </b:Author>
    <b:Title>Accruals and prepayments – Level 3 study tips</b:Title>
    <b:Year>2020</b:Year>
    <b:YearAccessed>2023</b:YearAccessed>
    <b:MonthAccessed>December </b:MonthAccessed>
    <b:DayAccessed>5</b:DayAccessed>
    <b:URL>https://www.aatcomment.org.uk/audience/students/accruals-and-prepayments-level-3-study-tips/</b:URL>
    <b:RefOrder>4</b:RefOrder>
  </b:Source>
  <b:Source>
    <b:Tag>Law23</b:Tag>
    <b:SourceType>InternetSite</b:SourceType>
    <b:Guid>{E55B11D4-A47B-44FE-9E64-E75A348253FB}</b:Guid>
    <b:Author>
      <b:Author>
        <b:NameList>
          <b:Person>
            <b:Last>White</b:Last>
            <b:First>Lawrence</b:First>
            <b:Middle>J.</b:Middle>
          </b:Person>
        </b:NameList>
      </b:Author>
    </b:Author>
    <b:Title>The Role of Financial Regulation in a World of Deregulation and Market Forces</b:Title>
    <b:Year>2023</b:Year>
    <b:YearAccessed>2023</b:YearAccessed>
    <b:MonthAccessed>December </b:MonthAccessed>
    <b:DayAccessed>5</b:DayAccessed>
    <b:URL>https://www.imf.org/external/pubs/ft/seminar/1999/reforms/white.htm</b:URL>
    <b:RefOrder>5</b:RefOrder>
  </b:Source>
  <b:Source>
    <b:Tag>lum2323</b:Tag>
    <b:SourceType>InternetSite</b:SourceType>
    <b:Guid>{E8FED6F5-230D-437A-B633-F84A0CC324F6}</b:Guid>
    <b:Author>
      <b:Author>
        <b:Corporate>lumenlearning</b:Corporate>
      </b:Author>
    </b:Author>
    <b:Title>Preparing a Trial Balance</b:Title>
    <b:Year>2023</b:Year>
    <b:YearAccessed>2023</b:YearAccessed>
    <b:MonthAccessed>December </b:MonthAccessed>
    <b:DayAccessed>5</b:DayAccessed>
    <b:URL>https://courses.lumenlearning.com/suny-finaccounting/chapter/preparing-a-trial-balance/#:~:text=A%20trial%20balance%20is%20a,preparation%20of%20accurate%20financial%20statements.</b:URL>
    <b:RefOrder>6</b:RefOrder>
  </b:Source>
  <b:Source>
    <b:Tag>cor2338</b:Tag>
    <b:SourceType>InternetSite</b:SourceType>
    <b:Guid>{9FF5688B-B04D-45AE-8BDE-D6BDBB68E12E}</b:Guid>
    <b:Author>
      <b:Author>
        <b:Corporate>corporatefinanceinstitute</b:Corporate>
      </b:Author>
    </b:Author>
    <b:Title>Income Statement</b:Title>
    <b:Year>2023</b:Year>
    <b:YearAccessed>2023</b:YearAccessed>
    <b:MonthAccessed>December </b:MonthAccessed>
    <b:DayAccessed>5</b:DayAccessed>
    <b:URL>https://corporatefinanceinstitute.com/resources/accounting/income-statement/</b:URL>
    <b:RefOrder>7</b:RefOrder>
  </b:Source>
</b:Sources>
</file>

<file path=customXml/itemProps1.xml><?xml version="1.0" encoding="utf-8"?>
<ds:datastoreItem xmlns:ds="http://schemas.openxmlformats.org/officeDocument/2006/customXml" ds:itemID="{6A876FC2-5E15-470D-BCAB-7D22FCF550A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3007</Words>
  <Characters>17145</Characters>
  <Application>Microsoft Office Word</Application>
  <DocSecurity>0</DocSecurity>
  <Lines>142</Lines>
  <Paragraphs>40</Paragraphs>
  <ScaleCrop>false</ScaleCrop>
  <Company/>
  <LinksUpToDate>false</LinksUpToDate>
  <CharactersWithSpaces>20112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2023-12-18T22:00:00Z</dcterms:created>
  <dcterms:modified xsi:type="dcterms:W3CDTF">2023-12-18T22:00:00Z</dcterms:modified>
</cp:coreProperties>
</file>