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340E9A">
      <w:pPr>
        <w:ind w:right="237"/>
      </w:pPr>
    </w:p>
    <w:p w14:paraId="13CA7F89" w14:textId="1862F579" w:rsidR="00563B58" w:rsidRPr="00E676F7" w:rsidRDefault="34E5AF60" w:rsidP="7A7BD9D0">
      <w:pPr>
        <w:ind w:right="237"/>
      </w:pPr>
      <w:r w:rsidRPr="7A7BD9D0">
        <w:rPr>
          <w:rFonts w:ascii="Arial" w:hAnsi="Arial" w:cs="Arial"/>
          <w:color w:val="000000" w:themeColor="text1"/>
        </w:rPr>
        <w:t>+</w:t>
      </w:r>
      <w:r w:rsidR="5592E16B">
        <w:rPr>
          <w:noProof/>
        </w:rPr>
        <w:drawing>
          <wp:inline distT="0" distB="0" distL="0" distR="0" wp14:anchorId="661DC7E3" wp14:editId="0F6D5C44">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pPr>
    </w:p>
    <w:p w14:paraId="326BA8E0" w14:textId="77777777" w:rsidR="00563B58" w:rsidRPr="00E676F7" w:rsidRDefault="00563B58" w:rsidP="00340E9A">
      <w:pPr>
        <w:ind w:right="237"/>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ind w:right="237"/>
        <w:rPr>
          <w:b/>
          <w:sz w:val="44"/>
        </w:rPr>
      </w:pPr>
    </w:p>
    <w:p w14:paraId="4655B689" w14:textId="565D6C45" w:rsidR="0085230E" w:rsidRPr="00E676F7" w:rsidRDefault="0085230E" w:rsidP="00340E9A">
      <w:pPr>
        <w:ind w:right="237"/>
        <w:rPr>
          <w:b/>
          <w:sz w:val="44"/>
        </w:rPr>
      </w:pPr>
      <w:r w:rsidRPr="00E676F7">
        <w:rPr>
          <w:b/>
          <w:sz w:val="44"/>
        </w:rPr>
        <w:t xml:space="preserve">LEVEL </w:t>
      </w:r>
      <w:r w:rsidR="00FD4FF1" w:rsidRPr="00E676F7">
        <w:rPr>
          <w:b/>
          <w:sz w:val="44"/>
        </w:rPr>
        <w:t>6</w:t>
      </w:r>
      <w:r w:rsidRPr="00E676F7">
        <w:rPr>
          <w:b/>
          <w:sz w:val="44"/>
        </w:rPr>
        <w:t xml:space="preserve"> - </w:t>
      </w:r>
      <w:r w:rsidR="00270EEB" w:rsidRPr="00E676F7">
        <w:rPr>
          <w:b/>
          <w:sz w:val="44"/>
        </w:rPr>
        <w:t>4</w:t>
      </w:r>
      <w:r w:rsidRPr="00E676F7">
        <w:rPr>
          <w:b/>
          <w:sz w:val="44"/>
        </w:rPr>
        <w:t>0 Credits</w:t>
      </w:r>
    </w:p>
    <w:p w14:paraId="61488168" w14:textId="77777777" w:rsidR="00F927A1" w:rsidRPr="00E676F7" w:rsidRDefault="00F927A1" w:rsidP="00340E9A">
      <w:pPr>
        <w:ind w:right="237"/>
        <w:rPr>
          <w:b/>
          <w:sz w:val="44"/>
        </w:rPr>
      </w:pPr>
    </w:p>
    <w:p w14:paraId="55F4D7BC" w14:textId="1AFA1D08" w:rsidR="008F22BD" w:rsidRPr="00E676F7" w:rsidRDefault="008F22BD" w:rsidP="00340E9A">
      <w:pPr>
        <w:ind w:right="237"/>
        <w:rPr>
          <w:b/>
          <w:sz w:val="44"/>
        </w:rPr>
      </w:pPr>
    </w:p>
    <w:p w14:paraId="4389014C" w14:textId="33F20FDE" w:rsidR="005A1BA3" w:rsidRPr="00E676F7" w:rsidRDefault="005A1BA3" w:rsidP="00340E9A">
      <w:pPr>
        <w:ind w:right="237"/>
        <w:rPr>
          <w:b/>
          <w:sz w:val="40"/>
        </w:rPr>
      </w:pPr>
      <w:r w:rsidRPr="00E676F7">
        <w:rPr>
          <w:b/>
          <w:sz w:val="40"/>
        </w:rPr>
        <w:t xml:space="preserve">Workbook title: Competency Based Workbook </w:t>
      </w:r>
      <w:r w:rsidR="00FD4FF1" w:rsidRPr="00E676F7">
        <w:rPr>
          <w:b/>
          <w:sz w:val="40"/>
        </w:rPr>
        <w:t>2</w:t>
      </w:r>
      <w:r w:rsidRPr="00E676F7">
        <w:rPr>
          <w:b/>
          <w:sz w:val="40"/>
        </w:rPr>
        <w:t xml:space="preserve"> (</w:t>
      </w:r>
      <w:r w:rsidR="00FD4FF1" w:rsidRPr="00E676F7">
        <w:rPr>
          <w:b/>
          <w:sz w:val="40"/>
        </w:rPr>
        <w:t>DHEP</w:t>
      </w:r>
      <w:r w:rsidRPr="00E676F7">
        <w:rPr>
          <w:b/>
          <w:sz w:val="40"/>
        </w:rPr>
        <w:t>)</w:t>
      </w:r>
    </w:p>
    <w:p w14:paraId="75B3B1AE" w14:textId="77777777" w:rsidR="005A1BA3" w:rsidRPr="00E676F7" w:rsidRDefault="005A1BA3" w:rsidP="00340E9A">
      <w:pPr>
        <w:ind w:right="237"/>
        <w:rPr>
          <w:b/>
          <w:sz w:val="36"/>
        </w:rPr>
      </w:pPr>
    </w:p>
    <w:p w14:paraId="39944230" w14:textId="7A038FE1" w:rsidR="00F927A1" w:rsidRPr="00E676F7" w:rsidRDefault="00F927A1" w:rsidP="00340E9A">
      <w:pPr>
        <w:ind w:right="237"/>
        <w:rPr>
          <w:b/>
          <w:sz w:val="36"/>
        </w:rPr>
      </w:pPr>
      <w:r w:rsidRPr="00E676F7">
        <w:rPr>
          <w:b/>
          <w:sz w:val="36"/>
        </w:rPr>
        <w:t>(</w:t>
      </w:r>
      <w:r w:rsidR="00270EEB" w:rsidRPr="00E676F7">
        <w:rPr>
          <w:b/>
          <w:sz w:val="36"/>
        </w:rPr>
        <w:t xml:space="preserve">SOUTH WALES POLICE, GWENT POLICE AND </w:t>
      </w:r>
      <w:r w:rsidRPr="00E676F7">
        <w:rPr>
          <w:b/>
          <w:sz w:val="36"/>
        </w:rPr>
        <w:t>UWTSD)</w:t>
      </w:r>
    </w:p>
    <w:p w14:paraId="07BBFF5C" w14:textId="77777777" w:rsidR="0085230E" w:rsidRPr="00E676F7" w:rsidRDefault="0085230E" w:rsidP="00340E9A">
      <w:pPr>
        <w:ind w:right="237"/>
        <w:rPr>
          <w:b/>
          <w:sz w:val="44"/>
        </w:rPr>
      </w:pPr>
    </w:p>
    <w:p w14:paraId="524030AE" w14:textId="77777777" w:rsidR="0085230E" w:rsidRPr="00E676F7" w:rsidRDefault="0085230E" w:rsidP="00340E9A">
      <w:pPr>
        <w:ind w:right="237"/>
        <w:rPr>
          <w:b/>
          <w:sz w:val="44"/>
        </w:rPr>
      </w:pPr>
    </w:p>
    <w:p w14:paraId="03480E0C" w14:textId="7FC576BA" w:rsidR="00A3273B" w:rsidRPr="00E676F7" w:rsidRDefault="00A3273B" w:rsidP="33572C6E"/>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13CA0091" w14:textId="77777777" w:rsidR="001D056E" w:rsidRDefault="001D056E" w:rsidP="001D056E">
            <w:pPr>
              <w:ind w:right="237"/>
              <w:rPr>
                <w:b/>
                <w:bCs/>
                <w:sz w:val="32"/>
                <w:szCs w:val="32"/>
              </w:rPr>
            </w:pPr>
            <w:r w:rsidRPr="33572C6E">
              <w:rPr>
                <w:b/>
                <w:bCs/>
                <w:sz w:val="32"/>
                <w:szCs w:val="32"/>
              </w:rPr>
              <w:t xml:space="preserve">Learner name: </w:t>
            </w:r>
            <w:r>
              <w:rPr>
                <w:b/>
                <w:bCs/>
                <w:sz w:val="32"/>
                <w:szCs w:val="32"/>
              </w:rPr>
              <w:t xml:space="preserve">Wehab Mohamed </w:t>
            </w:r>
          </w:p>
          <w:p w14:paraId="4784762B" w14:textId="77777777" w:rsidR="001D056E" w:rsidRDefault="001D056E" w:rsidP="001D056E">
            <w:pPr>
              <w:ind w:right="237"/>
              <w:rPr>
                <w:b/>
                <w:bCs/>
                <w:sz w:val="32"/>
                <w:szCs w:val="32"/>
              </w:rPr>
            </w:pPr>
          </w:p>
          <w:p w14:paraId="3FB63201" w14:textId="77777777" w:rsidR="001D056E" w:rsidRDefault="001D056E" w:rsidP="001D056E">
            <w:pPr>
              <w:ind w:right="237"/>
              <w:rPr>
                <w:b/>
                <w:bCs/>
                <w:sz w:val="32"/>
                <w:szCs w:val="32"/>
              </w:rPr>
            </w:pPr>
            <w:r w:rsidRPr="33572C6E">
              <w:rPr>
                <w:b/>
                <w:bCs/>
                <w:sz w:val="32"/>
                <w:szCs w:val="32"/>
              </w:rPr>
              <w:t>Learner’s University Registration Number:</w:t>
            </w:r>
            <w:r>
              <w:rPr>
                <w:b/>
                <w:bCs/>
                <w:sz w:val="32"/>
                <w:szCs w:val="32"/>
              </w:rPr>
              <w:t xml:space="preserve"> </w:t>
            </w:r>
            <w:bookmarkStart w:id="0" w:name="_GoBack"/>
            <w:r>
              <w:rPr>
                <w:b/>
                <w:bCs/>
                <w:sz w:val="32"/>
                <w:szCs w:val="32"/>
              </w:rPr>
              <w:t>2117684</w:t>
            </w:r>
            <w:bookmarkEnd w:id="0"/>
          </w:p>
          <w:p w14:paraId="1D86F74A" w14:textId="77777777" w:rsidR="33572C6E" w:rsidRDefault="33572C6E" w:rsidP="33572C6E">
            <w:pPr>
              <w:ind w:right="237"/>
              <w:rPr>
                <w:b/>
                <w:bCs/>
                <w:sz w:val="32"/>
                <w:szCs w:val="32"/>
              </w:rPr>
            </w:pPr>
          </w:p>
          <w:p w14:paraId="1209FB99" w14:textId="44A05FEA" w:rsidR="33572C6E" w:rsidRDefault="33572C6E" w:rsidP="33572C6E">
            <w:pPr>
              <w:ind w:right="237"/>
              <w:rPr>
                <w:b/>
                <w:bCs/>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ind w:right="237"/>
        <w:rPr>
          <w:b/>
          <w:bCs/>
          <w:sz w:val="32"/>
          <w:szCs w:val="32"/>
        </w:rPr>
      </w:pPr>
    </w:p>
    <w:p w14:paraId="3E964735" w14:textId="29E24041" w:rsidR="00A3273B" w:rsidRPr="00E676F7" w:rsidRDefault="00A3273B" w:rsidP="33572C6E">
      <w:pPr>
        <w:ind w:right="237"/>
        <w:rPr>
          <w:b/>
          <w:bCs/>
          <w:color w:val="000000" w:themeColor="text1"/>
          <w:sz w:val="36"/>
          <w:szCs w:val="36"/>
        </w:rPr>
      </w:pPr>
    </w:p>
    <w:p w14:paraId="161214F0" w14:textId="4EB9FE53" w:rsidR="00A3273B" w:rsidRPr="00E676F7" w:rsidRDefault="00A3273B" w:rsidP="00340E9A">
      <w:pPr>
        <w:ind w:right="237"/>
        <w:rPr>
          <w:b/>
          <w:sz w:val="36"/>
        </w:rPr>
      </w:pPr>
    </w:p>
    <w:p w14:paraId="0950084E" w14:textId="255243E9" w:rsidR="00F927A1" w:rsidRPr="00E676F7" w:rsidRDefault="00270EEB" w:rsidP="33572C6E">
      <w:pPr>
        <w:ind w:right="237"/>
        <w:rPr>
          <w:b/>
          <w:bCs/>
          <w:sz w:val="40"/>
          <w:szCs w:val="40"/>
        </w:rPr>
      </w:pPr>
      <w:r w:rsidRPr="33572C6E">
        <w:rPr>
          <w:b/>
          <w:bCs/>
          <w:sz w:val="40"/>
          <w:szCs w:val="40"/>
        </w:rPr>
        <w:t>FACULTY OF BUSINESS AND MANAGEMENT</w:t>
      </w:r>
    </w:p>
    <w:p w14:paraId="67E2874C" w14:textId="5E3F285C" w:rsidR="00190913" w:rsidRPr="00E676F7" w:rsidRDefault="00270EEB" w:rsidP="00340E9A">
      <w:pPr>
        <w:ind w:right="237"/>
        <w:rPr>
          <w:b/>
          <w:sz w:val="40"/>
          <w:szCs w:val="56"/>
        </w:rPr>
      </w:pPr>
      <w:r w:rsidRPr="00E676F7">
        <w:rPr>
          <w:b/>
          <w:sz w:val="40"/>
          <w:szCs w:val="56"/>
        </w:rPr>
        <w:t>PUBLIC SERVICE PROGRAMME</w:t>
      </w:r>
    </w:p>
    <w:p w14:paraId="01AF2F4E" w14:textId="77777777" w:rsidR="00A3273B" w:rsidRPr="00E676F7" w:rsidRDefault="00A3273B" w:rsidP="00340E9A">
      <w:pPr>
        <w:ind w:right="237"/>
        <w:rPr>
          <w:b/>
          <w:i/>
        </w:rPr>
      </w:pPr>
    </w:p>
    <w:p w14:paraId="17C7C385" w14:textId="4D5CD7A4" w:rsidR="00190913" w:rsidRPr="00E676F7" w:rsidRDefault="00190913" w:rsidP="45B99DA0">
      <w:pPr>
        <w:ind w:right="237"/>
        <w:rPr>
          <w:b/>
          <w:bCs/>
          <w:i/>
          <w:iCs/>
        </w:rPr>
      </w:pPr>
      <w:r w:rsidRPr="45B99DA0">
        <w:rPr>
          <w:b/>
          <w:bCs/>
          <w:i/>
          <w:iCs/>
        </w:rPr>
        <w:t xml:space="preserve">Module title: Policing in the Workplace </w:t>
      </w:r>
      <w:r w:rsidR="00E0649E" w:rsidRPr="45B99DA0">
        <w:rPr>
          <w:b/>
          <w:bCs/>
          <w:i/>
          <w:iCs/>
        </w:rPr>
        <w:t>3</w:t>
      </w:r>
      <w:r w:rsidRPr="45B99DA0">
        <w:rPr>
          <w:b/>
          <w:bCs/>
          <w:i/>
          <w:iCs/>
        </w:rPr>
        <w:t xml:space="preserve"> (</w:t>
      </w:r>
      <w:r w:rsidR="00E0649E" w:rsidRPr="45B99DA0">
        <w:rPr>
          <w:b/>
          <w:bCs/>
          <w:i/>
          <w:iCs/>
        </w:rPr>
        <w:t>DHEP</w:t>
      </w:r>
      <w:r w:rsidRPr="45B99DA0">
        <w:rPr>
          <w:b/>
          <w:bCs/>
          <w:i/>
          <w:iCs/>
        </w:rPr>
        <w:t xml:space="preserve">) </w:t>
      </w:r>
      <w:r w:rsidR="3DBF3393" w:rsidRPr="45B99DA0">
        <w:rPr>
          <w:b/>
          <w:bCs/>
          <w:i/>
          <w:iCs/>
        </w:rPr>
        <w:t xml:space="preserve">- BMPP6001D </w:t>
      </w:r>
    </w:p>
    <w:p w14:paraId="1502641F" w14:textId="77777777" w:rsidR="00190913" w:rsidRPr="00E676F7" w:rsidRDefault="00190913" w:rsidP="00340E9A">
      <w:pPr>
        <w:ind w:right="237"/>
        <w:rPr>
          <w:b/>
          <w:sz w:val="36"/>
          <w:szCs w:val="56"/>
        </w:rPr>
      </w:pPr>
    </w:p>
    <w:p w14:paraId="6D58F4AD" w14:textId="6075BF78" w:rsidR="0010312C" w:rsidRPr="00E676F7" w:rsidRDefault="00F927A1" w:rsidP="00340E9A">
      <w:pPr>
        <w:ind w:right="237"/>
        <w:rPr>
          <w:b/>
        </w:rPr>
      </w:pPr>
      <w:r w:rsidRPr="00E676F7">
        <w:br w:type="page"/>
      </w:r>
      <w:r w:rsidR="00F139CF" w:rsidRPr="00E676F7">
        <w:rPr>
          <w:b/>
        </w:rPr>
        <w:lastRenderedPageBreak/>
        <w:t>Workbook</w:t>
      </w:r>
      <w:r w:rsidR="0010312C" w:rsidRPr="00E676F7">
        <w:rPr>
          <w:b/>
        </w:rPr>
        <w:t xml:space="preserve"> Guidance</w:t>
      </w:r>
    </w:p>
    <w:p w14:paraId="08AF75DB" w14:textId="77777777" w:rsidR="0010312C" w:rsidRPr="00E676F7" w:rsidRDefault="0010312C" w:rsidP="00340E9A">
      <w:pPr>
        <w:ind w:right="237"/>
      </w:pPr>
    </w:p>
    <w:p w14:paraId="4E490057" w14:textId="3689E412" w:rsidR="008B28E7" w:rsidRPr="00E676F7" w:rsidRDefault="0040668F" w:rsidP="00340E9A">
      <w:pPr>
        <w:ind w:right="237"/>
        <w:jc w:val="both"/>
      </w:pPr>
      <w:r w:rsidRPr="00E676F7">
        <w:t xml:space="preserve">Please read these notes </w:t>
      </w:r>
      <w:r w:rsidR="008B28E7" w:rsidRPr="00E676F7">
        <w:t xml:space="preserve">carefully. They </w:t>
      </w:r>
      <w:r w:rsidRPr="00E676F7">
        <w:t xml:space="preserve">provide </w:t>
      </w:r>
      <w:r w:rsidR="009F3AEC" w:rsidRPr="00E676F7">
        <w:t>essential information</w:t>
      </w:r>
      <w:r w:rsidRPr="00E676F7">
        <w:t xml:space="preserve">. The documents you will use in </w:t>
      </w:r>
      <w:r w:rsidR="00390074" w:rsidRPr="00E676F7">
        <w:t xml:space="preserve">developing </w:t>
      </w:r>
      <w:r w:rsidRPr="00E676F7">
        <w:t xml:space="preserve">your </w:t>
      </w:r>
      <w:r w:rsidR="00F139CF" w:rsidRPr="00E676F7">
        <w:t xml:space="preserve">workbook </w:t>
      </w:r>
      <w:r w:rsidR="008B28E7" w:rsidRPr="00E676F7">
        <w:t>are on the following pages.</w:t>
      </w:r>
    </w:p>
    <w:p w14:paraId="619EE2C5" w14:textId="77777777" w:rsidR="008B28E7" w:rsidRPr="00E676F7" w:rsidRDefault="008B28E7" w:rsidP="00340E9A">
      <w:pPr>
        <w:ind w:right="237"/>
      </w:pPr>
    </w:p>
    <w:p w14:paraId="276E7F40" w14:textId="4E8F046F" w:rsidR="0040668F" w:rsidRPr="00E676F7" w:rsidRDefault="0040668F" w:rsidP="00340E9A">
      <w:pPr>
        <w:ind w:right="237"/>
        <w:jc w:val="both"/>
      </w:pPr>
      <w:r w:rsidRPr="00E676F7">
        <w:rPr>
          <w:b/>
        </w:rPr>
        <w:t xml:space="preserve">What is the </w:t>
      </w:r>
      <w:r w:rsidR="00F139CF" w:rsidRPr="00E676F7">
        <w:rPr>
          <w:b/>
        </w:rPr>
        <w:t xml:space="preserve">workbook </w:t>
      </w:r>
      <w:r w:rsidRPr="00E676F7">
        <w:rPr>
          <w:b/>
        </w:rPr>
        <w:t>for?</w:t>
      </w:r>
    </w:p>
    <w:p w14:paraId="5514925D" w14:textId="77777777" w:rsidR="0040668F" w:rsidRPr="00E676F7" w:rsidRDefault="0040668F" w:rsidP="00340E9A">
      <w:pPr>
        <w:ind w:right="237"/>
        <w:jc w:val="both"/>
        <w:rPr>
          <w:b/>
        </w:rPr>
      </w:pPr>
    </w:p>
    <w:p w14:paraId="113FEB01" w14:textId="51F6F149" w:rsidR="004B69F6" w:rsidRPr="00E676F7" w:rsidRDefault="0040668F" w:rsidP="00340E9A">
      <w:pPr>
        <w:ind w:right="237"/>
        <w:jc w:val="both"/>
      </w:pPr>
      <w:r w:rsidRPr="386E26D2">
        <w:t>The purpose of this</w:t>
      </w:r>
      <w:r w:rsidR="00751263" w:rsidRPr="386E26D2">
        <w:t xml:space="preserve"> </w:t>
      </w:r>
      <w:r w:rsidR="00F139CF" w:rsidRPr="386E26D2">
        <w:t>workbook</w:t>
      </w:r>
      <w:r w:rsidR="00751263" w:rsidRPr="386E26D2">
        <w:t xml:space="preserve"> is to enable </w:t>
      </w:r>
      <w:r w:rsidR="00F254D1" w:rsidRPr="386E26D2">
        <w:t>learners</w:t>
      </w:r>
      <w:r w:rsidRPr="386E26D2">
        <w:t xml:space="preserve"> to</w:t>
      </w:r>
      <w:r w:rsidR="0010312C" w:rsidRPr="386E26D2">
        <w:t xml:space="preserve"> demonstrate and provide e</w:t>
      </w:r>
      <w:r w:rsidRPr="386E26D2">
        <w:t xml:space="preserve">vidence of </w:t>
      </w:r>
      <w:r w:rsidR="0010312C" w:rsidRPr="386E26D2">
        <w:t>how they meet</w:t>
      </w:r>
      <w:r w:rsidRPr="386E26D2">
        <w:t xml:space="preserve"> the learning outcomes </w:t>
      </w:r>
      <w:r w:rsidR="00390074" w:rsidRPr="386E26D2">
        <w:t xml:space="preserve">set by </w:t>
      </w:r>
      <w:r w:rsidR="009C3AC2" w:rsidRPr="386E26D2">
        <w:t xml:space="preserve">the </w:t>
      </w:r>
      <w:r w:rsidR="00270EEB" w:rsidRPr="386E26D2">
        <w:t>College of Policing</w:t>
      </w:r>
      <w:r w:rsidR="00390074" w:rsidRPr="386E26D2">
        <w:t xml:space="preserve">, </w:t>
      </w:r>
      <w:r w:rsidRPr="386E26D2">
        <w:t xml:space="preserve">for </w:t>
      </w:r>
      <w:r w:rsidR="009C3AC2" w:rsidRPr="386E26D2">
        <w:t xml:space="preserve">the </w:t>
      </w:r>
      <w:r w:rsidR="0798DDDB" w:rsidRPr="386E26D2">
        <w:t xml:space="preserve">Graduate Diploma in Professional Policing Practice. </w:t>
      </w:r>
      <w:r w:rsidR="519ECDB9" w:rsidRPr="386E26D2">
        <w:t>You</w:t>
      </w:r>
      <w:r w:rsidR="00A3273B" w:rsidRPr="386E26D2">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pPr>
    </w:p>
    <w:p w14:paraId="49175B06" w14:textId="32A3EA6C" w:rsidR="00A3273B" w:rsidRPr="00E676F7" w:rsidRDefault="00A3273B" w:rsidP="00B16D07">
      <w:pPr>
        <w:pStyle w:val="ListParagraph"/>
        <w:numPr>
          <w:ilvl w:val="0"/>
          <w:numId w:val="5"/>
        </w:numPr>
        <w:ind w:right="237"/>
        <w:jc w:val="both"/>
      </w:pPr>
      <w:r w:rsidRPr="00E676F7">
        <w:t>Wellbeing and Resilience</w:t>
      </w:r>
    </w:p>
    <w:p w14:paraId="3263D299" w14:textId="3A8272EE" w:rsidR="00A3273B" w:rsidRPr="00E676F7" w:rsidRDefault="00A3273B" w:rsidP="00B16D07">
      <w:pPr>
        <w:pStyle w:val="ListParagraph"/>
        <w:numPr>
          <w:ilvl w:val="0"/>
          <w:numId w:val="5"/>
        </w:numPr>
        <w:ind w:right="237"/>
        <w:jc w:val="both"/>
      </w:pPr>
      <w:r w:rsidRPr="00E676F7">
        <w:t>Criminal Justice</w:t>
      </w:r>
    </w:p>
    <w:p w14:paraId="5C8436F9" w14:textId="77777777" w:rsidR="00446792" w:rsidRPr="00E676F7" w:rsidRDefault="00446792" w:rsidP="00B16D07">
      <w:pPr>
        <w:pStyle w:val="ListParagraph"/>
        <w:numPr>
          <w:ilvl w:val="0"/>
          <w:numId w:val="5"/>
        </w:numPr>
        <w:ind w:right="237"/>
        <w:jc w:val="both"/>
      </w:pPr>
      <w:r w:rsidRPr="00E676F7">
        <w:t>C</w:t>
      </w:r>
      <w:r w:rsidR="00A3273B" w:rsidRPr="00E676F7">
        <w:t>onducting Investigation</w:t>
      </w:r>
      <w:r w:rsidRPr="00E676F7">
        <w:t>s</w:t>
      </w:r>
    </w:p>
    <w:p w14:paraId="713ED810" w14:textId="6F2CBB0E" w:rsidR="002423B2" w:rsidRPr="00E676F7" w:rsidRDefault="002423B2" w:rsidP="00B16D07">
      <w:pPr>
        <w:pStyle w:val="ListParagraph"/>
        <w:numPr>
          <w:ilvl w:val="0"/>
          <w:numId w:val="5"/>
        </w:numPr>
        <w:ind w:right="237"/>
        <w:jc w:val="both"/>
      </w:pPr>
      <w:r w:rsidRPr="00E676F7">
        <w:t>Decision making and discretion</w:t>
      </w:r>
    </w:p>
    <w:p w14:paraId="54BA0405" w14:textId="0EF457CA" w:rsidR="002423B2" w:rsidRPr="00E676F7" w:rsidRDefault="002423B2" w:rsidP="00B16D07">
      <w:pPr>
        <w:pStyle w:val="ListParagraph"/>
        <w:numPr>
          <w:ilvl w:val="0"/>
          <w:numId w:val="5"/>
        </w:numPr>
        <w:ind w:right="237"/>
        <w:jc w:val="both"/>
      </w:pPr>
      <w:r w:rsidRPr="00E676F7">
        <w:t>Maintaining Professional Standards</w:t>
      </w:r>
    </w:p>
    <w:p w14:paraId="4ED89EB9" w14:textId="1EEDB0E6" w:rsidR="002423B2" w:rsidRPr="00E676F7" w:rsidRDefault="002423B2" w:rsidP="00B16D07">
      <w:pPr>
        <w:pStyle w:val="ListParagraph"/>
        <w:numPr>
          <w:ilvl w:val="0"/>
          <w:numId w:val="5"/>
        </w:numPr>
        <w:ind w:right="237"/>
        <w:jc w:val="both"/>
      </w:pPr>
      <w:r w:rsidRPr="00E676F7">
        <w:t>Leadership and Team working</w:t>
      </w:r>
    </w:p>
    <w:p w14:paraId="36D2FCB9" w14:textId="255E577E" w:rsidR="002423B2" w:rsidRPr="00E676F7" w:rsidRDefault="002423B2" w:rsidP="00B16D07">
      <w:pPr>
        <w:pStyle w:val="ListParagraph"/>
        <w:numPr>
          <w:ilvl w:val="0"/>
          <w:numId w:val="5"/>
        </w:numPr>
        <w:ind w:right="237"/>
        <w:jc w:val="both"/>
      </w:pPr>
      <w:r w:rsidRPr="00E676F7">
        <w:t>Policing the roads</w:t>
      </w:r>
    </w:p>
    <w:p w14:paraId="2F4F47A1" w14:textId="722572A8" w:rsidR="002423B2" w:rsidRPr="00E676F7" w:rsidRDefault="002423B2" w:rsidP="00B16D07">
      <w:pPr>
        <w:pStyle w:val="ListParagraph"/>
        <w:numPr>
          <w:ilvl w:val="0"/>
          <w:numId w:val="5"/>
        </w:numPr>
        <w:ind w:right="237"/>
        <w:jc w:val="both"/>
      </w:pPr>
      <w:r w:rsidRPr="00E676F7">
        <w:t>Information and Intelligence</w:t>
      </w:r>
    </w:p>
    <w:p w14:paraId="5EFE21AE" w14:textId="77777777" w:rsidR="002423B2" w:rsidRPr="00E676F7" w:rsidRDefault="002423B2" w:rsidP="3EFE5FE8">
      <w:pPr>
        <w:ind w:right="237"/>
        <w:jc w:val="both"/>
      </w:pPr>
    </w:p>
    <w:p w14:paraId="6785ADE6" w14:textId="0C53A3D9" w:rsidR="3EFE5FE8" w:rsidRPr="00E676F7" w:rsidRDefault="3EFE5FE8" w:rsidP="3EFE5FE8">
      <w:pPr>
        <w:jc w:val="both"/>
      </w:pPr>
      <w:r w:rsidRPr="386E26D2">
        <w:rPr>
          <w:rFonts w:eastAsia="Arial"/>
          <w:color w:val="000000" w:themeColor="text1"/>
        </w:rPr>
        <w:t xml:space="preserve">You may wish to use the same incidents as </w:t>
      </w:r>
      <w:r w:rsidR="6097695F" w:rsidRPr="386E26D2">
        <w:rPr>
          <w:rFonts w:eastAsia="Arial"/>
          <w:color w:val="000000" w:themeColor="text1"/>
        </w:rPr>
        <w:t>you have</w:t>
      </w:r>
      <w:r w:rsidRPr="386E26D2">
        <w:rPr>
          <w:rFonts w:eastAsia="Arial"/>
          <w:color w:val="000000" w:themeColor="text1"/>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rPr>
        <w:t xml:space="preserve"> </w:t>
      </w:r>
    </w:p>
    <w:p w14:paraId="7313F5AA" w14:textId="0DD67C69" w:rsidR="3EFE5FE8" w:rsidRPr="00E676F7" w:rsidRDefault="3EFE5FE8" w:rsidP="3EFE5FE8">
      <w:pPr>
        <w:jc w:val="both"/>
      </w:pPr>
      <w:r w:rsidRPr="00E676F7">
        <w:rPr>
          <w:rFonts w:eastAsia="Arial"/>
          <w:b/>
          <w:bCs/>
          <w:color w:val="000000" w:themeColor="text1"/>
        </w:rPr>
        <w:t>How should the workbook be presented?</w:t>
      </w:r>
    </w:p>
    <w:p w14:paraId="29CC7290" w14:textId="524B51FC" w:rsidR="3EFE5FE8" w:rsidRPr="00E676F7" w:rsidRDefault="3EFE5FE8" w:rsidP="3EFE5FE8">
      <w:pPr>
        <w:jc w:val="both"/>
      </w:pPr>
      <w:r w:rsidRPr="00E676F7">
        <w:rPr>
          <w:rFonts w:eastAsia="Arial"/>
          <w:color w:val="000000" w:themeColor="text1"/>
        </w:rPr>
        <w:t xml:space="preserve"> </w:t>
      </w:r>
    </w:p>
    <w:p w14:paraId="2AEFAEC5" w14:textId="1264B316" w:rsidR="3EFE5FE8" w:rsidRPr="00E676F7" w:rsidRDefault="3EFE5FE8" w:rsidP="3EFE5FE8">
      <w:pPr>
        <w:jc w:val="both"/>
      </w:pPr>
      <w:r w:rsidRPr="00E676F7">
        <w:rPr>
          <w:rFonts w:eastAsia="Arial"/>
          <w:color w:val="000000" w:themeColor="text1"/>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rPr>
        <w:t xml:space="preserve"> </w:t>
      </w:r>
    </w:p>
    <w:p w14:paraId="7E04E480" w14:textId="13CB26B4" w:rsidR="3EFE5FE8" w:rsidRPr="00E676F7" w:rsidRDefault="3EFE5FE8" w:rsidP="3EFE5FE8">
      <w:pPr>
        <w:jc w:val="both"/>
      </w:pPr>
      <w:r w:rsidRPr="00E676F7">
        <w:rPr>
          <w:rFonts w:eastAsia="Arial"/>
          <w:b/>
          <w:bCs/>
          <w:color w:val="000000" w:themeColor="text1"/>
        </w:rPr>
        <w:t>Word count policy</w:t>
      </w:r>
      <w:r w:rsidRPr="00E676F7">
        <w:rPr>
          <w:rFonts w:eastAsia="Arial"/>
          <w:color w:val="000000" w:themeColor="text1"/>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rPr>
        <w:t>(</w:t>
      </w:r>
      <w:hyperlink r:id="rId12">
        <w:r w:rsidRPr="00E676F7">
          <w:rPr>
            <w:rStyle w:val="Hyperlink"/>
            <w:rFonts w:eastAsia="Arial"/>
          </w:rPr>
          <w:t>https://www.uwtsd.ac.uk/media/uwtsd-website/content-assets/documents/academic-office/aqh-chapters/chapters---en/Chapter_07_Assessment_Taught_Programmes_Pages_72-79-UPDATED-05-11-2019.pdf</w:t>
        </w:r>
      </w:hyperlink>
      <w:r w:rsidRPr="00E676F7">
        <w:rPr>
          <w:rFonts w:eastAsia="Arial"/>
          <w:color w:val="0000FF"/>
          <w:u w:val="single"/>
        </w:rPr>
        <w:t xml:space="preserve">) </w:t>
      </w:r>
    </w:p>
    <w:p w14:paraId="3C979037" w14:textId="5A8454C5" w:rsidR="3EFE5FE8" w:rsidRPr="00E676F7" w:rsidRDefault="3EFE5FE8" w:rsidP="3EFE5FE8">
      <w:pPr>
        <w:jc w:val="both"/>
      </w:pPr>
      <w:r w:rsidRPr="00E676F7">
        <w:rPr>
          <w:rFonts w:eastAsia="Arial"/>
          <w:color w:val="000000" w:themeColor="text1"/>
        </w:rPr>
        <w:t xml:space="preserve"> </w:t>
      </w:r>
    </w:p>
    <w:p w14:paraId="359D1873" w14:textId="01A42C34" w:rsidR="3EFE5FE8" w:rsidRPr="00E676F7" w:rsidRDefault="3EFE5FE8" w:rsidP="3EFE5FE8">
      <w:pPr>
        <w:jc w:val="both"/>
      </w:pPr>
      <w:r w:rsidRPr="00E676F7">
        <w:rPr>
          <w:rFonts w:eastAsia="Arial"/>
          <w:color w:val="000000" w:themeColor="text1"/>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367797" w:rsidP="3EFE5FE8">
      <w:pPr>
        <w:jc w:val="both"/>
      </w:pPr>
      <w:hyperlink r:id="rId13">
        <w:r w:rsidR="3EFE5FE8" w:rsidRPr="00E676F7">
          <w:rPr>
            <w:rStyle w:val="Hyperlink"/>
            <w:rFonts w:eastAsia="Arial"/>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rPr>
        <w:t xml:space="preserve"> </w:t>
      </w:r>
    </w:p>
    <w:p w14:paraId="546FFA2D" w14:textId="0604B1CF" w:rsidR="3EFE5FE8" w:rsidRPr="00E676F7" w:rsidRDefault="3EFE5FE8" w:rsidP="3EFE5FE8">
      <w:pPr>
        <w:jc w:val="both"/>
      </w:pPr>
      <w:r w:rsidRPr="00E676F7">
        <w:rPr>
          <w:rFonts w:eastAsia="Arial"/>
          <w:b/>
          <w:bCs/>
          <w:color w:val="000000" w:themeColor="text1"/>
        </w:rPr>
        <w:t>How is the workbook assessed?</w:t>
      </w:r>
    </w:p>
    <w:p w14:paraId="14C8D3B7" w14:textId="258F66A1" w:rsidR="3EFE5FE8" w:rsidRPr="00E676F7" w:rsidRDefault="3EFE5FE8" w:rsidP="3EFE5FE8">
      <w:pPr>
        <w:jc w:val="both"/>
      </w:pPr>
      <w:r w:rsidRPr="00E676F7">
        <w:rPr>
          <w:rFonts w:eastAsia="Arial"/>
          <w:color w:val="000000" w:themeColor="text1"/>
        </w:rPr>
        <w:t xml:space="preserve"> </w:t>
      </w:r>
    </w:p>
    <w:p w14:paraId="2E1811A6" w14:textId="2AB42634" w:rsidR="3EFE5FE8" w:rsidRPr="00E676F7" w:rsidRDefault="3EFE5FE8" w:rsidP="386E26D2">
      <w:pPr>
        <w:jc w:val="both"/>
        <w:rPr>
          <w:rFonts w:eastAsia="Arial"/>
          <w:color w:val="000000" w:themeColor="text1"/>
        </w:rPr>
      </w:pPr>
      <w:r w:rsidRPr="386E26D2">
        <w:rPr>
          <w:rFonts w:eastAsia="Arial"/>
          <w:color w:val="000000" w:themeColor="text1"/>
        </w:rPr>
        <w:t xml:space="preserve">Advice and support about the completion of this workbook </w:t>
      </w:r>
      <w:r w:rsidR="7AA49E1D" w:rsidRPr="386E26D2">
        <w:rPr>
          <w:rFonts w:eastAsia="Arial"/>
          <w:color w:val="000000" w:themeColor="text1"/>
        </w:rPr>
        <w:t xml:space="preserve">is available to you. Please contact Kelly Andrews direct using </w:t>
      </w:r>
      <w:hyperlink r:id="rId14">
        <w:r w:rsidR="7AA49E1D" w:rsidRPr="386E26D2">
          <w:rPr>
            <w:rStyle w:val="Hyperlink"/>
            <w:rFonts w:eastAsia="Arial"/>
          </w:rPr>
          <w:t>k.andrews@uwtsd.ac.uk</w:t>
        </w:r>
      </w:hyperlink>
      <w:r w:rsidR="7AA49E1D" w:rsidRPr="386E26D2">
        <w:rPr>
          <w:rFonts w:eastAsia="Arial"/>
          <w:color w:val="000000" w:themeColor="text1"/>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rPr>
        <w:t xml:space="preserve"> </w:t>
      </w:r>
    </w:p>
    <w:p w14:paraId="57994230" w14:textId="4BD7D8E5" w:rsidR="3EFE5FE8" w:rsidRPr="00E676F7" w:rsidRDefault="3EFE5FE8" w:rsidP="386E26D2">
      <w:pPr>
        <w:jc w:val="both"/>
        <w:rPr>
          <w:rFonts w:eastAsia="Arial"/>
          <w:color w:val="000000" w:themeColor="text1"/>
        </w:rPr>
      </w:pPr>
      <w:r w:rsidRPr="3CAF1088">
        <w:rPr>
          <w:rFonts w:eastAsia="Arial"/>
          <w:color w:val="000000" w:themeColor="text1"/>
        </w:rPr>
        <w:lastRenderedPageBreak/>
        <w:t>Dates of workbook submission</w:t>
      </w:r>
      <w:r w:rsidR="0F0930DF" w:rsidRPr="3CAF1088">
        <w:rPr>
          <w:rFonts w:eastAsia="Arial"/>
          <w:color w:val="000000" w:themeColor="text1"/>
        </w:rPr>
        <w:t xml:space="preserve"> can be located within the General information tile within </w:t>
      </w:r>
      <w:r w:rsidR="25843AD3" w:rsidRPr="3CAF1088">
        <w:rPr>
          <w:rFonts w:eastAsia="Arial"/>
          <w:color w:val="000000" w:themeColor="text1"/>
        </w:rPr>
        <w:t>Moodle.</w:t>
      </w:r>
    </w:p>
    <w:p w14:paraId="51F5312A" w14:textId="52DAA0A4" w:rsidR="3EFE5FE8" w:rsidRPr="00E676F7" w:rsidRDefault="3EFE5FE8" w:rsidP="3EFE5FE8">
      <w:pPr>
        <w:jc w:val="both"/>
      </w:pPr>
      <w:r w:rsidRPr="00E676F7">
        <w:rPr>
          <w:rFonts w:eastAsia="Arial"/>
          <w:color w:val="000000" w:themeColor="text1"/>
        </w:rPr>
        <w:t xml:space="preserve"> </w:t>
      </w:r>
    </w:p>
    <w:p w14:paraId="72A7C5FC" w14:textId="65DE5578" w:rsidR="3EFE5FE8" w:rsidRPr="00E676F7" w:rsidRDefault="3EFE5FE8" w:rsidP="3EFE5FE8">
      <w:pPr>
        <w:jc w:val="both"/>
      </w:pPr>
      <w:r w:rsidRPr="386E26D2">
        <w:rPr>
          <w:rFonts w:eastAsia="Arial"/>
          <w:color w:val="000000" w:themeColor="text1"/>
        </w:rPr>
        <w:t>Once submitted your workbook will be assessed and marked independently.</w:t>
      </w:r>
      <w:r w:rsidR="2AC754D0" w:rsidRPr="386E26D2">
        <w:rPr>
          <w:rFonts w:eastAsia="Arial"/>
          <w:color w:val="000000" w:themeColor="text1"/>
        </w:rPr>
        <w:t xml:space="preserve"> You will </w:t>
      </w:r>
      <w:r w:rsidR="5CCD28EA" w:rsidRPr="386E26D2">
        <w:rPr>
          <w:rFonts w:eastAsia="Arial"/>
          <w:color w:val="000000" w:themeColor="text1"/>
        </w:rPr>
        <w:t>be provided</w:t>
      </w:r>
      <w:r w:rsidR="2AC754D0" w:rsidRPr="386E26D2">
        <w:rPr>
          <w:rFonts w:eastAsia="Arial"/>
          <w:color w:val="000000" w:themeColor="text1"/>
        </w:rPr>
        <w:t xml:space="preserve"> with individual </w:t>
      </w:r>
      <w:r w:rsidR="77827121" w:rsidRPr="386E26D2">
        <w:rPr>
          <w:rFonts w:eastAsia="Arial"/>
          <w:color w:val="000000" w:themeColor="text1"/>
        </w:rPr>
        <w:t xml:space="preserve">feedback once the work has been marked. </w:t>
      </w:r>
    </w:p>
    <w:p w14:paraId="5B920E59" w14:textId="7E0E3BD1" w:rsidR="3EFE5FE8" w:rsidRPr="00E676F7" w:rsidRDefault="3EFE5FE8" w:rsidP="3EFE5FE8">
      <w:pPr>
        <w:ind w:right="237"/>
        <w:jc w:val="both"/>
      </w:pPr>
    </w:p>
    <w:p w14:paraId="0FA4C42B" w14:textId="77777777" w:rsidR="008B28E7" w:rsidRPr="00E676F7" w:rsidRDefault="008B28E7" w:rsidP="00340E9A">
      <w:pPr>
        <w:ind w:right="237"/>
        <w:jc w:val="both"/>
      </w:pPr>
    </w:p>
    <w:p w14:paraId="3F0651C1" w14:textId="77777777" w:rsidR="00F546D1" w:rsidRPr="00E676F7" w:rsidRDefault="00F546D1" w:rsidP="00340E9A">
      <w:pPr>
        <w:ind w:right="237"/>
        <w:jc w:val="both"/>
        <w:rPr>
          <w:b/>
        </w:rPr>
      </w:pPr>
    </w:p>
    <w:p w14:paraId="707B326D" w14:textId="77777777" w:rsidR="00F546D1" w:rsidRPr="00E676F7" w:rsidRDefault="00F546D1" w:rsidP="00340E9A">
      <w:pPr>
        <w:ind w:right="237"/>
        <w:jc w:val="both"/>
        <w:rPr>
          <w:b/>
        </w:rPr>
      </w:pPr>
    </w:p>
    <w:p w14:paraId="414A6D38" w14:textId="77777777" w:rsidR="00D625E7" w:rsidRPr="00E676F7" w:rsidRDefault="00D625E7" w:rsidP="00340E9A">
      <w:pPr>
        <w:ind w:right="237"/>
        <w:rPr>
          <w:b/>
        </w:rPr>
      </w:pPr>
      <w:r w:rsidRPr="00E676F7">
        <w:rPr>
          <w:b/>
        </w:rPr>
        <w:br w:type="page"/>
      </w:r>
    </w:p>
    <w:p w14:paraId="5F4CCD4A" w14:textId="77777777" w:rsidR="000325D9" w:rsidRPr="00E676F7" w:rsidRDefault="000325D9" w:rsidP="00340E9A">
      <w:pPr>
        <w:ind w:right="237"/>
        <w:jc w:val="both"/>
      </w:pPr>
      <w:r w:rsidRPr="00E676F7">
        <w:rPr>
          <w:b/>
        </w:rPr>
        <w:lastRenderedPageBreak/>
        <w:t>Confidentiality</w:t>
      </w:r>
    </w:p>
    <w:p w14:paraId="206C88D2" w14:textId="77777777" w:rsidR="008B28E7" w:rsidRPr="00E676F7" w:rsidRDefault="008B28E7" w:rsidP="00340E9A">
      <w:pPr>
        <w:ind w:right="237"/>
        <w:jc w:val="both"/>
        <w:rPr>
          <w:b/>
        </w:rPr>
      </w:pPr>
    </w:p>
    <w:p w14:paraId="7EC99A35" w14:textId="7F6CA034" w:rsidR="000325D9" w:rsidRPr="00E676F7" w:rsidRDefault="000325D9" w:rsidP="00340E9A">
      <w:pPr>
        <w:ind w:right="237"/>
        <w:jc w:val="both"/>
      </w:pPr>
      <w:r w:rsidRPr="00E676F7">
        <w:t xml:space="preserve">It is important that no individual can be identified </w:t>
      </w:r>
      <w:r w:rsidR="008B28E7" w:rsidRPr="00E676F7">
        <w:t xml:space="preserve">either </w:t>
      </w:r>
      <w:r w:rsidRPr="00E676F7">
        <w:t>directly or indirectly from th</w:t>
      </w:r>
      <w:r w:rsidR="00FF7EBB" w:rsidRPr="00E676F7">
        <w:t xml:space="preserve">e information in the </w:t>
      </w:r>
      <w:r w:rsidR="00F139CF" w:rsidRPr="00E676F7">
        <w:t>workbook</w:t>
      </w:r>
      <w:r w:rsidR="00FF7EBB" w:rsidRPr="00E676F7">
        <w:t>.</w:t>
      </w:r>
      <w:r w:rsidRPr="00E676F7">
        <w:t xml:space="preserve"> However</w:t>
      </w:r>
      <w:r w:rsidR="00D625E7" w:rsidRPr="00E676F7">
        <w:t>,</w:t>
      </w:r>
      <w:r w:rsidRPr="00E676F7">
        <w:t xml:space="preserve"> you must:</w:t>
      </w:r>
    </w:p>
    <w:p w14:paraId="172DCCC1" w14:textId="77777777" w:rsidR="000325D9" w:rsidRPr="00E676F7" w:rsidRDefault="000325D9" w:rsidP="00340E9A">
      <w:pPr>
        <w:ind w:right="237"/>
        <w:jc w:val="both"/>
      </w:pPr>
    </w:p>
    <w:p w14:paraId="5314D85C" w14:textId="16976DD2" w:rsidR="000325D9" w:rsidRPr="00E676F7" w:rsidRDefault="00FF7EBB" w:rsidP="00B16D07">
      <w:pPr>
        <w:numPr>
          <w:ilvl w:val="0"/>
          <w:numId w:val="1"/>
        </w:numPr>
        <w:spacing w:line="259" w:lineRule="auto"/>
        <w:ind w:right="237"/>
        <w:jc w:val="both"/>
        <w:rPr>
          <w:color w:val="000000" w:themeColor="text1"/>
        </w:rPr>
      </w:pPr>
      <w:r w:rsidRPr="386E26D2">
        <w:t>a</w:t>
      </w:r>
      <w:r w:rsidR="000325D9" w:rsidRPr="386E26D2">
        <w:t xml:space="preserve">dhere to guidance in the </w:t>
      </w:r>
      <w:r w:rsidR="00E03B6D" w:rsidRPr="386E26D2">
        <w:t>Candidate</w:t>
      </w:r>
      <w:r w:rsidR="00390074" w:rsidRPr="386E26D2">
        <w:t xml:space="preserve"> H</w:t>
      </w:r>
      <w:r w:rsidRPr="386E26D2">
        <w:t xml:space="preserve">andbook about </w:t>
      </w:r>
      <w:r w:rsidR="03432A10" w:rsidRPr="386E26D2">
        <w:t>confidentiality.</w:t>
      </w:r>
    </w:p>
    <w:p w14:paraId="61BD2FDD" w14:textId="52110227" w:rsidR="000325D9" w:rsidRPr="00E676F7" w:rsidRDefault="00FF7EBB" w:rsidP="00B16D07">
      <w:pPr>
        <w:numPr>
          <w:ilvl w:val="0"/>
          <w:numId w:val="4"/>
        </w:numPr>
        <w:spacing w:line="259" w:lineRule="auto"/>
        <w:ind w:right="237"/>
        <w:jc w:val="both"/>
        <w:rPr>
          <w:color w:val="000000" w:themeColor="text1"/>
        </w:rPr>
      </w:pPr>
      <w:r w:rsidRPr="386E26D2">
        <w:t>n</w:t>
      </w:r>
      <w:r w:rsidR="000325D9" w:rsidRPr="386E26D2">
        <w:t xml:space="preserve">ot identify </w:t>
      </w:r>
      <w:r w:rsidR="00E03B6D" w:rsidRPr="386E26D2">
        <w:t xml:space="preserve">individuals including witnesses, </w:t>
      </w:r>
      <w:r w:rsidR="7744CB9B" w:rsidRPr="386E26D2">
        <w:t>victims,</w:t>
      </w:r>
      <w:r w:rsidR="00E03B6D" w:rsidRPr="386E26D2">
        <w:t xml:space="preserve"> or offenders </w:t>
      </w:r>
      <w:r w:rsidR="00E83F91" w:rsidRPr="386E26D2">
        <w:t xml:space="preserve">by </w:t>
      </w:r>
      <w:r w:rsidR="7ED05EA1" w:rsidRPr="386E26D2">
        <w:t>name.</w:t>
      </w:r>
    </w:p>
    <w:p w14:paraId="31E22773" w14:textId="6E7DCA56" w:rsidR="000325D9" w:rsidRPr="00E676F7" w:rsidRDefault="00FF7EBB" w:rsidP="00B16D07">
      <w:pPr>
        <w:numPr>
          <w:ilvl w:val="0"/>
          <w:numId w:val="4"/>
        </w:numPr>
        <w:spacing w:line="259" w:lineRule="auto"/>
        <w:ind w:right="237"/>
        <w:jc w:val="both"/>
        <w:rPr>
          <w:color w:val="000000" w:themeColor="text1"/>
        </w:rPr>
      </w:pPr>
      <w:r w:rsidRPr="386E26D2">
        <w:t>n</w:t>
      </w:r>
      <w:r w:rsidR="000325D9" w:rsidRPr="386E26D2">
        <w:t>ot write information that enables a</w:t>
      </w:r>
      <w:r w:rsidR="00E03B6D" w:rsidRPr="386E26D2">
        <w:t xml:space="preserve">ny individual </w:t>
      </w:r>
      <w:r w:rsidR="000325D9" w:rsidRPr="386E26D2">
        <w:t>to be identified indirectly through the description you provide. This includes references to names,</w:t>
      </w:r>
      <w:r w:rsidR="008C14C7" w:rsidRPr="386E26D2">
        <w:t xml:space="preserve"> colleagues,</w:t>
      </w:r>
      <w:r w:rsidR="000325D9" w:rsidRPr="386E26D2">
        <w:t xml:space="preserve"> places (inc</w:t>
      </w:r>
      <w:r w:rsidR="008B28E7" w:rsidRPr="386E26D2">
        <w:t>luding</w:t>
      </w:r>
      <w:r w:rsidR="000325D9" w:rsidRPr="386E26D2">
        <w:t xml:space="preserve"> hospitals, schools</w:t>
      </w:r>
      <w:r w:rsidR="008B28E7" w:rsidRPr="386E26D2">
        <w:t>,</w:t>
      </w:r>
      <w:r w:rsidR="000325D9" w:rsidRPr="386E26D2">
        <w:t xml:space="preserve"> </w:t>
      </w:r>
      <w:r w:rsidR="00390074" w:rsidRPr="386E26D2">
        <w:t>t</w:t>
      </w:r>
      <w:r w:rsidR="000325D9" w:rsidRPr="386E26D2">
        <w:t xml:space="preserve">own, </w:t>
      </w:r>
      <w:r w:rsidR="00390074" w:rsidRPr="386E26D2">
        <w:t>v</w:t>
      </w:r>
      <w:r w:rsidR="000325D9" w:rsidRPr="386E26D2">
        <w:t xml:space="preserve">illages, </w:t>
      </w:r>
      <w:r w:rsidR="00390074" w:rsidRPr="386E26D2">
        <w:t>s</w:t>
      </w:r>
      <w:r w:rsidR="000325D9" w:rsidRPr="386E26D2">
        <w:t>treets</w:t>
      </w:r>
      <w:r w:rsidR="00743E40" w:rsidRPr="386E26D2">
        <w:t>) specific incidents which were high profile and could be identified due to past publicity</w:t>
      </w:r>
      <w:r w:rsidR="0049196A" w:rsidRPr="386E26D2">
        <w:t>,</w:t>
      </w:r>
      <w:r w:rsidR="000325D9" w:rsidRPr="386E26D2">
        <w:t xml:space="preserve"> other professionals or any other personal information including medical or other </w:t>
      </w:r>
      <w:r w:rsidR="1C58DB80" w:rsidRPr="386E26D2">
        <w:t>conditions.</w:t>
      </w:r>
    </w:p>
    <w:p w14:paraId="4C102B69" w14:textId="48038418" w:rsidR="00F92E4D" w:rsidRPr="00E676F7" w:rsidRDefault="00FF7EBB" w:rsidP="00B16D07">
      <w:pPr>
        <w:numPr>
          <w:ilvl w:val="0"/>
          <w:numId w:val="3"/>
        </w:numPr>
        <w:spacing w:line="259" w:lineRule="auto"/>
        <w:ind w:right="237"/>
        <w:jc w:val="both"/>
        <w:rPr>
          <w:color w:val="000000" w:themeColor="text1"/>
        </w:rPr>
      </w:pPr>
      <w:r w:rsidRPr="45B99DA0">
        <w:t>t</w:t>
      </w:r>
      <w:r w:rsidR="00F92E4D" w:rsidRPr="45B99DA0">
        <w:t xml:space="preserve">ake personal responsibility for adhering to confidentiality rules. </w:t>
      </w:r>
    </w:p>
    <w:p w14:paraId="4A7E7B8A" w14:textId="49EF66EF" w:rsidR="00865008" w:rsidRPr="00E676F7" w:rsidRDefault="00865008" w:rsidP="00B16D07">
      <w:pPr>
        <w:numPr>
          <w:ilvl w:val="0"/>
          <w:numId w:val="3"/>
        </w:numPr>
        <w:spacing w:line="259" w:lineRule="auto"/>
        <w:ind w:right="237"/>
        <w:jc w:val="both"/>
      </w:pPr>
      <w:r w:rsidRPr="62FC6E27">
        <w:t>not include any dates of any incidents or anything that specifically identifies an actual incident.</w:t>
      </w:r>
    </w:p>
    <w:p w14:paraId="2E3CA89D" w14:textId="3066B565" w:rsidR="62FC6E27" w:rsidRDefault="62FC6E27" w:rsidP="62FC6E27">
      <w:pPr>
        <w:spacing w:line="259" w:lineRule="auto"/>
        <w:ind w:right="237"/>
        <w:jc w:val="both"/>
      </w:pPr>
    </w:p>
    <w:p w14:paraId="4C403500" w14:textId="522912A6" w:rsidR="62FC6E27" w:rsidRDefault="62FC6E27" w:rsidP="62FC6E27">
      <w:pPr>
        <w:spacing w:line="259" w:lineRule="auto"/>
        <w:ind w:right="237"/>
        <w:jc w:val="both"/>
      </w:pPr>
    </w:p>
    <w:p w14:paraId="68EFD407" w14:textId="2DE6FEA8" w:rsidR="27D0E7C0" w:rsidRDefault="27D0E7C0" w:rsidP="62FC6E27">
      <w:pPr>
        <w:jc w:val="both"/>
      </w:pPr>
      <w:r w:rsidRPr="62FC6E27">
        <w:rPr>
          <w:rFonts w:ascii="Calibri" w:eastAsia="Calibri" w:hAnsi="Calibri" w:cs="Calibri"/>
          <w:b/>
          <w:bCs/>
          <w:color w:val="000000" w:themeColor="text1"/>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rPr>
        <w:t xml:space="preserve"> </w:t>
      </w:r>
    </w:p>
    <w:p w14:paraId="066D5816" w14:textId="75A0C94C" w:rsidR="62FC6E27" w:rsidRDefault="62FC6E27" w:rsidP="62FC6E27">
      <w:pPr>
        <w:jc w:val="both"/>
        <w:rPr>
          <w:rFonts w:ascii="Calibri" w:eastAsia="Calibri" w:hAnsi="Calibri" w:cs="Calibri"/>
          <w:color w:val="000000" w:themeColor="text1"/>
        </w:rPr>
      </w:pPr>
    </w:p>
    <w:p w14:paraId="5973C6D0" w14:textId="610519D0" w:rsidR="27D0E7C0" w:rsidRDefault="27D0E7C0" w:rsidP="62FC6E27">
      <w:pPr>
        <w:jc w:val="both"/>
      </w:pPr>
      <w:r w:rsidRPr="62FC6E27">
        <w:rPr>
          <w:rFonts w:ascii="Calibri" w:eastAsia="Calibri" w:hAnsi="Calibri" w:cs="Calibri"/>
          <w:b/>
          <w:bCs/>
          <w:color w:val="000000" w:themeColor="text1"/>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rPr>
        <w:t xml:space="preserve"> </w:t>
      </w:r>
    </w:p>
    <w:p w14:paraId="0D95C94B" w14:textId="6D9A4FBD" w:rsidR="62FC6E27" w:rsidRDefault="62FC6E27" w:rsidP="62FC6E27">
      <w:pPr>
        <w:spacing w:line="259" w:lineRule="auto"/>
        <w:ind w:right="237"/>
        <w:jc w:val="both"/>
      </w:pPr>
    </w:p>
    <w:p w14:paraId="235E43AC" w14:textId="77777777" w:rsidR="00FF7EBB" w:rsidRPr="00E676F7" w:rsidRDefault="00FF7EBB" w:rsidP="00340E9A">
      <w:pPr>
        <w:ind w:right="237"/>
        <w:jc w:val="both"/>
      </w:pPr>
    </w:p>
    <w:p w14:paraId="7256DFDE" w14:textId="77777777" w:rsidR="00FF7EBB" w:rsidRPr="00E676F7" w:rsidRDefault="00FF7EBB" w:rsidP="00340E9A">
      <w:pPr>
        <w:ind w:right="237"/>
        <w:jc w:val="both"/>
        <w:rPr>
          <w:b/>
        </w:rPr>
      </w:pPr>
      <w:r w:rsidRPr="00E676F7">
        <w:rPr>
          <w:b/>
        </w:rPr>
        <w:t>NOTE</w:t>
      </w:r>
    </w:p>
    <w:p w14:paraId="09D7454F" w14:textId="77777777" w:rsidR="00FF7EBB" w:rsidRPr="00E676F7" w:rsidRDefault="00FF7EBB" w:rsidP="00340E9A">
      <w:pPr>
        <w:ind w:right="237"/>
        <w:jc w:val="both"/>
      </w:pPr>
    </w:p>
    <w:p w14:paraId="228A8C57" w14:textId="7F95D91C" w:rsidR="00FF7EBB" w:rsidRPr="00E676F7" w:rsidRDefault="002030F2" w:rsidP="00340E9A">
      <w:pPr>
        <w:ind w:right="237"/>
        <w:jc w:val="both"/>
      </w:pPr>
      <w:r w:rsidRPr="00E676F7">
        <w:t xml:space="preserve">Your </w:t>
      </w:r>
      <w:r w:rsidR="00F139CF" w:rsidRPr="00E676F7">
        <w:t>workbook</w:t>
      </w:r>
      <w:r w:rsidRPr="00E676F7">
        <w:t xml:space="preserve"> will be submitted electronically via Turnitin on Moodle. </w:t>
      </w:r>
      <w:r w:rsidR="00E03B6D" w:rsidRPr="00E676F7">
        <w:t xml:space="preserve">Guidance on this is in the Candidate Handbook. </w:t>
      </w:r>
    </w:p>
    <w:p w14:paraId="3836B8A0" w14:textId="77777777" w:rsidR="00390074" w:rsidRPr="00E676F7" w:rsidRDefault="00390074" w:rsidP="00340E9A">
      <w:pPr>
        <w:ind w:left="360" w:right="237"/>
        <w:jc w:val="both"/>
        <w:rPr>
          <w:b/>
        </w:rPr>
      </w:pPr>
    </w:p>
    <w:p w14:paraId="2655B5DB" w14:textId="2D60FA2E" w:rsidR="00390074" w:rsidRPr="00E676F7" w:rsidRDefault="00390074" w:rsidP="386E26D2">
      <w:pPr>
        <w:ind w:right="237"/>
        <w:jc w:val="both"/>
        <w:rPr>
          <w:b/>
          <w:bCs/>
          <w:i/>
          <w:iCs/>
        </w:rPr>
      </w:pPr>
      <w:r w:rsidRPr="386E26D2">
        <w:rPr>
          <w:b/>
          <w:bCs/>
          <w:i/>
          <w:iCs/>
        </w:rPr>
        <w:t xml:space="preserve">Remember that the </w:t>
      </w:r>
      <w:r w:rsidR="00E03B6D" w:rsidRPr="386E26D2">
        <w:rPr>
          <w:b/>
          <w:bCs/>
          <w:i/>
          <w:iCs/>
        </w:rPr>
        <w:t>w</w:t>
      </w:r>
      <w:r w:rsidR="00F139CF" w:rsidRPr="386E26D2">
        <w:rPr>
          <w:b/>
          <w:bCs/>
          <w:i/>
          <w:iCs/>
        </w:rPr>
        <w:t>orkbook</w:t>
      </w:r>
      <w:r w:rsidRPr="386E26D2">
        <w:rPr>
          <w:b/>
          <w:bCs/>
          <w:i/>
          <w:iCs/>
        </w:rPr>
        <w:t xml:space="preserve"> is YOUR </w:t>
      </w:r>
      <w:r w:rsidR="00920E5B" w:rsidRPr="386E26D2">
        <w:rPr>
          <w:b/>
          <w:bCs/>
          <w:i/>
          <w:iCs/>
        </w:rPr>
        <w:t>responsibility you must not rely on the assessor or anyone else to pick up any confidentiality breaches as this is your work and you must accept full responsibility for confidentiality.</w:t>
      </w:r>
      <w:r w:rsidRPr="386E26D2">
        <w:rPr>
          <w:b/>
          <w:bCs/>
          <w:i/>
          <w:iCs/>
        </w:rPr>
        <w:t xml:space="preserve"> Meeting all the confidentiality requirements is </w:t>
      </w:r>
      <w:r w:rsidR="22C5C356" w:rsidRPr="386E26D2">
        <w:rPr>
          <w:b/>
          <w:bCs/>
          <w:i/>
          <w:iCs/>
        </w:rPr>
        <w:t>particularly important</w:t>
      </w:r>
      <w:r w:rsidRPr="386E26D2">
        <w:rPr>
          <w:b/>
          <w:bCs/>
          <w:i/>
          <w:iCs/>
        </w:rPr>
        <w:t xml:space="preserve">. </w:t>
      </w:r>
    </w:p>
    <w:p w14:paraId="412E6355" w14:textId="4388B0CB" w:rsidR="00390074" w:rsidRPr="00E676F7" w:rsidRDefault="00390074" w:rsidP="44CE3355">
      <w:pPr>
        <w:ind w:left="360" w:right="237"/>
        <w:jc w:val="both"/>
        <w:rPr>
          <w:b/>
          <w:bCs/>
        </w:rPr>
      </w:pPr>
    </w:p>
    <w:p w14:paraId="64788E41" w14:textId="77777777" w:rsidR="00E03B6D" w:rsidRPr="00E676F7" w:rsidRDefault="00E03B6D" w:rsidP="00340E9A">
      <w:pPr>
        <w:ind w:right="237"/>
        <w:jc w:val="both"/>
        <w:rPr>
          <w:b/>
        </w:rPr>
      </w:pPr>
    </w:p>
    <w:p w14:paraId="2BA58660" w14:textId="6FE2A248" w:rsidR="000325D9" w:rsidRPr="00E676F7" w:rsidRDefault="000325D9" w:rsidP="00340E9A">
      <w:pPr>
        <w:ind w:right="237"/>
        <w:jc w:val="both"/>
        <w:rPr>
          <w:b/>
        </w:rPr>
      </w:pPr>
      <w:r w:rsidRPr="00E676F7">
        <w:rPr>
          <w:b/>
        </w:rPr>
        <w:t>Dyslexia and other special circumstances</w:t>
      </w:r>
    </w:p>
    <w:p w14:paraId="0820EA31" w14:textId="77777777" w:rsidR="000325D9" w:rsidRPr="00E676F7" w:rsidRDefault="000325D9" w:rsidP="00340E9A">
      <w:pPr>
        <w:ind w:right="237"/>
        <w:jc w:val="both"/>
        <w:rPr>
          <w:b/>
          <w:u w:val="single"/>
        </w:rPr>
      </w:pPr>
    </w:p>
    <w:p w14:paraId="71C5210E" w14:textId="175379B1" w:rsidR="000325D9" w:rsidRPr="00E676F7" w:rsidRDefault="000325D9" w:rsidP="00340E9A">
      <w:pPr>
        <w:ind w:right="237"/>
        <w:jc w:val="both"/>
      </w:pPr>
      <w:r w:rsidRPr="00E676F7">
        <w:t xml:space="preserve">If you have any condition that you feel may affect your ability to deal with any part of the programme, please </w:t>
      </w:r>
      <w:r w:rsidR="00F6513F" w:rsidRPr="00E676F7">
        <w:t>see the Candidate Handbook for further guidance</w:t>
      </w:r>
      <w:r w:rsidR="0057780F" w:rsidRPr="00E676F7">
        <w:t>.</w:t>
      </w:r>
      <w:r w:rsidRPr="00E676F7">
        <w:t xml:space="preserve"> The University has a </w:t>
      </w:r>
      <w:r w:rsidR="008B28E7" w:rsidRPr="00E676F7">
        <w:t>S</w:t>
      </w:r>
      <w:r w:rsidRPr="00E676F7">
        <w:t xml:space="preserve">tudent </w:t>
      </w:r>
      <w:r w:rsidR="008B28E7" w:rsidRPr="00E676F7">
        <w:t>S</w:t>
      </w:r>
      <w:r w:rsidRPr="00E676F7">
        <w:t xml:space="preserve">ervices </w:t>
      </w:r>
      <w:r w:rsidR="008B28E7" w:rsidRPr="00E676F7">
        <w:t>U</w:t>
      </w:r>
      <w:r w:rsidRPr="00E676F7">
        <w:t xml:space="preserve">nit </w:t>
      </w:r>
      <w:r w:rsidR="008B28E7" w:rsidRPr="00E676F7">
        <w:t xml:space="preserve">that </w:t>
      </w:r>
      <w:r w:rsidRPr="00E676F7">
        <w:t xml:space="preserve">may be able to help but </w:t>
      </w:r>
      <w:r w:rsidRPr="00E676F7">
        <w:rPr>
          <w:b/>
          <w:i/>
        </w:rPr>
        <w:t>it is the learner</w:t>
      </w:r>
      <w:r w:rsidR="00390074" w:rsidRPr="00E676F7">
        <w:rPr>
          <w:b/>
          <w:i/>
        </w:rPr>
        <w:t>’</w:t>
      </w:r>
      <w:r w:rsidRPr="00E676F7">
        <w:rPr>
          <w:b/>
          <w:i/>
        </w:rPr>
        <w:t>s individual responsibility to contact them</w:t>
      </w:r>
      <w:r w:rsidRPr="00E676F7">
        <w:t xml:space="preserve">. </w:t>
      </w:r>
    </w:p>
    <w:p w14:paraId="32920C53" w14:textId="77777777" w:rsidR="000325D9" w:rsidRPr="00E676F7" w:rsidRDefault="000325D9" w:rsidP="00340E9A">
      <w:pPr>
        <w:ind w:right="237"/>
        <w:jc w:val="both"/>
        <w:rPr>
          <w:b/>
        </w:rPr>
      </w:pPr>
    </w:p>
    <w:p w14:paraId="27EF97E8" w14:textId="77777777" w:rsidR="000325D9" w:rsidRPr="00E676F7" w:rsidRDefault="000325D9" w:rsidP="00340E9A">
      <w:pPr>
        <w:ind w:right="237"/>
        <w:jc w:val="both"/>
        <w:rPr>
          <w:b/>
        </w:rPr>
      </w:pPr>
    </w:p>
    <w:p w14:paraId="2DA36B43" w14:textId="77777777" w:rsidR="007C1D94" w:rsidRPr="00E676F7" w:rsidRDefault="00C7108B" w:rsidP="00340E9A">
      <w:pPr>
        <w:ind w:right="237"/>
        <w:rPr>
          <w:b/>
        </w:rPr>
      </w:pPr>
      <w:r w:rsidRPr="00E676F7">
        <w:rPr>
          <w:b/>
        </w:rPr>
        <w:br w:type="page"/>
      </w:r>
    </w:p>
    <w:p w14:paraId="7156A3DB" w14:textId="77777777" w:rsidR="004B600B" w:rsidRPr="00E676F7" w:rsidRDefault="004B600B" w:rsidP="00340E9A">
      <w:pPr>
        <w:ind w:right="237"/>
        <w:jc w:val="both"/>
        <w:rPr>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rPr>
      </w:pPr>
      <w:r w:rsidRPr="00E676F7">
        <w:rPr>
          <w:b/>
        </w:rPr>
        <w:t xml:space="preserve">Competency Based </w:t>
      </w:r>
      <w:r w:rsidR="00F139CF" w:rsidRPr="00E676F7">
        <w:rPr>
          <w:b/>
        </w:rPr>
        <w:t>Workbook</w:t>
      </w:r>
      <w:r w:rsidR="00E83F91" w:rsidRPr="00E676F7">
        <w:rPr>
          <w:b/>
        </w:rPr>
        <w:t xml:space="preserve"> </w:t>
      </w:r>
      <w:r w:rsidR="00446F80" w:rsidRPr="00E676F7">
        <w:rPr>
          <w:b/>
        </w:rPr>
        <w:t xml:space="preserve">2 </w:t>
      </w:r>
      <w:r w:rsidR="00E83F91" w:rsidRPr="00E676F7">
        <w:rPr>
          <w:b/>
        </w:rPr>
        <w:t xml:space="preserve">- </w:t>
      </w:r>
      <w:r w:rsidR="004B600B" w:rsidRPr="00E676F7">
        <w:rPr>
          <w:b/>
        </w:rPr>
        <w:t xml:space="preserve">Learner </w:t>
      </w:r>
      <w:r w:rsidR="00F139CF" w:rsidRPr="00E676F7">
        <w:rPr>
          <w:b/>
        </w:rPr>
        <w:t>Workbook</w:t>
      </w:r>
      <w:r w:rsidR="004B600B" w:rsidRPr="00E676F7">
        <w:rPr>
          <w:b/>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rPr>
      </w:pPr>
    </w:p>
    <w:p w14:paraId="0AD18104" w14:textId="77777777" w:rsidR="004B600B" w:rsidRPr="00E676F7" w:rsidRDefault="004B600B" w:rsidP="00340E9A">
      <w:pPr>
        <w:ind w:right="237"/>
        <w:jc w:val="both"/>
      </w:pPr>
    </w:p>
    <w:p w14:paraId="224F2FC7" w14:textId="77777777" w:rsidR="007C1D94" w:rsidRPr="00E676F7" w:rsidRDefault="007C1D94" w:rsidP="00340E9A">
      <w:pPr>
        <w:ind w:right="237"/>
        <w:jc w:val="both"/>
        <w:rPr>
          <w:i/>
        </w:rPr>
      </w:pPr>
      <w:r w:rsidRPr="00E676F7">
        <w:rPr>
          <w:i/>
        </w:rPr>
        <w:t xml:space="preserve">Guidance: </w:t>
      </w:r>
    </w:p>
    <w:p w14:paraId="52E8970B" w14:textId="77777777" w:rsidR="008B28E7" w:rsidRPr="00E676F7" w:rsidRDefault="008B28E7" w:rsidP="00340E9A">
      <w:pPr>
        <w:ind w:right="237"/>
        <w:jc w:val="both"/>
        <w:rPr>
          <w:i/>
        </w:rPr>
      </w:pPr>
    </w:p>
    <w:p w14:paraId="3FF77237" w14:textId="1DE7AC90" w:rsidR="007C1D94" w:rsidRPr="00E676F7" w:rsidRDefault="007C1D94" w:rsidP="00B16D07">
      <w:pPr>
        <w:numPr>
          <w:ilvl w:val="0"/>
          <w:numId w:val="2"/>
        </w:numPr>
        <w:ind w:right="237"/>
        <w:jc w:val="both"/>
        <w:rPr>
          <w:i/>
          <w:iCs/>
        </w:rPr>
      </w:pPr>
      <w:r w:rsidRPr="5CE196A1">
        <w:rPr>
          <w:i/>
          <w:iCs/>
        </w:rPr>
        <w:t xml:space="preserve">Your </w:t>
      </w:r>
      <w:r w:rsidR="00F139CF" w:rsidRPr="5CE196A1">
        <w:rPr>
          <w:i/>
          <w:iCs/>
        </w:rPr>
        <w:t>workbook</w:t>
      </w:r>
      <w:r w:rsidRPr="5CE196A1">
        <w:rPr>
          <w:i/>
          <w:iCs/>
        </w:rPr>
        <w:t xml:space="preserve"> must contain items 1</w:t>
      </w:r>
      <w:r w:rsidR="002030F2" w:rsidRPr="5CE196A1">
        <w:rPr>
          <w:i/>
          <w:iCs/>
        </w:rPr>
        <w:t xml:space="preserve"> </w:t>
      </w:r>
      <w:r w:rsidR="002657E9" w:rsidRPr="5CE196A1">
        <w:rPr>
          <w:i/>
          <w:iCs/>
        </w:rPr>
        <w:t>-</w:t>
      </w:r>
      <w:r w:rsidR="002030F2" w:rsidRPr="5CE196A1">
        <w:rPr>
          <w:i/>
          <w:iCs/>
        </w:rPr>
        <w:t xml:space="preserve"> 5</w:t>
      </w:r>
      <w:r w:rsidR="00E83F91" w:rsidRPr="5CE196A1">
        <w:rPr>
          <w:i/>
          <w:iCs/>
        </w:rPr>
        <w:t xml:space="preserve"> </w:t>
      </w:r>
      <w:r w:rsidR="009F3AEC" w:rsidRPr="5CE196A1">
        <w:rPr>
          <w:i/>
          <w:iCs/>
        </w:rPr>
        <w:t>below</w:t>
      </w:r>
      <w:r w:rsidRPr="5CE196A1">
        <w:rPr>
          <w:i/>
          <w:iCs/>
        </w:rPr>
        <w:t xml:space="preserve"> (in the o</w:t>
      </w:r>
      <w:r w:rsidR="00751263" w:rsidRPr="5CE196A1">
        <w:rPr>
          <w:i/>
          <w:iCs/>
        </w:rPr>
        <w:t>rder given</w:t>
      </w:r>
      <w:r w:rsidR="09AFC8DB" w:rsidRPr="5CE196A1">
        <w:rPr>
          <w:i/>
          <w:iCs/>
        </w:rPr>
        <w:t>).</w:t>
      </w:r>
    </w:p>
    <w:p w14:paraId="12E56D11" w14:textId="018CF407" w:rsidR="00895FCE" w:rsidRPr="00E676F7" w:rsidRDefault="007C1D94" w:rsidP="00B16D07">
      <w:pPr>
        <w:numPr>
          <w:ilvl w:val="0"/>
          <w:numId w:val="2"/>
        </w:numPr>
        <w:ind w:right="237"/>
        <w:jc w:val="both"/>
        <w:rPr>
          <w:i/>
          <w:iCs/>
        </w:rPr>
      </w:pPr>
      <w:r w:rsidRPr="5CE196A1">
        <w:rPr>
          <w:i/>
          <w:iCs/>
        </w:rPr>
        <w:t xml:space="preserve">You </w:t>
      </w:r>
      <w:r w:rsidR="00B12295" w:rsidRPr="5CE196A1">
        <w:rPr>
          <w:i/>
          <w:iCs/>
        </w:rPr>
        <w:t xml:space="preserve">should </w:t>
      </w:r>
      <w:r w:rsidRPr="5CE196A1">
        <w:rPr>
          <w:i/>
          <w:iCs/>
        </w:rPr>
        <w:t>use the pro</w:t>
      </w:r>
      <w:r w:rsidR="00390074" w:rsidRPr="5CE196A1">
        <w:rPr>
          <w:i/>
          <w:iCs/>
        </w:rPr>
        <w:t>-</w:t>
      </w:r>
      <w:r w:rsidRPr="5CE196A1">
        <w:rPr>
          <w:i/>
          <w:iCs/>
        </w:rPr>
        <w:t xml:space="preserve">forma </w:t>
      </w:r>
      <w:r w:rsidR="008B28E7" w:rsidRPr="5CE196A1">
        <w:rPr>
          <w:i/>
          <w:iCs/>
        </w:rPr>
        <w:t xml:space="preserve">to insert your text within </w:t>
      </w:r>
      <w:r w:rsidRPr="5CE196A1">
        <w:rPr>
          <w:i/>
          <w:iCs/>
        </w:rPr>
        <w:t xml:space="preserve">each </w:t>
      </w:r>
      <w:r w:rsidR="6A1461EF" w:rsidRPr="5CE196A1">
        <w:rPr>
          <w:i/>
          <w:iCs/>
        </w:rPr>
        <w:t>section.</w:t>
      </w:r>
      <w:r w:rsidRPr="5CE196A1">
        <w:rPr>
          <w:i/>
          <w:iCs/>
        </w:rPr>
        <w:t xml:space="preserve"> </w:t>
      </w:r>
    </w:p>
    <w:p w14:paraId="2569501F" w14:textId="6CF9FFEE" w:rsidR="00F6ACA0" w:rsidRDefault="00F6ACA0" w:rsidP="00B16D07">
      <w:pPr>
        <w:numPr>
          <w:ilvl w:val="0"/>
          <w:numId w:val="2"/>
        </w:numPr>
        <w:ind w:right="237"/>
        <w:jc w:val="both"/>
        <w:rPr>
          <w:i/>
          <w:iCs/>
        </w:rPr>
      </w:pPr>
      <w:r w:rsidRPr="5CE196A1">
        <w:rPr>
          <w:i/>
          <w:iCs/>
        </w:rPr>
        <w:t>Note that this module has 2 components with each weighted at 50% of the overall 100% marks total</w:t>
      </w:r>
      <w:r w:rsidR="7D00799C" w:rsidRPr="5CE196A1">
        <w:rPr>
          <w:i/>
          <w:iCs/>
        </w:rPr>
        <w:t>.</w:t>
      </w:r>
    </w:p>
    <w:p w14:paraId="593D7881" w14:textId="4C46D9B0" w:rsidR="7D00799C" w:rsidRDefault="7D00799C" w:rsidP="00B16D07">
      <w:pPr>
        <w:numPr>
          <w:ilvl w:val="0"/>
          <w:numId w:val="2"/>
        </w:numPr>
        <w:ind w:right="237"/>
        <w:jc w:val="both"/>
        <w:rPr>
          <w:i/>
          <w:iCs/>
        </w:rPr>
      </w:pPr>
      <w:r w:rsidRPr="5CE196A1">
        <w:rPr>
          <w:i/>
          <w:iCs/>
        </w:rPr>
        <w:t xml:space="preserve">You should upload your completed document as a saved pdf file of this workbook; if this is not possible then a </w:t>
      </w:r>
      <w:r w:rsidR="729D9DA1" w:rsidRPr="5CE196A1">
        <w:rPr>
          <w:i/>
          <w:iCs/>
        </w:rPr>
        <w:t>Word Doc</w:t>
      </w:r>
      <w:r w:rsidR="52C5F206" w:rsidRPr="5CE196A1">
        <w:rPr>
          <w:i/>
          <w:iCs/>
        </w:rPr>
        <w:t xml:space="preserve"> </w:t>
      </w:r>
      <w:r w:rsidRPr="5CE196A1">
        <w:rPr>
          <w:i/>
          <w:iCs/>
        </w:rPr>
        <w:t>file is acce</w:t>
      </w:r>
      <w:r w:rsidR="58D83881" w:rsidRPr="5CE196A1">
        <w:rPr>
          <w:i/>
          <w:iCs/>
        </w:rPr>
        <w:t>ptable. Do not send a scanned file from a photocopier</w:t>
      </w:r>
      <w:r w:rsidR="00582870" w:rsidRPr="5CE196A1">
        <w:rPr>
          <w:i/>
          <w:iCs/>
        </w:rPr>
        <w:t>, an apple.dot file, or a Microsoft publisher file as Turnitin will not be able to assess them, despit</w:t>
      </w:r>
      <w:r w:rsidR="0E9DF198" w:rsidRPr="5CE196A1">
        <w:rPr>
          <w:i/>
          <w:iCs/>
        </w:rPr>
        <w:t>e you being able to upload them.</w:t>
      </w:r>
    </w:p>
    <w:p w14:paraId="0695EACA" w14:textId="77777777" w:rsidR="00B12295" w:rsidRPr="00E676F7" w:rsidRDefault="00B12295" w:rsidP="5CE196A1">
      <w:pPr>
        <w:ind w:right="237"/>
        <w:jc w:val="both"/>
        <w:rPr>
          <w:b/>
          <w:bCs/>
        </w:rPr>
      </w:pPr>
    </w:p>
    <w:p w14:paraId="405CF10B" w14:textId="77777777" w:rsidR="008B28E7" w:rsidRPr="00E676F7" w:rsidRDefault="008B28E7" w:rsidP="5CE196A1">
      <w:pPr>
        <w:ind w:right="237"/>
        <w:jc w:val="both"/>
        <w:rPr>
          <w:b/>
          <w:bCs/>
        </w:rPr>
      </w:pPr>
      <w:r w:rsidRPr="5CE196A1">
        <w:rPr>
          <w:b/>
          <w:bCs/>
        </w:rPr>
        <w:t xml:space="preserve">Contents </w:t>
      </w:r>
    </w:p>
    <w:p w14:paraId="48980C89" w14:textId="77777777" w:rsidR="00B12295" w:rsidRPr="00E676F7" w:rsidRDefault="00B12295" w:rsidP="5CE196A1">
      <w:pPr>
        <w:ind w:right="237"/>
        <w:jc w:val="both"/>
        <w:rPr>
          <w:b/>
          <w:bCs/>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rPr>
            </w:pPr>
            <w:r w:rsidRPr="5CE196A1">
              <w:rPr>
                <w:b/>
                <w:bCs/>
              </w:rPr>
              <w:t>Component 1</w:t>
            </w:r>
          </w:p>
          <w:p w14:paraId="0C25BFEF" w14:textId="47C1B87F" w:rsidR="00446F80" w:rsidRPr="00E676F7" w:rsidRDefault="65F2CC63" w:rsidP="45B99DA0">
            <w:pPr>
              <w:ind w:right="237"/>
              <w:jc w:val="both"/>
              <w:rPr>
                <w:b/>
                <w:bCs/>
              </w:rPr>
            </w:pPr>
            <w:r w:rsidRPr="5CE196A1">
              <w:rPr>
                <w:b/>
                <w:bCs/>
              </w:rPr>
              <w:t>5</w:t>
            </w:r>
            <w:r w:rsidR="2DCB5FBB" w:rsidRPr="5CE196A1">
              <w:rPr>
                <w:b/>
                <w:bCs/>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rPr>
            </w:pPr>
            <w:r w:rsidRPr="5CE196A1">
              <w:rPr>
                <w:b/>
                <w:bCs/>
              </w:rPr>
              <w:t xml:space="preserve">Area of Professional Practice </w:t>
            </w:r>
          </w:p>
          <w:p w14:paraId="1A5D6AF9" w14:textId="77777777" w:rsidR="00446F80" w:rsidRPr="00E676F7" w:rsidRDefault="00446F80" w:rsidP="5CE196A1">
            <w:pPr>
              <w:ind w:right="237"/>
              <w:jc w:val="both"/>
              <w:rPr>
                <w:b/>
                <w:bCs/>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rPr>
            </w:pPr>
            <w:r w:rsidRPr="5CE196A1">
              <w:rPr>
                <w:b/>
                <w:bCs/>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pPr>
            <w:r w:rsidRPr="5CE196A1">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rPr>
            </w:pPr>
            <w:r w:rsidRPr="5CE196A1">
              <w:rPr>
                <w:rFonts w:eastAsia="Arial"/>
                <w:b/>
                <w:bCs/>
                <w:color w:val="000000" w:themeColor="text1"/>
              </w:rPr>
              <w:t>Vulnerability and Risk</w:t>
            </w:r>
          </w:p>
          <w:p w14:paraId="5EAEBCCC" w14:textId="1030F0F5" w:rsidR="0382E714" w:rsidRDefault="0382E714" w:rsidP="69F7424F">
            <w:pPr>
              <w:ind w:right="237"/>
              <w:jc w:val="both"/>
              <w:rPr>
                <w:b/>
                <w:bCs/>
                <w:color w:val="000000" w:themeColor="text1"/>
              </w:rPr>
            </w:pPr>
            <w:r w:rsidRPr="5CE196A1">
              <w:rPr>
                <w:rFonts w:ascii="Arial" w:eastAsia="Arial" w:hAnsi="Arial" w:cs="Arial"/>
                <w:b/>
                <w:bCs/>
                <w:color w:val="000000" w:themeColor="text1"/>
              </w:rPr>
              <w:t>Evidence-based policing</w:t>
            </w:r>
          </w:p>
          <w:p w14:paraId="2C3E7745" w14:textId="2395FEB5" w:rsidR="00446F80" w:rsidRPr="00E676F7" w:rsidRDefault="00446F80" w:rsidP="5CE196A1">
            <w:pPr>
              <w:ind w:right="237"/>
              <w:jc w:val="both"/>
              <w:rPr>
                <w:b/>
                <w:bCs/>
              </w:rPr>
            </w:pPr>
          </w:p>
        </w:tc>
        <w:tc>
          <w:tcPr>
            <w:tcW w:w="2237" w:type="dxa"/>
          </w:tcPr>
          <w:p w14:paraId="151A1BD9" w14:textId="46B0B07D" w:rsidR="00446F80" w:rsidRPr="00E676F7" w:rsidRDefault="45E736F2" w:rsidP="32AC66E1">
            <w:pPr>
              <w:ind w:right="237"/>
              <w:jc w:val="both"/>
              <w:rPr>
                <w:b/>
                <w:bCs/>
              </w:rPr>
            </w:pPr>
            <w:r w:rsidRPr="5CE196A1">
              <w:rPr>
                <w:b/>
                <w:bCs/>
              </w:rPr>
              <w:t>2</w:t>
            </w:r>
            <w:r w:rsidR="35574223" w:rsidRPr="5CE196A1">
              <w:rPr>
                <w:b/>
                <w:bCs/>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rPr>
            </w:pPr>
            <w:r w:rsidRPr="5CE196A1">
              <w:rPr>
                <w:rFonts w:eastAsia="Arial"/>
                <w:b/>
                <w:bCs/>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rPr>
            </w:pPr>
            <w:r w:rsidRPr="5CE196A1">
              <w:rPr>
                <w:rFonts w:ascii="Arial" w:eastAsia="Arial" w:hAnsi="Arial" w:cs="Arial"/>
                <w:b/>
                <w:bCs/>
                <w:color w:val="000000" w:themeColor="text1"/>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rPr>
            </w:pPr>
          </w:p>
        </w:tc>
        <w:tc>
          <w:tcPr>
            <w:tcW w:w="2237" w:type="dxa"/>
            <w:shd w:val="clear" w:color="auto" w:fill="D9D9D9" w:themeFill="background1" w:themeFillShade="D9"/>
          </w:tcPr>
          <w:p w14:paraId="0426275A" w14:textId="24048E9F" w:rsidR="45B99DA0" w:rsidRDefault="7080F1AC" w:rsidP="45B99DA0">
            <w:pPr>
              <w:jc w:val="both"/>
              <w:rPr>
                <w:b/>
                <w:bCs/>
              </w:rPr>
            </w:pPr>
            <w:r w:rsidRPr="5CE196A1">
              <w:rPr>
                <w:b/>
                <w:bCs/>
              </w:rPr>
              <w:t>All options are 2</w:t>
            </w:r>
            <w:r w:rsidR="5D9BE290" w:rsidRPr="5CE196A1">
              <w:rPr>
                <w:b/>
                <w:bCs/>
              </w:rPr>
              <w:t>000</w:t>
            </w:r>
            <w:r w:rsidRPr="5CE196A1">
              <w:rPr>
                <w:b/>
                <w:bCs/>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pPr>
            <w:r w:rsidRPr="5CE196A1">
              <w:t>Task 2</w:t>
            </w:r>
          </w:p>
          <w:p w14:paraId="4D478F6F" w14:textId="5E8EC716" w:rsidR="00446F80" w:rsidRPr="00E676F7" w:rsidRDefault="00446F80" w:rsidP="7E289108">
            <w:pPr>
              <w:ind w:right="237"/>
              <w:jc w:val="both"/>
            </w:pPr>
          </w:p>
          <w:p w14:paraId="749624DA" w14:textId="45FD174B" w:rsidR="00446F80" w:rsidRPr="00E676F7" w:rsidRDefault="44488298" w:rsidP="5CE196A1">
            <w:pPr>
              <w:ind w:right="237"/>
              <w:jc w:val="both"/>
              <w:rPr>
                <w:rFonts w:eastAsia="Arial"/>
                <w:color w:val="000000" w:themeColor="text1"/>
              </w:rPr>
            </w:pPr>
            <w:r w:rsidRPr="5CE196A1">
              <w:rPr>
                <w:rFonts w:ascii="Arial" w:eastAsia="Arial" w:hAnsi="Arial" w:cs="Arial"/>
                <w:color w:val="000000" w:themeColor="text1"/>
              </w:rPr>
              <w:t xml:space="preserve">Option 1 </w:t>
            </w:r>
          </w:p>
          <w:p w14:paraId="061A3CE4" w14:textId="224FF25F" w:rsidR="00446F80" w:rsidRPr="00E676F7" w:rsidRDefault="00446F80" w:rsidP="5CE196A1">
            <w:pPr>
              <w:ind w:right="237"/>
              <w:jc w:val="both"/>
              <w:rPr>
                <w:rFonts w:eastAsia="Arial"/>
                <w:color w:val="000000" w:themeColor="text1"/>
              </w:rPr>
            </w:pPr>
          </w:p>
          <w:p w14:paraId="2AB894B4" w14:textId="6E7CD8C3" w:rsidR="00446F80" w:rsidRPr="00E676F7" w:rsidRDefault="44488298" w:rsidP="5CE196A1">
            <w:pPr>
              <w:ind w:right="237"/>
              <w:jc w:val="both"/>
              <w:rPr>
                <w:rFonts w:eastAsia="Arial"/>
                <w:color w:val="000000" w:themeColor="text1"/>
              </w:rPr>
            </w:pPr>
            <w:r w:rsidRPr="5CE196A1">
              <w:rPr>
                <w:rFonts w:ascii="Arial" w:eastAsia="Arial" w:hAnsi="Arial" w:cs="Arial"/>
                <w:color w:val="000000" w:themeColor="text1"/>
              </w:rPr>
              <w:t>Option 2</w:t>
            </w:r>
          </w:p>
          <w:p w14:paraId="5682C0E6" w14:textId="3DA1C89B" w:rsidR="00446F80" w:rsidRPr="00E676F7" w:rsidRDefault="00446F80" w:rsidP="5CE196A1">
            <w:pPr>
              <w:ind w:right="237"/>
              <w:jc w:val="both"/>
              <w:rPr>
                <w:rFonts w:eastAsia="Arial"/>
                <w:color w:val="000000" w:themeColor="text1"/>
              </w:rPr>
            </w:pPr>
          </w:p>
          <w:p w14:paraId="72CAD00D" w14:textId="6B324F37" w:rsidR="00446F80" w:rsidRPr="00E676F7" w:rsidRDefault="44488298" w:rsidP="5CE196A1">
            <w:pPr>
              <w:ind w:right="237"/>
              <w:jc w:val="both"/>
              <w:rPr>
                <w:rFonts w:eastAsia="Arial"/>
                <w:color w:val="000000" w:themeColor="text1"/>
              </w:rPr>
            </w:pPr>
            <w:r w:rsidRPr="5CE196A1">
              <w:rPr>
                <w:rFonts w:ascii="Arial" w:eastAsia="Arial" w:hAnsi="Arial" w:cs="Arial"/>
                <w:color w:val="000000" w:themeColor="text1"/>
              </w:rPr>
              <w:t>Option 3</w:t>
            </w:r>
          </w:p>
          <w:p w14:paraId="3078984E" w14:textId="0E748724" w:rsidR="00446F80" w:rsidRPr="00E676F7" w:rsidRDefault="00446F80" w:rsidP="5CE196A1">
            <w:pPr>
              <w:ind w:right="237"/>
              <w:jc w:val="both"/>
              <w:rPr>
                <w:rFonts w:eastAsia="Arial"/>
                <w:color w:val="000000" w:themeColor="text1"/>
              </w:rPr>
            </w:pPr>
          </w:p>
          <w:p w14:paraId="2716C891" w14:textId="42D702B0" w:rsidR="00446F80" w:rsidRPr="00E676F7" w:rsidRDefault="44488298" w:rsidP="5CE196A1">
            <w:pPr>
              <w:ind w:right="237"/>
              <w:jc w:val="both"/>
              <w:rPr>
                <w:rFonts w:eastAsia="Arial"/>
                <w:color w:val="000000" w:themeColor="text1"/>
              </w:rPr>
            </w:pPr>
            <w:r w:rsidRPr="5CE196A1">
              <w:rPr>
                <w:rFonts w:ascii="Arial" w:eastAsia="Arial" w:hAnsi="Arial" w:cs="Arial"/>
                <w:color w:val="000000" w:themeColor="text1"/>
              </w:rPr>
              <w:t>Option 4</w:t>
            </w:r>
          </w:p>
          <w:p w14:paraId="615648B1" w14:textId="65236422" w:rsidR="00446F80" w:rsidRPr="00E676F7" w:rsidRDefault="00446F80" w:rsidP="5CE196A1">
            <w:pPr>
              <w:ind w:right="237"/>
              <w:jc w:val="both"/>
              <w:rPr>
                <w:rFonts w:eastAsia="Arial"/>
                <w:color w:val="000000" w:themeColor="text1"/>
              </w:rPr>
            </w:pPr>
          </w:p>
          <w:p w14:paraId="2C190BB3" w14:textId="2F7870FD" w:rsidR="00446F80" w:rsidRPr="00E676F7" w:rsidRDefault="44488298" w:rsidP="5CE196A1">
            <w:pPr>
              <w:ind w:right="237"/>
              <w:jc w:val="both"/>
              <w:rPr>
                <w:rFonts w:eastAsia="Arial"/>
                <w:color w:val="000000" w:themeColor="text1"/>
              </w:rPr>
            </w:pPr>
            <w:r w:rsidRPr="5CE196A1">
              <w:rPr>
                <w:rFonts w:ascii="Arial" w:eastAsia="Arial" w:hAnsi="Arial" w:cs="Arial"/>
                <w:color w:val="000000" w:themeColor="text1"/>
              </w:rPr>
              <w:t>Option 5</w:t>
            </w:r>
          </w:p>
          <w:p w14:paraId="4D1603A0" w14:textId="37A60C52" w:rsidR="00446F80" w:rsidRPr="00E676F7" w:rsidRDefault="00446F80" w:rsidP="0FF883D4">
            <w:pPr>
              <w:ind w:right="237"/>
              <w:jc w:val="both"/>
              <w:rPr>
                <w:color w:val="000000" w:themeColor="text1"/>
              </w:rPr>
            </w:pPr>
          </w:p>
          <w:p w14:paraId="02F0EB04" w14:textId="5671B960" w:rsidR="00446F80" w:rsidRPr="00E676F7" w:rsidRDefault="00446F80" w:rsidP="7E289108">
            <w:pPr>
              <w:ind w:right="237"/>
              <w:jc w:val="both"/>
            </w:pPr>
          </w:p>
        </w:tc>
        <w:tc>
          <w:tcPr>
            <w:tcW w:w="4515" w:type="dxa"/>
            <w:shd w:val="clear" w:color="auto" w:fill="auto"/>
          </w:tcPr>
          <w:p w14:paraId="311CE297" w14:textId="69149DFD" w:rsidR="00446F80" w:rsidRPr="0071499F" w:rsidRDefault="00446F80" w:rsidP="7E289108">
            <w:pPr>
              <w:ind w:right="237"/>
              <w:jc w:val="both"/>
              <w:rPr>
                <w:b/>
                <w:bCs/>
              </w:rPr>
            </w:pPr>
          </w:p>
          <w:p w14:paraId="3BE390E1" w14:textId="47F696FE" w:rsidR="00446F80" w:rsidRPr="0071499F" w:rsidRDefault="00446F80" w:rsidP="5CE196A1">
            <w:pPr>
              <w:ind w:right="237"/>
              <w:jc w:val="both"/>
              <w:rPr>
                <w:rFonts w:eastAsia="Arial"/>
                <w:b/>
                <w:bCs/>
                <w:color w:val="000000" w:themeColor="text1"/>
              </w:rPr>
            </w:pPr>
          </w:p>
          <w:p w14:paraId="15B8E14A" w14:textId="4B3B78E1" w:rsidR="00446F80" w:rsidRPr="0071499F" w:rsidRDefault="44488298" w:rsidP="5CE196A1">
            <w:pPr>
              <w:ind w:right="237"/>
              <w:jc w:val="both"/>
              <w:rPr>
                <w:rFonts w:eastAsia="Arial"/>
                <w:color w:val="000000" w:themeColor="text1"/>
              </w:rPr>
            </w:pPr>
            <w:r w:rsidRPr="5CE196A1">
              <w:rPr>
                <w:rFonts w:ascii="Arial" w:eastAsia="Arial" w:hAnsi="Arial" w:cs="Arial"/>
                <w:b/>
                <w:bCs/>
                <w:color w:val="000000" w:themeColor="text1"/>
              </w:rPr>
              <w:t>Response Policing</w:t>
            </w:r>
          </w:p>
          <w:p w14:paraId="33D72E10" w14:textId="79AD6073" w:rsidR="00446F80" w:rsidRPr="0071499F" w:rsidRDefault="00446F80" w:rsidP="5CE196A1">
            <w:pPr>
              <w:ind w:right="237"/>
              <w:jc w:val="both"/>
              <w:rPr>
                <w:rFonts w:eastAsia="Arial"/>
                <w:color w:val="000000" w:themeColor="text1"/>
              </w:rPr>
            </w:pPr>
          </w:p>
          <w:p w14:paraId="164B0702" w14:textId="57734B87" w:rsidR="00446F80" w:rsidRPr="0071499F" w:rsidRDefault="44488298" w:rsidP="5CE196A1">
            <w:pPr>
              <w:ind w:right="237"/>
              <w:jc w:val="both"/>
              <w:rPr>
                <w:rFonts w:eastAsia="Arial"/>
                <w:color w:val="000000" w:themeColor="text1"/>
              </w:rPr>
            </w:pPr>
            <w:r w:rsidRPr="5CE196A1">
              <w:rPr>
                <w:rFonts w:ascii="Arial" w:eastAsia="Arial" w:hAnsi="Arial" w:cs="Arial"/>
                <w:b/>
                <w:bCs/>
                <w:color w:val="000000" w:themeColor="text1"/>
              </w:rPr>
              <w:t>Policing Communities</w:t>
            </w:r>
          </w:p>
          <w:p w14:paraId="34186546" w14:textId="3F796D84" w:rsidR="00446F80" w:rsidRPr="0071499F" w:rsidRDefault="00446F80" w:rsidP="5CE196A1">
            <w:pPr>
              <w:ind w:right="237"/>
              <w:jc w:val="both"/>
              <w:rPr>
                <w:rFonts w:eastAsia="Arial"/>
                <w:color w:val="000000" w:themeColor="text1"/>
              </w:rPr>
            </w:pPr>
          </w:p>
          <w:p w14:paraId="3D99E3F1" w14:textId="4CF72C66" w:rsidR="00446F80" w:rsidRPr="0071499F" w:rsidRDefault="44488298" w:rsidP="5CE196A1">
            <w:pPr>
              <w:ind w:right="237"/>
              <w:jc w:val="both"/>
              <w:rPr>
                <w:rFonts w:eastAsia="Arial"/>
                <w:color w:val="000000" w:themeColor="text1"/>
              </w:rPr>
            </w:pPr>
            <w:r w:rsidRPr="5CE196A1">
              <w:rPr>
                <w:rFonts w:ascii="Arial" w:eastAsia="Arial" w:hAnsi="Arial" w:cs="Arial"/>
                <w:b/>
                <w:bCs/>
                <w:color w:val="000000" w:themeColor="text1"/>
              </w:rPr>
              <w:t xml:space="preserve">Road Policing </w:t>
            </w:r>
          </w:p>
          <w:p w14:paraId="352F653A" w14:textId="4A242E18" w:rsidR="00446F80" w:rsidRPr="0071499F" w:rsidRDefault="00446F80" w:rsidP="5CE196A1">
            <w:pPr>
              <w:ind w:right="237"/>
              <w:jc w:val="both"/>
              <w:rPr>
                <w:rFonts w:eastAsia="Arial"/>
                <w:color w:val="000000" w:themeColor="text1"/>
              </w:rPr>
            </w:pPr>
          </w:p>
          <w:p w14:paraId="73D08D38" w14:textId="52054D61" w:rsidR="00446F80" w:rsidRPr="0071499F" w:rsidRDefault="44488298" w:rsidP="5CE196A1">
            <w:pPr>
              <w:ind w:right="237"/>
              <w:jc w:val="both"/>
              <w:rPr>
                <w:rFonts w:eastAsia="Arial"/>
                <w:color w:val="000000" w:themeColor="text1"/>
              </w:rPr>
            </w:pPr>
            <w:r w:rsidRPr="5CE196A1">
              <w:rPr>
                <w:rFonts w:ascii="Arial" w:eastAsia="Arial" w:hAnsi="Arial" w:cs="Arial"/>
                <w:b/>
                <w:bCs/>
                <w:color w:val="000000" w:themeColor="text1"/>
              </w:rPr>
              <w:t>Information and Intelligence</w:t>
            </w:r>
          </w:p>
          <w:p w14:paraId="26A22C68" w14:textId="155C3743" w:rsidR="00446F80" w:rsidRPr="0071499F" w:rsidRDefault="00446F80" w:rsidP="5CE196A1">
            <w:pPr>
              <w:ind w:right="237"/>
              <w:jc w:val="both"/>
              <w:rPr>
                <w:rFonts w:eastAsia="Arial"/>
                <w:color w:val="000000" w:themeColor="text1"/>
              </w:rPr>
            </w:pPr>
          </w:p>
          <w:p w14:paraId="2759847D" w14:textId="7E00D2B8" w:rsidR="00446F80" w:rsidRPr="0071499F" w:rsidRDefault="44488298" w:rsidP="5CE196A1">
            <w:pPr>
              <w:ind w:right="237"/>
              <w:jc w:val="both"/>
              <w:rPr>
                <w:rFonts w:eastAsia="Arial"/>
                <w:color w:val="000000" w:themeColor="text1"/>
              </w:rPr>
            </w:pPr>
            <w:r w:rsidRPr="5CE196A1">
              <w:rPr>
                <w:rFonts w:ascii="Arial" w:eastAsia="Arial" w:hAnsi="Arial" w:cs="Arial"/>
                <w:b/>
                <w:bCs/>
                <w:color w:val="000000" w:themeColor="text1"/>
              </w:rPr>
              <w:t>Conducting Investigations</w:t>
            </w:r>
          </w:p>
          <w:p w14:paraId="6F74A7BB" w14:textId="2F3327A1" w:rsidR="00446F80" w:rsidRPr="0071499F" w:rsidRDefault="00446F80" w:rsidP="0FF883D4">
            <w:pPr>
              <w:ind w:right="237"/>
              <w:jc w:val="both"/>
              <w:rPr>
                <w:b/>
                <w:bCs/>
                <w:color w:val="000000" w:themeColor="text1"/>
              </w:rPr>
            </w:pPr>
          </w:p>
        </w:tc>
        <w:tc>
          <w:tcPr>
            <w:tcW w:w="2237" w:type="dxa"/>
          </w:tcPr>
          <w:p w14:paraId="55E7ECBE" w14:textId="4213F269" w:rsidR="00446F80" w:rsidRPr="00E676F7" w:rsidRDefault="54F4C933" w:rsidP="7E289108">
            <w:pPr>
              <w:spacing w:line="259" w:lineRule="auto"/>
              <w:ind w:right="237"/>
              <w:jc w:val="both"/>
              <w:rPr>
                <w:b/>
                <w:bCs/>
              </w:rPr>
            </w:pPr>
            <w:r w:rsidRPr="5CE196A1">
              <w:rPr>
                <w:b/>
                <w:bCs/>
              </w:rPr>
              <w:t>2</w:t>
            </w:r>
            <w:r w:rsidR="7A452250" w:rsidRPr="5CE196A1">
              <w:rPr>
                <w:b/>
                <w:bCs/>
              </w:rPr>
              <w:t>000</w:t>
            </w:r>
          </w:p>
          <w:p w14:paraId="4035728A" w14:textId="1158F82F" w:rsidR="00446F80" w:rsidRPr="00E676F7" w:rsidRDefault="00446F80" w:rsidP="7E289108">
            <w:pPr>
              <w:spacing w:line="259" w:lineRule="auto"/>
              <w:ind w:right="237"/>
              <w:jc w:val="both"/>
              <w:rPr>
                <w:b/>
                <w:bCs/>
              </w:rPr>
            </w:pPr>
          </w:p>
          <w:p w14:paraId="286F0535" w14:textId="20CE2F39" w:rsidR="00446F80" w:rsidRPr="00E676F7" w:rsidRDefault="00446F80" w:rsidP="7E289108">
            <w:pPr>
              <w:spacing w:line="259" w:lineRule="auto"/>
              <w:ind w:right="237"/>
              <w:jc w:val="both"/>
              <w:rPr>
                <w:b/>
                <w:bCs/>
              </w:rPr>
            </w:pPr>
          </w:p>
          <w:p w14:paraId="2C10A136" w14:textId="1A6193B4" w:rsidR="00446F80" w:rsidRPr="00E676F7" w:rsidRDefault="00446F80" w:rsidP="7E289108">
            <w:pPr>
              <w:spacing w:line="259" w:lineRule="auto"/>
              <w:ind w:right="237"/>
              <w:jc w:val="both"/>
              <w:rPr>
                <w:b/>
                <w:bCs/>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pPr>
          </w:p>
        </w:tc>
        <w:tc>
          <w:tcPr>
            <w:tcW w:w="4515" w:type="dxa"/>
            <w:shd w:val="clear" w:color="auto" w:fill="auto"/>
          </w:tcPr>
          <w:p w14:paraId="6188477D" w14:textId="77777777" w:rsidR="00446F80" w:rsidRPr="00E676F7" w:rsidRDefault="00446F80" w:rsidP="5CE196A1">
            <w:pPr>
              <w:spacing w:line="360" w:lineRule="auto"/>
              <w:ind w:right="237"/>
              <w:jc w:val="both"/>
              <w:rPr>
                <w:b/>
                <w:bCs/>
              </w:rPr>
            </w:pPr>
            <w:r w:rsidRPr="5CE196A1">
              <w:rPr>
                <w:b/>
                <w:bCs/>
              </w:rPr>
              <w:t>Bibliography</w:t>
            </w:r>
          </w:p>
        </w:tc>
        <w:tc>
          <w:tcPr>
            <w:tcW w:w="2237" w:type="dxa"/>
          </w:tcPr>
          <w:p w14:paraId="1A03C628" w14:textId="77777777" w:rsidR="00446F80" w:rsidRPr="00E676F7" w:rsidRDefault="00446F80" w:rsidP="5CE196A1">
            <w:pPr>
              <w:spacing w:line="360" w:lineRule="auto"/>
              <w:ind w:right="237"/>
              <w:jc w:val="both"/>
              <w:rPr>
                <w:b/>
                <w:bCs/>
              </w:rPr>
            </w:pPr>
          </w:p>
        </w:tc>
      </w:tr>
    </w:tbl>
    <w:p w14:paraId="73D1DF2B" w14:textId="77777777" w:rsidR="00025650" w:rsidRPr="00E676F7" w:rsidRDefault="00025650" w:rsidP="00340E9A">
      <w:pPr>
        <w:ind w:right="237"/>
        <w:jc w:val="both"/>
      </w:pPr>
    </w:p>
    <w:p w14:paraId="556B64F0" w14:textId="77777777" w:rsidR="00025650" w:rsidRPr="00E676F7" w:rsidRDefault="00025650" w:rsidP="00340E9A">
      <w:pPr>
        <w:ind w:right="237"/>
        <w:jc w:val="both"/>
      </w:pPr>
    </w:p>
    <w:p w14:paraId="140C2FD2" w14:textId="77777777" w:rsidR="00025650" w:rsidRPr="00E676F7" w:rsidRDefault="00025650" w:rsidP="5CE196A1">
      <w:pPr>
        <w:ind w:right="237"/>
        <w:jc w:val="both"/>
        <w:rPr>
          <w:b/>
          <w:bCs/>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pPr>
    </w:p>
    <w:p w14:paraId="0C948C45" w14:textId="76A19BA3" w:rsidR="5B843AF0" w:rsidRPr="00E676F7" w:rsidRDefault="5B843AF0" w:rsidP="5B843AF0">
      <w:pPr>
        <w:ind w:right="237"/>
        <w:jc w:val="center"/>
        <w:rPr>
          <w:rFonts w:eastAsia="Arial"/>
          <w:color w:val="000000" w:themeColor="text1"/>
        </w:rPr>
      </w:pPr>
      <w:r w:rsidRPr="5CE196A1">
        <w:rPr>
          <w:rFonts w:eastAsia="Arial"/>
          <w:b/>
          <w:bCs/>
          <w:color w:val="000000" w:themeColor="text1"/>
        </w:rPr>
        <w:t>Task 1</w:t>
      </w:r>
    </w:p>
    <w:p w14:paraId="4DECDFF2" w14:textId="0902D7EE" w:rsidR="5B843AF0" w:rsidRPr="00E676F7" w:rsidRDefault="5B843AF0" w:rsidP="5B843AF0">
      <w:pPr>
        <w:ind w:right="237"/>
        <w:jc w:val="both"/>
        <w:rPr>
          <w:rFonts w:eastAsia="Arial"/>
          <w:color w:val="000000" w:themeColor="text1"/>
        </w:rPr>
      </w:pPr>
    </w:p>
    <w:p w14:paraId="6F5DD33D" w14:textId="3C06D403" w:rsidR="5B843AF0" w:rsidRPr="00E676F7" w:rsidRDefault="5B843AF0" w:rsidP="5B843AF0">
      <w:pPr>
        <w:ind w:right="237"/>
        <w:jc w:val="both"/>
        <w:rPr>
          <w:rFonts w:eastAsia="Arial"/>
          <w:color w:val="000000" w:themeColor="text1"/>
        </w:rPr>
      </w:pPr>
      <w:r w:rsidRPr="5CE196A1">
        <w:rPr>
          <w:rFonts w:eastAsia="Arial"/>
          <w:b/>
          <w:bCs/>
          <w:color w:val="000000" w:themeColor="text1"/>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rPr>
      </w:pPr>
      <w:r w:rsidRPr="5CE196A1">
        <w:rPr>
          <w:rFonts w:eastAsia="Arial"/>
          <w:b/>
          <w:bCs/>
          <w:color w:val="000000" w:themeColor="text1"/>
        </w:rPr>
        <w:t>Vulnerability and Risk</w:t>
      </w:r>
      <w:r w:rsidR="79C1F564" w:rsidRPr="5CE196A1">
        <w:rPr>
          <w:rFonts w:eastAsia="Arial"/>
          <w:b/>
          <w:bCs/>
          <w:color w:val="000000" w:themeColor="text1"/>
        </w:rPr>
        <w:t>, Evidence-based policing</w:t>
      </w:r>
    </w:p>
    <w:p w14:paraId="1ADDC20A" w14:textId="0E008E97" w:rsidR="5B843AF0" w:rsidRPr="00E676F7" w:rsidRDefault="5B843AF0" w:rsidP="5B843AF0">
      <w:pPr>
        <w:ind w:right="237"/>
        <w:jc w:val="both"/>
        <w:rPr>
          <w:rFonts w:eastAsia="Arial"/>
          <w:color w:val="000000" w:themeColor="text1"/>
        </w:rPr>
      </w:pPr>
    </w:p>
    <w:p w14:paraId="4F2BE528" w14:textId="7B6B6787" w:rsidR="5B843AF0" w:rsidRPr="00E676F7" w:rsidRDefault="5B843AF0" w:rsidP="5B843AF0">
      <w:pPr>
        <w:ind w:right="237"/>
        <w:jc w:val="both"/>
        <w:rPr>
          <w:rFonts w:eastAsia="Arial"/>
          <w:color w:val="000000" w:themeColor="text1"/>
        </w:rPr>
      </w:pPr>
      <w:r w:rsidRPr="5CE196A1">
        <w:rPr>
          <w:rFonts w:eastAsia="Arial"/>
          <w:color w:val="000000" w:themeColor="text1"/>
        </w:rPr>
        <w:t xml:space="preserve">You must choose </w:t>
      </w:r>
      <w:r w:rsidRPr="5CE196A1">
        <w:rPr>
          <w:rFonts w:eastAsia="Arial"/>
          <w:b/>
          <w:bCs/>
          <w:color w:val="000000" w:themeColor="text1"/>
          <w:u w:val="single"/>
        </w:rPr>
        <w:t>a policing incident</w:t>
      </w:r>
      <w:r w:rsidRPr="5CE196A1">
        <w:rPr>
          <w:rFonts w:eastAsia="Arial"/>
          <w:b/>
          <w:bCs/>
          <w:color w:val="000000" w:themeColor="text1"/>
        </w:rPr>
        <w:t xml:space="preserve"> </w:t>
      </w:r>
      <w:r w:rsidRPr="5CE196A1">
        <w:rPr>
          <w:rFonts w:eastAsia="Arial"/>
          <w:color w:val="000000" w:themeColor="text1"/>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367797">
            <w:pPr>
              <w:ind w:right="237"/>
            </w:pPr>
          </w:p>
          <w:p w14:paraId="64AC7173" w14:textId="77777777" w:rsidR="00E676F7" w:rsidRPr="00E676F7" w:rsidRDefault="00E676F7" w:rsidP="00E676F7">
            <w:pPr>
              <w:ind w:right="237"/>
              <w:jc w:val="both"/>
              <w:rPr>
                <w:rFonts w:eastAsia="Arial"/>
                <w:color w:val="000000" w:themeColor="text1"/>
              </w:rPr>
            </w:pPr>
            <w:r w:rsidRPr="5CE196A1">
              <w:rPr>
                <w:rFonts w:eastAsia="Arial"/>
                <w:b/>
                <w:bCs/>
                <w:color w:val="000000" w:themeColor="text1"/>
              </w:rPr>
              <w:t>Give a brief description</w:t>
            </w:r>
            <w:r w:rsidRPr="5CE196A1">
              <w:rPr>
                <w:rFonts w:eastAsia="Arial"/>
                <w:color w:val="000000" w:themeColor="text1"/>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rPr>
            </w:pPr>
          </w:p>
          <w:p w14:paraId="17BF6507" w14:textId="77777777" w:rsidR="00E676F7" w:rsidRPr="00E676F7" w:rsidRDefault="00E676F7" w:rsidP="00E676F7">
            <w:pPr>
              <w:rPr>
                <w:rFonts w:eastAsia="Arial"/>
                <w:color w:val="000000" w:themeColor="text1"/>
              </w:rPr>
            </w:pPr>
            <w:r w:rsidRPr="5CE196A1">
              <w:rPr>
                <w:rFonts w:eastAsia="Arial"/>
                <w:b/>
                <w:bCs/>
                <w:color w:val="000000" w:themeColor="text1"/>
                <w:lang w:val="en-US"/>
              </w:rPr>
              <w:t xml:space="preserve">Critically evaluate </w:t>
            </w:r>
            <w:r w:rsidRPr="5CE196A1">
              <w:rPr>
                <w:rFonts w:eastAsia="Arial"/>
                <w:color w:val="000000" w:themeColor="text1"/>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rPr>
            </w:pPr>
          </w:p>
          <w:p w14:paraId="4954E81D" w14:textId="6449D1F9" w:rsidR="00E676F7" w:rsidRPr="00E676F7" w:rsidRDefault="00E676F7" w:rsidP="00E676F7">
            <w:pPr>
              <w:rPr>
                <w:rFonts w:eastAsia="Arial"/>
                <w:color w:val="000000" w:themeColor="text1"/>
              </w:rPr>
            </w:pPr>
            <w:r w:rsidRPr="5CE196A1">
              <w:rPr>
                <w:rFonts w:eastAsia="Arial"/>
                <w:b/>
                <w:bCs/>
                <w:color w:val="000000" w:themeColor="text1"/>
                <w:lang w:val="en-US"/>
              </w:rPr>
              <w:t>Explore</w:t>
            </w:r>
            <w:r w:rsidRPr="5CE196A1">
              <w:rPr>
                <w:rFonts w:eastAsia="Arial"/>
                <w:b/>
                <w:bCs/>
                <w:color w:val="000000" w:themeColor="text1"/>
              </w:rPr>
              <w:t xml:space="preserve"> </w:t>
            </w:r>
            <w:r w:rsidRPr="5CE196A1">
              <w:rPr>
                <w:rFonts w:eastAsia="Arial"/>
                <w:color w:val="000000" w:themeColor="text1"/>
              </w:rPr>
              <w:t xml:space="preserve">what works in relation to tackling repeat victimisation and repeat offending. </w:t>
            </w:r>
            <w:r w:rsidR="792EA6F3" w:rsidRPr="5CE196A1">
              <w:rPr>
                <w:rFonts w:eastAsia="Arial"/>
                <w:color w:val="000000" w:themeColor="text1"/>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rPr>
            </w:pPr>
          </w:p>
          <w:p w14:paraId="5B0B8BC6" w14:textId="220744A2" w:rsidR="00E676F7" w:rsidRPr="00E676F7" w:rsidRDefault="6FBB90E4" w:rsidP="00E676F7">
            <w:pPr>
              <w:ind w:right="237"/>
              <w:jc w:val="both"/>
              <w:rPr>
                <w:rFonts w:eastAsia="Arial"/>
                <w:color w:val="000000" w:themeColor="text1"/>
              </w:rPr>
            </w:pPr>
            <w:r w:rsidRPr="5CE196A1">
              <w:rPr>
                <w:rFonts w:eastAsia="Arial"/>
                <w:color w:val="000000" w:themeColor="text1"/>
              </w:rPr>
              <w:t xml:space="preserve">2000 </w:t>
            </w:r>
            <w:r w:rsidR="00E676F7" w:rsidRPr="5CE196A1">
              <w:rPr>
                <w:rFonts w:eastAsia="Arial"/>
                <w:color w:val="000000" w:themeColor="text1"/>
              </w:rPr>
              <w:t xml:space="preserve">words </w:t>
            </w:r>
            <w:r w:rsidR="00E676F7" w:rsidRPr="5CE196A1">
              <w:rPr>
                <w:rFonts w:eastAsia="Arial"/>
                <w:i/>
                <w:iCs/>
                <w:color w:val="000000" w:themeColor="text1"/>
              </w:rPr>
              <w:t>(+/- 10%: include your actual word count at the end of each section)</w:t>
            </w:r>
          </w:p>
          <w:p w14:paraId="44219232" w14:textId="77777777" w:rsidR="00E676F7" w:rsidRPr="00E676F7" w:rsidRDefault="00E676F7" w:rsidP="00367797">
            <w:pPr>
              <w:ind w:right="237"/>
              <w:jc w:val="both"/>
            </w:pPr>
          </w:p>
        </w:tc>
      </w:tr>
    </w:tbl>
    <w:p w14:paraId="2C6FC8FC" w14:textId="77777777" w:rsidR="00E676F7" w:rsidRPr="00E676F7" w:rsidRDefault="00E676F7" w:rsidP="00E676F7">
      <w:pPr>
        <w:ind w:right="237"/>
        <w:jc w:val="both"/>
      </w:pPr>
    </w:p>
    <w:p w14:paraId="73C4BA6E" w14:textId="12C8C93E" w:rsidR="5B843AF0" w:rsidRPr="00E676F7" w:rsidRDefault="5B843AF0" w:rsidP="5B843AF0">
      <w:pPr>
        <w:ind w:right="237"/>
        <w:jc w:val="both"/>
        <w:rPr>
          <w:rFonts w:eastAsia="Arial"/>
          <w:color w:val="000000" w:themeColor="text1"/>
        </w:rPr>
      </w:pPr>
    </w:p>
    <w:p w14:paraId="266FC690" w14:textId="1654BA04" w:rsidR="5B843AF0" w:rsidRPr="00E676F7" w:rsidRDefault="5B843AF0" w:rsidP="5B843AF0">
      <w:pPr>
        <w:ind w:right="237"/>
        <w:jc w:val="both"/>
        <w:rPr>
          <w:rFonts w:eastAsia="Arial"/>
          <w:color w:val="000000" w:themeColor="text1"/>
        </w:rPr>
      </w:pPr>
      <w:r w:rsidRPr="5CE196A1">
        <w:rPr>
          <w:rFonts w:eastAsia="Arial"/>
          <w:b/>
          <w:bCs/>
          <w:color w:val="000000" w:themeColor="text1"/>
        </w:rPr>
        <w:t>ANSWER:</w:t>
      </w:r>
    </w:p>
    <w:p w14:paraId="1E96D16A" w14:textId="484C09BA" w:rsidR="5B843AF0" w:rsidRPr="004012C2" w:rsidRDefault="5B843AF0" w:rsidP="004629C0">
      <w:pPr>
        <w:spacing w:line="360" w:lineRule="auto"/>
        <w:ind w:right="237"/>
        <w:rPr>
          <w:rFonts w:eastAsia="Arial"/>
          <w:color w:val="000000" w:themeColor="text1"/>
        </w:rPr>
      </w:pPr>
    </w:p>
    <w:p w14:paraId="58D44ABD" w14:textId="6C94DF3F" w:rsidR="00B13219" w:rsidRPr="00F11D4F" w:rsidRDefault="00AF6A8F" w:rsidP="00F11D4F">
      <w:pPr>
        <w:spacing w:line="360" w:lineRule="auto"/>
        <w:ind w:right="237"/>
        <w:jc w:val="both"/>
        <w:rPr>
          <w:rFonts w:asciiTheme="majorBidi" w:eastAsia="Arial" w:hAnsiTheme="majorBidi" w:cstheme="majorBidi"/>
          <w:color w:val="000000" w:themeColor="text1"/>
        </w:rPr>
      </w:pPr>
      <w:r w:rsidRPr="00F11D4F">
        <w:rPr>
          <w:rFonts w:asciiTheme="majorBidi" w:eastAsia="Arial" w:hAnsiTheme="majorBidi" w:cstheme="majorBidi"/>
          <w:color w:val="000000" w:themeColor="text1"/>
        </w:rPr>
        <w:t>This essay will reflect upon a policing incident of an offence under Section 1, Sexual Offence Act 2003. Within this essay, the details of the incident, the various police approaches</w:t>
      </w:r>
      <w:r w:rsidR="00B13219" w:rsidRPr="00F11D4F">
        <w:rPr>
          <w:rFonts w:asciiTheme="majorBidi" w:eastAsia="Arial" w:hAnsiTheme="majorBidi" w:cstheme="majorBidi"/>
          <w:color w:val="000000" w:themeColor="text1"/>
        </w:rPr>
        <w:t xml:space="preserve"> that have been considered or implemented to</w:t>
      </w:r>
      <w:r w:rsidRPr="00F11D4F">
        <w:rPr>
          <w:rFonts w:asciiTheme="majorBidi" w:eastAsia="Arial" w:hAnsiTheme="majorBidi" w:cstheme="majorBidi"/>
          <w:color w:val="000000" w:themeColor="text1"/>
        </w:rPr>
        <w:t xml:space="preserve"> support</w:t>
      </w:r>
      <w:r w:rsidR="00D23E77" w:rsidRPr="00F11D4F">
        <w:rPr>
          <w:rFonts w:asciiTheme="majorBidi" w:eastAsia="Arial" w:hAnsiTheme="majorBidi" w:cstheme="majorBidi"/>
          <w:color w:val="000000" w:themeColor="text1"/>
        </w:rPr>
        <w:t xml:space="preserve"> </w:t>
      </w:r>
      <w:r w:rsidR="00B13219" w:rsidRPr="00F11D4F">
        <w:rPr>
          <w:rFonts w:asciiTheme="majorBidi" w:eastAsia="Arial" w:hAnsiTheme="majorBidi" w:cstheme="majorBidi"/>
          <w:color w:val="000000" w:themeColor="text1"/>
        </w:rPr>
        <w:t>vulnerable person</w:t>
      </w:r>
      <w:r w:rsidR="00D23E77" w:rsidRPr="00F11D4F">
        <w:rPr>
          <w:rFonts w:asciiTheme="majorBidi" w:eastAsia="Arial" w:hAnsiTheme="majorBidi" w:cstheme="majorBidi"/>
          <w:color w:val="000000" w:themeColor="text1"/>
        </w:rPr>
        <w:t>s or those at risk of harm</w:t>
      </w:r>
      <w:r w:rsidRPr="00F11D4F">
        <w:rPr>
          <w:rFonts w:asciiTheme="majorBidi" w:hAnsiTheme="majorBidi" w:cstheme="majorBidi"/>
        </w:rPr>
        <w:t xml:space="preserve">. </w:t>
      </w:r>
      <w:r w:rsidRPr="00F11D4F">
        <w:rPr>
          <w:rFonts w:asciiTheme="majorBidi" w:eastAsia="Arial" w:hAnsiTheme="majorBidi" w:cstheme="majorBidi"/>
          <w:color w:val="000000" w:themeColor="text1"/>
        </w:rPr>
        <w:t xml:space="preserve">The social and legislative context of Sexual Offences will be discussed </w:t>
      </w:r>
      <w:r w:rsidR="00B13219" w:rsidRPr="00F11D4F">
        <w:rPr>
          <w:rFonts w:asciiTheme="majorBidi" w:eastAsia="Arial" w:hAnsiTheme="majorBidi" w:cstheme="majorBidi"/>
          <w:color w:val="000000" w:themeColor="text1"/>
        </w:rPr>
        <w:t>throughout.</w:t>
      </w:r>
      <w:r w:rsidRPr="00F11D4F">
        <w:rPr>
          <w:rFonts w:asciiTheme="majorBidi" w:eastAsia="Arial" w:hAnsiTheme="majorBidi" w:cstheme="majorBidi"/>
          <w:color w:val="000000" w:themeColor="text1"/>
        </w:rPr>
        <w:t xml:space="preserve"> Thus, I will deliberate upon my responsibilities, Police actions and decision-making process during the course of the investigation in relevance to the Codes of Ethics (College of Policing, 2014). In accordance to the standard detailed in the Code of Ethics, I will also reflect upon my responsibilities to the victim in this investigation and the principles that underpinned my behaviour, actions and communication in relevance to the Code of Practice for Victims of Crime (GOV.UK, 2021). </w:t>
      </w:r>
      <w:r w:rsidR="00B13219" w:rsidRPr="00F11D4F">
        <w:rPr>
          <w:rFonts w:asciiTheme="majorBidi" w:eastAsia="Arial" w:hAnsiTheme="majorBidi" w:cstheme="majorBidi"/>
          <w:color w:val="000000" w:themeColor="text1"/>
        </w:rPr>
        <w:t xml:space="preserve"> This essay will explore the policing methods and strategies to tackle repeat victimisation and repeat offending. I will reflect upon my role within this criminal investigation throughout this essay in contrary to academic literature within my evaluation. </w:t>
      </w:r>
    </w:p>
    <w:p w14:paraId="5A24CB85" w14:textId="63A78F8E" w:rsidR="00B13219" w:rsidRPr="00F11D4F" w:rsidRDefault="00B13219" w:rsidP="00F11D4F">
      <w:pPr>
        <w:spacing w:line="360" w:lineRule="auto"/>
        <w:ind w:right="237"/>
        <w:jc w:val="both"/>
        <w:rPr>
          <w:rFonts w:asciiTheme="majorBidi" w:eastAsia="Arial" w:hAnsiTheme="majorBidi" w:cstheme="majorBidi"/>
          <w:color w:val="000000" w:themeColor="text1"/>
        </w:rPr>
      </w:pPr>
    </w:p>
    <w:p w14:paraId="2E3B1853" w14:textId="2C20E48C" w:rsidR="004012C2" w:rsidRPr="00F11D4F" w:rsidRDefault="004012C2" w:rsidP="00F11D4F">
      <w:pPr>
        <w:spacing w:line="360" w:lineRule="auto"/>
        <w:ind w:right="237"/>
        <w:jc w:val="both"/>
        <w:rPr>
          <w:rFonts w:asciiTheme="majorBidi" w:eastAsia="Arial" w:hAnsiTheme="majorBidi" w:cstheme="majorBidi"/>
          <w:color w:val="000000" w:themeColor="text1"/>
        </w:rPr>
      </w:pPr>
    </w:p>
    <w:p w14:paraId="04EC91C6" w14:textId="02A11447" w:rsidR="004012C2" w:rsidRPr="00F11D4F" w:rsidRDefault="004012C2" w:rsidP="00F11D4F">
      <w:pPr>
        <w:spacing w:line="360" w:lineRule="auto"/>
        <w:ind w:right="237"/>
        <w:jc w:val="both"/>
        <w:rPr>
          <w:rFonts w:asciiTheme="majorBidi" w:eastAsia="Arial" w:hAnsiTheme="majorBidi" w:cstheme="majorBidi"/>
          <w:color w:val="000000" w:themeColor="text1"/>
        </w:rPr>
      </w:pPr>
    </w:p>
    <w:p w14:paraId="789395DF" w14:textId="77777777" w:rsidR="004012C2" w:rsidRPr="00F11D4F" w:rsidRDefault="004012C2" w:rsidP="00F11D4F">
      <w:pPr>
        <w:spacing w:line="360" w:lineRule="auto"/>
        <w:ind w:right="237"/>
        <w:jc w:val="both"/>
        <w:rPr>
          <w:rFonts w:asciiTheme="majorBidi" w:eastAsia="Arial" w:hAnsiTheme="majorBidi" w:cstheme="majorBidi"/>
          <w:color w:val="000000" w:themeColor="text1"/>
        </w:rPr>
      </w:pPr>
    </w:p>
    <w:p w14:paraId="6EADDDAD" w14:textId="77777777" w:rsidR="00031E28" w:rsidRPr="00F11D4F" w:rsidRDefault="00031E28" w:rsidP="00F11D4F">
      <w:pPr>
        <w:spacing w:line="360" w:lineRule="auto"/>
        <w:ind w:right="237"/>
        <w:rPr>
          <w:rFonts w:asciiTheme="majorBidi" w:eastAsia="Arial" w:hAnsiTheme="majorBidi" w:cstheme="majorBidi"/>
          <w:color w:val="000000" w:themeColor="text1"/>
        </w:rPr>
      </w:pPr>
    </w:p>
    <w:p w14:paraId="281DFFE9" w14:textId="649CCE94" w:rsidR="00AF6A8F" w:rsidRPr="00F11D4F" w:rsidRDefault="00B13219" w:rsidP="00F11D4F">
      <w:pPr>
        <w:spacing w:line="360" w:lineRule="auto"/>
        <w:ind w:right="237"/>
        <w:rPr>
          <w:rFonts w:asciiTheme="majorBidi" w:eastAsia="Arial" w:hAnsiTheme="majorBidi" w:cstheme="majorBidi"/>
          <w:color w:val="000000" w:themeColor="text1"/>
        </w:rPr>
      </w:pPr>
      <w:r w:rsidRPr="00F11D4F">
        <w:rPr>
          <w:rFonts w:asciiTheme="majorBidi" w:eastAsia="Arial" w:hAnsiTheme="majorBidi" w:cstheme="majorBidi"/>
          <w:color w:val="000000" w:themeColor="text1"/>
        </w:rPr>
        <w:t>A policing incident was reported by a 50-year old woman whom disclosed</w:t>
      </w:r>
      <w:r w:rsidR="004012C2" w:rsidRPr="00F11D4F">
        <w:rPr>
          <w:rFonts w:asciiTheme="majorBidi" w:eastAsia="Arial" w:hAnsiTheme="majorBidi" w:cstheme="majorBidi"/>
          <w:color w:val="000000" w:themeColor="text1"/>
        </w:rPr>
        <w:t xml:space="preserve"> that during the course of her marriage with her ex-partner, she recalls that while she was asleep, he inserted his penis and penetrated her vagina or anus. She and her ex-partner had been married for 30 years and have been separated for a year since she reported a domestic assault earlier on that year.</w:t>
      </w:r>
    </w:p>
    <w:p w14:paraId="09CD59B8" w14:textId="66C2283A" w:rsidR="004012C2" w:rsidRPr="00F11D4F" w:rsidRDefault="004012C2" w:rsidP="00F11D4F">
      <w:pPr>
        <w:spacing w:line="360" w:lineRule="auto"/>
        <w:ind w:right="237"/>
        <w:rPr>
          <w:rFonts w:asciiTheme="majorBidi" w:eastAsia="Arial" w:hAnsiTheme="majorBidi" w:cstheme="majorBidi"/>
          <w:color w:val="000000" w:themeColor="text1"/>
        </w:rPr>
      </w:pPr>
    </w:p>
    <w:p w14:paraId="6A38935F" w14:textId="73BC068D" w:rsidR="004629C0" w:rsidRPr="00F11D4F" w:rsidRDefault="00970C44" w:rsidP="00F11D4F">
      <w:pPr>
        <w:spacing w:line="360" w:lineRule="auto"/>
        <w:ind w:right="237"/>
        <w:jc w:val="both"/>
        <w:rPr>
          <w:rFonts w:asciiTheme="majorBidi" w:eastAsia="Arial" w:hAnsiTheme="majorBidi" w:cstheme="majorBidi"/>
          <w:color w:val="000000" w:themeColor="text1"/>
        </w:rPr>
      </w:pPr>
      <w:r w:rsidRPr="00F11D4F">
        <w:rPr>
          <w:rFonts w:asciiTheme="majorBidi" w:eastAsia="Arial" w:hAnsiTheme="majorBidi" w:cstheme="majorBidi"/>
          <w:color w:val="000000" w:themeColor="text1"/>
        </w:rPr>
        <w:t>The first phase of the initial investigation was to obtain the first account from the victim, in this case an initial account due to this report being a sexual offence.</w:t>
      </w:r>
      <w:r w:rsidR="004629C0" w:rsidRPr="00F11D4F">
        <w:rPr>
          <w:rFonts w:asciiTheme="majorBidi" w:eastAsia="Arial" w:hAnsiTheme="majorBidi" w:cstheme="majorBidi"/>
          <w:color w:val="000000" w:themeColor="text1"/>
        </w:rPr>
        <w:t xml:space="preserve"> An initial account enables the victim to freely discuss what transpired, thus this allows the </w:t>
      </w:r>
      <w:r w:rsidR="00E46B1B" w:rsidRPr="00F11D4F">
        <w:rPr>
          <w:rFonts w:asciiTheme="majorBidi" w:eastAsia="Arial" w:hAnsiTheme="majorBidi" w:cstheme="majorBidi"/>
          <w:color w:val="000000" w:themeColor="text1"/>
        </w:rPr>
        <w:t>Officer recording the account to identify what offences have been committed. I made it my priority to find any vulnerable person, to safeguard them and instigate an investigation (College of Policing</w:t>
      </w:r>
      <w:r w:rsidR="00313556" w:rsidRPr="00F11D4F">
        <w:rPr>
          <w:rFonts w:asciiTheme="majorBidi" w:eastAsia="Arial" w:hAnsiTheme="majorBidi" w:cstheme="majorBidi"/>
          <w:color w:val="000000" w:themeColor="text1"/>
        </w:rPr>
        <w:t>, 2023a</w:t>
      </w:r>
      <w:r w:rsidR="00E46B1B" w:rsidRPr="00F11D4F">
        <w:rPr>
          <w:rFonts w:asciiTheme="majorBidi" w:eastAsia="Arial" w:hAnsiTheme="majorBidi" w:cstheme="majorBidi"/>
          <w:color w:val="000000" w:themeColor="text1"/>
        </w:rPr>
        <w:t>)</w:t>
      </w:r>
      <w:r w:rsidR="00733253" w:rsidRPr="00F11D4F">
        <w:rPr>
          <w:rFonts w:asciiTheme="majorBidi" w:eastAsia="Arial" w:hAnsiTheme="majorBidi" w:cstheme="majorBidi"/>
          <w:color w:val="000000" w:themeColor="text1"/>
        </w:rPr>
        <w:t xml:space="preserve"> </w:t>
      </w:r>
    </w:p>
    <w:p w14:paraId="0CF8F92B" w14:textId="12E332C0" w:rsidR="004012C2" w:rsidRPr="00F11D4F" w:rsidRDefault="004012C2" w:rsidP="00F11D4F">
      <w:pPr>
        <w:spacing w:line="360" w:lineRule="auto"/>
        <w:ind w:right="237"/>
        <w:rPr>
          <w:rFonts w:asciiTheme="majorBidi" w:eastAsia="Arial" w:hAnsiTheme="majorBidi" w:cstheme="majorBidi"/>
          <w:color w:val="000000" w:themeColor="text1"/>
        </w:rPr>
      </w:pPr>
    </w:p>
    <w:p w14:paraId="311EA267" w14:textId="279C94A7" w:rsidR="004012C2" w:rsidRPr="00F11D4F" w:rsidRDefault="005859AE" w:rsidP="00F11D4F">
      <w:pPr>
        <w:spacing w:line="360" w:lineRule="auto"/>
        <w:ind w:right="237"/>
        <w:rPr>
          <w:rFonts w:asciiTheme="majorBidi" w:eastAsia="Arial" w:hAnsiTheme="majorBidi" w:cstheme="majorBidi"/>
          <w:color w:val="000000" w:themeColor="text1"/>
        </w:rPr>
      </w:pPr>
      <w:r w:rsidRPr="00F11D4F">
        <w:rPr>
          <w:rFonts w:asciiTheme="majorBidi" w:eastAsia="Arial" w:hAnsiTheme="majorBidi" w:cstheme="majorBidi"/>
          <w:color w:val="000000" w:themeColor="text1"/>
        </w:rPr>
        <w:t>I went to see the victim because we had already developed a good rapport and degree of confidence when I handled the domestic-related case that she had reported earlier that year</w:t>
      </w:r>
      <w:r w:rsidR="004012C2" w:rsidRPr="00F11D4F">
        <w:rPr>
          <w:rFonts w:asciiTheme="majorBidi" w:eastAsia="Arial" w:hAnsiTheme="majorBidi" w:cstheme="majorBidi"/>
          <w:color w:val="000000" w:themeColor="text1"/>
        </w:rPr>
        <w:t xml:space="preserve">. </w:t>
      </w:r>
      <w:r w:rsidR="0021255D" w:rsidRPr="00F11D4F">
        <w:rPr>
          <w:rFonts w:asciiTheme="majorBidi" w:eastAsia="Arial" w:hAnsiTheme="majorBidi" w:cstheme="majorBidi"/>
          <w:color w:val="000000" w:themeColor="text1"/>
        </w:rPr>
        <w:t xml:space="preserve">I was aware that there was no cultural or linguistic barrier preventing the victim from giving an initial report because of my past familiarity with the </w:t>
      </w:r>
      <w:r w:rsidR="00272AF1" w:rsidRPr="00F11D4F">
        <w:rPr>
          <w:rFonts w:asciiTheme="majorBidi" w:eastAsia="Arial" w:hAnsiTheme="majorBidi" w:cstheme="majorBidi"/>
          <w:color w:val="000000" w:themeColor="text1"/>
        </w:rPr>
        <w:t>victim. Although</w:t>
      </w:r>
      <w:r w:rsidR="004012C2" w:rsidRPr="00F11D4F">
        <w:rPr>
          <w:rFonts w:asciiTheme="majorBidi" w:eastAsia="Arial" w:hAnsiTheme="majorBidi" w:cstheme="majorBidi"/>
          <w:color w:val="000000" w:themeColor="text1"/>
        </w:rPr>
        <w:t xml:space="preserve"> on this occasion, she was in distressed and scared </w:t>
      </w:r>
      <w:r w:rsidR="0021255D" w:rsidRPr="00F11D4F">
        <w:rPr>
          <w:rFonts w:asciiTheme="majorBidi" w:eastAsia="Arial" w:hAnsiTheme="majorBidi" w:cstheme="majorBidi"/>
          <w:color w:val="000000" w:themeColor="text1"/>
        </w:rPr>
        <w:t>due to the realisation</w:t>
      </w:r>
      <w:r w:rsidR="004012C2" w:rsidRPr="00F11D4F">
        <w:rPr>
          <w:rFonts w:asciiTheme="majorBidi" w:eastAsia="Arial" w:hAnsiTheme="majorBidi" w:cstheme="majorBidi"/>
          <w:color w:val="000000" w:themeColor="text1"/>
        </w:rPr>
        <w:t xml:space="preserve"> that </w:t>
      </w:r>
      <w:r w:rsidR="0021255D" w:rsidRPr="00F11D4F">
        <w:rPr>
          <w:rFonts w:asciiTheme="majorBidi" w:eastAsia="Arial" w:hAnsiTheme="majorBidi" w:cstheme="majorBidi"/>
          <w:color w:val="000000" w:themeColor="text1"/>
        </w:rPr>
        <w:t>in her</w:t>
      </w:r>
      <w:r w:rsidR="004012C2" w:rsidRPr="00F11D4F">
        <w:rPr>
          <w:rFonts w:asciiTheme="majorBidi" w:eastAsia="Arial" w:hAnsiTheme="majorBidi" w:cstheme="majorBidi"/>
          <w:color w:val="000000" w:themeColor="text1"/>
        </w:rPr>
        <w:t xml:space="preserve"> </w:t>
      </w:r>
      <w:r w:rsidRPr="00F11D4F">
        <w:rPr>
          <w:rFonts w:asciiTheme="majorBidi" w:eastAsia="Arial" w:hAnsiTheme="majorBidi" w:cstheme="majorBidi"/>
          <w:color w:val="000000" w:themeColor="text1"/>
        </w:rPr>
        <w:t>marriage</w:t>
      </w:r>
      <w:r w:rsidR="004012C2" w:rsidRPr="00F11D4F">
        <w:rPr>
          <w:rFonts w:asciiTheme="majorBidi" w:eastAsia="Arial" w:hAnsiTheme="majorBidi" w:cstheme="majorBidi"/>
          <w:color w:val="000000" w:themeColor="text1"/>
        </w:rPr>
        <w:t xml:space="preserve"> she had been subjected to sexual assault by her ex-partner and her marriage was not as she initially perceived. She explained that she ha</w:t>
      </w:r>
      <w:r w:rsidR="00867E78" w:rsidRPr="00F11D4F">
        <w:rPr>
          <w:rFonts w:asciiTheme="majorBidi" w:eastAsia="Arial" w:hAnsiTheme="majorBidi" w:cstheme="majorBidi"/>
          <w:color w:val="000000" w:themeColor="text1"/>
        </w:rPr>
        <w:t xml:space="preserve">d </w:t>
      </w:r>
      <w:r w:rsidR="004012C2" w:rsidRPr="00F11D4F">
        <w:rPr>
          <w:rFonts w:asciiTheme="majorBidi" w:eastAsia="Arial" w:hAnsiTheme="majorBidi" w:cstheme="majorBidi"/>
          <w:color w:val="000000" w:themeColor="text1"/>
        </w:rPr>
        <w:t>no one she could confined in</w:t>
      </w:r>
      <w:r w:rsidR="00272AF1" w:rsidRPr="00F11D4F">
        <w:rPr>
          <w:rFonts w:asciiTheme="majorBidi" w:eastAsia="Arial" w:hAnsiTheme="majorBidi" w:cstheme="majorBidi"/>
          <w:color w:val="000000" w:themeColor="text1"/>
        </w:rPr>
        <w:t xml:space="preserve"> following their divorce</w:t>
      </w:r>
      <w:r w:rsidR="004012C2" w:rsidRPr="00F11D4F">
        <w:rPr>
          <w:rFonts w:asciiTheme="majorBidi" w:eastAsia="Arial" w:hAnsiTheme="majorBidi" w:cstheme="majorBidi"/>
          <w:color w:val="000000" w:themeColor="text1"/>
        </w:rPr>
        <w:t xml:space="preserve">. </w:t>
      </w:r>
      <w:r w:rsidR="0021255D" w:rsidRPr="00F11D4F">
        <w:rPr>
          <w:rFonts w:asciiTheme="majorBidi" w:eastAsia="Arial" w:hAnsiTheme="majorBidi" w:cstheme="majorBidi"/>
          <w:color w:val="000000" w:themeColor="text1"/>
        </w:rPr>
        <w:t xml:space="preserve">The victim described how she remembers being awakened from sleep on numerous occasions </w:t>
      </w:r>
      <w:r w:rsidRPr="00F11D4F">
        <w:rPr>
          <w:rFonts w:asciiTheme="majorBidi" w:eastAsia="Arial" w:hAnsiTheme="majorBidi" w:cstheme="majorBidi"/>
          <w:color w:val="000000" w:themeColor="text1"/>
        </w:rPr>
        <w:t>by</w:t>
      </w:r>
      <w:r w:rsidR="0021255D" w:rsidRPr="00F11D4F">
        <w:rPr>
          <w:rFonts w:asciiTheme="majorBidi" w:eastAsia="Arial" w:hAnsiTheme="majorBidi" w:cstheme="majorBidi"/>
          <w:color w:val="000000" w:themeColor="text1"/>
        </w:rPr>
        <w:t xml:space="preserve"> her ex-partner by him inserting his penis into her vagina or anus.</w:t>
      </w:r>
    </w:p>
    <w:p w14:paraId="77C6A8DC" w14:textId="1B48ECF2" w:rsidR="00970C44" w:rsidRPr="00F11D4F" w:rsidRDefault="00970C44" w:rsidP="00F11D4F">
      <w:pPr>
        <w:spacing w:line="360" w:lineRule="auto"/>
        <w:ind w:right="237"/>
        <w:rPr>
          <w:rFonts w:asciiTheme="majorBidi" w:eastAsia="Arial" w:hAnsiTheme="majorBidi" w:cstheme="majorBidi"/>
          <w:color w:val="000000" w:themeColor="text1"/>
        </w:rPr>
      </w:pPr>
    </w:p>
    <w:p w14:paraId="23097236" w14:textId="1580C616" w:rsidR="00970C44" w:rsidRPr="00F11D4F" w:rsidRDefault="00970C44" w:rsidP="00F11D4F">
      <w:pPr>
        <w:spacing w:line="360" w:lineRule="auto"/>
        <w:ind w:right="237"/>
        <w:rPr>
          <w:rFonts w:asciiTheme="majorBidi" w:hAnsiTheme="majorBidi" w:cstheme="majorBidi"/>
          <w:shd w:val="clear" w:color="auto" w:fill="FFFFFF"/>
        </w:rPr>
      </w:pPr>
      <w:r w:rsidRPr="00F11D4F">
        <w:rPr>
          <w:rFonts w:asciiTheme="majorBidi" w:eastAsia="Arial" w:hAnsiTheme="majorBidi" w:cstheme="majorBidi"/>
          <w:color w:val="000000" w:themeColor="text1"/>
        </w:rPr>
        <w:t xml:space="preserve">Owing to this information, I gathered that this was Section 1 rape in contrary to the Sexual Offence Act (2003). The victim’s ex-partner inserted his penis into her vagina and mouth while she was asleep without her consent on any of those occasions she recalled. </w:t>
      </w:r>
      <w:r w:rsidRPr="00F11D4F">
        <w:rPr>
          <w:rFonts w:asciiTheme="majorBidi" w:hAnsiTheme="majorBidi" w:cstheme="majorBidi"/>
          <w:color w:val="000000"/>
          <w:shd w:val="clear" w:color="auto" w:fill="FFFFFF"/>
        </w:rPr>
        <w:t>Thus, when the victim explained what happened to her, I took steps through the questions I was asking to specif</w:t>
      </w:r>
      <w:r w:rsidR="00272AF1" w:rsidRPr="00F11D4F">
        <w:rPr>
          <w:rFonts w:asciiTheme="majorBidi" w:hAnsiTheme="majorBidi" w:cstheme="majorBidi"/>
          <w:color w:val="000000"/>
          <w:shd w:val="clear" w:color="auto" w:fill="FFFFFF"/>
        </w:rPr>
        <w:t>y</w:t>
      </w:r>
      <w:r w:rsidRPr="00F11D4F">
        <w:rPr>
          <w:rFonts w:asciiTheme="majorBidi" w:hAnsiTheme="majorBidi" w:cstheme="majorBidi"/>
          <w:color w:val="000000"/>
          <w:shd w:val="clear" w:color="auto" w:fill="FFFFFF"/>
        </w:rPr>
        <w:t xml:space="preserve"> whether the vagina, anus or mouth was penetrated</w:t>
      </w:r>
      <w:r w:rsidR="008A2BA6" w:rsidRPr="00F11D4F">
        <w:rPr>
          <w:rFonts w:asciiTheme="majorBidi" w:hAnsiTheme="majorBidi" w:cstheme="majorBidi"/>
          <w:color w:val="000000"/>
          <w:shd w:val="clear" w:color="auto" w:fill="FFFFFF"/>
        </w:rPr>
        <w:t xml:space="preserve"> </w:t>
      </w:r>
      <w:r w:rsidRPr="00F11D4F">
        <w:rPr>
          <w:rFonts w:asciiTheme="majorBidi" w:hAnsiTheme="majorBidi" w:cstheme="majorBidi"/>
          <w:color w:val="000000"/>
          <w:shd w:val="clear" w:color="auto" w:fill="FFFFFF"/>
        </w:rPr>
        <w:t>and whether this was consensual or not consensual. I did this by listening to the victim and repeating what was said (The Crown Prosecution Service, 2022)</w:t>
      </w:r>
      <w:r w:rsidR="001F7870" w:rsidRPr="00F11D4F">
        <w:rPr>
          <w:rFonts w:asciiTheme="majorBidi" w:hAnsiTheme="majorBidi" w:cstheme="majorBidi"/>
          <w:shd w:val="clear" w:color="auto" w:fill="FFFFFF"/>
        </w:rPr>
        <w:t>.</w:t>
      </w:r>
    </w:p>
    <w:p w14:paraId="3882869A" w14:textId="77777777" w:rsidR="00E06605" w:rsidRPr="00F11D4F" w:rsidRDefault="00E06605" w:rsidP="00F11D4F">
      <w:pPr>
        <w:spacing w:line="360" w:lineRule="auto"/>
        <w:ind w:right="237"/>
        <w:rPr>
          <w:rFonts w:asciiTheme="majorBidi" w:hAnsiTheme="majorBidi" w:cstheme="majorBidi"/>
        </w:rPr>
      </w:pPr>
    </w:p>
    <w:p w14:paraId="641EF7D2" w14:textId="5E4886A0" w:rsidR="001858C6" w:rsidRPr="00F11D4F" w:rsidRDefault="00E06605" w:rsidP="00F11D4F">
      <w:pPr>
        <w:spacing w:line="360" w:lineRule="auto"/>
        <w:rPr>
          <w:rFonts w:asciiTheme="majorBidi" w:hAnsiTheme="majorBidi" w:cstheme="majorBidi"/>
        </w:rPr>
      </w:pPr>
      <w:r w:rsidRPr="00F11D4F">
        <w:rPr>
          <w:rFonts w:asciiTheme="majorBidi" w:hAnsiTheme="majorBidi" w:cstheme="majorBidi"/>
        </w:rPr>
        <w:t xml:space="preserve"> The most commonly reported crime to South Wales Police in Cardiff during April 2023 was violence and sexual offences. A report of violence of sexual offences was reported 1037 </w:t>
      </w:r>
      <w:r w:rsidRPr="00F11D4F">
        <w:rPr>
          <w:rFonts w:asciiTheme="majorBidi" w:hAnsiTheme="majorBidi" w:cstheme="majorBidi"/>
        </w:rPr>
        <w:lastRenderedPageBreak/>
        <w:t>times (Police.UK, 2023). In the year ending in 2022, the Crime Survey for England and Wales found that 86%o</w:t>
      </w:r>
      <w:r w:rsidR="005859AE" w:rsidRPr="00F11D4F">
        <w:rPr>
          <w:rFonts w:asciiTheme="majorBidi" w:hAnsiTheme="majorBidi" w:cstheme="majorBidi"/>
        </w:rPr>
        <w:t xml:space="preserve"> </w:t>
      </w:r>
      <w:r w:rsidRPr="00F11D4F">
        <w:rPr>
          <w:rFonts w:asciiTheme="majorBidi" w:hAnsiTheme="majorBidi" w:cstheme="majorBidi"/>
        </w:rPr>
        <w:t xml:space="preserve">f victims of sexual offences recorded by the Police were females. For female victims of rape, the perpetrator was 46% most likely an intimate partner (ONS, 2022). </w:t>
      </w:r>
      <w:r w:rsidR="00C26972" w:rsidRPr="00F11D4F">
        <w:rPr>
          <w:rFonts w:asciiTheme="majorBidi" w:hAnsiTheme="majorBidi" w:cstheme="majorBidi"/>
        </w:rPr>
        <w:t xml:space="preserve">It is important to note that sexual offences are greatly under reported to the Police due to the victim’s lack of confidence in the criminal justice system. </w:t>
      </w:r>
      <w:r w:rsidR="0021255D" w:rsidRPr="00F11D4F">
        <w:rPr>
          <w:rFonts w:asciiTheme="majorBidi" w:hAnsiTheme="majorBidi" w:cstheme="majorBidi"/>
        </w:rPr>
        <w:t>Consequently</w:t>
      </w:r>
      <w:r w:rsidR="001858C6" w:rsidRPr="00F11D4F">
        <w:rPr>
          <w:rFonts w:asciiTheme="majorBidi" w:hAnsiTheme="majorBidi" w:cstheme="majorBidi"/>
        </w:rPr>
        <w:t>, Taylor and Grassner (20</w:t>
      </w:r>
      <w:r w:rsidR="008A446F" w:rsidRPr="00F11D4F">
        <w:rPr>
          <w:rFonts w:asciiTheme="majorBidi" w:hAnsiTheme="majorBidi" w:cstheme="majorBidi"/>
        </w:rPr>
        <w:t>10</w:t>
      </w:r>
      <w:r w:rsidR="001858C6" w:rsidRPr="00F11D4F">
        <w:rPr>
          <w:rFonts w:asciiTheme="majorBidi" w:hAnsiTheme="majorBidi" w:cstheme="majorBidi"/>
        </w:rPr>
        <w:t>) argue that the police reaction to alleged sexual assaults is essential to the broader criminal justice response. With growing reporting rates, high attrition rates, and steadily declining charge and conviction rates, the policing of rape and severe sexual crimes (RASSO) is coming under more and more scrutiny (Dalton et al., 2022).</w:t>
      </w:r>
    </w:p>
    <w:p w14:paraId="61D20E0F" w14:textId="52724338" w:rsidR="001858C6" w:rsidRPr="00F11D4F" w:rsidRDefault="001858C6" w:rsidP="00F11D4F">
      <w:pPr>
        <w:spacing w:line="360" w:lineRule="auto"/>
        <w:rPr>
          <w:rFonts w:asciiTheme="majorBidi" w:hAnsiTheme="majorBidi" w:cstheme="majorBidi"/>
        </w:rPr>
      </w:pPr>
    </w:p>
    <w:p w14:paraId="1233C07A" w14:textId="0EEBA152" w:rsidR="00F45856" w:rsidRPr="00F11D4F" w:rsidRDefault="001858C6" w:rsidP="00F11D4F">
      <w:pPr>
        <w:pStyle w:val="NormalWeb"/>
        <w:spacing w:line="360" w:lineRule="auto"/>
        <w:rPr>
          <w:rFonts w:asciiTheme="majorBidi" w:hAnsiTheme="majorBidi" w:cstheme="majorBidi"/>
        </w:rPr>
      </w:pPr>
      <w:r w:rsidRPr="00F11D4F">
        <w:rPr>
          <w:rFonts w:asciiTheme="majorBidi" w:hAnsiTheme="majorBidi" w:cstheme="majorBidi"/>
        </w:rPr>
        <w:t xml:space="preserve">In relation to vulnerability, a person is defined as vulnerable if, “….as a result of their situation or circumstances, they are unable to take care of or protect themselves or other from harm or exploitation…” (College of Policing, 2021). </w:t>
      </w:r>
      <w:r w:rsidR="00392A97" w:rsidRPr="00F11D4F">
        <w:rPr>
          <w:rFonts w:asciiTheme="majorBidi" w:hAnsiTheme="majorBidi" w:cstheme="majorBidi"/>
        </w:rPr>
        <w:t>In this incident,</w:t>
      </w:r>
      <w:r w:rsidR="00F45856" w:rsidRPr="00F11D4F">
        <w:rPr>
          <w:rFonts w:asciiTheme="majorBidi" w:hAnsiTheme="majorBidi" w:cstheme="majorBidi"/>
        </w:rPr>
        <w:t xml:space="preserve"> the victim was vulnerable </w:t>
      </w:r>
      <w:r w:rsidR="005859AE" w:rsidRPr="00F11D4F">
        <w:rPr>
          <w:rFonts w:asciiTheme="majorBidi" w:hAnsiTheme="majorBidi" w:cstheme="majorBidi"/>
        </w:rPr>
        <w:t>when</w:t>
      </w:r>
      <w:r w:rsidR="00F45856" w:rsidRPr="00F11D4F">
        <w:rPr>
          <w:rFonts w:asciiTheme="majorBidi" w:hAnsiTheme="majorBidi" w:cstheme="majorBidi"/>
        </w:rPr>
        <w:t xml:space="preserve"> she </w:t>
      </w:r>
      <w:r w:rsidR="00074AB9" w:rsidRPr="00F11D4F">
        <w:rPr>
          <w:rFonts w:asciiTheme="majorBidi" w:hAnsiTheme="majorBidi" w:cstheme="majorBidi"/>
        </w:rPr>
        <w:t>physically and sexually abused on multiple occasions by her ex-partner in line with the definition of domestic abuse in contrary to</w:t>
      </w:r>
      <w:r w:rsidR="005859AE" w:rsidRPr="00F11D4F">
        <w:rPr>
          <w:rFonts w:asciiTheme="majorBidi" w:hAnsiTheme="majorBidi" w:cstheme="majorBidi"/>
        </w:rPr>
        <w:t xml:space="preserve"> Domestic Abuse Act (2021).</w:t>
      </w:r>
      <w:r w:rsidR="00F45856" w:rsidRPr="00F11D4F">
        <w:rPr>
          <w:rFonts w:asciiTheme="majorBidi" w:hAnsiTheme="majorBidi" w:cstheme="majorBidi"/>
        </w:rPr>
        <w:t xml:space="preserve"> </w:t>
      </w:r>
      <w:r w:rsidR="005859AE" w:rsidRPr="00F11D4F">
        <w:rPr>
          <w:rFonts w:asciiTheme="majorBidi" w:hAnsiTheme="majorBidi" w:cstheme="majorBidi"/>
        </w:rPr>
        <w:t>There</w:t>
      </w:r>
      <w:r w:rsidR="00F45856" w:rsidRPr="00F11D4F">
        <w:rPr>
          <w:rFonts w:asciiTheme="majorBidi" w:hAnsiTheme="majorBidi" w:cstheme="majorBidi"/>
        </w:rPr>
        <w:t xml:space="preserve"> was multiple strategies and positive actions I considered to ensure the victim was safeguarded. The Police apply a risk assessment tool known as THRIVE to identify vuln</w:t>
      </w:r>
      <w:r w:rsidR="005859AE" w:rsidRPr="00F11D4F">
        <w:rPr>
          <w:rFonts w:asciiTheme="majorBidi" w:hAnsiTheme="majorBidi" w:cstheme="majorBidi"/>
        </w:rPr>
        <w:t>erable persons</w:t>
      </w:r>
      <w:r w:rsidR="00F45856" w:rsidRPr="00F11D4F">
        <w:rPr>
          <w:rFonts w:asciiTheme="majorBidi" w:hAnsiTheme="majorBidi" w:cstheme="majorBidi"/>
        </w:rPr>
        <w:t xml:space="preserve">. The acronym stands for threat, harm, risk, investigation, vulnerability and engagement. </w:t>
      </w:r>
      <w:r w:rsidR="00272AF1" w:rsidRPr="00F11D4F">
        <w:rPr>
          <w:rFonts w:asciiTheme="majorBidi" w:hAnsiTheme="majorBidi" w:cstheme="majorBidi"/>
        </w:rPr>
        <w:t>This tool enables the identification of vulnerability, understanding of how they can be susceptible to risk of damage through a risk assessment, and implementation of the most appropriate action.</w:t>
      </w:r>
      <w:r w:rsidR="00272AF1" w:rsidRPr="00F11D4F">
        <w:rPr>
          <w:rFonts w:asciiTheme="majorBidi" w:hAnsiTheme="majorBidi" w:cstheme="majorBidi"/>
        </w:rPr>
        <w:t xml:space="preserve"> </w:t>
      </w:r>
      <w:r w:rsidR="00F45856" w:rsidRPr="00F11D4F">
        <w:rPr>
          <w:rFonts w:asciiTheme="majorBidi" w:hAnsiTheme="majorBidi" w:cstheme="majorBidi"/>
        </w:rPr>
        <w:t>(College of Policing, 202</w:t>
      </w:r>
      <w:r w:rsidR="008A446F" w:rsidRPr="00F11D4F">
        <w:rPr>
          <w:rFonts w:asciiTheme="majorBidi" w:hAnsiTheme="majorBidi" w:cstheme="majorBidi"/>
        </w:rPr>
        <w:t>0</w:t>
      </w:r>
      <w:r w:rsidR="00F45856" w:rsidRPr="00F11D4F">
        <w:rPr>
          <w:rFonts w:asciiTheme="majorBidi" w:hAnsiTheme="majorBidi" w:cstheme="majorBidi"/>
        </w:rPr>
        <w:t>).</w:t>
      </w:r>
    </w:p>
    <w:p w14:paraId="06B7D795" w14:textId="77777777" w:rsidR="00F70EC2" w:rsidRPr="00F11D4F" w:rsidRDefault="00F70EC2" w:rsidP="00F11D4F">
      <w:pPr>
        <w:spacing w:line="360" w:lineRule="auto"/>
        <w:rPr>
          <w:rFonts w:asciiTheme="majorBidi" w:hAnsiTheme="majorBidi" w:cstheme="majorBidi"/>
        </w:rPr>
      </w:pPr>
    </w:p>
    <w:p w14:paraId="53EE096B" w14:textId="2E870C46" w:rsidR="009D6ED7" w:rsidRPr="00F11D4F" w:rsidRDefault="009D6ED7" w:rsidP="00F11D4F">
      <w:pPr>
        <w:spacing w:line="360" w:lineRule="auto"/>
        <w:rPr>
          <w:rFonts w:asciiTheme="majorBidi" w:hAnsiTheme="majorBidi" w:cstheme="majorBidi"/>
        </w:rPr>
      </w:pPr>
      <w:r w:rsidRPr="00F11D4F">
        <w:rPr>
          <w:rFonts w:asciiTheme="majorBidi" w:hAnsiTheme="majorBidi" w:cstheme="majorBidi"/>
        </w:rPr>
        <w:t xml:space="preserve">I ensured that all steps conducted from this moment were in accordance with the Code of Practice for a Victim of Crime (GOV.UK, 2021). This guidance outlines the minimum requirement for services offered to victims of crime. I followed the first right by ensuring the victim could comprehend the information I was delivering. </w:t>
      </w:r>
      <w:r w:rsidRPr="00F11D4F">
        <w:rPr>
          <w:rFonts w:asciiTheme="majorBidi" w:hAnsiTheme="majorBidi" w:cstheme="majorBidi"/>
          <w:color w:val="000000"/>
          <w:shd w:val="clear" w:color="auto" w:fill="FFFFFF"/>
        </w:rPr>
        <w:t>I recognised it was important that</w:t>
      </w:r>
      <w:r w:rsidR="005859AE" w:rsidRPr="00F11D4F">
        <w:rPr>
          <w:rFonts w:asciiTheme="majorBidi" w:hAnsiTheme="majorBidi" w:cstheme="majorBidi"/>
          <w:color w:val="000000"/>
          <w:shd w:val="clear" w:color="auto" w:fill="FFFFFF"/>
        </w:rPr>
        <w:t xml:space="preserve"> </w:t>
      </w:r>
      <w:r w:rsidRPr="00F11D4F">
        <w:rPr>
          <w:rFonts w:asciiTheme="majorBidi" w:hAnsiTheme="majorBidi" w:cstheme="majorBidi"/>
          <w:color w:val="000000"/>
          <w:shd w:val="clear" w:color="auto" w:fill="FFFFFF"/>
        </w:rPr>
        <w:t>I explained in simple terms</w:t>
      </w:r>
      <w:r w:rsidR="005859AE" w:rsidRPr="00F11D4F">
        <w:rPr>
          <w:rFonts w:asciiTheme="majorBidi" w:hAnsiTheme="majorBidi" w:cstheme="majorBidi"/>
          <w:color w:val="000000"/>
          <w:shd w:val="clear" w:color="auto" w:fill="FFFFFF"/>
        </w:rPr>
        <w:t xml:space="preserve"> the process of the</w:t>
      </w:r>
      <w:r w:rsidRPr="00F11D4F">
        <w:rPr>
          <w:rFonts w:asciiTheme="majorBidi" w:hAnsiTheme="majorBidi" w:cstheme="majorBidi"/>
          <w:color w:val="000000"/>
          <w:shd w:val="clear" w:color="auto" w:fill="FFFFFF"/>
        </w:rPr>
        <w:t xml:space="preserve"> </w:t>
      </w:r>
      <w:r w:rsidR="005859AE" w:rsidRPr="00F11D4F">
        <w:rPr>
          <w:rFonts w:asciiTheme="majorBidi" w:hAnsiTheme="majorBidi" w:cstheme="majorBidi"/>
          <w:color w:val="000000"/>
          <w:shd w:val="clear" w:color="auto" w:fill="FFFFFF"/>
        </w:rPr>
        <w:t xml:space="preserve">and what it </w:t>
      </w:r>
      <w:r w:rsidRPr="00F11D4F">
        <w:rPr>
          <w:rFonts w:asciiTheme="majorBidi" w:hAnsiTheme="majorBidi" w:cstheme="majorBidi"/>
          <w:color w:val="000000"/>
          <w:shd w:val="clear" w:color="auto" w:fill="FFFFFF"/>
        </w:rPr>
        <w:t>will entail</w:t>
      </w:r>
      <w:r w:rsidR="0021255D" w:rsidRPr="00F11D4F">
        <w:rPr>
          <w:rFonts w:asciiTheme="majorBidi" w:hAnsiTheme="majorBidi" w:cstheme="majorBidi"/>
          <w:color w:val="000000"/>
          <w:shd w:val="clear" w:color="auto" w:fill="FFFFFF"/>
        </w:rPr>
        <w:t>.</w:t>
      </w:r>
    </w:p>
    <w:p w14:paraId="2302EC69" w14:textId="77777777" w:rsidR="0021255D" w:rsidRPr="00F11D4F" w:rsidRDefault="0021255D" w:rsidP="00F11D4F">
      <w:pPr>
        <w:spacing w:line="360" w:lineRule="auto"/>
        <w:rPr>
          <w:rFonts w:asciiTheme="majorBidi" w:hAnsiTheme="majorBidi" w:cstheme="majorBidi"/>
        </w:rPr>
      </w:pPr>
    </w:p>
    <w:p w14:paraId="6B52F474" w14:textId="4A4B6C89" w:rsidR="0014745A" w:rsidRPr="00F11D4F" w:rsidRDefault="0021255D" w:rsidP="00F11D4F">
      <w:pPr>
        <w:spacing w:line="360" w:lineRule="auto"/>
        <w:rPr>
          <w:rFonts w:asciiTheme="majorBidi" w:hAnsiTheme="majorBidi" w:cstheme="majorBidi"/>
        </w:rPr>
      </w:pPr>
      <w:r w:rsidRPr="00F11D4F">
        <w:rPr>
          <w:rFonts w:asciiTheme="majorBidi" w:hAnsiTheme="majorBidi" w:cstheme="majorBidi"/>
        </w:rPr>
        <w:t>I thoroughly investigated the suspect's background to see if there w</w:t>
      </w:r>
      <w:r w:rsidR="005859AE" w:rsidRPr="00F11D4F">
        <w:rPr>
          <w:rFonts w:asciiTheme="majorBidi" w:hAnsiTheme="majorBidi" w:cstheme="majorBidi"/>
        </w:rPr>
        <w:t xml:space="preserve">as </w:t>
      </w:r>
      <w:r w:rsidRPr="00F11D4F">
        <w:rPr>
          <w:rFonts w:asciiTheme="majorBidi" w:hAnsiTheme="majorBidi" w:cstheme="majorBidi"/>
        </w:rPr>
        <w:t>intelligence that</w:t>
      </w:r>
      <w:r w:rsidRPr="00F11D4F">
        <w:rPr>
          <w:rFonts w:asciiTheme="majorBidi" w:hAnsiTheme="majorBidi" w:cstheme="majorBidi"/>
        </w:rPr>
        <w:t xml:space="preserve"> a previous sexual allegation had been made</w:t>
      </w:r>
      <w:r w:rsidRPr="00F11D4F">
        <w:rPr>
          <w:rFonts w:asciiTheme="majorBidi" w:hAnsiTheme="majorBidi" w:cstheme="majorBidi"/>
        </w:rPr>
        <w:t xml:space="preserve"> previously</w:t>
      </w:r>
      <w:r w:rsidRPr="00F11D4F">
        <w:rPr>
          <w:rFonts w:asciiTheme="majorBidi" w:hAnsiTheme="majorBidi" w:cstheme="majorBidi"/>
        </w:rPr>
        <w:t xml:space="preserve">. </w:t>
      </w:r>
      <w:r w:rsidR="00F45856" w:rsidRPr="00F11D4F">
        <w:rPr>
          <w:rFonts w:asciiTheme="majorBidi" w:hAnsiTheme="majorBidi" w:cstheme="majorBidi"/>
        </w:rPr>
        <w:t xml:space="preserve">I was already aware that the suspect is on police bail with conditions for the domestic matter to safeguard the victim. </w:t>
      </w:r>
      <w:r w:rsidR="00733253" w:rsidRPr="00F11D4F">
        <w:rPr>
          <w:rFonts w:asciiTheme="majorBidi" w:hAnsiTheme="majorBidi" w:cstheme="majorBidi"/>
        </w:rPr>
        <w:t xml:space="preserve">I sat down with the victim and completed </w:t>
      </w:r>
      <w:r w:rsidR="00CD6D7B" w:rsidRPr="00F11D4F">
        <w:rPr>
          <w:rFonts w:asciiTheme="majorBidi" w:hAnsiTheme="majorBidi" w:cstheme="majorBidi"/>
        </w:rPr>
        <w:t xml:space="preserve">a ‘victim support referral form’ and a ‘Sexual Assault Referral form’. I did this because the victim would have an Independent Sexual Violence Advisor </w:t>
      </w:r>
      <w:r w:rsidR="00CD6D7B" w:rsidRPr="00F11D4F">
        <w:rPr>
          <w:rFonts w:asciiTheme="majorBidi" w:hAnsiTheme="majorBidi" w:cstheme="majorBidi"/>
        </w:rPr>
        <w:lastRenderedPageBreak/>
        <w:t>(ISVA) that could provide impartial information about the</w:t>
      </w:r>
      <w:r w:rsidR="0014745A" w:rsidRPr="00F11D4F">
        <w:rPr>
          <w:rFonts w:asciiTheme="majorBidi" w:hAnsiTheme="majorBidi" w:cstheme="majorBidi"/>
        </w:rPr>
        <w:t xml:space="preserve"> victim’s</w:t>
      </w:r>
      <w:r w:rsidR="00CD6D7B" w:rsidRPr="00F11D4F">
        <w:rPr>
          <w:rFonts w:asciiTheme="majorBidi" w:hAnsiTheme="majorBidi" w:cstheme="majorBidi"/>
        </w:rPr>
        <w:t xml:space="preserve"> option throughout the investigation and provide specialist support before this matter goes to court (Home Office, 2017). Hester &amp; Lilley (2018)</w:t>
      </w:r>
      <w:r w:rsidR="00D301FD" w:rsidRPr="00F11D4F">
        <w:rPr>
          <w:rFonts w:asciiTheme="majorBidi" w:hAnsiTheme="majorBidi" w:cstheme="majorBidi"/>
        </w:rPr>
        <w:t xml:space="preserve"> suggest that an ISVA played a crucial role that can be deemed as </w:t>
      </w:r>
      <w:r w:rsidR="00DE3078" w:rsidRPr="00F11D4F">
        <w:rPr>
          <w:rFonts w:asciiTheme="majorBidi" w:hAnsiTheme="majorBidi" w:cstheme="majorBidi"/>
        </w:rPr>
        <w:t>“..</w:t>
      </w:r>
      <w:r w:rsidR="00D301FD" w:rsidRPr="00F11D4F">
        <w:rPr>
          <w:rFonts w:asciiTheme="majorBidi" w:hAnsiTheme="majorBidi" w:cstheme="majorBidi"/>
        </w:rPr>
        <w:t>flexible, enabling, holding and mending”.</w:t>
      </w:r>
      <w:r w:rsidR="0014745A" w:rsidRPr="00F11D4F">
        <w:rPr>
          <w:rFonts w:asciiTheme="majorBidi" w:hAnsiTheme="majorBidi" w:cstheme="majorBidi"/>
        </w:rPr>
        <w:t xml:space="preserve"> The victim consented and agreed that she would benefit from independent support and ha</w:t>
      </w:r>
      <w:r w:rsidR="00867E78" w:rsidRPr="00F11D4F">
        <w:rPr>
          <w:rFonts w:asciiTheme="majorBidi" w:hAnsiTheme="majorBidi" w:cstheme="majorBidi"/>
        </w:rPr>
        <w:t>d</w:t>
      </w:r>
      <w:r w:rsidR="0014745A" w:rsidRPr="00F11D4F">
        <w:rPr>
          <w:rFonts w:asciiTheme="majorBidi" w:hAnsiTheme="majorBidi" w:cstheme="majorBidi"/>
        </w:rPr>
        <w:t xml:space="preserve"> since been using the ISVA throughout the investigation and will now be using the ISVA at court. </w:t>
      </w:r>
    </w:p>
    <w:p w14:paraId="75E9EEBC" w14:textId="77777777" w:rsidR="0014745A" w:rsidRPr="00F11D4F" w:rsidRDefault="0014745A" w:rsidP="00F11D4F">
      <w:pPr>
        <w:spacing w:line="360" w:lineRule="auto"/>
        <w:rPr>
          <w:rFonts w:asciiTheme="majorBidi" w:hAnsiTheme="majorBidi" w:cstheme="majorBidi"/>
        </w:rPr>
      </w:pPr>
    </w:p>
    <w:p w14:paraId="7A6143B5" w14:textId="11EB11B6" w:rsidR="00541204" w:rsidRPr="00F11D4F" w:rsidRDefault="0014745A" w:rsidP="00F11D4F">
      <w:pPr>
        <w:spacing w:line="360" w:lineRule="auto"/>
        <w:rPr>
          <w:rFonts w:asciiTheme="majorBidi" w:hAnsiTheme="majorBidi" w:cstheme="majorBidi"/>
        </w:rPr>
      </w:pPr>
      <w:r w:rsidRPr="00F11D4F">
        <w:rPr>
          <w:rFonts w:asciiTheme="majorBidi" w:hAnsiTheme="majorBidi" w:cstheme="majorBidi"/>
        </w:rPr>
        <w:t xml:space="preserve"> I conducted a</w:t>
      </w:r>
      <w:r w:rsidR="00733253" w:rsidRPr="00F11D4F">
        <w:rPr>
          <w:rFonts w:asciiTheme="majorBidi" w:hAnsiTheme="majorBidi" w:cstheme="majorBidi"/>
        </w:rPr>
        <w:t xml:space="preserve"> risk assessment tool known as the Domestic Abuse, Stalking and Harassment, including Honour Based Abuse (DASH) model</w:t>
      </w:r>
      <w:r w:rsidR="00954996" w:rsidRPr="00F11D4F">
        <w:rPr>
          <w:rFonts w:asciiTheme="majorBidi" w:hAnsiTheme="majorBidi" w:cstheme="majorBidi"/>
        </w:rPr>
        <w:t>.</w:t>
      </w:r>
      <w:r w:rsidR="00367797" w:rsidRPr="00F11D4F">
        <w:rPr>
          <w:rFonts w:asciiTheme="majorBidi" w:hAnsiTheme="majorBidi" w:cstheme="majorBidi"/>
        </w:rPr>
        <w:t xml:space="preserve"> This tool consists of 27 questions that are asked to a domestic abuse victim that was created in aiming to assist police and other agencies (College of Policing, 2016). </w:t>
      </w:r>
      <w:r w:rsidR="004552BD" w:rsidRPr="00F11D4F">
        <w:rPr>
          <w:rFonts w:asciiTheme="majorBidi" w:hAnsiTheme="majorBidi" w:cstheme="majorBidi"/>
        </w:rPr>
        <w:t xml:space="preserve">The tool allows risks to be noted, managed in aims to </w:t>
      </w:r>
      <w:r w:rsidR="001858C6" w:rsidRPr="00F11D4F">
        <w:rPr>
          <w:rFonts w:asciiTheme="majorBidi" w:hAnsiTheme="majorBidi" w:cstheme="majorBidi"/>
        </w:rPr>
        <w:t>safeguard</w:t>
      </w:r>
      <w:r w:rsidR="004552BD" w:rsidRPr="00F11D4F">
        <w:rPr>
          <w:rFonts w:asciiTheme="majorBidi" w:hAnsiTheme="majorBidi" w:cstheme="majorBidi"/>
        </w:rPr>
        <w:t xml:space="preserve"> by</w:t>
      </w:r>
      <w:r w:rsidR="001858C6" w:rsidRPr="00F11D4F">
        <w:rPr>
          <w:rFonts w:asciiTheme="majorBidi" w:hAnsiTheme="majorBidi" w:cstheme="majorBidi"/>
        </w:rPr>
        <w:t xml:space="preserve"> evaluat</w:t>
      </w:r>
      <w:r w:rsidR="004552BD" w:rsidRPr="00F11D4F">
        <w:rPr>
          <w:rFonts w:asciiTheme="majorBidi" w:hAnsiTheme="majorBidi" w:cstheme="majorBidi"/>
        </w:rPr>
        <w:t xml:space="preserve">ing </w:t>
      </w:r>
      <w:r w:rsidR="001858C6" w:rsidRPr="00F11D4F">
        <w:rPr>
          <w:rFonts w:asciiTheme="majorBidi" w:hAnsiTheme="majorBidi" w:cstheme="majorBidi"/>
        </w:rPr>
        <w:t xml:space="preserve">the possibility of repeat victimisation by repeat perpetrators (Roehl &amp; Geurtin, 2000).  I kept in mind Article 5 of the Data Protection Act of </w:t>
      </w:r>
      <w:r w:rsidR="00185498" w:rsidRPr="00F11D4F">
        <w:rPr>
          <w:rFonts w:asciiTheme="majorBidi" w:hAnsiTheme="majorBidi" w:cstheme="majorBidi"/>
        </w:rPr>
        <w:t>(</w:t>
      </w:r>
      <w:r w:rsidR="001858C6" w:rsidRPr="00F11D4F">
        <w:rPr>
          <w:rFonts w:asciiTheme="majorBidi" w:hAnsiTheme="majorBidi" w:cstheme="majorBidi"/>
        </w:rPr>
        <w:t>2018</w:t>
      </w:r>
      <w:r w:rsidR="00185498" w:rsidRPr="00F11D4F">
        <w:rPr>
          <w:rFonts w:asciiTheme="majorBidi" w:hAnsiTheme="majorBidi" w:cstheme="majorBidi"/>
        </w:rPr>
        <w:t>)</w:t>
      </w:r>
      <w:r w:rsidR="001858C6" w:rsidRPr="00F11D4F">
        <w:rPr>
          <w:rFonts w:asciiTheme="majorBidi" w:hAnsiTheme="majorBidi" w:cstheme="majorBidi"/>
        </w:rPr>
        <w:t xml:space="preserve"> and the GDPR throughout this process.  I understood that there was no legal prohibition against disclosing information if doing so would jeopardise the victim's safety or wellbeing.</w:t>
      </w:r>
      <w:r w:rsidRPr="00F11D4F">
        <w:rPr>
          <w:rFonts w:asciiTheme="majorBidi" w:hAnsiTheme="majorBidi" w:cstheme="majorBidi"/>
        </w:rPr>
        <w:t xml:space="preserve"> </w:t>
      </w:r>
      <w:r w:rsidR="00AF6513" w:rsidRPr="00F11D4F">
        <w:rPr>
          <w:rFonts w:asciiTheme="majorBidi" w:hAnsiTheme="majorBidi" w:cstheme="majorBidi"/>
        </w:rPr>
        <w:t xml:space="preserve"> Although, </w:t>
      </w:r>
      <w:r w:rsidR="00632063" w:rsidRPr="00F11D4F">
        <w:rPr>
          <w:rFonts w:asciiTheme="majorBidi" w:hAnsiTheme="majorBidi" w:cstheme="majorBidi"/>
        </w:rPr>
        <w:t>there is a need for future literature to investigate this risk assessment model as evidence-based (</w:t>
      </w:r>
      <w:r w:rsidR="00185498" w:rsidRPr="00F11D4F">
        <w:rPr>
          <w:rFonts w:asciiTheme="majorBidi" w:hAnsiTheme="majorBidi" w:cstheme="majorBidi"/>
        </w:rPr>
        <w:t>Christopher</w:t>
      </w:r>
      <w:r w:rsidR="00632063" w:rsidRPr="00F11D4F">
        <w:rPr>
          <w:rFonts w:asciiTheme="majorBidi" w:hAnsiTheme="majorBidi" w:cstheme="majorBidi"/>
        </w:rPr>
        <w:t xml:space="preserve"> et al., 2020)</w:t>
      </w:r>
      <w:r w:rsidR="00541204" w:rsidRPr="00F11D4F">
        <w:rPr>
          <w:rFonts w:asciiTheme="majorBidi" w:hAnsiTheme="majorBidi" w:cstheme="majorBidi"/>
        </w:rPr>
        <w:t xml:space="preserve">. </w:t>
      </w:r>
      <w:r w:rsidRPr="00F11D4F">
        <w:rPr>
          <w:rFonts w:asciiTheme="majorBidi" w:hAnsiTheme="majorBidi" w:cstheme="majorBidi"/>
        </w:rPr>
        <w:t>Despite</w:t>
      </w:r>
      <w:r w:rsidR="008A2BA6" w:rsidRPr="00F11D4F">
        <w:rPr>
          <w:rFonts w:asciiTheme="majorBidi" w:hAnsiTheme="majorBidi" w:cstheme="majorBidi"/>
        </w:rPr>
        <w:t xml:space="preserve"> this</w:t>
      </w:r>
      <w:r w:rsidRPr="00F11D4F">
        <w:rPr>
          <w:rFonts w:asciiTheme="majorBidi" w:hAnsiTheme="majorBidi" w:cstheme="majorBidi"/>
        </w:rPr>
        <w:t>, I believe the DASH model was the right and appropriate risk assessment tool to share information with other agencies and safeguard the victim.</w:t>
      </w:r>
    </w:p>
    <w:p w14:paraId="55A67B06" w14:textId="77777777" w:rsidR="00367797" w:rsidRPr="00F11D4F" w:rsidRDefault="00367797" w:rsidP="00F11D4F">
      <w:pPr>
        <w:spacing w:line="360" w:lineRule="auto"/>
        <w:ind w:right="237"/>
        <w:jc w:val="both"/>
        <w:rPr>
          <w:rFonts w:asciiTheme="majorBidi" w:hAnsiTheme="majorBidi" w:cstheme="majorBidi"/>
        </w:rPr>
      </w:pPr>
    </w:p>
    <w:p w14:paraId="10A83DF5" w14:textId="1CA736CD" w:rsidR="008E61F4" w:rsidRPr="00F11D4F" w:rsidRDefault="00CD6D7B" w:rsidP="00F11D4F">
      <w:pPr>
        <w:spacing w:line="360" w:lineRule="auto"/>
        <w:ind w:right="237"/>
        <w:jc w:val="both"/>
        <w:rPr>
          <w:rFonts w:asciiTheme="majorBidi" w:hAnsiTheme="majorBidi" w:cstheme="majorBidi"/>
          <w:shd w:val="clear" w:color="auto" w:fill="FFFFFF"/>
        </w:rPr>
      </w:pPr>
      <w:r w:rsidRPr="00F11D4F">
        <w:rPr>
          <w:rFonts w:asciiTheme="majorBidi" w:hAnsiTheme="majorBidi" w:cstheme="majorBidi"/>
          <w:color w:val="000000"/>
          <w:shd w:val="clear" w:color="auto" w:fill="FFFFFF"/>
        </w:rPr>
        <w:t xml:space="preserve"> I </w:t>
      </w:r>
      <w:r w:rsidR="004552BD" w:rsidRPr="00F11D4F">
        <w:rPr>
          <w:rFonts w:asciiTheme="majorBidi" w:hAnsiTheme="majorBidi" w:cstheme="majorBidi"/>
          <w:color w:val="000000"/>
          <w:shd w:val="clear" w:color="auto" w:fill="FFFFFF"/>
        </w:rPr>
        <w:t>informed the victim that</w:t>
      </w:r>
      <w:r w:rsidRPr="00F11D4F">
        <w:rPr>
          <w:rFonts w:asciiTheme="majorBidi" w:hAnsiTheme="majorBidi" w:cstheme="majorBidi"/>
          <w:color w:val="000000"/>
          <w:shd w:val="clear" w:color="auto" w:fill="FFFFFF"/>
        </w:rPr>
        <w:t xml:space="preserve"> the second phase of the investigation will provide the Police with more information about the crime the victim ha</w:t>
      </w:r>
      <w:r w:rsidR="00867E78" w:rsidRPr="00F11D4F">
        <w:rPr>
          <w:rFonts w:asciiTheme="majorBidi" w:hAnsiTheme="majorBidi" w:cstheme="majorBidi"/>
          <w:color w:val="000000"/>
          <w:shd w:val="clear" w:color="auto" w:fill="FFFFFF"/>
        </w:rPr>
        <w:t>d</w:t>
      </w:r>
      <w:r w:rsidRPr="00F11D4F">
        <w:rPr>
          <w:rFonts w:asciiTheme="majorBidi" w:hAnsiTheme="majorBidi" w:cstheme="majorBidi"/>
          <w:color w:val="000000"/>
          <w:shd w:val="clear" w:color="auto" w:fill="FFFFFF"/>
        </w:rPr>
        <w:t xml:space="preserve"> reported. </w:t>
      </w:r>
      <w:r w:rsidRPr="00F11D4F">
        <w:rPr>
          <w:rFonts w:asciiTheme="majorBidi" w:hAnsiTheme="majorBidi" w:cstheme="majorBidi"/>
          <w:shd w:val="clear" w:color="auto" w:fill="FFFFFF"/>
        </w:rPr>
        <w:t>I established that a Sexual Offence Investigation Trained Officer (SOIT) was required to be allocated. A SOIT is an officer who ha</w:t>
      </w:r>
      <w:r w:rsidR="00867E78" w:rsidRPr="00F11D4F">
        <w:rPr>
          <w:rFonts w:asciiTheme="majorBidi" w:hAnsiTheme="majorBidi" w:cstheme="majorBidi"/>
          <w:shd w:val="clear" w:color="auto" w:fill="FFFFFF"/>
        </w:rPr>
        <w:t>d</w:t>
      </w:r>
      <w:r w:rsidRPr="00F11D4F">
        <w:rPr>
          <w:rFonts w:asciiTheme="majorBidi" w:hAnsiTheme="majorBidi" w:cstheme="majorBidi"/>
          <w:shd w:val="clear" w:color="auto" w:fill="FFFFFF"/>
        </w:rPr>
        <w:t xml:space="preserve"> received the training required by the College of Policing to interview victims of significant and complex crimes in operation with Achieving Best Evidence (ABE) (</w:t>
      </w:r>
      <w:r w:rsidR="00007D9E" w:rsidRPr="00F11D4F">
        <w:rPr>
          <w:rFonts w:asciiTheme="majorBidi" w:hAnsiTheme="majorBidi" w:cstheme="majorBidi"/>
        </w:rPr>
        <w:t>McMillian, 2014</w:t>
      </w:r>
      <w:r w:rsidRPr="00F11D4F">
        <w:rPr>
          <w:rFonts w:asciiTheme="majorBidi" w:hAnsiTheme="majorBidi" w:cstheme="majorBidi"/>
        </w:rPr>
        <w:t>). A strong victim-centred and trauma-informed approach is strongly encouraged by ABE principles (</w:t>
      </w:r>
      <w:r w:rsidR="00DE3078" w:rsidRPr="00F11D4F">
        <w:rPr>
          <w:rFonts w:asciiTheme="majorBidi" w:hAnsiTheme="majorBidi" w:cstheme="majorBidi"/>
        </w:rPr>
        <w:t>Ministry of Justice</w:t>
      </w:r>
      <w:r w:rsidRPr="00F11D4F">
        <w:rPr>
          <w:rFonts w:asciiTheme="majorBidi" w:hAnsiTheme="majorBidi" w:cstheme="majorBidi"/>
        </w:rPr>
        <w:t xml:space="preserve">, 2022). It is not unusual for sexual offences victim to feel anxious and distress throughout the police investigation and when giving evidence in court (Garza </w:t>
      </w:r>
      <w:r w:rsidR="00007D9E" w:rsidRPr="00F11D4F">
        <w:rPr>
          <w:rFonts w:asciiTheme="majorBidi" w:hAnsiTheme="majorBidi" w:cstheme="majorBidi"/>
        </w:rPr>
        <w:t>&amp;</w:t>
      </w:r>
      <w:r w:rsidR="005B0B60" w:rsidRPr="00F11D4F">
        <w:rPr>
          <w:rFonts w:asciiTheme="majorBidi" w:hAnsiTheme="majorBidi" w:cstheme="majorBidi"/>
        </w:rPr>
        <w:t xml:space="preserve"> Franklin, </w:t>
      </w:r>
      <w:r w:rsidRPr="00F11D4F">
        <w:rPr>
          <w:rFonts w:asciiTheme="majorBidi" w:hAnsiTheme="majorBidi" w:cstheme="majorBidi"/>
        </w:rPr>
        <w:t xml:space="preserve">2020). </w:t>
      </w:r>
      <w:r w:rsidR="004552BD" w:rsidRPr="00F11D4F">
        <w:rPr>
          <w:rFonts w:asciiTheme="majorBidi" w:hAnsiTheme="majorBidi" w:cstheme="majorBidi"/>
        </w:rPr>
        <w:t xml:space="preserve">Despite stressing her anxiety of testifying in court and having to face the defendant who had tormented her for years, the victim supported a police </w:t>
      </w:r>
      <w:r w:rsidR="007F436A" w:rsidRPr="00F11D4F">
        <w:rPr>
          <w:rFonts w:asciiTheme="majorBidi" w:hAnsiTheme="majorBidi" w:cstheme="majorBidi"/>
        </w:rPr>
        <w:t>investigation</w:t>
      </w:r>
      <w:r w:rsidR="004552BD" w:rsidRPr="00F11D4F">
        <w:rPr>
          <w:rFonts w:asciiTheme="majorBidi" w:hAnsiTheme="majorBidi" w:cstheme="majorBidi"/>
        </w:rPr>
        <w:t>.</w:t>
      </w:r>
    </w:p>
    <w:p w14:paraId="1CA7F61A" w14:textId="77777777" w:rsidR="008E61F4" w:rsidRPr="00F11D4F" w:rsidRDefault="008E61F4" w:rsidP="00F11D4F">
      <w:pPr>
        <w:spacing w:line="360" w:lineRule="auto"/>
        <w:ind w:right="237"/>
        <w:jc w:val="both"/>
        <w:rPr>
          <w:rFonts w:asciiTheme="majorBidi" w:hAnsiTheme="majorBidi" w:cstheme="majorBidi"/>
          <w:color w:val="000000"/>
          <w:shd w:val="clear" w:color="auto" w:fill="FFFFFF"/>
        </w:rPr>
      </w:pPr>
    </w:p>
    <w:p w14:paraId="5A00CB28" w14:textId="1BF5CF3D" w:rsidR="00CD6D7B" w:rsidRPr="00F11D4F" w:rsidRDefault="00CD6D7B" w:rsidP="00F11D4F">
      <w:pPr>
        <w:spacing w:line="360" w:lineRule="auto"/>
        <w:ind w:right="237"/>
        <w:jc w:val="both"/>
        <w:rPr>
          <w:rFonts w:asciiTheme="majorBidi" w:hAnsiTheme="majorBidi" w:cstheme="majorBidi"/>
          <w:color w:val="000000"/>
          <w:shd w:val="clear" w:color="auto" w:fill="FFFFFF"/>
        </w:rPr>
      </w:pPr>
      <w:r w:rsidRPr="00F11D4F">
        <w:rPr>
          <w:rFonts w:asciiTheme="majorBidi" w:hAnsiTheme="majorBidi" w:cstheme="majorBidi"/>
          <w:color w:val="000000"/>
          <w:shd w:val="clear" w:color="auto" w:fill="FFFFFF"/>
        </w:rPr>
        <w:t xml:space="preserve">I paid careful attention to handling the situation sensitively </w:t>
      </w:r>
      <w:r w:rsidR="00272AF1" w:rsidRPr="00F11D4F">
        <w:rPr>
          <w:rFonts w:asciiTheme="majorBidi" w:hAnsiTheme="majorBidi" w:cstheme="majorBidi"/>
          <w:color w:val="000000"/>
          <w:shd w:val="clear" w:color="auto" w:fill="FFFFFF"/>
        </w:rPr>
        <w:t>through</w:t>
      </w:r>
      <w:r w:rsidRPr="00F11D4F">
        <w:rPr>
          <w:rFonts w:asciiTheme="majorBidi" w:hAnsiTheme="majorBidi" w:cstheme="majorBidi"/>
          <w:color w:val="000000"/>
          <w:shd w:val="clear" w:color="auto" w:fill="FFFFFF"/>
        </w:rPr>
        <w:t xml:space="preserve"> my </w:t>
      </w:r>
      <w:r w:rsidR="008A2BA6" w:rsidRPr="00F11D4F">
        <w:rPr>
          <w:rFonts w:asciiTheme="majorBidi" w:hAnsiTheme="majorBidi" w:cstheme="majorBidi"/>
          <w:color w:val="000000"/>
          <w:shd w:val="clear" w:color="auto" w:fill="FFFFFF"/>
        </w:rPr>
        <w:t>communication</w:t>
      </w:r>
      <w:r w:rsidR="008A2BA6" w:rsidRPr="00F11D4F">
        <w:rPr>
          <w:rFonts w:asciiTheme="majorBidi" w:hAnsiTheme="majorBidi" w:cstheme="majorBidi"/>
          <w:shd w:val="clear" w:color="auto" w:fill="FFFFFF"/>
        </w:rPr>
        <w:t>.</w:t>
      </w:r>
      <w:r w:rsidRPr="00F11D4F">
        <w:rPr>
          <w:rFonts w:asciiTheme="majorBidi" w:hAnsiTheme="majorBidi" w:cstheme="majorBidi"/>
          <w:shd w:val="clear" w:color="auto" w:fill="FFFFFF"/>
        </w:rPr>
        <w:t xml:space="preserve"> For victims of sexual assaults to provide the "best evidence," the courts believe it is critical to </w:t>
      </w:r>
      <w:r w:rsidRPr="00F11D4F">
        <w:rPr>
          <w:rFonts w:asciiTheme="majorBidi" w:hAnsiTheme="majorBidi" w:cstheme="majorBidi"/>
          <w:shd w:val="clear" w:color="auto" w:fill="FFFFFF"/>
        </w:rPr>
        <w:lastRenderedPageBreak/>
        <w:t>enhance their experiences (</w:t>
      </w:r>
      <w:r w:rsidR="005B0B60" w:rsidRPr="00F11D4F">
        <w:rPr>
          <w:rFonts w:asciiTheme="majorBidi" w:hAnsiTheme="majorBidi" w:cstheme="majorBidi"/>
          <w:shd w:val="clear" w:color="auto" w:fill="FFFFFF"/>
        </w:rPr>
        <w:t xml:space="preserve">Majeed-Ariss et al., </w:t>
      </w:r>
      <w:r w:rsidRPr="00F11D4F">
        <w:rPr>
          <w:rFonts w:asciiTheme="majorBidi" w:hAnsiTheme="majorBidi" w:cstheme="majorBidi"/>
          <w:shd w:val="clear" w:color="auto" w:fill="FFFFFF"/>
        </w:rPr>
        <w:t>2006).</w:t>
      </w:r>
      <w:r w:rsidR="00F70EC2" w:rsidRPr="00F11D4F">
        <w:rPr>
          <w:rFonts w:asciiTheme="majorBidi" w:hAnsiTheme="majorBidi" w:cstheme="majorBidi"/>
          <w:color w:val="000000"/>
          <w:shd w:val="clear" w:color="auto" w:fill="FFFFFF"/>
        </w:rPr>
        <w:t xml:space="preserve"> </w:t>
      </w:r>
      <w:r w:rsidRPr="00F11D4F">
        <w:rPr>
          <w:rFonts w:asciiTheme="majorBidi" w:hAnsiTheme="majorBidi" w:cstheme="majorBidi"/>
        </w:rPr>
        <w:t xml:space="preserve">The Youth Justice and Criminal Evidence Act 1999 (YJCEA) introduced a series of provisions that can be used to facilitate the gathering and giving of evidence by vulnerable and intimidated witnesses. </w:t>
      </w:r>
      <w:r w:rsidR="00F70EC2" w:rsidRPr="00F11D4F">
        <w:rPr>
          <w:rFonts w:asciiTheme="majorBidi" w:hAnsiTheme="majorBidi" w:cstheme="majorBidi"/>
        </w:rPr>
        <w:t xml:space="preserve">Under </w:t>
      </w:r>
      <w:r w:rsidR="00031E28" w:rsidRPr="00F11D4F">
        <w:rPr>
          <w:rFonts w:asciiTheme="majorBidi" w:hAnsiTheme="majorBidi" w:cstheme="majorBidi"/>
          <w:color w:val="000000"/>
          <w:shd w:val="clear" w:color="auto" w:fill="FFFFFF"/>
        </w:rPr>
        <w:t>Section 17(4)</w:t>
      </w:r>
      <w:r w:rsidRPr="00F11D4F">
        <w:rPr>
          <w:rFonts w:asciiTheme="majorBidi" w:hAnsiTheme="majorBidi" w:cstheme="majorBidi"/>
          <w:color w:val="000000"/>
          <w:shd w:val="clear" w:color="auto" w:fill="FFFFFF"/>
        </w:rPr>
        <w:t xml:space="preserve"> </w:t>
      </w:r>
      <w:r w:rsidR="00031E28" w:rsidRPr="00F11D4F">
        <w:rPr>
          <w:rFonts w:asciiTheme="majorBidi" w:hAnsiTheme="majorBidi" w:cstheme="majorBidi"/>
          <w:color w:val="000000"/>
          <w:shd w:val="clear" w:color="auto" w:fill="FFFFFF"/>
        </w:rPr>
        <w:t xml:space="preserve">a sexual offence victim is </w:t>
      </w:r>
      <w:r w:rsidRPr="00F11D4F">
        <w:rPr>
          <w:rFonts w:asciiTheme="majorBidi" w:hAnsiTheme="majorBidi" w:cstheme="majorBidi"/>
          <w:color w:val="000000"/>
          <w:shd w:val="clear" w:color="auto" w:fill="FFFFFF"/>
        </w:rPr>
        <w:t>eligible for assistance by virtue of this subsection that the quality of evidence by the victim is likely to be diminished by reason of fear or distress in testing in the criminal proceedings</w:t>
      </w:r>
      <w:r w:rsidRPr="00F11D4F">
        <w:rPr>
          <w:rFonts w:asciiTheme="majorBidi" w:hAnsiTheme="majorBidi" w:cstheme="majorBidi"/>
          <w:shd w:val="clear" w:color="auto" w:fill="FFFFFF"/>
        </w:rPr>
        <w:t xml:space="preserve">. A video recorded interview had been conducted with the victim whereby the recording was intended to be played in court as evidence in chief. </w:t>
      </w:r>
      <w:r w:rsidRPr="00F11D4F">
        <w:rPr>
          <w:rFonts w:asciiTheme="majorBidi" w:hAnsiTheme="majorBidi" w:cstheme="majorBidi"/>
          <w:color w:val="000000"/>
          <w:shd w:val="clear" w:color="auto" w:fill="FFFFFF"/>
        </w:rPr>
        <w:t xml:space="preserve">I explained </w:t>
      </w:r>
      <w:r w:rsidR="00031E28" w:rsidRPr="00F11D4F">
        <w:rPr>
          <w:rFonts w:asciiTheme="majorBidi" w:hAnsiTheme="majorBidi" w:cstheme="majorBidi"/>
          <w:color w:val="000000"/>
          <w:shd w:val="clear" w:color="auto" w:fill="FFFFFF"/>
        </w:rPr>
        <w:t>this to</w:t>
      </w:r>
      <w:r w:rsidRPr="00F11D4F">
        <w:rPr>
          <w:rFonts w:asciiTheme="majorBidi" w:hAnsiTheme="majorBidi" w:cstheme="majorBidi"/>
          <w:color w:val="000000"/>
          <w:shd w:val="clear" w:color="auto" w:fill="FFFFFF"/>
        </w:rPr>
        <w:t xml:space="preserve"> the victim </w:t>
      </w:r>
      <w:r w:rsidR="00031E28" w:rsidRPr="00F11D4F">
        <w:rPr>
          <w:rFonts w:asciiTheme="majorBidi" w:hAnsiTheme="majorBidi" w:cstheme="majorBidi"/>
          <w:color w:val="000000"/>
          <w:shd w:val="clear" w:color="auto" w:fill="FFFFFF"/>
        </w:rPr>
        <w:t>and explained it prevented her having</w:t>
      </w:r>
      <w:r w:rsidRPr="00F11D4F">
        <w:rPr>
          <w:rFonts w:asciiTheme="majorBidi" w:hAnsiTheme="majorBidi" w:cstheme="majorBidi"/>
          <w:color w:val="000000"/>
          <w:shd w:val="clear" w:color="auto" w:fill="FFFFFF"/>
        </w:rPr>
        <w:t xml:space="preserve"> </w:t>
      </w:r>
      <w:r w:rsidR="00031E28" w:rsidRPr="00F11D4F">
        <w:rPr>
          <w:rFonts w:asciiTheme="majorBidi" w:hAnsiTheme="majorBidi" w:cstheme="majorBidi"/>
          <w:color w:val="000000"/>
          <w:shd w:val="clear" w:color="auto" w:fill="FFFFFF"/>
        </w:rPr>
        <w:t>to repeat her account</w:t>
      </w:r>
      <w:r w:rsidRPr="00F11D4F">
        <w:rPr>
          <w:rFonts w:asciiTheme="majorBidi" w:hAnsiTheme="majorBidi" w:cstheme="majorBidi"/>
          <w:shd w:val="clear" w:color="auto" w:fill="FFFFFF"/>
        </w:rPr>
        <w:t>.</w:t>
      </w:r>
      <w:r w:rsidR="008A2BA6" w:rsidRPr="00F11D4F">
        <w:rPr>
          <w:rFonts w:asciiTheme="majorBidi" w:hAnsiTheme="majorBidi" w:cstheme="majorBidi"/>
          <w:shd w:val="clear" w:color="auto" w:fill="FFFFFF"/>
        </w:rPr>
        <w:t xml:space="preserve"> </w:t>
      </w:r>
      <w:r w:rsidR="008A2BA6" w:rsidRPr="00F11D4F">
        <w:rPr>
          <w:rFonts w:asciiTheme="majorBidi" w:hAnsiTheme="majorBidi" w:cstheme="majorBidi"/>
          <w:color w:val="000000" w:themeColor="text1"/>
          <w:shd w:val="clear" w:color="auto" w:fill="FFFFFF"/>
        </w:rPr>
        <w:t xml:space="preserve">Westera et al (2015) prosecutors criticised the way the Police conducted the video-recorded interview </w:t>
      </w:r>
      <w:r w:rsidR="00272AF1" w:rsidRPr="00F11D4F">
        <w:rPr>
          <w:rFonts w:asciiTheme="majorBidi" w:hAnsiTheme="majorBidi" w:cstheme="majorBidi"/>
          <w:color w:val="000000" w:themeColor="text1"/>
          <w:shd w:val="clear" w:color="auto" w:fill="FFFFFF"/>
        </w:rPr>
        <w:t>due to</w:t>
      </w:r>
      <w:r w:rsidR="008A2BA6" w:rsidRPr="00F11D4F">
        <w:rPr>
          <w:rFonts w:asciiTheme="majorBidi" w:hAnsiTheme="majorBidi" w:cstheme="majorBidi"/>
          <w:color w:val="000000" w:themeColor="text1"/>
          <w:shd w:val="clear" w:color="auto" w:fill="FFFFFF"/>
        </w:rPr>
        <w:t xml:space="preserve"> present</w:t>
      </w:r>
      <w:r w:rsidR="00272AF1" w:rsidRPr="00F11D4F">
        <w:rPr>
          <w:rFonts w:asciiTheme="majorBidi" w:hAnsiTheme="majorBidi" w:cstheme="majorBidi"/>
          <w:color w:val="000000" w:themeColor="text1"/>
          <w:shd w:val="clear" w:color="auto" w:fill="FFFFFF"/>
        </w:rPr>
        <w:t>ing</w:t>
      </w:r>
      <w:r w:rsidR="008A2BA6" w:rsidRPr="00F11D4F">
        <w:rPr>
          <w:rFonts w:asciiTheme="majorBidi" w:hAnsiTheme="majorBidi" w:cstheme="majorBidi"/>
          <w:color w:val="000000" w:themeColor="text1"/>
          <w:shd w:val="clear" w:color="auto" w:fill="FFFFFF"/>
        </w:rPr>
        <w:t xml:space="preserve"> </w:t>
      </w:r>
      <w:r w:rsidR="008A2BA6" w:rsidRPr="00F11D4F">
        <w:rPr>
          <w:rFonts w:asciiTheme="majorBidi" w:hAnsiTheme="majorBidi" w:cstheme="majorBidi"/>
          <w:color w:val="000000" w:themeColor="text1"/>
        </w:rPr>
        <w:t>lengthy and not mirro</w:t>
      </w:r>
      <w:r w:rsidR="00272AF1" w:rsidRPr="00F11D4F">
        <w:rPr>
          <w:rFonts w:asciiTheme="majorBidi" w:hAnsiTheme="majorBidi" w:cstheme="majorBidi"/>
          <w:color w:val="000000" w:themeColor="text1"/>
        </w:rPr>
        <w:t>ing</w:t>
      </w:r>
      <w:r w:rsidR="008A2BA6" w:rsidRPr="00F11D4F">
        <w:rPr>
          <w:rFonts w:asciiTheme="majorBidi" w:hAnsiTheme="majorBidi" w:cstheme="majorBidi"/>
          <w:color w:val="000000" w:themeColor="text1"/>
        </w:rPr>
        <w:t xml:space="preserve">r a normal human </w:t>
      </w:r>
      <w:r w:rsidR="004552BD" w:rsidRPr="00F11D4F">
        <w:rPr>
          <w:rFonts w:asciiTheme="majorBidi" w:hAnsiTheme="majorBidi" w:cstheme="majorBidi"/>
          <w:color w:val="000000" w:themeColor="text1"/>
        </w:rPr>
        <w:t xml:space="preserve">conversation. </w:t>
      </w:r>
      <w:r w:rsidR="004552BD" w:rsidRPr="00F11D4F">
        <w:rPr>
          <w:rFonts w:asciiTheme="majorBidi" w:hAnsiTheme="majorBidi" w:cstheme="majorBidi"/>
          <w:color w:val="000000" w:themeColor="text1"/>
        </w:rPr>
        <w:t>Despite issues with police procedures in video-</w:t>
      </w:r>
      <w:r w:rsidR="004552BD" w:rsidRPr="00F11D4F">
        <w:rPr>
          <w:rFonts w:asciiTheme="majorBidi" w:hAnsiTheme="majorBidi" w:cstheme="majorBidi"/>
          <w:color w:val="000000" w:themeColor="text1"/>
        </w:rPr>
        <w:t>interview,</w:t>
      </w:r>
      <w:r w:rsidR="004552BD" w:rsidRPr="00F11D4F">
        <w:rPr>
          <w:rFonts w:asciiTheme="majorBidi" w:hAnsiTheme="majorBidi" w:cstheme="majorBidi"/>
          <w:color w:val="000000" w:themeColor="text1"/>
        </w:rPr>
        <w:t xml:space="preserve"> the advantages far outweigh the disadvantages.</w:t>
      </w:r>
    </w:p>
    <w:p w14:paraId="0F00ECDB" w14:textId="77777777" w:rsidR="00272AF1" w:rsidRPr="00F11D4F" w:rsidRDefault="00272AF1" w:rsidP="00F11D4F">
      <w:pPr>
        <w:spacing w:line="360" w:lineRule="auto"/>
        <w:rPr>
          <w:rFonts w:asciiTheme="majorBidi" w:hAnsiTheme="majorBidi" w:cstheme="majorBidi"/>
          <w:color w:val="000000" w:themeColor="text1"/>
          <w:shd w:val="clear" w:color="auto" w:fill="FFFFFF"/>
        </w:rPr>
      </w:pPr>
    </w:p>
    <w:p w14:paraId="6ABB578C" w14:textId="0CB8221A" w:rsidR="00BE621D" w:rsidRPr="00F11D4F" w:rsidRDefault="00272AF1" w:rsidP="00F11D4F">
      <w:pPr>
        <w:spacing w:line="360" w:lineRule="auto"/>
        <w:rPr>
          <w:rFonts w:asciiTheme="majorBidi" w:hAnsiTheme="majorBidi" w:cstheme="majorBidi"/>
          <w:color w:val="000000" w:themeColor="text1"/>
        </w:rPr>
      </w:pPr>
      <w:r w:rsidRPr="00F11D4F">
        <w:rPr>
          <w:rFonts w:asciiTheme="majorBidi" w:hAnsiTheme="majorBidi" w:cstheme="majorBidi"/>
          <w:color w:val="000000" w:themeColor="text1"/>
          <w:shd w:val="clear" w:color="auto" w:fill="FFFFFF"/>
        </w:rPr>
        <w:t xml:space="preserve">Numerous factors can cause a victim to withhold or postpone reporting a sexual assault. </w:t>
      </w:r>
      <w:r w:rsidR="00494664" w:rsidRPr="00F11D4F">
        <w:rPr>
          <w:rFonts w:asciiTheme="majorBidi" w:hAnsiTheme="majorBidi" w:cstheme="majorBidi"/>
          <w:color w:val="000000" w:themeColor="text1"/>
          <w:shd w:val="clear" w:color="auto" w:fill="FFFFFF"/>
        </w:rPr>
        <w:t>or rape (Hohl and Stanko, 2015). It might be because of a fear of not being believed or criticised for their choices (Ade</w:t>
      </w:r>
      <w:r w:rsidR="005B0B60" w:rsidRPr="00F11D4F">
        <w:rPr>
          <w:rFonts w:asciiTheme="majorBidi" w:hAnsiTheme="majorBidi" w:cstheme="majorBidi"/>
          <w:color w:val="000000" w:themeColor="text1"/>
          <w:shd w:val="clear" w:color="auto" w:fill="FFFFFF"/>
        </w:rPr>
        <w:t>folalu</w:t>
      </w:r>
      <w:r w:rsidR="00494664" w:rsidRPr="00F11D4F">
        <w:rPr>
          <w:rFonts w:asciiTheme="majorBidi" w:hAnsiTheme="majorBidi" w:cstheme="majorBidi"/>
          <w:color w:val="000000" w:themeColor="text1"/>
          <w:shd w:val="clear" w:color="auto" w:fill="FFFFFF"/>
        </w:rPr>
        <w:t>, 2013</w:t>
      </w:r>
      <w:r w:rsidR="008A2BA6" w:rsidRPr="00F11D4F">
        <w:rPr>
          <w:rFonts w:asciiTheme="majorBidi" w:hAnsiTheme="majorBidi" w:cstheme="majorBidi"/>
          <w:color w:val="000000" w:themeColor="text1"/>
          <w:shd w:val="clear" w:color="auto" w:fill="FFFFFF"/>
        </w:rPr>
        <w:t xml:space="preserve">; </w:t>
      </w:r>
      <w:r w:rsidR="008A2BA6" w:rsidRPr="00F11D4F">
        <w:rPr>
          <w:rFonts w:asciiTheme="majorBidi" w:hAnsiTheme="majorBidi" w:cstheme="majorBidi"/>
          <w:color w:val="000000" w:themeColor="text1"/>
          <w:shd w:val="clear" w:color="auto" w:fill="FCFCFC"/>
        </w:rPr>
        <w:t>(Cassidy et al., 2020)</w:t>
      </w:r>
      <w:r w:rsidR="008A2BA6" w:rsidRPr="00F11D4F">
        <w:rPr>
          <w:rFonts w:asciiTheme="majorBidi" w:hAnsiTheme="majorBidi" w:cstheme="majorBidi"/>
          <w:color w:val="000000" w:themeColor="text1"/>
        </w:rPr>
        <w:t>.</w:t>
      </w:r>
      <w:r w:rsidR="004552BD" w:rsidRPr="00F11D4F">
        <w:rPr>
          <w:rFonts w:asciiTheme="majorBidi" w:hAnsiTheme="majorBidi" w:cstheme="majorBidi"/>
          <w:color w:val="000000" w:themeColor="text1"/>
          <w:shd w:val="clear" w:color="auto" w:fill="FFFFFF"/>
        </w:rPr>
        <w:t xml:space="preserve"> </w:t>
      </w:r>
      <w:r w:rsidR="00DC5AA4" w:rsidRPr="00F11D4F">
        <w:rPr>
          <w:rFonts w:asciiTheme="majorBidi" w:hAnsiTheme="majorBidi" w:cstheme="majorBidi"/>
        </w:rPr>
        <w:t xml:space="preserve">There are multiple factors </w:t>
      </w:r>
      <w:r w:rsidR="00F70EC2" w:rsidRPr="00F11D4F">
        <w:rPr>
          <w:rFonts w:asciiTheme="majorBidi" w:hAnsiTheme="majorBidi" w:cstheme="majorBidi"/>
        </w:rPr>
        <w:t>influencing</w:t>
      </w:r>
      <w:r w:rsidR="00DC5AA4" w:rsidRPr="00F11D4F">
        <w:rPr>
          <w:rFonts w:asciiTheme="majorBidi" w:hAnsiTheme="majorBidi" w:cstheme="majorBidi"/>
        </w:rPr>
        <w:t xml:space="preserve"> </w:t>
      </w:r>
      <w:r w:rsidR="00F70EC2" w:rsidRPr="00F11D4F">
        <w:rPr>
          <w:rFonts w:asciiTheme="majorBidi" w:hAnsiTheme="majorBidi" w:cstheme="majorBidi"/>
        </w:rPr>
        <w:t>vulnerability</w:t>
      </w:r>
      <w:r w:rsidR="00DC5AA4" w:rsidRPr="00F11D4F">
        <w:rPr>
          <w:rFonts w:asciiTheme="majorBidi" w:hAnsiTheme="majorBidi" w:cstheme="majorBidi"/>
        </w:rPr>
        <w:t xml:space="preserve"> sexual assault. For example, a person can be vulnerable due to their age, mental health, learning disabilities. Intellectually disabled women are more likely to be victims of sexual violence than nondisabled women (</w:t>
      </w:r>
      <w:r w:rsidR="005B0B60" w:rsidRPr="00F11D4F">
        <w:rPr>
          <w:rFonts w:asciiTheme="majorBidi" w:hAnsiTheme="majorBidi" w:cstheme="majorBidi"/>
        </w:rPr>
        <w:t>Mailhot Amborski,</w:t>
      </w:r>
      <w:r w:rsidR="005B0B60" w:rsidRPr="00F11D4F">
        <w:rPr>
          <w:rFonts w:asciiTheme="majorBidi" w:hAnsiTheme="majorBidi" w:cstheme="majorBidi"/>
        </w:rPr>
        <w:t>, 2021</w:t>
      </w:r>
      <w:r w:rsidR="00DC5AA4" w:rsidRPr="00F11D4F">
        <w:rPr>
          <w:rFonts w:asciiTheme="majorBidi" w:hAnsiTheme="majorBidi" w:cstheme="majorBidi"/>
        </w:rPr>
        <w:t>). By identifying relevant risk factors detailed by academic literature, the Police afford the insight into the reasons they suffer higher risk of sexual assault owing to social, environmental and individual factors (Ullman &amp; Najdowski, 2011). In short, by un</w:t>
      </w:r>
      <w:r w:rsidR="00DC5AA4" w:rsidRPr="00F11D4F">
        <w:rPr>
          <w:rFonts w:asciiTheme="majorBidi" w:eastAsia="Calibri" w:hAnsiTheme="majorBidi" w:cstheme="majorBidi"/>
          <w:color w:val="000000" w:themeColor="text1"/>
        </w:rPr>
        <w:t>derstanding the underlying philosophies, crime prevention strategy can be implemented to reducing offending</w:t>
      </w:r>
      <w:r w:rsidR="008A2BA6" w:rsidRPr="00F11D4F">
        <w:rPr>
          <w:rFonts w:asciiTheme="majorBidi" w:eastAsia="Calibri" w:hAnsiTheme="majorBidi" w:cstheme="majorBidi"/>
          <w:color w:val="000000" w:themeColor="text1"/>
        </w:rPr>
        <w:t xml:space="preserve"> and prevent repeat-victimisation</w:t>
      </w:r>
      <w:r w:rsidR="00DC5AA4" w:rsidRPr="00F11D4F">
        <w:rPr>
          <w:rFonts w:asciiTheme="majorBidi" w:eastAsia="Calibri" w:hAnsiTheme="majorBidi" w:cstheme="majorBidi"/>
          <w:color w:val="000000" w:themeColor="text1"/>
        </w:rPr>
        <w:t xml:space="preserve"> using evidence-based policing. An evidence-based approach regularly examines hypotheses with the results of empirical study, as opposed to basing judgements on theory, assumptions, tradition, or convention (Sherman, 2013).</w:t>
      </w:r>
    </w:p>
    <w:p w14:paraId="2C22244C" w14:textId="77777777" w:rsidR="0021255D" w:rsidRPr="00F11D4F" w:rsidRDefault="0021255D" w:rsidP="00F11D4F">
      <w:pPr>
        <w:spacing w:line="360" w:lineRule="auto"/>
        <w:rPr>
          <w:rFonts w:asciiTheme="majorBidi" w:eastAsia="Calibri" w:hAnsiTheme="majorBidi" w:cstheme="majorBidi"/>
          <w:color w:val="000000" w:themeColor="text1"/>
        </w:rPr>
      </w:pPr>
    </w:p>
    <w:p w14:paraId="7C92CB03" w14:textId="1040D056" w:rsidR="00BE621D" w:rsidRPr="00F11D4F" w:rsidRDefault="00DC5AA4" w:rsidP="00F11D4F">
      <w:pPr>
        <w:spacing w:line="360" w:lineRule="auto"/>
        <w:rPr>
          <w:rFonts w:asciiTheme="majorBidi" w:hAnsiTheme="majorBidi" w:cstheme="majorBidi"/>
          <w:color w:val="000000" w:themeColor="text1"/>
        </w:rPr>
      </w:pPr>
      <w:r w:rsidRPr="00F11D4F">
        <w:rPr>
          <w:rFonts w:asciiTheme="majorBidi" w:eastAsia="Calibri" w:hAnsiTheme="majorBidi" w:cstheme="majorBidi"/>
          <w:color w:val="000000" w:themeColor="text1"/>
        </w:rPr>
        <w:t>In relation to reducing repeat offending with</w:t>
      </w:r>
      <w:r w:rsidR="00272AF1" w:rsidRPr="00F11D4F">
        <w:rPr>
          <w:rFonts w:asciiTheme="majorBidi" w:eastAsia="Calibri" w:hAnsiTheme="majorBidi" w:cstheme="majorBidi"/>
          <w:color w:val="000000" w:themeColor="text1"/>
        </w:rPr>
        <w:t>in</w:t>
      </w:r>
      <w:r w:rsidRPr="00F11D4F">
        <w:rPr>
          <w:rFonts w:asciiTheme="majorBidi" w:eastAsia="Calibri" w:hAnsiTheme="majorBidi" w:cstheme="majorBidi"/>
          <w:color w:val="000000" w:themeColor="text1"/>
        </w:rPr>
        <w:t xml:space="preserve"> sexual offences, the Serious Crime Analysis Section (SCAS) is a database that holds details of serious sexual offence committed in the UK which is then analys</w:t>
      </w:r>
      <w:r w:rsidR="007F436A" w:rsidRPr="00F11D4F">
        <w:rPr>
          <w:rFonts w:asciiTheme="majorBidi" w:eastAsia="Calibri" w:hAnsiTheme="majorBidi" w:cstheme="majorBidi"/>
          <w:color w:val="000000" w:themeColor="text1"/>
        </w:rPr>
        <w:t>ed</w:t>
      </w:r>
      <w:r w:rsidRPr="00F11D4F">
        <w:rPr>
          <w:rFonts w:asciiTheme="majorBidi" w:eastAsia="Calibri" w:hAnsiTheme="majorBidi" w:cstheme="majorBidi"/>
          <w:color w:val="000000" w:themeColor="text1"/>
        </w:rPr>
        <w:t xml:space="preserve"> to identify the potential emergences of serial rapists at the earliest stage of their offending (National Crime Agency, 2023).</w:t>
      </w:r>
      <w:r w:rsidR="00BE621D" w:rsidRPr="00F11D4F">
        <w:rPr>
          <w:rFonts w:asciiTheme="majorBidi" w:eastAsia="Calibri" w:hAnsiTheme="majorBidi" w:cstheme="majorBidi"/>
          <w:color w:val="000000" w:themeColor="text1"/>
        </w:rPr>
        <w:t xml:space="preserve"> UK </w:t>
      </w:r>
      <w:r w:rsidR="00BE5D70" w:rsidRPr="00F11D4F">
        <w:rPr>
          <w:rFonts w:asciiTheme="majorBidi" w:eastAsia="Calibri" w:hAnsiTheme="majorBidi" w:cstheme="majorBidi"/>
          <w:color w:val="000000" w:themeColor="text1"/>
        </w:rPr>
        <w:t>Parliament</w:t>
      </w:r>
      <w:r w:rsidR="00BE621D" w:rsidRPr="00F11D4F">
        <w:rPr>
          <w:rFonts w:asciiTheme="majorBidi" w:eastAsia="Calibri" w:hAnsiTheme="majorBidi" w:cstheme="majorBidi"/>
          <w:color w:val="000000" w:themeColor="text1"/>
        </w:rPr>
        <w:t xml:space="preserve"> (</w:t>
      </w:r>
      <w:r w:rsidR="00CA7DC2" w:rsidRPr="00F11D4F">
        <w:rPr>
          <w:rFonts w:asciiTheme="majorBidi" w:eastAsia="Calibri" w:hAnsiTheme="majorBidi" w:cstheme="majorBidi"/>
          <w:color w:val="000000" w:themeColor="text1"/>
        </w:rPr>
        <w:t>2018</w:t>
      </w:r>
      <w:r w:rsidR="00BE621D" w:rsidRPr="00F11D4F">
        <w:rPr>
          <w:rFonts w:asciiTheme="majorBidi" w:eastAsia="Calibri" w:hAnsiTheme="majorBidi" w:cstheme="majorBidi"/>
          <w:color w:val="000000" w:themeColor="text1"/>
        </w:rPr>
        <w:t xml:space="preserve">) </w:t>
      </w:r>
      <w:r w:rsidR="007F436A" w:rsidRPr="00F11D4F">
        <w:rPr>
          <w:rFonts w:asciiTheme="majorBidi" w:eastAsia="Calibri" w:hAnsiTheme="majorBidi" w:cstheme="majorBidi"/>
          <w:color w:val="000000" w:themeColor="text1"/>
        </w:rPr>
        <w:t>suggest</w:t>
      </w:r>
      <w:r w:rsidR="00BE621D" w:rsidRPr="00F11D4F">
        <w:rPr>
          <w:rFonts w:asciiTheme="majorBidi" w:eastAsia="Calibri" w:hAnsiTheme="majorBidi" w:cstheme="majorBidi"/>
          <w:color w:val="000000" w:themeColor="text1"/>
        </w:rPr>
        <w:t xml:space="preserve"> that SCAS is one of the best </w:t>
      </w:r>
      <w:r w:rsidR="00CA7DC2" w:rsidRPr="00F11D4F">
        <w:rPr>
          <w:rFonts w:asciiTheme="majorBidi" w:eastAsia="Calibri" w:hAnsiTheme="majorBidi" w:cstheme="majorBidi"/>
          <w:color w:val="000000" w:themeColor="text1"/>
        </w:rPr>
        <w:t>databases</w:t>
      </w:r>
      <w:r w:rsidR="00BE621D" w:rsidRPr="00F11D4F">
        <w:rPr>
          <w:rFonts w:asciiTheme="majorBidi" w:eastAsia="Calibri" w:hAnsiTheme="majorBidi" w:cstheme="majorBidi"/>
          <w:color w:val="000000" w:themeColor="text1"/>
        </w:rPr>
        <w:t xml:space="preserve"> that provides the highest quality of crime linkage to investigation and prosecution for sex offences. </w:t>
      </w:r>
      <w:r w:rsidR="00BE5D70" w:rsidRPr="00F11D4F">
        <w:rPr>
          <w:rFonts w:asciiTheme="majorBidi" w:eastAsia="Calibri" w:hAnsiTheme="majorBidi" w:cstheme="majorBidi"/>
          <w:color w:val="000000" w:themeColor="text1"/>
        </w:rPr>
        <w:t xml:space="preserve">This suggest that cases of reducing offending, predictive policing is more effective than evidence-based policing. Predictive policing uses </w:t>
      </w:r>
      <w:r w:rsidR="00BE5D70" w:rsidRPr="00F11D4F">
        <w:rPr>
          <w:rFonts w:asciiTheme="majorBidi" w:eastAsia="Calibri" w:hAnsiTheme="majorBidi" w:cstheme="majorBidi"/>
          <w:color w:val="000000" w:themeColor="text1"/>
        </w:rPr>
        <w:lastRenderedPageBreak/>
        <w:t xml:space="preserve">science to calculate the risks in relation to a crime, in this case sexual offence by inputting data into a programmes/database, to be analysed and for an output </w:t>
      </w:r>
      <w:r w:rsidR="00BE5D70" w:rsidRPr="00F11D4F">
        <w:rPr>
          <w:rFonts w:asciiTheme="majorBidi" w:hAnsiTheme="majorBidi" w:cstheme="majorBidi"/>
          <w:color w:val="000000" w:themeColor="text1"/>
        </w:rPr>
        <w:t>(Essex Police, 20</w:t>
      </w:r>
      <w:r w:rsidR="00CA7DC2" w:rsidRPr="00F11D4F">
        <w:rPr>
          <w:rFonts w:asciiTheme="majorBidi" w:hAnsiTheme="majorBidi" w:cstheme="majorBidi"/>
          <w:color w:val="000000" w:themeColor="text1"/>
        </w:rPr>
        <w:t>14</w:t>
      </w:r>
      <w:r w:rsidR="00BE5D70" w:rsidRPr="00F11D4F">
        <w:rPr>
          <w:rFonts w:asciiTheme="majorBidi" w:hAnsiTheme="majorBidi" w:cstheme="majorBidi"/>
          <w:color w:val="000000" w:themeColor="text1"/>
        </w:rPr>
        <w:t>).</w:t>
      </w:r>
    </w:p>
    <w:p w14:paraId="6F6EB823" w14:textId="77777777" w:rsidR="004552BD" w:rsidRPr="00F11D4F" w:rsidRDefault="004552BD" w:rsidP="00F11D4F">
      <w:pPr>
        <w:spacing w:line="360" w:lineRule="auto"/>
        <w:rPr>
          <w:rFonts w:asciiTheme="majorBidi" w:eastAsia="Calibri" w:hAnsiTheme="majorBidi" w:cstheme="majorBidi"/>
          <w:color w:val="000000" w:themeColor="text1"/>
        </w:rPr>
      </w:pPr>
    </w:p>
    <w:p w14:paraId="7CB7E7E9" w14:textId="025F0253" w:rsidR="00BE5D70" w:rsidRPr="00F11D4F" w:rsidRDefault="004552BD" w:rsidP="00F11D4F">
      <w:pPr>
        <w:spacing w:line="360" w:lineRule="auto"/>
        <w:rPr>
          <w:rFonts w:asciiTheme="majorBidi" w:eastAsia="Calibri" w:hAnsiTheme="majorBidi" w:cstheme="majorBidi"/>
          <w:color w:val="000000" w:themeColor="text1"/>
        </w:rPr>
      </w:pPr>
      <w:r w:rsidRPr="00F11D4F">
        <w:rPr>
          <w:rFonts w:asciiTheme="majorBidi" w:eastAsia="Calibri" w:hAnsiTheme="majorBidi" w:cstheme="majorBidi"/>
          <w:color w:val="000000" w:themeColor="text1"/>
        </w:rPr>
        <w:t xml:space="preserve">Evidence-based policing, sometimes referred to as problem-oriented police, is a method that has been shown to be successful in lowering crime of all kinds. </w:t>
      </w:r>
      <w:r w:rsidR="00BE5D70" w:rsidRPr="00F11D4F">
        <w:rPr>
          <w:rFonts w:asciiTheme="majorBidi" w:eastAsia="Calibri" w:hAnsiTheme="majorBidi" w:cstheme="majorBidi"/>
          <w:color w:val="000000" w:themeColor="text1"/>
        </w:rPr>
        <w:t>(</w:t>
      </w:r>
      <w:r w:rsidR="00BE5D70" w:rsidRPr="00F11D4F">
        <w:rPr>
          <w:rFonts w:asciiTheme="majorBidi" w:hAnsiTheme="majorBidi" w:cstheme="majorBidi"/>
          <w:color w:val="000000" w:themeColor="text1"/>
        </w:rPr>
        <w:t xml:space="preserve">Miller et al., 2014). The government </w:t>
      </w:r>
      <w:r w:rsidR="00775930" w:rsidRPr="00F11D4F">
        <w:rPr>
          <w:rFonts w:asciiTheme="majorBidi" w:hAnsiTheme="majorBidi" w:cstheme="majorBidi"/>
          <w:color w:val="000000" w:themeColor="text1"/>
        </w:rPr>
        <w:t>introduced a strategy to tackle violence against women and girls. Literature suggests that violence against females are so prevalent that many females don't even consider them to be crimes to be of significance to be reported. For example, of being threatened of sexually touched by strangers. College of Policing (2022</w:t>
      </w:r>
      <w:r w:rsidR="0015461A" w:rsidRPr="00F11D4F">
        <w:rPr>
          <w:rFonts w:asciiTheme="majorBidi" w:hAnsiTheme="majorBidi" w:cstheme="majorBidi"/>
          <w:color w:val="000000" w:themeColor="text1"/>
        </w:rPr>
        <w:t>a</w:t>
      </w:r>
      <w:r w:rsidR="00775930" w:rsidRPr="00F11D4F">
        <w:rPr>
          <w:rFonts w:asciiTheme="majorBidi" w:hAnsiTheme="majorBidi" w:cstheme="majorBidi"/>
          <w:color w:val="000000" w:themeColor="text1"/>
        </w:rPr>
        <w:t xml:space="preserve">) highlights that to reduce sexual offending behaviours on sexual transport there is a necessity for greater surveillance </w:t>
      </w:r>
      <w:r w:rsidR="007F436A" w:rsidRPr="00F11D4F">
        <w:rPr>
          <w:rFonts w:asciiTheme="majorBidi" w:hAnsiTheme="majorBidi" w:cstheme="majorBidi"/>
          <w:color w:val="000000" w:themeColor="text1"/>
        </w:rPr>
        <w:t>by</w:t>
      </w:r>
      <w:r w:rsidR="00775930" w:rsidRPr="00F11D4F">
        <w:rPr>
          <w:rFonts w:asciiTheme="majorBidi" w:hAnsiTheme="majorBidi" w:cstheme="majorBidi"/>
          <w:color w:val="000000" w:themeColor="text1"/>
        </w:rPr>
        <w:t xml:space="preserve"> increas</w:t>
      </w:r>
      <w:r w:rsidR="007F436A" w:rsidRPr="00F11D4F">
        <w:rPr>
          <w:rFonts w:asciiTheme="majorBidi" w:hAnsiTheme="majorBidi" w:cstheme="majorBidi"/>
          <w:color w:val="000000" w:themeColor="text1"/>
        </w:rPr>
        <w:t>ing</w:t>
      </w:r>
      <w:r w:rsidR="00775930" w:rsidRPr="00F11D4F">
        <w:rPr>
          <w:rFonts w:asciiTheme="majorBidi" w:hAnsiTheme="majorBidi" w:cstheme="majorBidi"/>
          <w:color w:val="000000" w:themeColor="text1"/>
        </w:rPr>
        <w:t xml:space="preserve"> police and staff presence and surveillance using technology such as CCTV. Gekoski et al (2017) reviewed the findings reported by British Transport Police in Wales in apprehensions of harassment and sexual offence on public transport. Findings suggest that females became “transit captive” meaning they became socially discounted and feared travelling using public transport.</w:t>
      </w:r>
      <w:r w:rsidR="006A4084" w:rsidRPr="00F11D4F">
        <w:rPr>
          <w:rFonts w:asciiTheme="majorBidi" w:hAnsiTheme="majorBidi" w:cstheme="majorBidi"/>
          <w:color w:val="000000" w:themeColor="text1"/>
        </w:rPr>
        <w:t xml:space="preserve"> This alludes that without the necessary deterrence women’s confidence will continue to decline and sexual offences will flourish.</w:t>
      </w:r>
    </w:p>
    <w:p w14:paraId="10294387" w14:textId="77777777" w:rsidR="00BE621D" w:rsidRPr="00F11D4F" w:rsidRDefault="00BE621D" w:rsidP="00F11D4F">
      <w:pPr>
        <w:spacing w:line="360" w:lineRule="auto"/>
        <w:rPr>
          <w:rFonts w:asciiTheme="majorBidi" w:hAnsiTheme="majorBidi" w:cstheme="majorBidi"/>
        </w:rPr>
      </w:pPr>
    </w:p>
    <w:p w14:paraId="6FA3354E" w14:textId="21340264" w:rsidR="00867E78" w:rsidRPr="00F11D4F" w:rsidRDefault="00272AF1" w:rsidP="00F11D4F">
      <w:pPr>
        <w:spacing w:line="360" w:lineRule="auto"/>
        <w:rPr>
          <w:rFonts w:asciiTheme="majorBidi" w:hAnsiTheme="majorBidi" w:cstheme="majorBidi"/>
        </w:rPr>
      </w:pPr>
      <w:r w:rsidRPr="00F11D4F">
        <w:rPr>
          <w:rFonts w:asciiTheme="majorBidi" w:hAnsiTheme="majorBidi" w:cstheme="majorBidi"/>
        </w:rPr>
        <w:t>In all of my encounters and interactions with</w:t>
      </w:r>
      <w:r w:rsidRPr="00F11D4F">
        <w:rPr>
          <w:rFonts w:asciiTheme="majorBidi" w:hAnsiTheme="majorBidi" w:cstheme="majorBidi"/>
        </w:rPr>
        <w:t xml:space="preserve"> the</w:t>
      </w:r>
      <w:r w:rsidRPr="00F11D4F">
        <w:rPr>
          <w:rFonts w:asciiTheme="majorBidi" w:hAnsiTheme="majorBidi" w:cstheme="majorBidi"/>
        </w:rPr>
        <w:t xml:space="preserve"> </w:t>
      </w:r>
      <w:r w:rsidRPr="00F11D4F">
        <w:rPr>
          <w:rFonts w:asciiTheme="majorBidi" w:hAnsiTheme="majorBidi" w:cstheme="majorBidi"/>
        </w:rPr>
        <w:t>victim</w:t>
      </w:r>
      <w:r w:rsidRPr="00F11D4F">
        <w:rPr>
          <w:rFonts w:asciiTheme="majorBidi" w:hAnsiTheme="majorBidi" w:cstheme="majorBidi"/>
        </w:rPr>
        <w:t xml:space="preserve"> as a first responder, I made sure to adjust my communication style to the </w:t>
      </w:r>
      <w:r w:rsidRPr="00F11D4F">
        <w:rPr>
          <w:rFonts w:asciiTheme="majorBidi" w:hAnsiTheme="majorBidi" w:cstheme="majorBidi"/>
        </w:rPr>
        <w:t>sensitivity</w:t>
      </w:r>
      <w:r w:rsidRPr="00F11D4F">
        <w:rPr>
          <w:rFonts w:asciiTheme="majorBidi" w:hAnsiTheme="majorBidi" w:cstheme="majorBidi"/>
        </w:rPr>
        <w:t xml:space="preserve"> of the crime being </w:t>
      </w:r>
      <w:r w:rsidRPr="00F11D4F">
        <w:rPr>
          <w:rFonts w:asciiTheme="majorBidi" w:hAnsiTheme="majorBidi" w:cstheme="majorBidi"/>
        </w:rPr>
        <w:t>investigated.</w:t>
      </w:r>
      <w:r w:rsidR="00DC5AA4" w:rsidRPr="00F11D4F">
        <w:rPr>
          <w:rFonts w:asciiTheme="majorBidi" w:hAnsiTheme="majorBidi" w:cstheme="majorBidi"/>
        </w:rPr>
        <w:t xml:space="preserve"> By operating in accordance with the Code of Ethics, I remained transparent and honest about the investigation and court process. </w:t>
      </w:r>
      <w:r w:rsidR="00E41CCF" w:rsidRPr="00F11D4F">
        <w:rPr>
          <w:rFonts w:asciiTheme="majorBidi" w:hAnsiTheme="majorBidi" w:cstheme="majorBidi"/>
        </w:rPr>
        <w:t>Consequently</w:t>
      </w:r>
      <w:r w:rsidR="00DC5AA4" w:rsidRPr="00F11D4F">
        <w:rPr>
          <w:rFonts w:asciiTheme="majorBidi" w:hAnsiTheme="majorBidi" w:cstheme="majorBidi"/>
        </w:rPr>
        <w:t>, I can state that I was able to reflect the ethos of Victim Code and Code of Ethics and make fast track decision in the investigation line with the Authorised and Professional Practice guidelines (College of Policing, 2023). By adopting a calm, reassuring style of communication I was able to establish the main points of what happened to the victim</w:t>
      </w:r>
      <w:r w:rsidRPr="00F11D4F">
        <w:rPr>
          <w:rFonts w:asciiTheme="majorBidi" w:hAnsiTheme="majorBidi" w:cstheme="majorBidi"/>
        </w:rPr>
        <w:t xml:space="preserve">. </w:t>
      </w:r>
      <w:r w:rsidRPr="00F11D4F">
        <w:rPr>
          <w:rFonts w:asciiTheme="majorBidi" w:hAnsiTheme="majorBidi" w:cstheme="majorBidi"/>
        </w:rPr>
        <w:t>Throughout the criminal justice and investigation procedures, I was successful in identifying potential risks and making judgements to reduce and manage them</w:t>
      </w:r>
      <w:r w:rsidRPr="00F11D4F">
        <w:rPr>
          <w:rFonts w:asciiTheme="majorBidi" w:hAnsiTheme="majorBidi" w:cstheme="majorBidi"/>
        </w:rPr>
        <w:t xml:space="preserve"> </w:t>
      </w:r>
      <w:r w:rsidRPr="00F11D4F">
        <w:rPr>
          <w:rFonts w:asciiTheme="majorBidi" w:hAnsiTheme="majorBidi" w:cstheme="majorBidi"/>
        </w:rPr>
        <w:t xml:space="preserve">and continued throughout the investigation. </w:t>
      </w:r>
      <w:r w:rsidR="00DC5AA4" w:rsidRPr="00F11D4F">
        <w:rPr>
          <w:rFonts w:asciiTheme="majorBidi" w:hAnsiTheme="majorBidi" w:cstheme="majorBidi"/>
        </w:rPr>
        <w:t xml:space="preserve">Upon reflection, I aim to develop my proportionate testing material gathered through enquires, including victim and witnesses account and </w:t>
      </w:r>
      <w:r w:rsidR="00DC5AA4" w:rsidRPr="00F11D4F">
        <w:rPr>
          <w:rFonts w:asciiTheme="majorBidi" w:hAnsiTheme="majorBidi" w:cstheme="majorBidi"/>
          <w:color w:val="000000"/>
          <w:spacing w:val="3"/>
        </w:rPr>
        <w:t>use technical and scientific expertise to maximise evidential opportunities.</w:t>
      </w:r>
      <w:r w:rsidR="00DC5AA4" w:rsidRPr="00F11D4F">
        <w:rPr>
          <w:rFonts w:asciiTheme="majorBidi" w:hAnsiTheme="majorBidi" w:cstheme="majorBidi"/>
        </w:rPr>
        <w:t xml:space="preserve"> </w:t>
      </w:r>
    </w:p>
    <w:p w14:paraId="4C191564" w14:textId="77777777" w:rsidR="00272AF1" w:rsidRDefault="00272AF1" w:rsidP="00272AF1">
      <w:pPr>
        <w:spacing w:line="360" w:lineRule="auto"/>
        <w:rPr>
          <w:rFonts w:asciiTheme="majorBidi" w:hAnsiTheme="majorBidi" w:cstheme="majorBidi"/>
          <w:shd w:val="clear" w:color="auto" w:fill="FFFFFF"/>
        </w:rPr>
      </w:pPr>
    </w:p>
    <w:p w14:paraId="4E1D25D7" w14:textId="4F4193F4" w:rsidR="00867E78" w:rsidRDefault="00867E78" w:rsidP="0012715C">
      <w:pPr>
        <w:spacing w:line="360" w:lineRule="auto"/>
        <w:ind w:right="237"/>
        <w:rPr>
          <w:rFonts w:asciiTheme="majorBidi" w:hAnsiTheme="majorBidi" w:cstheme="majorBidi"/>
          <w:shd w:val="clear" w:color="auto" w:fill="FFFFFF"/>
        </w:rPr>
      </w:pPr>
    </w:p>
    <w:p w14:paraId="21D5D23B" w14:textId="55D8D8C8" w:rsidR="00867E78" w:rsidRPr="007819BA" w:rsidRDefault="007819BA" w:rsidP="0012715C">
      <w:pPr>
        <w:spacing w:line="360" w:lineRule="auto"/>
        <w:ind w:right="237"/>
        <w:rPr>
          <w:rFonts w:asciiTheme="majorBidi" w:hAnsiTheme="majorBidi" w:cstheme="majorBidi"/>
          <w:b/>
          <w:bCs/>
          <w:shd w:val="clear" w:color="auto" w:fill="FFFFFF"/>
        </w:rPr>
      </w:pPr>
      <w:r w:rsidRPr="007819BA">
        <w:rPr>
          <w:rFonts w:asciiTheme="majorBidi" w:hAnsiTheme="majorBidi" w:cstheme="majorBidi"/>
          <w:b/>
          <w:bCs/>
          <w:highlight w:val="yellow"/>
          <w:shd w:val="clear" w:color="auto" w:fill="FFFFFF"/>
        </w:rPr>
        <w:t>Word Count: 2,200</w:t>
      </w:r>
    </w:p>
    <w:p w14:paraId="42E2F85B" w14:textId="185E8D08" w:rsidR="00867E78" w:rsidRDefault="00867E78" w:rsidP="0012715C">
      <w:pPr>
        <w:spacing w:line="360" w:lineRule="auto"/>
        <w:ind w:right="237"/>
        <w:rPr>
          <w:rFonts w:asciiTheme="majorBidi" w:hAnsiTheme="majorBidi" w:cstheme="majorBidi"/>
          <w:shd w:val="clear" w:color="auto" w:fill="FFFFFF"/>
        </w:rPr>
      </w:pPr>
    </w:p>
    <w:p w14:paraId="7E553ACD" w14:textId="26BDD4F1" w:rsidR="00867E78" w:rsidRDefault="00867E78" w:rsidP="0012715C">
      <w:pPr>
        <w:spacing w:line="360" w:lineRule="auto"/>
        <w:ind w:right="237"/>
        <w:rPr>
          <w:rFonts w:asciiTheme="majorBidi" w:hAnsiTheme="majorBidi" w:cstheme="majorBidi"/>
          <w:shd w:val="clear" w:color="auto" w:fill="FFFFFF"/>
        </w:rPr>
      </w:pPr>
    </w:p>
    <w:p w14:paraId="5EB475EA" w14:textId="77777777" w:rsidR="00970C44" w:rsidRDefault="00970C44" w:rsidP="004012C2">
      <w:pPr>
        <w:spacing w:line="360" w:lineRule="auto"/>
        <w:ind w:right="237"/>
        <w:rPr>
          <w:rFonts w:asciiTheme="majorBidi" w:eastAsia="Arial" w:hAnsiTheme="majorBidi" w:cstheme="majorBidi"/>
          <w:color w:val="000000" w:themeColor="text1"/>
        </w:rPr>
      </w:pPr>
    </w:p>
    <w:p w14:paraId="36883C89" w14:textId="23871855" w:rsidR="004012C2" w:rsidRDefault="004012C2" w:rsidP="004012C2">
      <w:pPr>
        <w:spacing w:line="360" w:lineRule="auto"/>
        <w:ind w:right="237"/>
        <w:rPr>
          <w:rFonts w:asciiTheme="majorBidi" w:eastAsia="Arial" w:hAnsiTheme="majorBidi" w:cstheme="majorBidi"/>
          <w:color w:val="000000" w:themeColor="text1"/>
        </w:rPr>
      </w:pPr>
    </w:p>
    <w:p w14:paraId="4ADE5284" w14:textId="4E105E61" w:rsidR="00B13219" w:rsidRPr="004012C2" w:rsidRDefault="00B13219" w:rsidP="004012C2">
      <w:pPr>
        <w:spacing w:line="360" w:lineRule="auto"/>
        <w:ind w:right="237"/>
        <w:rPr>
          <w:rFonts w:asciiTheme="majorBidi" w:eastAsia="Arial" w:hAnsiTheme="majorBidi" w:cstheme="majorBidi"/>
          <w:color w:val="000000" w:themeColor="text1"/>
        </w:rPr>
      </w:pPr>
    </w:p>
    <w:p w14:paraId="65019391" w14:textId="77777777" w:rsidR="00B13219" w:rsidRPr="00E676F7" w:rsidRDefault="00B13219" w:rsidP="00AF6A8F">
      <w:pPr>
        <w:ind w:right="237"/>
        <w:rPr>
          <w:b/>
          <w:bCs/>
        </w:rPr>
      </w:pPr>
    </w:p>
    <w:p w14:paraId="237912A4" w14:textId="5BE365E6" w:rsidR="69F7424F" w:rsidRDefault="69F7424F" w:rsidP="00AF6A8F">
      <w:pPr>
        <w:rPr>
          <w:b/>
          <w:bCs/>
        </w:rPr>
      </w:pPr>
    </w:p>
    <w:p w14:paraId="3DC9161A" w14:textId="6661AC59" w:rsidR="00AF6A8F" w:rsidRDefault="00AF6A8F" w:rsidP="00AF6A8F">
      <w:pPr>
        <w:rPr>
          <w:b/>
          <w:bCs/>
        </w:rPr>
      </w:pPr>
    </w:p>
    <w:p w14:paraId="4C1DC86B" w14:textId="2D9E94E7" w:rsidR="00AF6A8F" w:rsidRDefault="00AF6A8F" w:rsidP="00AF6A8F">
      <w:pPr>
        <w:rPr>
          <w:b/>
          <w:bCs/>
        </w:rPr>
      </w:pPr>
    </w:p>
    <w:p w14:paraId="37C32834" w14:textId="54EA14E7" w:rsidR="00AF6A8F" w:rsidRDefault="00AF6A8F" w:rsidP="00AF6A8F">
      <w:pPr>
        <w:rPr>
          <w:b/>
          <w:bCs/>
        </w:rPr>
      </w:pPr>
    </w:p>
    <w:p w14:paraId="3330BCBB" w14:textId="6FC53177" w:rsidR="00AF6A8F" w:rsidRDefault="00AF6A8F" w:rsidP="00AF6A8F">
      <w:pPr>
        <w:rPr>
          <w:b/>
          <w:bCs/>
        </w:rPr>
      </w:pPr>
    </w:p>
    <w:p w14:paraId="6E9DF193" w14:textId="3C498A31" w:rsidR="00AF6A8F" w:rsidRDefault="00AF6A8F" w:rsidP="00AF6A8F">
      <w:pPr>
        <w:rPr>
          <w:b/>
          <w:bCs/>
        </w:rPr>
      </w:pPr>
    </w:p>
    <w:p w14:paraId="6C4741F4" w14:textId="77777777" w:rsidR="00AF6A8F" w:rsidRDefault="00AF6A8F" w:rsidP="00AF6A8F">
      <w:pPr>
        <w:rPr>
          <w:b/>
          <w:bCs/>
        </w:rPr>
      </w:pPr>
    </w:p>
    <w:p w14:paraId="5EEB753B" w14:textId="09FD3C2B" w:rsidR="00AF6A8F" w:rsidRDefault="00AF6A8F" w:rsidP="00AF6A8F">
      <w:pPr>
        <w:rPr>
          <w:b/>
          <w:bCs/>
        </w:rPr>
      </w:pPr>
    </w:p>
    <w:p w14:paraId="52F9E808" w14:textId="58474D67" w:rsidR="00AF6A8F" w:rsidRDefault="00AF6A8F" w:rsidP="00AF6A8F">
      <w:pPr>
        <w:rPr>
          <w:b/>
          <w:bCs/>
        </w:rPr>
      </w:pPr>
    </w:p>
    <w:p w14:paraId="427141BC" w14:textId="0DF3908F" w:rsidR="00AF6A8F" w:rsidRDefault="00AF6A8F" w:rsidP="00AF6A8F">
      <w:pPr>
        <w:rPr>
          <w:b/>
          <w:bCs/>
        </w:rPr>
      </w:pPr>
    </w:p>
    <w:p w14:paraId="67FECD01" w14:textId="43763DA5" w:rsidR="0FF883D4" w:rsidRDefault="0FF883D4" w:rsidP="0FF883D4">
      <w:pPr>
        <w:ind w:right="237"/>
        <w:jc w:val="both"/>
        <w:rPr>
          <w:b/>
          <w:bCs/>
        </w:rPr>
      </w:pPr>
    </w:p>
    <w:p w14:paraId="2A27B7D6" w14:textId="50C45EDD" w:rsidR="0015403C" w:rsidRDefault="0015403C" w:rsidP="0FF883D4">
      <w:pPr>
        <w:ind w:right="237"/>
        <w:jc w:val="both"/>
        <w:rPr>
          <w:b/>
          <w:bCs/>
        </w:rPr>
      </w:pPr>
    </w:p>
    <w:p w14:paraId="18782120" w14:textId="539B7E1F" w:rsidR="0015403C" w:rsidRDefault="0015403C" w:rsidP="0FF883D4">
      <w:pPr>
        <w:ind w:right="237"/>
        <w:jc w:val="both"/>
        <w:rPr>
          <w:b/>
          <w:bCs/>
        </w:rPr>
      </w:pPr>
    </w:p>
    <w:p w14:paraId="0F425FA1" w14:textId="005B5A57" w:rsidR="0015403C" w:rsidRDefault="0015403C" w:rsidP="0FF883D4">
      <w:pPr>
        <w:ind w:right="237"/>
        <w:jc w:val="both"/>
        <w:rPr>
          <w:b/>
          <w:bCs/>
        </w:rPr>
      </w:pPr>
    </w:p>
    <w:p w14:paraId="4BA56D95" w14:textId="2469CCE4" w:rsidR="0015403C" w:rsidRDefault="0015403C" w:rsidP="0FF883D4">
      <w:pPr>
        <w:ind w:right="237"/>
        <w:jc w:val="both"/>
        <w:rPr>
          <w:b/>
          <w:bCs/>
        </w:rPr>
      </w:pPr>
    </w:p>
    <w:p w14:paraId="09E60DF0" w14:textId="59B17220" w:rsidR="0015403C" w:rsidRDefault="0015403C" w:rsidP="0FF883D4">
      <w:pPr>
        <w:ind w:right="237"/>
        <w:jc w:val="both"/>
        <w:rPr>
          <w:b/>
          <w:bCs/>
        </w:rPr>
      </w:pPr>
    </w:p>
    <w:p w14:paraId="07740979" w14:textId="099C2441" w:rsidR="0015403C" w:rsidRDefault="0015403C" w:rsidP="0FF883D4">
      <w:pPr>
        <w:ind w:right="237"/>
        <w:jc w:val="both"/>
        <w:rPr>
          <w:b/>
          <w:bCs/>
        </w:rPr>
      </w:pPr>
    </w:p>
    <w:p w14:paraId="4627750E" w14:textId="72C270B3" w:rsidR="0015403C" w:rsidRDefault="0015403C" w:rsidP="0FF883D4">
      <w:pPr>
        <w:ind w:right="237"/>
        <w:jc w:val="both"/>
        <w:rPr>
          <w:b/>
          <w:bCs/>
        </w:rPr>
      </w:pPr>
    </w:p>
    <w:p w14:paraId="286A8255" w14:textId="1916C1BC" w:rsidR="0015403C" w:rsidRDefault="0015403C" w:rsidP="0FF883D4">
      <w:pPr>
        <w:ind w:right="237"/>
        <w:jc w:val="both"/>
        <w:rPr>
          <w:b/>
          <w:bCs/>
        </w:rPr>
      </w:pPr>
    </w:p>
    <w:p w14:paraId="19130E62" w14:textId="0B1B8B37" w:rsidR="0015403C" w:rsidRDefault="0015403C" w:rsidP="0FF883D4">
      <w:pPr>
        <w:ind w:right="237"/>
        <w:jc w:val="both"/>
        <w:rPr>
          <w:b/>
          <w:bCs/>
        </w:rPr>
      </w:pPr>
    </w:p>
    <w:p w14:paraId="3AB866A4" w14:textId="4F467B1E" w:rsidR="0015403C" w:rsidRDefault="0015403C" w:rsidP="0FF883D4">
      <w:pPr>
        <w:ind w:right="237"/>
        <w:jc w:val="both"/>
        <w:rPr>
          <w:b/>
          <w:bCs/>
        </w:rPr>
      </w:pPr>
    </w:p>
    <w:p w14:paraId="5DEE0A0F" w14:textId="1004CB53" w:rsidR="0015403C" w:rsidRDefault="0015403C" w:rsidP="0FF883D4">
      <w:pPr>
        <w:ind w:right="237"/>
        <w:jc w:val="both"/>
        <w:rPr>
          <w:b/>
          <w:bCs/>
        </w:rPr>
      </w:pPr>
    </w:p>
    <w:p w14:paraId="22F8FBE2" w14:textId="44E3C094" w:rsidR="0015403C" w:rsidRDefault="0015403C" w:rsidP="0FF883D4">
      <w:pPr>
        <w:ind w:right="237"/>
        <w:jc w:val="both"/>
        <w:rPr>
          <w:b/>
          <w:bCs/>
        </w:rPr>
      </w:pPr>
    </w:p>
    <w:p w14:paraId="705FBF6F" w14:textId="24400514" w:rsidR="0015403C" w:rsidRDefault="0015403C" w:rsidP="0FF883D4">
      <w:pPr>
        <w:ind w:right="237"/>
        <w:jc w:val="both"/>
        <w:rPr>
          <w:b/>
          <w:bCs/>
        </w:rPr>
      </w:pPr>
    </w:p>
    <w:p w14:paraId="470F9E91" w14:textId="3D42F366" w:rsidR="0015403C" w:rsidRDefault="0015403C" w:rsidP="0FF883D4">
      <w:pPr>
        <w:ind w:right="237"/>
        <w:jc w:val="both"/>
        <w:rPr>
          <w:b/>
          <w:bCs/>
        </w:rPr>
      </w:pPr>
    </w:p>
    <w:p w14:paraId="4C8057E9" w14:textId="72B966E6" w:rsidR="0015403C" w:rsidRDefault="0015403C" w:rsidP="0FF883D4">
      <w:pPr>
        <w:ind w:right="237"/>
        <w:jc w:val="both"/>
        <w:rPr>
          <w:b/>
          <w:bCs/>
        </w:rPr>
      </w:pPr>
    </w:p>
    <w:p w14:paraId="4DAD7CEA" w14:textId="139E047D" w:rsidR="0015403C" w:rsidRDefault="0015403C" w:rsidP="0FF883D4">
      <w:pPr>
        <w:ind w:right="237"/>
        <w:jc w:val="both"/>
        <w:rPr>
          <w:b/>
          <w:bCs/>
        </w:rPr>
      </w:pPr>
    </w:p>
    <w:p w14:paraId="301EDCF8" w14:textId="2B0FDA5B" w:rsidR="0015403C" w:rsidRDefault="0015403C" w:rsidP="0FF883D4">
      <w:pPr>
        <w:ind w:right="237"/>
        <w:jc w:val="both"/>
        <w:rPr>
          <w:b/>
          <w:bCs/>
        </w:rPr>
      </w:pPr>
    </w:p>
    <w:p w14:paraId="1A389ABF" w14:textId="08954205" w:rsidR="0015403C" w:rsidRDefault="0015403C" w:rsidP="0FF883D4">
      <w:pPr>
        <w:ind w:right="237"/>
        <w:jc w:val="both"/>
        <w:rPr>
          <w:b/>
          <w:bCs/>
        </w:rPr>
      </w:pPr>
    </w:p>
    <w:p w14:paraId="611268DF" w14:textId="77777777" w:rsidR="0015403C" w:rsidRDefault="0015403C" w:rsidP="0FF883D4">
      <w:pPr>
        <w:ind w:right="237"/>
        <w:jc w:val="both"/>
        <w:rPr>
          <w:color w:val="000000" w:themeColor="text1"/>
        </w:rPr>
      </w:pPr>
    </w:p>
    <w:p w14:paraId="376192B6" w14:textId="45BF88F2" w:rsidR="0FF883D4" w:rsidRDefault="0FF883D4" w:rsidP="0FF883D4">
      <w:pPr>
        <w:ind w:right="237"/>
        <w:jc w:val="both"/>
        <w:rPr>
          <w:color w:val="000000" w:themeColor="text1"/>
        </w:rPr>
      </w:pPr>
    </w:p>
    <w:p w14:paraId="6851860F" w14:textId="357E9A6E" w:rsidR="0FF883D4" w:rsidRDefault="0FF883D4" w:rsidP="0FF883D4">
      <w:pPr>
        <w:ind w:right="237"/>
        <w:jc w:val="both"/>
        <w:rPr>
          <w:color w:val="000000" w:themeColor="text1"/>
        </w:rPr>
      </w:pPr>
    </w:p>
    <w:p w14:paraId="7DB1A32F" w14:textId="6AC2C6B1" w:rsidR="0FF883D4" w:rsidRDefault="0FF883D4" w:rsidP="0FF883D4">
      <w:pPr>
        <w:ind w:right="237"/>
        <w:jc w:val="both"/>
        <w:rPr>
          <w:color w:val="000000" w:themeColor="text1"/>
        </w:rPr>
      </w:pPr>
    </w:p>
    <w:p w14:paraId="4D4D6F42" w14:textId="2EB21397" w:rsidR="00272AF1" w:rsidRDefault="00272AF1" w:rsidP="0FF883D4">
      <w:pPr>
        <w:ind w:right="237"/>
        <w:jc w:val="both"/>
        <w:rPr>
          <w:color w:val="000000" w:themeColor="text1"/>
        </w:rPr>
      </w:pPr>
    </w:p>
    <w:p w14:paraId="00A64ED1" w14:textId="77777777" w:rsidR="00272AF1" w:rsidRDefault="00272AF1" w:rsidP="0FF883D4">
      <w:pPr>
        <w:ind w:right="237"/>
        <w:jc w:val="both"/>
        <w:rPr>
          <w:color w:val="000000" w:themeColor="text1"/>
        </w:rPr>
      </w:pPr>
    </w:p>
    <w:p w14:paraId="58751063" w14:textId="52A79B4C" w:rsidR="13AD8C62" w:rsidRDefault="13AD8C62" w:rsidP="5CE196A1">
      <w:pPr>
        <w:ind w:left="2880" w:right="237"/>
        <w:rPr>
          <w:rFonts w:eastAsia="Arial"/>
          <w:color w:val="000000" w:themeColor="text1"/>
          <w:sz w:val="28"/>
          <w:szCs w:val="28"/>
        </w:rPr>
      </w:pPr>
      <w:r w:rsidRPr="5CE196A1">
        <w:rPr>
          <w:rFonts w:ascii="Arial" w:eastAsia="Arial" w:hAnsi="Arial" w:cs="Arial"/>
          <w:b/>
          <w:bCs/>
          <w:color w:val="000000" w:themeColor="text1"/>
          <w:sz w:val="28"/>
          <w:szCs w:val="28"/>
          <w:u w:val="single"/>
        </w:rPr>
        <w:t xml:space="preserve">Task </w:t>
      </w:r>
      <w:r w:rsidR="2C093D8B" w:rsidRPr="5CE196A1">
        <w:rPr>
          <w:rFonts w:ascii="Arial" w:eastAsia="Arial" w:hAnsi="Arial" w:cs="Arial"/>
          <w:b/>
          <w:bCs/>
          <w:color w:val="000000" w:themeColor="text1"/>
          <w:sz w:val="28"/>
          <w:szCs w:val="28"/>
          <w:u w:val="single"/>
        </w:rPr>
        <w:t>2</w:t>
      </w:r>
      <w:r w:rsidR="635C0C62" w:rsidRPr="5CE196A1">
        <w:rPr>
          <w:rFonts w:ascii="Arial" w:eastAsia="Arial" w:hAnsi="Arial" w:cs="Arial"/>
          <w:b/>
          <w:bCs/>
          <w:color w:val="000000" w:themeColor="text1"/>
          <w:sz w:val="28"/>
          <w:szCs w:val="28"/>
          <w:u w:val="single"/>
        </w:rPr>
        <w:t xml:space="preserve"> </w:t>
      </w:r>
      <w:r w:rsidRPr="5CE196A1">
        <w:rPr>
          <w:rFonts w:ascii="Arial" w:eastAsia="Arial" w:hAnsi="Arial" w:cs="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rPr>
      </w:pPr>
    </w:p>
    <w:p w14:paraId="60E3A437" w14:textId="73015E4D" w:rsidR="13AD8C62" w:rsidRDefault="13AD8C62" w:rsidP="0FF883D4">
      <w:pPr>
        <w:ind w:right="237"/>
        <w:jc w:val="both"/>
        <w:rPr>
          <w:rFonts w:eastAsia="Arial"/>
          <w:color w:val="000000" w:themeColor="text1"/>
          <w:u w:val="single"/>
        </w:rPr>
      </w:pPr>
      <w:r w:rsidRPr="0FF883D4">
        <w:rPr>
          <w:rFonts w:ascii="Arial" w:eastAsia="Arial" w:hAnsi="Arial" w:cs="Arial"/>
          <w:b/>
          <w:bCs/>
          <w:color w:val="000000" w:themeColor="text1"/>
          <w:u w:val="single"/>
        </w:rPr>
        <w:t>Relevant areas of the National Policing Curriculum:</w:t>
      </w:r>
      <w:r w:rsidRPr="0FF883D4">
        <w:rPr>
          <w:rFonts w:ascii="Arial" w:eastAsia="Arial" w:hAnsi="Arial" w:cs="Arial"/>
          <w:b/>
          <w:bCs/>
          <w:color w:val="000000" w:themeColor="text1"/>
        </w:rPr>
        <w:t xml:space="preserve"> </w:t>
      </w:r>
    </w:p>
    <w:p w14:paraId="4E78C854" w14:textId="4BAF5FF4" w:rsidR="0FF883D4" w:rsidRDefault="0FF883D4" w:rsidP="0FF883D4">
      <w:pPr>
        <w:ind w:right="237"/>
        <w:jc w:val="both"/>
        <w:rPr>
          <w:rFonts w:eastAsia="Arial"/>
          <w:color w:val="000000" w:themeColor="text1"/>
          <w:u w:val="single"/>
        </w:rPr>
      </w:pPr>
    </w:p>
    <w:p w14:paraId="13AD291B" w14:textId="587ED10C" w:rsidR="13AD8C62" w:rsidRDefault="13AD8C62" w:rsidP="0FF883D4">
      <w:pPr>
        <w:ind w:right="237"/>
        <w:jc w:val="both"/>
        <w:rPr>
          <w:rFonts w:eastAsia="Arial"/>
          <w:color w:val="000000" w:themeColor="text1"/>
          <w:u w:val="single"/>
        </w:rPr>
      </w:pPr>
      <w:r w:rsidRPr="0FF883D4">
        <w:rPr>
          <w:rFonts w:ascii="Arial" w:eastAsia="Arial" w:hAnsi="Arial" w:cs="Arial"/>
          <w:b/>
          <w:bCs/>
          <w:color w:val="000000" w:themeColor="text1"/>
          <w:u w:val="single"/>
        </w:rPr>
        <w:t>Conducting Investigations</w:t>
      </w:r>
    </w:p>
    <w:p w14:paraId="41212371" w14:textId="5F8AC920" w:rsidR="0FF883D4" w:rsidRDefault="0FF883D4" w:rsidP="0FF883D4">
      <w:pPr>
        <w:ind w:right="237"/>
        <w:jc w:val="both"/>
        <w:rPr>
          <w:rFonts w:eastAsia="Arial"/>
          <w:color w:val="000000" w:themeColor="text1"/>
        </w:rPr>
      </w:pPr>
    </w:p>
    <w:p w14:paraId="72CE0138" w14:textId="59A08411" w:rsidR="13AD8C62" w:rsidRDefault="13AD8C62" w:rsidP="0FF883D4">
      <w:pPr>
        <w:ind w:right="237"/>
        <w:jc w:val="both"/>
        <w:rPr>
          <w:rFonts w:eastAsia="Arial"/>
          <w:color w:val="000000" w:themeColor="text1"/>
        </w:rPr>
      </w:pPr>
      <w:r w:rsidRPr="0FF883D4">
        <w:rPr>
          <w:rFonts w:ascii="Arial" w:eastAsia="Arial" w:hAnsi="Arial" w:cs="Arial"/>
          <w:color w:val="000000" w:themeColor="text1"/>
        </w:rPr>
        <w:t>You should choose an investigation that you have been involved in</w:t>
      </w:r>
      <w:r w:rsidRPr="0FF883D4">
        <w:rPr>
          <w:rFonts w:ascii="Arial" w:eastAsia="Arial" w:hAnsi="Arial" w:cs="Arial"/>
          <w:b/>
          <w:bCs/>
          <w:color w:val="000000" w:themeColor="text1"/>
        </w:rPr>
        <w:t xml:space="preserve"> that was of a complex nature, </w:t>
      </w:r>
      <w:r w:rsidRPr="0FF883D4">
        <w:rPr>
          <w:rFonts w:ascii="Arial" w:eastAsia="Arial" w:hAnsi="Arial" w:cs="Arial"/>
          <w:color w:val="000000" w:themeColor="text1"/>
        </w:rPr>
        <w:t>in which you played a significant role.</w:t>
      </w:r>
    </w:p>
    <w:p w14:paraId="03352B88" w14:textId="34C0816D" w:rsidR="0FF883D4" w:rsidRDefault="0FF883D4" w:rsidP="0FF883D4">
      <w:pPr>
        <w:ind w:right="237"/>
        <w:jc w:val="both"/>
        <w:rPr>
          <w:color w:val="000000" w:themeColor="text1"/>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pPr>
          </w:p>
          <w:p w14:paraId="44A7DE4C" w14:textId="4762E249" w:rsidR="13AD8C62" w:rsidRDefault="5CE196A1" w:rsidP="5CE196A1">
            <w:pPr>
              <w:ind w:right="237"/>
              <w:jc w:val="both"/>
              <w:rPr>
                <w:rFonts w:eastAsia="Arial"/>
                <w:color w:val="000000" w:themeColor="text1"/>
              </w:rPr>
            </w:pPr>
            <w:r w:rsidRPr="5CE196A1">
              <w:rPr>
                <w:rFonts w:ascii="Arial" w:eastAsia="Arial" w:hAnsi="Arial" w:cs="Arial"/>
                <w:b/>
                <w:bCs/>
                <w:color w:val="000000" w:themeColor="text1"/>
              </w:rPr>
              <w:t>Critically evaluate</w:t>
            </w:r>
            <w:r w:rsidRPr="5CE196A1">
              <w:rPr>
                <w:rFonts w:ascii="Arial" w:eastAsia="Arial" w:hAnsi="Arial" w:cs="Arial"/>
                <w:color w:val="000000" w:themeColor="text1"/>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rPr>
            </w:pPr>
          </w:p>
          <w:p w14:paraId="297EA770" w14:textId="165E4249" w:rsidR="13AD8C62" w:rsidRDefault="13AD8C62" w:rsidP="5CE196A1">
            <w:pPr>
              <w:ind w:right="237"/>
              <w:jc w:val="both"/>
              <w:rPr>
                <w:rFonts w:eastAsia="Arial"/>
                <w:color w:val="000000" w:themeColor="text1"/>
              </w:rPr>
            </w:pPr>
          </w:p>
          <w:p w14:paraId="2AA1635A" w14:textId="5AADEA62" w:rsidR="13AD8C62" w:rsidRDefault="5CE196A1" w:rsidP="5CE196A1">
            <w:pPr>
              <w:ind w:right="237"/>
              <w:jc w:val="both"/>
              <w:rPr>
                <w:rFonts w:eastAsia="Arial"/>
                <w:color w:val="000000" w:themeColor="text1"/>
              </w:rPr>
            </w:pPr>
            <w:r w:rsidRPr="5CE196A1">
              <w:rPr>
                <w:rFonts w:ascii="Arial" w:eastAsia="Arial" w:hAnsi="Arial" w:cs="Arial"/>
                <w:color w:val="000000" w:themeColor="text1"/>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pPr>
          </w:p>
          <w:p w14:paraId="5AD79861" w14:textId="57C44AB0" w:rsidR="13AD8C62" w:rsidRDefault="13AD8C62" w:rsidP="5CE196A1">
            <w:pPr>
              <w:ind w:right="237"/>
              <w:jc w:val="both"/>
              <w:rPr>
                <w:i/>
                <w:iCs/>
              </w:rPr>
            </w:pPr>
            <w:r w:rsidRPr="5CE196A1">
              <w:t>2</w:t>
            </w:r>
            <w:r w:rsidR="365C5F37" w:rsidRPr="5CE196A1">
              <w:t>000</w:t>
            </w:r>
            <w:r w:rsidRPr="5CE196A1">
              <w:t xml:space="preserve"> words </w:t>
            </w:r>
            <w:r w:rsidRPr="5CE196A1">
              <w:rPr>
                <w:i/>
                <w:iCs/>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rPr>
      </w:pPr>
    </w:p>
    <w:p w14:paraId="1505BB66" w14:textId="6F1531B2" w:rsidR="0FF883D4" w:rsidRDefault="0FF883D4" w:rsidP="0FF883D4">
      <w:pPr>
        <w:ind w:right="237"/>
        <w:jc w:val="both"/>
        <w:rPr>
          <w:color w:val="000000" w:themeColor="text1"/>
        </w:rPr>
      </w:pPr>
    </w:p>
    <w:p w14:paraId="0F48B32A" w14:textId="267BE580" w:rsidR="13AD8C62" w:rsidRDefault="13AD8C62" w:rsidP="0FF883D4">
      <w:pPr>
        <w:ind w:right="237"/>
        <w:jc w:val="both"/>
        <w:rPr>
          <w:rFonts w:ascii="Arial" w:hAnsi="Arial" w:cs="Arial"/>
          <w:b/>
          <w:bCs/>
          <w:color w:val="000000" w:themeColor="text1"/>
          <w:sz w:val="28"/>
          <w:szCs w:val="28"/>
        </w:rPr>
      </w:pPr>
      <w:r w:rsidRPr="0FF883D4">
        <w:rPr>
          <w:rFonts w:ascii="Arial" w:hAnsi="Arial" w:cs="Arial"/>
          <w:b/>
          <w:bCs/>
          <w:color w:val="000000" w:themeColor="text1"/>
          <w:sz w:val="28"/>
          <w:szCs w:val="28"/>
        </w:rPr>
        <w:t xml:space="preserve">Answer: </w:t>
      </w:r>
    </w:p>
    <w:p w14:paraId="38DF6AF1" w14:textId="77777777" w:rsidR="00EF00A3" w:rsidRPr="00F11D4F" w:rsidRDefault="00EF00A3" w:rsidP="00EF00A3">
      <w:pPr>
        <w:spacing w:line="360" w:lineRule="auto"/>
        <w:ind w:right="237"/>
        <w:jc w:val="both"/>
        <w:rPr>
          <w:rFonts w:asciiTheme="majorBidi" w:hAnsiTheme="majorBidi" w:cstheme="majorBidi"/>
          <w:b/>
          <w:bCs/>
          <w:color w:val="000000" w:themeColor="text1"/>
        </w:rPr>
      </w:pPr>
    </w:p>
    <w:p w14:paraId="6E167797" w14:textId="13032AA5" w:rsidR="00EF00A3" w:rsidRPr="00F11D4F" w:rsidRDefault="00EF00A3" w:rsidP="00F11D4F">
      <w:pPr>
        <w:spacing w:line="360" w:lineRule="auto"/>
        <w:ind w:right="237"/>
        <w:jc w:val="both"/>
        <w:rPr>
          <w:rFonts w:asciiTheme="majorBidi" w:eastAsia="Arial" w:hAnsiTheme="majorBidi" w:cstheme="majorBidi"/>
          <w:color w:val="000000" w:themeColor="text1"/>
        </w:rPr>
      </w:pPr>
      <w:r w:rsidRPr="00F11D4F">
        <w:rPr>
          <w:rFonts w:asciiTheme="majorBidi" w:hAnsiTheme="majorBidi" w:cstheme="majorBidi"/>
          <w:color w:val="000000" w:themeColor="text1"/>
        </w:rPr>
        <w:t xml:space="preserve">This essay relates to a sexual offence investigation in contrary to Section 1 Rape, Sexual Offence Act (2003) whereby the offender inserted his penis into the victim’s vagina without her consent. Such offence is indictable with a maximum life imprisonment. The Criminal Law Act (1977) defines ‘indictable offence’ under Section 64 (1) “..as triable on indictment, whether it is exclusively so triable or triable either way”. This essay will demonstrate a critical evaluation of the investigative process in agreement with the Authorised Professional Practice (College of Policing, 2023b). </w:t>
      </w:r>
      <w:r w:rsidRPr="00F11D4F">
        <w:rPr>
          <w:rFonts w:asciiTheme="majorBidi" w:eastAsia="Arial" w:hAnsiTheme="majorBidi" w:cstheme="majorBidi"/>
          <w:color w:val="000000" w:themeColor="text1"/>
        </w:rPr>
        <w:t>I will reflect upon my actions, decision making throughout the progression of the investigation</w:t>
      </w:r>
    </w:p>
    <w:p w14:paraId="6EF6C61A" w14:textId="77777777" w:rsidR="00EF00A3" w:rsidRPr="00F11D4F" w:rsidRDefault="00EF00A3" w:rsidP="00F11D4F">
      <w:pPr>
        <w:spacing w:line="360" w:lineRule="auto"/>
        <w:ind w:right="237"/>
        <w:jc w:val="both"/>
        <w:rPr>
          <w:rFonts w:asciiTheme="majorBidi" w:eastAsia="Arial" w:hAnsiTheme="majorBidi" w:cstheme="majorBidi"/>
          <w:color w:val="000000" w:themeColor="text1"/>
        </w:rPr>
      </w:pPr>
    </w:p>
    <w:p w14:paraId="0C1AC32B" w14:textId="28373313" w:rsidR="00EF00A3" w:rsidRPr="00F11D4F" w:rsidRDefault="00EF00A3" w:rsidP="00F11D4F">
      <w:pPr>
        <w:spacing w:line="360" w:lineRule="auto"/>
        <w:ind w:right="237"/>
        <w:jc w:val="both"/>
        <w:rPr>
          <w:rFonts w:asciiTheme="majorBidi" w:eastAsia="Arial" w:hAnsiTheme="majorBidi" w:cstheme="majorBidi"/>
          <w:color w:val="000000" w:themeColor="text1"/>
        </w:rPr>
      </w:pPr>
      <w:r w:rsidRPr="00F11D4F">
        <w:rPr>
          <w:rFonts w:asciiTheme="majorBidi" w:eastAsia="Arial" w:hAnsiTheme="majorBidi" w:cstheme="majorBidi"/>
          <w:color w:val="000000" w:themeColor="text1"/>
        </w:rPr>
        <w:t xml:space="preserve">A criminal investigation is when Police Officers establish the guilt of an individual in committing an offence or whether they should be charged (Ministry of Justice, 2015). </w:t>
      </w:r>
    </w:p>
    <w:p w14:paraId="79BDF580" w14:textId="77777777" w:rsidR="00EF00A3" w:rsidRPr="00F11D4F" w:rsidRDefault="00EF00A3" w:rsidP="00F11D4F">
      <w:pPr>
        <w:spacing w:line="360" w:lineRule="auto"/>
        <w:ind w:right="237"/>
        <w:jc w:val="both"/>
        <w:rPr>
          <w:rFonts w:asciiTheme="majorBidi" w:eastAsia="Arial" w:hAnsiTheme="majorBidi" w:cstheme="majorBidi"/>
          <w:color w:val="000000" w:themeColor="text1"/>
        </w:rPr>
      </w:pPr>
    </w:p>
    <w:p w14:paraId="07802823" w14:textId="77777777" w:rsidR="00EF00A3" w:rsidRPr="00F11D4F" w:rsidRDefault="00EF00A3" w:rsidP="00F11D4F">
      <w:pPr>
        <w:spacing w:line="360" w:lineRule="auto"/>
        <w:ind w:right="237"/>
        <w:jc w:val="both"/>
        <w:rPr>
          <w:rFonts w:asciiTheme="majorBidi" w:eastAsia="Arial" w:hAnsiTheme="majorBidi" w:cstheme="majorBidi"/>
          <w:color w:val="000000" w:themeColor="text1"/>
        </w:rPr>
      </w:pPr>
      <w:r w:rsidRPr="00F11D4F">
        <w:rPr>
          <w:rFonts w:asciiTheme="majorBidi" w:eastAsia="Arial" w:hAnsiTheme="majorBidi" w:cstheme="majorBidi"/>
          <w:color w:val="000000" w:themeColor="text1"/>
        </w:rPr>
        <w:t>The details of the policing incident that I knew at that time from the First Responding Officer, the victim is 17 years old and met the suspect on a dating app. They arranged to meet him for a drive and then they went back to a hotel with the agreement they would watch a movie together. It was in the hotel room whereby she was thrown to the bed, pinned down and the suspect had inserted his penis into her vagina forcefully without her consent. From this initial information, I gathered that the offence was a Section 1 Rape of a woman over the age of 16 (Sexual Offence Act, 2003).</w:t>
      </w:r>
    </w:p>
    <w:p w14:paraId="5A908B46" w14:textId="68AF1553" w:rsidR="00EF00A3" w:rsidRPr="00F11D4F" w:rsidRDefault="00EF00A3" w:rsidP="00F11D4F">
      <w:pPr>
        <w:spacing w:line="360" w:lineRule="auto"/>
        <w:ind w:right="237"/>
        <w:jc w:val="both"/>
        <w:rPr>
          <w:rFonts w:asciiTheme="majorBidi" w:eastAsia="Arial" w:hAnsiTheme="majorBidi" w:cstheme="majorBidi"/>
          <w:color w:val="000000" w:themeColor="text1"/>
        </w:rPr>
      </w:pPr>
    </w:p>
    <w:p w14:paraId="6905077B" w14:textId="2F5289C6" w:rsidR="00EF00A3" w:rsidRPr="00F11D4F" w:rsidRDefault="00EF00A3" w:rsidP="00F11D4F">
      <w:pPr>
        <w:spacing w:line="360" w:lineRule="auto"/>
        <w:ind w:right="237"/>
        <w:jc w:val="both"/>
        <w:rPr>
          <w:rFonts w:asciiTheme="majorBidi" w:eastAsia="Arial" w:hAnsiTheme="majorBidi" w:cstheme="majorBidi"/>
          <w:color w:val="000000" w:themeColor="text1"/>
        </w:rPr>
      </w:pPr>
      <w:r w:rsidRPr="00F11D4F">
        <w:rPr>
          <w:rFonts w:asciiTheme="majorBidi" w:eastAsia="Arial" w:hAnsiTheme="majorBidi" w:cstheme="majorBidi"/>
          <w:color w:val="000000" w:themeColor="text1"/>
        </w:rPr>
        <w:lastRenderedPageBreak/>
        <w:t xml:space="preserve">As the </w:t>
      </w:r>
      <w:r w:rsidRPr="00F11D4F">
        <w:rPr>
          <w:rFonts w:asciiTheme="majorBidi" w:eastAsia="Arial" w:hAnsiTheme="majorBidi" w:cstheme="majorBidi"/>
          <w:color w:val="000000" w:themeColor="text1"/>
        </w:rPr>
        <w:t>Investigating</w:t>
      </w:r>
      <w:r w:rsidRPr="00F11D4F">
        <w:rPr>
          <w:rFonts w:asciiTheme="majorBidi" w:eastAsia="Arial" w:hAnsiTheme="majorBidi" w:cstheme="majorBidi"/>
          <w:color w:val="000000" w:themeColor="text1"/>
        </w:rPr>
        <w:t xml:space="preserve"> </w:t>
      </w:r>
      <w:r w:rsidRPr="00F11D4F">
        <w:rPr>
          <w:rFonts w:asciiTheme="majorBidi" w:eastAsia="Arial" w:hAnsiTheme="majorBidi" w:cstheme="majorBidi"/>
          <w:color w:val="000000" w:themeColor="text1"/>
        </w:rPr>
        <w:t>Officer</w:t>
      </w:r>
      <w:r w:rsidR="0024507B" w:rsidRPr="00F11D4F">
        <w:rPr>
          <w:rFonts w:asciiTheme="majorBidi" w:eastAsia="Arial" w:hAnsiTheme="majorBidi" w:cstheme="majorBidi"/>
          <w:color w:val="000000" w:themeColor="text1"/>
        </w:rPr>
        <w:t xml:space="preserve">, </w:t>
      </w:r>
      <w:r w:rsidRPr="00F11D4F">
        <w:rPr>
          <w:rFonts w:asciiTheme="majorBidi" w:eastAsia="Arial" w:hAnsiTheme="majorBidi" w:cstheme="majorBidi"/>
          <w:color w:val="000000" w:themeColor="text1"/>
        </w:rPr>
        <w:t xml:space="preserve">I began to gather relevant intelligence and material that the reporting person relayed to the call taker. I did this by operating in line with the Criminal Procedure and Investigative Act (CPIA) 1996 by recording, retaining information that can be revealed to the prosecution when this matter foes to court (CPIA, 1996, </w:t>
      </w:r>
      <w:r w:rsidRPr="00F11D4F">
        <w:rPr>
          <w:rFonts w:asciiTheme="majorBidi" w:hAnsiTheme="majorBidi" w:cstheme="majorBidi"/>
        </w:rPr>
        <w:t>College of Policing, 2022b)</w:t>
      </w:r>
    </w:p>
    <w:p w14:paraId="036F89C5" w14:textId="77777777" w:rsidR="00EF00A3" w:rsidRPr="00F11D4F" w:rsidRDefault="00EF00A3" w:rsidP="00F11D4F">
      <w:pPr>
        <w:spacing w:line="360" w:lineRule="auto"/>
        <w:ind w:right="237"/>
        <w:jc w:val="both"/>
        <w:rPr>
          <w:rFonts w:asciiTheme="majorBidi" w:eastAsia="Arial" w:hAnsiTheme="majorBidi" w:cstheme="majorBidi"/>
          <w:color w:val="000000" w:themeColor="text1"/>
        </w:rPr>
      </w:pPr>
    </w:p>
    <w:p w14:paraId="763BDDFC" w14:textId="0B91F94C" w:rsidR="00EF00A3" w:rsidRPr="00F11D4F" w:rsidRDefault="00EF00A3" w:rsidP="00F11D4F">
      <w:pPr>
        <w:spacing w:line="360" w:lineRule="auto"/>
        <w:ind w:right="237"/>
        <w:jc w:val="both"/>
        <w:rPr>
          <w:rFonts w:asciiTheme="majorBidi" w:eastAsia="Arial" w:hAnsiTheme="majorBidi" w:cstheme="majorBidi"/>
          <w:color w:val="000000" w:themeColor="text1"/>
        </w:rPr>
      </w:pPr>
      <w:r w:rsidRPr="00F11D4F">
        <w:rPr>
          <w:rFonts w:asciiTheme="majorBidi" w:eastAsia="Arial" w:hAnsiTheme="majorBidi" w:cstheme="majorBidi"/>
          <w:color w:val="000000" w:themeColor="text1"/>
        </w:rPr>
        <w:t>This incident really surprised me and made me emotional as the victim was vulnerable and was left violated. The victim had mild autism and it was evident that the suspect had targeted her on the dating app and had taken advantage of her learning difficulty and her ability to understand that she had no consented to the sexual intercourse and fear of reporting to the Police.  Literature suggests that autistic children are targeted by sex offenders due to their characteristic of vulnerability (Edelson, 2010). However, Cazalis et al (2022) concluded that it would be incorrect to assume that autism is mostly to blame for their victimisation and that it is merely a vulnerability factor</w:t>
      </w:r>
      <w:r w:rsidRPr="00F11D4F">
        <w:rPr>
          <w:rFonts w:asciiTheme="majorBidi" w:eastAsia="Arial" w:hAnsiTheme="majorBidi" w:cstheme="majorBidi"/>
          <w:color w:val="000000" w:themeColor="text1"/>
        </w:rPr>
        <w:t>.</w:t>
      </w:r>
    </w:p>
    <w:p w14:paraId="71BFF96A" w14:textId="77777777" w:rsidR="00EF00A3" w:rsidRPr="00F11D4F" w:rsidRDefault="00EF00A3" w:rsidP="00F11D4F">
      <w:pPr>
        <w:spacing w:line="360" w:lineRule="auto"/>
        <w:ind w:right="237"/>
        <w:jc w:val="both"/>
        <w:rPr>
          <w:rFonts w:asciiTheme="majorBidi" w:hAnsiTheme="majorBidi" w:cstheme="majorBidi"/>
          <w:b/>
          <w:bCs/>
          <w:color w:val="000000" w:themeColor="text1"/>
        </w:rPr>
      </w:pPr>
    </w:p>
    <w:p w14:paraId="0F5477C8" w14:textId="166220A9" w:rsidR="00EF00A3" w:rsidRPr="00F11D4F" w:rsidRDefault="00EF00A3" w:rsidP="00F11D4F">
      <w:pPr>
        <w:spacing w:line="360" w:lineRule="auto"/>
        <w:ind w:right="237"/>
        <w:jc w:val="both"/>
        <w:rPr>
          <w:rFonts w:asciiTheme="majorBidi" w:eastAsia="Arial" w:hAnsiTheme="majorBidi" w:cstheme="majorBidi"/>
          <w:color w:val="000000" w:themeColor="text1"/>
        </w:rPr>
      </w:pPr>
      <w:r w:rsidRPr="00F11D4F">
        <w:rPr>
          <w:rFonts w:asciiTheme="majorBidi" w:hAnsiTheme="majorBidi" w:cstheme="majorBidi"/>
          <w:color w:val="000000" w:themeColor="text1"/>
        </w:rPr>
        <w:t xml:space="preserve">Following identifying the sexual offence, my first responsibility was to ensure that any risks, threats and harm were alleviated (Price &amp; O’Neill, 2022). This is initial conducted by the Call taker in the Police Control Room when assessing the call using a risk assessment tool known as THRIVE to identify threat, harm, risk, investigation, vulnerability and engagement with services (College of Policing, 2023). I began to use my colleagues help and assigned a </w:t>
      </w:r>
      <w:r w:rsidRPr="00F11D4F">
        <w:rPr>
          <w:rFonts w:asciiTheme="majorBidi" w:hAnsiTheme="majorBidi" w:cstheme="majorBidi"/>
          <w:shd w:val="clear" w:color="auto" w:fill="FFFFFF"/>
        </w:rPr>
        <w:t xml:space="preserve">Sexual Offence Investigation Trained Officer (SOIT). A SOIT officer is the first responder when a sexual offence has been reported and their role is to obtain information and evidence from the victim while maintain their confidence and trust (College of Policing, 2023c). This is supported by Dalton et al (2022) findings that specialist role improved the investigative process, victim safeguarding, wellbeing and their engagement; the overall outcome is positive for all (van Staden &amp; Lawerence, 2010). </w:t>
      </w:r>
      <w:r w:rsidR="0024507B" w:rsidRPr="00F11D4F">
        <w:rPr>
          <w:rFonts w:asciiTheme="majorBidi" w:hAnsiTheme="majorBidi" w:cstheme="majorBidi"/>
          <w:shd w:val="clear" w:color="auto" w:fill="FFFFFF"/>
        </w:rPr>
        <w:t>). Mourtgos et al (2021)</w:t>
      </w:r>
      <w:r w:rsidR="0024507B" w:rsidRPr="00F11D4F">
        <w:rPr>
          <w:rFonts w:asciiTheme="majorBidi" w:hAnsiTheme="majorBidi" w:cstheme="majorBidi"/>
        </w:rPr>
        <w:t xml:space="preserve"> </w:t>
      </w:r>
      <w:r w:rsidR="0024507B" w:rsidRPr="00F11D4F">
        <w:rPr>
          <w:rFonts w:asciiTheme="majorBidi" w:eastAsia="Arial" w:hAnsiTheme="majorBidi" w:cstheme="majorBidi"/>
          <w:color w:val="000000" w:themeColor="text1"/>
        </w:rPr>
        <w:t>revealed that victims reported higher levels of participation when the police officers made friendly contact with them</w:t>
      </w:r>
      <w:r w:rsidR="0024507B" w:rsidRPr="00F11D4F">
        <w:rPr>
          <w:rFonts w:asciiTheme="majorBidi" w:eastAsia="Arial" w:hAnsiTheme="majorBidi" w:cstheme="majorBidi"/>
          <w:color w:val="000000" w:themeColor="text1"/>
        </w:rPr>
        <w:t xml:space="preserve">. </w:t>
      </w:r>
      <w:r w:rsidRPr="00F11D4F">
        <w:rPr>
          <w:rFonts w:asciiTheme="majorBidi" w:hAnsiTheme="majorBidi" w:cstheme="majorBidi"/>
          <w:shd w:val="clear" w:color="auto" w:fill="FFFFFF"/>
        </w:rPr>
        <w:t xml:space="preserve">I gave the SOIT Officer a strategy by outlining the inquiries that need be made in order to determine what offence has been committed, when it occurred, where it occurred, and by whom. Additionally, to seize any clothing or any items involved in the incident for potential forensic examination. The Officer conducted an early evidence kit, meaning that a urine sample and swabs from the victim’s mouth and fingernails were taken (RCEW, 2023). </w:t>
      </w:r>
      <w:r w:rsidR="0024507B" w:rsidRPr="00F11D4F">
        <w:rPr>
          <w:rFonts w:asciiTheme="majorBidi" w:hAnsiTheme="majorBidi" w:cstheme="majorBidi"/>
          <w:shd w:val="clear" w:color="auto" w:fill="FFFFFF"/>
        </w:rPr>
        <w:t>My</w:t>
      </w:r>
      <w:r w:rsidRPr="00F11D4F">
        <w:rPr>
          <w:rFonts w:asciiTheme="majorBidi" w:hAnsiTheme="majorBidi" w:cstheme="majorBidi"/>
          <w:shd w:val="clear" w:color="auto" w:fill="FFFFFF"/>
        </w:rPr>
        <w:t xml:space="preserve"> r</w:t>
      </w:r>
      <w:r w:rsidR="0024507B" w:rsidRPr="00F11D4F">
        <w:rPr>
          <w:rFonts w:asciiTheme="majorBidi" w:hAnsiTheme="majorBidi" w:cstheme="majorBidi"/>
          <w:shd w:val="clear" w:color="auto" w:fill="FFFFFF"/>
        </w:rPr>
        <w:t xml:space="preserve">easoning </w:t>
      </w:r>
      <w:r w:rsidRPr="00F11D4F">
        <w:rPr>
          <w:rFonts w:asciiTheme="majorBidi" w:hAnsiTheme="majorBidi" w:cstheme="majorBidi"/>
          <w:shd w:val="clear" w:color="auto" w:fill="FFFFFF"/>
        </w:rPr>
        <w:t xml:space="preserve">was to gather valuable forensic evidence (Hohl &amp; Stanko, 2015). </w:t>
      </w:r>
    </w:p>
    <w:p w14:paraId="3683F0E0" w14:textId="77777777" w:rsidR="00EF00A3" w:rsidRPr="00F11D4F" w:rsidRDefault="00EF00A3" w:rsidP="00F11D4F">
      <w:pPr>
        <w:spacing w:line="360" w:lineRule="auto"/>
        <w:ind w:right="237"/>
        <w:jc w:val="both"/>
        <w:rPr>
          <w:rFonts w:asciiTheme="majorBidi" w:hAnsiTheme="majorBidi" w:cstheme="majorBidi"/>
          <w:color w:val="000000" w:themeColor="text1"/>
        </w:rPr>
      </w:pPr>
    </w:p>
    <w:p w14:paraId="7EBC8435" w14:textId="77777777" w:rsidR="00EF00A3" w:rsidRPr="00F11D4F" w:rsidRDefault="00EF00A3" w:rsidP="00F11D4F">
      <w:pPr>
        <w:spacing w:line="360" w:lineRule="auto"/>
        <w:ind w:right="237"/>
        <w:jc w:val="both"/>
        <w:rPr>
          <w:rFonts w:asciiTheme="majorBidi" w:eastAsia="Arial" w:hAnsiTheme="majorBidi" w:cstheme="majorBidi"/>
          <w:color w:val="000000" w:themeColor="text1"/>
        </w:rPr>
      </w:pPr>
      <w:r w:rsidRPr="00F11D4F">
        <w:rPr>
          <w:rFonts w:asciiTheme="majorBidi" w:eastAsia="Arial" w:hAnsiTheme="majorBidi" w:cstheme="majorBidi"/>
          <w:color w:val="000000" w:themeColor="text1"/>
        </w:rPr>
        <w:lastRenderedPageBreak/>
        <w:t xml:space="preserve">I was continually using the National Decision-Making Model (NDM) to decide what the best course of ethical action would be based on the facts I had at the moment.  (College of Policing, 2022c). The assessment process involved what powers and policies are available, options, actions and element to review decisions (Aepli, 2011). </w:t>
      </w:r>
    </w:p>
    <w:p w14:paraId="20864B36" w14:textId="77777777" w:rsidR="00EF00A3" w:rsidRPr="00F11D4F" w:rsidRDefault="00EF00A3" w:rsidP="00F11D4F">
      <w:pPr>
        <w:spacing w:line="360" w:lineRule="auto"/>
        <w:ind w:right="237"/>
        <w:jc w:val="both"/>
        <w:rPr>
          <w:rFonts w:asciiTheme="majorBidi" w:eastAsia="Arial" w:hAnsiTheme="majorBidi" w:cstheme="majorBidi"/>
          <w:color w:val="000000" w:themeColor="text1"/>
        </w:rPr>
      </w:pPr>
    </w:p>
    <w:p w14:paraId="5B001ED9" w14:textId="77777777" w:rsidR="00EF00A3" w:rsidRPr="00F11D4F" w:rsidRDefault="00EF00A3" w:rsidP="00F11D4F">
      <w:pPr>
        <w:spacing w:line="360" w:lineRule="auto"/>
        <w:ind w:right="237"/>
        <w:jc w:val="both"/>
        <w:rPr>
          <w:rFonts w:asciiTheme="majorBidi" w:eastAsia="Arial" w:hAnsiTheme="majorBidi" w:cstheme="majorBidi"/>
          <w:color w:val="000000" w:themeColor="text1"/>
        </w:rPr>
      </w:pPr>
      <w:r w:rsidRPr="00F11D4F">
        <w:rPr>
          <w:rFonts w:asciiTheme="majorBidi" w:eastAsia="Arial" w:hAnsiTheme="majorBidi" w:cstheme="majorBidi"/>
          <w:color w:val="000000" w:themeColor="text1"/>
        </w:rPr>
        <w:t>What I knew at that time was the victim was safe at home with her mother and did not need any urgent medical attention. The suspect did not know where she lived but I asked my colleague to remain with the victim until the suspect was identified. Apart from the suspect physical description, his identity was not known. I was unsure whether he sustained any injuries as a result of the victim defending herself. It was my priority to identify him to be arrested to protect the public and first and foremost to safeguard him and ensure he sought medical attention. I acted in line with my role and responsibility to safeguard the suspect detailed in Police and Criminal Evidence Act (1984) and the Human Rights Act (1998).</w:t>
      </w:r>
    </w:p>
    <w:p w14:paraId="2EAC4892" w14:textId="77777777" w:rsidR="00EF00A3" w:rsidRPr="00F11D4F" w:rsidRDefault="00EF00A3" w:rsidP="00F11D4F">
      <w:pPr>
        <w:spacing w:line="360" w:lineRule="auto"/>
        <w:ind w:right="237"/>
        <w:jc w:val="both"/>
        <w:rPr>
          <w:rFonts w:asciiTheme="majorBidi" w:eastAsia="Arial" w:hAnsiTheme="majorBidi" w:cstheme="majorBidi"/>
          <w:color w:val="000000" w:themeColor="text1"/>
        </w:rPr>
      </w:pPr>
    </w:p>
    <w:p w14:paraId="2268C56F" w14:textId="77777777" w:rsidR="00EF00A3" w:rsidRPr="00F11D4F" w:rsidRDefault="00EF00A3" w:rsidP="00F11D4F">
      <w:pPr>
        <w:spacing w:line="360" w:lineRule="auto"/>
        <w:ind w:right="237"/>
        <w:jc w:val="both"/>
        <w:rPr>
          <w:rFonts w:asciiTheme="majorBidi" w:eastAsia="Arial" w:hAnsiTheme="majorBidi" w:cstheme="majorBidi"/>
          <w:color w:val="000000" w:themeColor="text1"/>
        </w:rPr>
      </w:pPr>
      <w:r w:rsidRPr="00F11D4F">
        <w:rPr>
          <w:rFonts w:asciiTheme="majorBidi" w:eastAsia="Arial" w:hAnsiTheme="majorBidi" w:cstheme="majorBidi"/>
          <w:color w:val="000000" w:themeColor="text1"/>
        </w:rPr>
        <w:t>Golden hour opportunities were extremely important in identifying and preserving evidence immediately (College of policing, 2022). I made it my priority to preserve evidence as a delay can result in the evidence being lost (HMICFRS, 2023).  developing working strategies to identify and conduct fast track actions. A fast track investigative action increases the likelihood of evidence being preserved and early conclusion of the investigation (College of Policing, 2022).</w:t>
      </w:r>
    </w:p>
    <w:p w14:paraId="286AF63D" w14:textId="77777777" w:rsidR="00EF00A3" w:rsidRPr="00F11D4F" w:rsidRDefault="00EF00A3" w:rsidP="00F11D4F">
      <w:pPr>
        <w:spacing w:line="360" w:lineRule="auto"/>
        <w:ind w:right="237"/>
        <w:jc w:val="both"/>
        <w:rPr>
          <w:rFonts w:asciiTheme="majorBidi" w:eastAsia="Arial" w:hAnsiTheme="majorBidi" w:cstheme="majorBidi"/>
          <w:color w:val="000000" w:themeColor="text1"/>
        </w:rPr>
      </w:pPr>
    </w:p>
    <w:p w14:paraId="2A753D81" w14:textId="77777777" w:rsidR="00EF00A3" w:rsidRPr="00F11D4F" w:rsidRDefault="00EF00A3" w:rsidP="00F11D4F">
      <w:pPr>
        <w:spacing w:line="360" w:lineRule="auto"/>
        <w:ind w:right="237"/>
        <w:jc w:val="both"/>
        <w:rPr>
          <w:rFonts w:asciiTheme="majorBidi" w:eastAsia="Arial" w:hAnsiTheme="majorBidi" w:cstheme="majorBidi"/>
          <w:color w:val="000000" w:themeColor="text1"/>
        </w:rPr>
      </w:pPr>
      <w:r w:rsidRPr="00F11D4F">
        <w:rPr>
          <w:rFonts w:asciiTheme="majorBidi" w:eastAsia="Arial" w:hAnsiTheme="majorBidi" w:cstheme="majorBidi"/>
          <w:color w:val="000000" w:themeColor="text1"/>
        </w:rPr>
        <w:t>CCTV proved to be a vital fast track action as through this enquiry we identified how the suspect looked which helped assist my colleagues who were out on patrol look for him and it lead to his arrest when he was supported on a main road whereby he was later arrested. However, CCTV was only used to provide a CCTV still image of the suspect due to the time constraint and a lack of resources. For all crime types, with the exception of fraud and possession of drugs or weapons, effective CCTV was linked to significantly higher odds of crimes being solved (Ashby, 2017</w:t>
      </w:r>
      <w:r w:rsidRPr="00F11D4F">
        <w:rPr>
          <w:rFonts w:asciiTheme="majorBidi" w:hAnsiTheme="majorBidi" w:cstheme="majorBidi"/>
        </w:rPr>
        <w:t xml:space="preserve">). </w:t>
      </w:r>
      <w:r w:rsidRPr="00F11D4F">
        <w:rPr>
          <w:rFonts w:asciiTheme="majorBidi" w:eastAsia="Arial" w:hAnsiTheme="majorBidi" w:cstheme="majorBidi"/>
          <w:color w:val="000000" w:themeColor="text1"/>
        </w:rPr>
        <w:t xml:space="preserve">In the courtroom, CCTV footage and still pictures are frequently utilised to assist the jury visualise the incident and identify the criminal (Walker &amp; Tough, 2015). </w:t>
      </w:r>
    </w:p>
    <w:p w14:paraId="6EC5524E" w14:textId="77777777" w:rsidR="00EF00A3" w:rsidRPr="00F11D4F" w:rsidRDefault="00EF00A3" w:rsidP="00F11D4F">
      <w:pPr>
        <w:spacing w:line="360" w:lineRule="auto"/>
        <w:ind w:right="237"/>
        <w:jc w:val="both"/>
        <w:rPr>
          <w:rFonts w:asciiTheme="majorBidi" w:eastAsia="Arial" w:hAnsiTheme="majorBidi" w:cstheme="majorBidi"/>
          <w:color w:val="000000" w:themeColor="text1"/>
        </w:rPr>
      </w:pPr>
    </w:p>
    <w:p w14:paraId="22F36F60" w14:textId="77777777" w:rsidR="00EF00A3" w:rsidRPr="00F11D4F" w:rsidRDefault="00EF00A3" w:rsidP="00F11D4F">
      <w:pPr>
        <w:spacing w:line="360" w:lineRule="auto"/>
        <w:ind w:right="237"/>
        <w:jc w:val="both"/>
        <w:rPr>
          <w:rFonts w:asciiTheme="majorBidi" w:eastAsia="Arial" w:hAnsiTheme="majorBidi" w:cstheme="majorBidi"/>
          <w:color w:val="000000" w:themeColor="text1"/>
        </w:rPr>
      </w:pPr>
      <w:r w:rsidRPr="00F11D4F">
        <w:rPr>
          <w:rFonts w:asciiTheme="majorBidi" w:eastAsia="Arial" w:hAnsiTheme="majorBidi" w:cstheme="majorBidi"/>
          <w:color w:val="000000" w:themeColor="text1"/>
        </w:rPr>
        <w:t xml:space="preserve">Another enquiry that I considered was house to house enquires. This is an enquiry that helps investigators identify suspects and to search for witnesses where they might be located around an incident (College of Policing, 2013). This enquiry requires a lot of time and </w:t>
      </w:r>
      <w:r w:rsidRPr="00F11D4F">
        <w:rPr>
          <w:rFonts w:asciiTheme="majorBidi" w:eastAsia="Arial" w:hAnsiTheme="majorBidi" w:cstheme="majorBidi"/>
          <w:color w:val="000000" w:themeColor="text1"/>
        </w:rPr>
        <w:lastRenderedPageBreak/>
        <w:t>resources. In this investigation, I deemed it not proportionate as a fast track action as the offence happened in a hotel room and the other rooms on the same floor were not occupied at the time of the incident.</w:t>
      </w:r>
    </w:p>
    <w:p w14:paraId="70048539" w14:textId="77777777" w:rsidR="00EF00A3" w:rsidRPr="00F11D4F" w:rsidRDefault="00EF00A3" w:rsidP="00F11D4F">
      <w:pPr>
        <w:spacing w:line="360" w:lineRule="auto"/>
        <w:ind w:right="237"/>
        <w:jc w:val="both"/>
        <w:rPr>
          <w:rFonts w:asciiTheme="majorBidi" w:eastAsia="Arial" w:hAnsiTheme="majorBidi" w:cstheme="majorBidi"/>
          <w:color w:val="000000" w:themeColor="text1"/>
        </w:rPr>
      </w:pPr>
    </w:p>
    <w:p w14:paraId="7877C341" w14:textId="5F7370FF" w:rsidR="00EF00A3" w:rsidRPr="00F11D4F" w:rsidRDefault="00EF00A3" w:rsidP="00F11D4F">
      <w:pPr>
        <w:spacing w:line="360" w:lineRule="auto"/>
        <w:ind w:right="237"/>
        <w:jc w:val="both"/>
        <w:rPr>
          <w:rFonts w:asciiTheme="majorBidi" w:hAnsiTheme="majorBidi" w:cstheme="majorBidi"/>
          <w:color w:val="000000" w:themeColor="text1"/>
        </w:rPr>
      </w:pPr>
      <w:r w:rsidRPr="00F11D4F">
        <w:rPr>
          <w:rFonts w:asciiTheme="majorBidi" w:eastAsia="Arial" w:hAnsiTheme="majorBidi" w:cstheme="majorBidi"/>
          <w:color w:val="000000" w:themeColor="text1"/>
        </w:rPr>
        <w:t xml:space="preserve">Another fast track action was identifying and preserving all scenes to preserve forensic opportunities and prevent cross contamination. This is the undesired material transfer between two or more sources of physical evidence (Edmond, 2014). </w:t>
      </w:r>
      <w:r w:rsidRPr="00F11D4F">
        <w:rPr>
          <w:rFonts w:asciiTheme="majorBidi" w:hAnsiTheme="majorBidi" w:cstheme="majorBidi"/>
          <w:color w:val="000000" w:themeColor="text1"/>
        </w:rPr>
        <w:t xml:space="preserve">With the information I knew, I considered three crime scenes to be the victim, suspect and hotel room (offence location). From the initial information, the material timeframe of the offence was between the hours of 1am to 8am.  </w:t>
      </w:r>
      <w:r w:rsidRPr="00F11D4F">
        <w:rPr>
          <w:rFonts w:asciiTheme="majorBidi" w:eastAsia="Arial" w:hAnsiTheme="majorBidi" w:cstheme="majorBidi"/>
          <w:color w:val="000000" w:themeColor="text1"/>
        </w:rPr>
        <w:t xml:space="preserve">The victim was within the forensic window for non-intimate swabs to recover bodily fluid, </w:t>
      </w:r>
      <w:r w:rsidRPr="00F11D4F">
        <w:rPr>
          <w:rFonts w:asciiTheme="majorBidi" w:hAnsiTheme="majorBidi" w:cstheme="majorBidi"/>
        </w:rPr>
        <w:t>and other visible trace evidence. There was 7 days for recovery of such substances in the vagina (</w:t>
      </w:r>
      <w:r w:rsidRPr="00F11D4F">
        <w:rPr>
          <w:rFonts w:asciiTheme="majorBidi" w:hAnsiTheme="majorBidi" w:cstheme="majorBidi"/>
          <w:bCs/>
        </w:rPr>
        <w:t xml:space="preserve">The Faculty of Forensic &amp; Legal </w:t>
      </w:r>
      <w:r w:rsidR="00272AF1" w:rsidRPr="00F11D4F">
        <w:rPr>
          <w:rFonts w:asciiTheme="majorBidi" w:hAnsiTheme="majorBidi" w:cstheme="majorBidi"/>
          <w:bCs/>
        </w:rPr>
        <w:t>Medicine,</w:t>
      </w:r>
      <w:r w:rsidRPr="00F11D4F">
        <w:rPr>
          <w:rFonts w:asciiTheme="majorBidi" w:hAnsiTheme="majorBidi" w:cstheme="majorBidi"/>
          <w:bCs/>
        </w:rPr>
        <w:t xml:space="preserve"> 2015). </w:t>
      </w:r>
      <w:r w:rsidRPr="00F11D4F">
        <w:rPr>
          <w:rFonts w:asciiTheme="majorBidi" w:eastAsia="Arial" w:hAnsiTheme="majorBidi" w:cstheme="majorBidi"/>
          <w:color w:val="000000" w:themeColor="text1"/>
        </w:rPr>
        <w:t xml:space="preserve">It was important that a forensic examination was conducted by a Forensic Examiner immediately due to the time sensitivity. I considered as part of the suspect arrest strategy, for intimate penile swabs to be obtained in custody. This will prevent the loss of any trace of forensic evidence due to the forensic window for a male is 72 hours. </w:t>
      </w:r>
      <w:r w:rsidRPr="00F11D4F">
        <w:rPr>
          <w:rFonts w:asciiTheme="majorBidi" w:hAnsiTheme="majorBidi" w:cstheme="majorBidi"/>
          <w:bCs/>
        </w:rPr>
        <w:t xml:space="preserve">The final scene is the hotel room, that was locked and preserved to maintain its integrity. Crime Scene Investigators were assigned to examine the scene. Thus, all clothing/footwear belonging to the suspect and victim to be obtained. </w:t>
      </w:r>
      <w:r w:rsidR="0024507B" w:rsidRPr="00F11D4F">
        <w:rPr>
          <w:rFonts w:asciiTheme="majorBidi" w:hAnsiTheme="majorBidi" w:cstheme="majorBidi"/>
          <w:bCs/>
        </w:rPr>
        <w:t>My</w:t>
      </w:r>
      <w:r w:rsidRPr="00F11D4F">
        <w:rPr>
          <w:rFonts w:asciiTheme="majorBidi" w:hAnsiTheme="majorBidi" w:cstheme="majorBidi"/>
          <w:bCs/>
        </w:rPr>
        <w:t xml:space="preserve"> thought process was the possibility of </w:t>
      </w:r>
      <w:r w:rsidR="0024507B" w:rsidRPr="00F11D4F">
        <w:rPr>
          <w:rFonts w:asciiTheme="majorBidi" w:hAnsiTheme="majorBidi" w:cstheme="majorBidi"/>
          <w:bCs/>
        </w:rPr>
        <w:t>t</w:t>
      </w:r>
      <w:r w:rsidRPr="00F11D4F">
        <w:rPr>
          <w:rFonts w:asciiTheme="majorBidi" w:hAnsiTheme="majorBidi" w:cstheme="majorBidi"/>
          <w:bCs/>
        </w:rPr>
        <w:t xml:space="preserve">races </w:t>
      </w:r>
      <w:r w:rsidR="0024507B" w:rsidRPr="00F11D4F">
        <w:rPr>
          <w:rFonts w:asciiTheme="majorBidi" w:hAnsiTheme="majorBidi" w:cstheme="majorBidi"/>
          <w:bCs/>
        </w:rPr>
        <w:t xml:space="preserve">of </w:t>
      </w:r>
      <w:r w:rsidRPr="00F11D4F">
        <w:rPr>
          <w:rFonts w:asciiTheme="majorBidi" w:hAnsiTheme="majorBidi" w:cstheme="majorBidi"/>
          <w:bCs/>
        </w:rPr>
        <w:t>fibres/DNA/blood semen. According to Dawany &amp; Sheppard (2023) the substances may corroborate a claim of sexual assault if found in intimate swabs obtained throughout a forensic examination.</w:t>
      </w:r>
    </w:p>
    <w:p w14:paraId="258A9604" w14:textId="77777777" w:rsidR="00EF00A3" w:rsidRPr="00F11D4F" w:rsidRDefault="00EF00A3" w:rsidP="00F11D4F">
      <w:pPr>
        <w:spacing w:line="360" w:lineRule="auto"/>
        <w:ind w:right="237"/>
        <w:jc w:val="both"/>
        <w:rPr>
          <w:rFonts w:asciiTheme="majorBidi" w:eastAsia="Arial" w:hAnsiTheme="majorBidi" w:cstheme="majorBidi"/>
          <w:color w:val="000000" w:themeColor="text1"/>
        </w:rPr>
      </w:pPr>
    </w:p>
    <w:p w14:paraId="50A9E59A" w14:textId="77777777" w:rsidR="00EF00A3" w:rsidRPr="00F11D4F" w:rsidRDefault="00EF00A3" w:rsidP="00F11D4F">
      <w:pPr>
        <w:spacing w:line="360" w:lineRule="auto"/>
        <w:ind w:right="237"/>
        <w:jc w:val="both"/>
        <w:rPr>
          <w:rFonts w:asciiTheme="majorBidi" w:eastAsia="Arial" w:hAnsiTheme="majorBidi" w:cstheme="majorBidi"/>
          <w:color w:val="000000" w:themeColor="text1"/>
        </w:rPr>
      </w:pPr>
      <w:r w:rsidRPr="00F11D4F">
        <w:rPr>
          <w:rFonts w:asciiTheme="majorBidi" w:eastAsia="Arial" w:hAnsiTheme="majorBidi" w:cstheme="majorBidi"/>
          <w:color w:val="000000" w:themeColor="text1"/>
        </w:rPr>
        <w:t>Thus, my next fast track actions were to have all the intimate swabs examined by the Joint Scientific Investigation Unit as a matter of urgency. However, this action was not required as in the suspect interview, the suspect stated he had consensual sex with the victim and account for his DNA.</w:t>
      </w:r>
    </w:p>
    <w:p w14:paraId="20DA3018" w14:textId="77777777" w:rsidR="00EF00A3" w:rsidRPr="00F11D4F" w:rsidRDefault="00EF00A3" w:rsidP="00F11D4F">
      <w:pPr>
        <w:spacing w:line="360" w:lineRule="auto"/>
        <w:ind w:right="237"/>
        <w:jc w:val="both"/>
        <w:rPr>
          <w:rFonts w:asciiTheme="majorBidi" w:eastAsia="Arial" w:hAnsiTheme="majorBidi" w:cstheme="majorBidi"/>
          <w:color w:val="000000" w:themeColor="text1"/>
        </w:rPr>
      </w:pPr>
    </w:p>
    <w:p w14:paraId="6D73D8D1" w14:textId="54632B8B" w:rsidR="00EF00A3" w:rsidRPr="00F11D4F" w:rsidRDefault="00EF00A3" w:rsidP="00F11D4F">
      <w:pPr>
        <w:spacing w:line="360" w:lineRule="auto"/>
        <w:ind w:right="237"/>
        <w:jc w:val="both"/>
        <w:rPr>
          <w:rFonts w:asciiTheme="majorBidi" w:eastAsia="Arial" w:hAnsiTheme="majorBidi" w:cstheme="majorBidi"/>
          <w:color w:val="000000" w:themeColor="text1"/>
        </w:rPr>
      </w:pPr>
      <w:r w:rsidRPr="00F11D4F">
        <w:rPr>
          <w:rFonts w:asciiTheme="majorBidi" w:eastAsia="Arial" w:hAnsiTheme="majorBidi" w:cstheme="majorBidi"/>
          <w:color w:val="000000" w:themeColor="text1"/>
        </w:rPr>
        <w:t xml:space="preserve">What I found the most difficult within this investigation is maintaining public confidence and minimising the community impact. I found this challenging as the victim was from a Muslim community, female and this offence occurred in a public area within the City Centre. When there is a potential that a case may escalate into a catastrophic incident, early action has been shown to help prevent a significant loss of confidence. </w:t>
      </w:r>
      <w:r w:rsidRPr="00F11D4F">
        <w:rPr>
          <w:rFonts w:asciiTheme="majorBidi" w:hAnsiTheme="majorBidi" w:cstheme="majorBidi"/>
        </w:rPr>
        <w:t xml:space="preserve">(College of Policing, 2023). I took a more proactive police response. I consulted with the Muslim community representative when appealing for witnesses and requested Neighbourhood Policing Officers </w:t>
      </w:r>
      <w:r w:rsidRPr="00F11D4F">
        <w:rPr>
          <w:rFonts w:asciiTheme="majorBidi" w:hAnsiTheme="majorBidi" w:cstheme="majorBidi"/>
        </w:rPr>
        <w:lastRenderedPageBreak/>
        <w:t>to increase presence in the community during prayer times as a sign of respect. A media appeal was uploaded on the South Wales Police twitter to make them aware of the incident and Police activity. The proactive approach showed good police engagement within the community in attempts to increase public confidence and positive relationship</w:t>
      </w:r>
      <w:r w:rsidRPr="00F11D4F">
        <w:rPr>
          <w:rFonts w:asciiTheme="majorBidi" w:hAnsiTheme="majorBidi" w:cstheme="majorBidi"/>
        </w:rPr>
        <w:t xml:space="preserve"> (Stanko et al, 2012)</w:t>
      </w:r>
    </w:p>
    <w:p w14:paraId="1051AA70" w14:textId="77777777" w:rsidR="00EF00A3" w:rsidRPr="00F11D4F" w:rsidRDefault="00EF00A3" w:rsidP="00F11D4F">
      <w:pPr>
        <w:spacing w:line="360" w:lineRule="auto"/>
        <w:ind w:right="237"/>
        <w:jc w:val="both"/>
        <w:rPr>
          <w:rFonts w:asciiTheme="majorBidi" w:hAnsiTheme="majorBidi" w:cstheme="majorBidi"/>
        </w:rPr>
      </w:pPr>
    </w:p>
    <w:p w14:paraId="3FCA707A" w14:textId="53709D27" w:rsidR="00EF00A3" w:rsidRPr="00F11D4F" w:rsidRDefault="00EF00A3" w:rsidP="00F11D4F">
      <w:pPr>
        <w:spacing w:line="360" w:lineRule="auto"/>
        <w:ind w:right="237"/>
        <w:jc w:val="both"/>
        <w:rPr>
          <w:rFonts w:asciiTheme="majorBidi" w:hAnsiTheme="majorBidi" w:cstheme="majorBidi"/>
        </w:rPr>
      </w:pPr>
      <w:r w:rsidRPr="00F11D4F">
        <w:rPr>
          <w:rFonts w:asciiTheme="majorBidi" w:hAnsiTheme="majorBidi" w:cstheme="majorBidi"/>
        </w:rPr>
        <w:t xml:space="preserve">Throughout this complex investigation which is conducted over a long period it is important that all those involved: victim, suspects and witness are supported throughout, and needs are met. I did this by protecting the suspect’s right under the Human Rights Act 1998 and complied with </w:t>
      </w:r>
      <w:r w:rsidRPr="00F11D4F">
        <w:rPr>
          <w:rFonts w:asciiTheme="majorBidi" w:hAnsiTheme="majorBidi" w:cstheme="majorBidi"/>
          <w:color w:val="000000" w:themeColor="text1"/>
        </w:rPr>
        <w:t>the Police and Criminal Evidence Act 1984.</w:t>
      </w:r>
      <w:r w:rsidRPr="00F11D4F">
        <w:rPr>
          <w:rFonts w:asciiTheme="majorBidi" w:hAnsiTheme="majorBidi" w:cstheme="majorBidi"/>
        </w:rPr>
        <w:t xml:space="preserve"> Following the suspect being interviewed he was provided with a list of support services and had undergone a fitness to be released assessment by a health custody Practitioner due to the nature of the offence. I recalled from my previous conversation with the suspect he was Muslim. I discussed a curfew to allow him to attend religious prayers during the month of Ramadan while contemplating the bail conditions, taking this into consideration. Throughout this investigation, I remained impartial and afforded the suspect with the opportunity to provide any reasonable line of enquires he wishes to be investigated that can help his account. This was conducted as part of pre-charge engagement allowing any voluntary engaged between arties to an investigation after the first interview under caution (GOV.UK, 2022). I acted in like with the guidance detailed in the Authorised Professional Practice by pursuing all rational enquires, regardless of whom the direction the enquires relates to.</w:t>
      </w:r>
    </w:p>
    <w:p w14:paraId="5449BD8E" w14:textId="77777777" w:rsidR="00EF00A3" w:rsidRPr="00F11D4F" w:rsidRDefault="00EF00A3" w:rsidP="00F11D4F">
      <w:pPr>
        <w:spacing w:line="360" w:lineRule="auto"/>
        <w:ind w:right="237"/>
        <w:jc w:val="both"/>
        <w:rPr>
          <w:rFonts w:asciiTheme="majorBidi" w:hAnsiTheme="majorBidi" w:cstheme="majorBidi"/>
        </w:rPr>
      </w:pPr>
    </w:p>
    <w:p w14:paraId="2BF9C422" w14:textId="641C2005" w:rsidR="00EF00A3" w:rsidRPr="00F11D4F" w:rsidRDefault="00EF00A3" w:rsidP="00F11D4F">
      <w:pPr>
        <w:spacing w:line="360" w:lineRule="auto"/>
        <w:ind w:right="237"/>
        <w:jc w:val="both"/>
        <w:rPr>
          <w:rFonts w:asciiTheme="majorBidi" w:hAnsiTheme="majorBidi" w:cstheme="majorBidi"/>
        </w:rPr>
      </w:pPr>
      <w:r w:rsidRPr="00F11D4F">
        <w:rPr>
          <w:rFonts w:asciiTheme="majorBidi" w:hAnsiTheme="majorBidi" w:cstheme="majorBidi"/>
        </w:rPr>
        <w:t xml:space="preserve"> In relation to the victims, throughout this investigation I offered victim support and protected their rights under the victim code of practice (Ministry of Justice, 2022). I set up weekly meetings in person with the victim to provide her updates, answer any questions she had, and give her an opportunity to voice any concerns. I completed the appropriate referrals for support services to ensure she had impartial and independent support. During out initial meeting, I completed a ‘victim support referral form’ and a ‘Sexual Assault Referral form’. I took this action so that the victim would have access to an Independent Sexual Violence Advisor (ISVA) who could offer objective information about the victim's options during the inquiry and provide specialised help before this matter went to court by offering counselling sessions (Home Office, 2017). Victim support was able to offer the victim six complimentary counselling sessions as well as private services. (Victim Support, 202</w:t>
      </w:r>
      <w:r w:rsidR="00F11D4F" w:rsidRPr="00F11D4F">
        <w:rPr>
          <w:rFonts w:asciiTheme="majorBidi" w:hAnsiTheme="majorBidi" w:cstheme="majorBidi"/>
        </w:rPr>
        <w:t>2</w:t>
      </w:r>
      <w:r w:rsidRPr="00F11D4F">
        <w:rPr>
          <w:rFonts w:asciiTheme="majorBidi" w:hAnsiTheme="majorBidi" w:cstheme="majorBidi"/>
        </w:rPr>
        <w:t xml:space="preserve">). Youstin &amp; </w:t>
      </w:r>
      <w:r w:rsidR="00F11D4F" w:rsidRPr="00F11D4F">
        <w:rPr>
          <w:rFonts w:asciiTheme="majorBidi" w:hAnsiTheme="majorBidi" w:cstheme="majorBidi"/>
        </w:rPr>
        <w:t>Siddique</w:t>
      </w:r>
      <w:r w:rsidR="00F11D4F" w:rsidRPr="00F11D4F">
        <w:rPr>
          <w:rFonts w:asciiTheme="majorBidi" w:hAnsiTheme="majorBidi" w:cstheme="majorBidi"/>
        </w:rPr>
        <w:t xml:space="preserve"> </w:t>
      </w:r>
      <w:r w:rsidRPr="00F11D4F">
        <w:rPr>
          <w:rFonts w:asciiTheme="majorBidi" w:hAnsiTheme="majorBidi" w:cstheme="majorBidi"/>
        </w:rPr>
        <w:lastRenderedPageBreak/>
        <w:t>(2019) found that contact with a victim support service proved to be a powerful predicator of forma help seeking behaviour.</w:t>
      </w:r>
    </w:p>
    <w:p w14:paraId="27E61422" w14:textId="77777777" w:rsidR="00EF00A3" w:rsidRPr="00F11D4F" w:rsidRDefault="00EF00A3" w:rsidP="00F11D4F">
      <w:pPr>
        <w:spacing w:line="360" w:lineRule="auto"/>
        <w:ind w:right="237"/>
        <w:jc w:val="both"/>
        <w:rPr>
          <w:rFonts w:asciiTheme="majorBidi" w:hAnsiTheme="majorBidi" w:cstheme="majorBidi"/>
        </w:rPr>
      </w:pPr>
    </w:p>
    <w:p w14:paraId="409F36A4" w14:textId="12752D0F" w:rsidR="00EF00A3" w:rsidRPr="00F11D4F" w:rsidRDefault="00EF00A3" w:rsidP="00F11D4F">
      <w:pPr>
        <w:spacing w:line="360" w:lineRule="auto"/>
        <w:ind w:right="237"/>
        <w:jc w:val="both"/>
        <w:rPr>
          <w:rFonts w:asciiTheme="majorBidi" w:hAnsiTheme="majorBidi" w:cstheme="majorBidi"/>
          <w:color w:val="000000"/>
          <w:shd w:val="clear" w:color="auto" w:fill="FFFFFF"/>
        </w:rPr>
      </w:pPr>
      <w:r w:rsidRPr="00F11D4F">
        <w:rPr>
          <w:rFonts w:asciiTheme="majorBidi" w:hAnsiTheme="majorBidi" w:cstheme="majorBidi"/>
          <w:color w:val="000000"/>
          <w:shd w:val="clear" w:color="auto" w:fill="FFFFFF"/>
        </w:rPr>
        <w:t xml:space="preserve">In terms of legislation, the victim is automatically granted special measures due to the being categorised under Section 17 (4) of the YJCEA (1999). The victim's quality of testimony in the criminal proceedings is likely to be affected by fear or anguish, the victim is qualified for help under this section. The victim had been interviewed on camera in the Sexual Assault Referral Centre (SARC), and the footage was created to be played as the primary piece of evidence when the case proceeded to trial. </w:t>
      </w:r>
      <w:r w:rsidR="0024507B" w:rsidRPr="00F11D4F">
        <w:rPr>
          <w:rFonts w:asciiTheme="majorBidi" w:hAnsiTheme="majorBidi" w:cstheme="majorBidi"/>
          <w:color w:val="000000"/>
          <w:shd w:val="clear" w:color="auto" w:fill="FFFFFF"/>
        </w:rPr>
        <w:t xml:space="preserve">I choose this </w:t>
      </w:r>
      <w:r w:rsidRPr="00F11D4F">
        <w:rPr>
          <w:rFonts w:asciiTheme="majorBidi" w:hAnsiTheme="majorBidi" w:cstheme="majorBidi"/>
          <w:color w:val="000000"/>
          <w:shd w:val="clear" w:color="auto" w:fill="FFFFFF"/>
        </w:rPr>
        <w:t xml:space="preserve">this location </w:t>
      </w:r>
      <w:r w:rsidR="0024507B" w:rsidRPr="00F11D4F">
        <w:rPr>
          <w:rFonts w:asciiTheme="majorBidi" w:hAnsiTheme="majorBidi" w:cstheme="majorBidi"/>
          <w:color w:val="000000"/>
          <w:shd w:val="clear" w:color="auto" w:fill="FFFFFF"/>
        </w:rPr>
        <w:t>because of</w:t>
      </w:r>
      <w:r w:rsidRPr="00F11D4F">
        <w:rPr>
          <w:rFonts w:asciiTheme="majorBidi" w:hAnsiTheme="majorBidi" w:cstheme="majorBidi"/>
          <w:color w:val="000000"/>
          <w:shd w:val="clear" w:color="auto" w:fill="FFFFFF"/>
        </w:rPr>
        <w:t xml:space="preserve"> the support</w:t>
      </w:r>
      <w:r w:rsidR="0024507B" w:rsidRPr="00F11D4F">
        <w:rPr>
          <w:rFonts w:asciiTheme="majorBidi" w:hAnsiTheme="majorBidi" w:cstheme="majorBidi"/>
          <w:color w:val="000000"/>
          <w:shd w:val="clear" w:color="auto" w:fill="FFFFFF"/>
        </w:rPr>
        <w:t xml:space="preserve"> the</w:t>
      </w:r>
      <w:r w:rsidRPr="00F11D4F">
        <w:rPr>
          <w:rFonts w:asciiTheme="majorBidi" w:hAnsiTheme="majorBidi" w:cstheme="majorBidi"/>
          <w:color w:val="000000"/>
          <w:shd w:val="clear" w:color="auto" w:fill="FFFFFF"/>
        </w:rPr>
        <w:t xml:space="preserve"> ISVA</w:t>
      </w:r>
      <w:r w:rsidR="0024507B" w:rsidRPr="00F11D4F">
        <w:rPr>
          <w:rFonts w:asciiTheme="majorBidi" w:hAnsiTheme="majorBidi" w:cstheme="majorBidi"/>
          <w:color w:val="000000"/>
          <w:shd w:val="clear" w:color="auto" w:fill="FFFFFF"/>
        </w:rPr>
        <w:t xml:space="preserve"> offers the victim</w:t>
      </w:r>
      <w:r w:rsidRPr="00F11D4F">
        <w:rPr>
          <w:rFonts w:asciiTheme="majorBidi" w:hAnsiTheme="majorBidi" w:cstheme="majorBidi"/>
          <w:color w:val="000000"/>
          <w:shd w:val="clear" w:color="auto" w:fill="FFFFFF"/>
        </w:rPr>
        <w:t xml:space="preserve"> as details </w:t>
      </w:r>
      <w:r w:rsidR="0024507B" w:rsidRPr="00F11D4F">
        <w:rPr>
          <w:rFonts w:asciiTheme="majorBidi" w:hAnsiTheme="majorBidi" w:cstheme="majorBidi"/>
          <w:color w:val="000000"/>
          <w:shd w:val="clear" w:color="auto" w:fill="FFFFFF"/>
        </w:rPr>
        <w:t>previously</w:t>
      </w:r>
      <w:r w:rsidRPr="00F11D4F">
        <w:rPr>
          <w:rFonts w:asciiTheme="majorBidi" w:hAnsiTheme="majorBidi" w:cstheme="majorBidi"/>
          <w:color w:val="000000"/>
          <w:shd w:val="clear" w:color="auto" w:fill="FFFFFF"/>
        </w:rPr>
        <w:t>. It is suggested that victims who provide their video-recorded evidence in chief in the SARC were considerably less likely to withdraw and the case were more likely to be referred to the CPS for a charging decision (Hohl &amp; Stank, 2015).</w:t>
      </w:r>
    </w:p>
    <w:p w14:paraId="05CC73C7" w14:textId="014C2B18" w:rsidR="00EF00A3" w:rsidRPr="00F11D4F" w:rsidRDefault="00EF00A3" w:rsidP="00F11D4F">
      <w:pPr>
        <w:spacing w:line="360" w:lineRule="auto"/>
        <w:ind w:right="237"/>
        <w:jc w:val="both"/>
        <w:rPr>
          <w:rFonts w:asciiTheme="majorBidi" w:hAnsiTheme="majorBidi" w:cstheme="majorBidi"/>
        </w:rPr>
      </w:pPr>
    </w:p>
    <w:p w14:paraId="0F824FEB" w14:textId="77777777" w:rsidR="00EF00A3" w:rsidRPr="00F11D4F" w:rsidRDefault="00EF00A3" w:rsidP="00F11D4F">
      <w:pPr>
        <w:spacing w:line="360" w:lineRule="auto"/>
        <w:ind w:right="237"/>
        <w:jc w:val="both"/>
        <w:rPr>
          <w:rFonts w:asciiTheme="majorBidi" w:eastAsia="Arial" w:hAnsiTheme="majorBidi" w:cstheme="majorBidi"/>
          <w:color w:val="000000" w:themeColor="text1"/>
        </w:rPr>
      </w:pPr>
      <w:r w:rsidRPr="00F11D4F">
        <w:rPr>
          <w:rFonts w:asciiTheme="majorBidi" w:hAnsiTheme="majorBidi" w:cstheme="majorBidi"/>
          <w:color w:val="000000"/>
          <w:shd w:val="clear" w:color="auto" w:fill="FFFFFF"/>
        </w:rPr>
        <w:t>To conclude, I acted in line with the Authorised Professional Practice and CIPA 1996. I ensured I managed any risks and referred the victim to appropriate support services in public protection and victim support. For the suspect, a fitness to be released assessment was conducted before he was released from Custody.</w:t>
      </w:r>
      <w:r w:rsidRPr="00F11D4F">
        <w:rPr>
          <w:rFonts w:asciiTheme="majorBidi" w:eastAsia="Arial" w:hAnsiTheme="majorBidi" w:cstheme="majorBidi"/>
          <w:color w:val="000000" w:themeColor="text1"/>
        </w:rPr>
        <w:t xml:space="preserve"> I successfully developed a victim, witness, scenes and suspect strategies to ensure forensic evidence, passive data and witnesses were identified and not lost. Importantly, to ensure all lines of enquires was identified taking into consideration resources, priorities and proportionately and necessity. </w:t>
      </w:r>
    </w:p>
    <w:p w14:paraId="6A9295B4" w14:textId="77777777" w:rsidR="00EF00A3" w:rsidRPr="00F11D4F" w:rsidRDefault="00EF00A3" w:rsidP="00F11D4F">
      <w:pPr>
        <w:spacing w:line="360" w:lineRule="auto"/>
        <w:ind w:right="237"/>
        <w:jc w:val="both"/>
        <w:rPr>
          <w:rFonts w:asciiTheme="majorBidi" w:hAnsiTheme="majorBidi" w:cstheme="majorBidi"/>
          <w:color w:val="000000"/>
          <w:shd w:val="clear" w:color="auto" w:fill="FFFFFF"/>
        </w:rPr>
      </w:pPr>
    </w:p>
    <w:p w14:paraId="6981BF30" w14:textId="22EAE45D" w:rsidR="003855B6" w:rsidRPr="00F11D4F" w:rsidRDefault="00F11D4F" w:rsidP="00F11D4F">
      <w:pPr>
        <w:spacing w:line="360" w:lineRule="auto"/>
        <w:ind w:right="237"/>
        <w:jc w:val="both"/>
        <w:rPr>
          <w:rFonts w:asciiTheme="majorBidi" w:hAnsiTheme="majorBidi" w:cstheme="majorBidi"/>
          <w:b/>
          <w:bCs/>
        </w:rPr>
      </w:pPr>
      <w:r w:rsidRPr="00F11D4F">
        <w:rPr>
          <w:rFonts w:asciiTheme="majorBidi" w:hAnsiTheme="majorBidi" w:cstheme="majorBidi"/>
          <w:b/>
          <w:bCs/>
        </w:rPr>
        <w:t>Word count: 2,200</w:t>
      </w:r>
    </w:p>
    <w:p w14:paraId="25BB9243" w14:textId="27E6E63D" w:rsidR="00051E85" w:rsidRPr="00F11D4F" w:rsidRDefault="00051E85" w:rsidP="00F11D4F">
      <w:pPr>
        <w:spacing w:line="360" w:lineRule="auto"/>
        <w:ind w:right="237"/>
        <w:jc w:val="both"/>
        <w:rPr>
          <w:rFonts w:asciiTheme="majorBidi" w:eastAsia="Arial" w:hAnsiTheme="majorBidi" w:cstheme="majorBidi"/>
          <w:color w:val="000000" w:themeColor="text1"/>
        </w:rPr>
      </w:pPr>
    </w:p>
    <w:p w14:paraId="601B7A17" w14:textId="1927AC95" w:rsidR="00051E85" w:rsidRPr="00F11D4F" w:rsidRDefault="00051E85" w:rsidP="00F11D4F">
      <w:pPr>
        <w:spacing w:line="360" w:lineRule="auto"/>
        <w:ind w:right="237"/>
        <w:jc w:val="both"/>
        <w:rPr>
          <w:rFonts w:asciiTheme="majorBidi" w:eastAsia="Arial" w:hAnsiTheme="majorBidi" w:cstheme="majorBidi"/>
          <w:color w:val="000000" w:themeColor="text1"/>
        </w:rPr>
      </w:pPr>
    </w:p>
    <w:p w14:paraId="22149D02" w14:textId="0BD81724" w:rsidR="00051E85" w:rsidRPr="00F11D4F" w:rsidRDefault="00051E85" w:rsidP="00F11D4F">
      <w:pPr>
        <w:spacing w:line="360" w:lineRule="auto"/>
        <w:ind w:right="237"/>
        <w:jc w:val="both"/>
        <w:rPr>
          <w:rFonts w:asciiTheme="majorBidi" w:eastAsia="Arial" w:hAnsiTheme="majorBidi" w:cstheme="majorBidi"/>
          <w:color w:val="000000" w:themeColor="text1"/>
        </w:rPr>
      </w:pPr>
    </w:p>
    <w:p w14:paraId="7BFC8981" w14:textId="22341A5E" w:rsidR="00051E85" w:rsidRPr="00F11D4F" w:rsidRDefault="00051E85" w:rsidP="00F11D4F">
      <w:pPr>
        <w:spacing w:line="360" w:lineRule="auto"/>
        <w:ind w:right="237"/>
        <w:jc w:val="both"/>
        <w:rPr>
          <w:rFonts w:asciiTheme="majorBidi" w:eastAsia="Arial" w:hAnsiTheme="majorBidi" w:cstheme="majorBidi"/>
          <w:color w:val="000000" w:themeColor="text1"/>
        </w:rPr>
      </w:pPr>
    </w:p>
    <w:p w14:paraId="43E44F68" w14:textId="28C718A8" w:rsidR="00051E85" w:rsidRPr="00F11D4F" w:rsidRDefault="00051E85" w:rsidP="00F11D4F">
      <w:pPr>
        <w:spacing w:line="360" w:lineRule="auto"/>
        <w:ind w:right="237"/>
        <w:jc w:val="both"/>
        <w:rPr>
          <w:rFonts w:asciiTheme="majorBidi" w:eastAsia="Arial" w:hAnsiTheme="majorBidi" w:cstheme="majorBidi"/>
          <w:color w:val="000000" w:themeColor="text1"/>
        </w:rPr>
      </w:pPr>
    </w:p>
    <w:p w14:paraId="7909B0A1" w14:textId="03CA1B42" w:rsidR="00051E85" w:rsidRPr="00F11D4F" w:rsidRDefault="00051E85" w:rsidP="00F11D4F">
      <w:pPr>
        <w:spacing w:line="360" w:lineRule="auto"/>
        <w:ind w:right="237"/>
        <w:jc w:val="both"/>
        <w:rPr>
          <w:rFonts w:asciiTheme="majorBidi" w:eastAsia="Arial" w:hAnsiTheme="majorBidi" w:cstheme="majorBidi"/>
          <w:color w:val="000000" w:themeColor="text1"/>
        </w:rPr>
      </w:pPr>
    </w:p>
    <w:p w14:paraId="7B8475BC" w14:textId="23A5A76F" w:rsidR="00051E85" w:rsidRPr="00F11D4F" w:rsidRDefault="00051E85" w:rsidP="00F11D4F">
      <w:pPr>
        <w:spacing w:line="360" w:lineRule="auto"/>
        <w:ind w:right="237"/>
        <w:jc w:val="both"/>
        <w:rPr>
          <w:rFonts w:asciiTheme="majorBidi" w:eastAsia="Arial" w:hAnsiTheme="majorBidi" w:cstheme="majorBidi"/>
          <w:color w:val="000000" w:themeColor="text1"/>
        </w:rPr>
      </w:pPr>
    </w:p>
    <w:p w14:paraId="251503CD" w14:textId="323F84F9" w:rsidR="00051E85" w:rsidRPr="00F11D4F" w:rsidRDefault="00051E85" w:rsidP="00F11D4F">
      <w:pPr>
        <w:spacing w:line="360" w:lineRule="auto"/>
        <w:ind w:right="237"/>
        <w:jc w:val="both"/>
        <w:rPr>
          <w:rFonts w:asciiTheme="majorBidi" w:eastAsia="Arial" w:hAnsiTheme="majorBidi" w:cstheme="majorBidi"/>
          <w:color w:val="000000" w:themeColor="text1"/>
        </w:rPr>
      </w:pPr>
    </w:p>
    <w:p w14:paraId="550E30AF" w14:textId="2BCCEC57" w:rsidR="00025650" w:rsidRPr="00F11D4F" w:rsidRDefault="00025650" w:rsidP="00F11D4F">
      <w:pPr>
        <w:spacing w:line="360" w:lineRule="auto"/>
        <w:rPr>
          <w:rFonts w:asciiTheme="majorBidi" w:hAnsiTheme="majorBidi" w:cstheme="majorBidi"/>
        </w:rPr>
      </w:pPr>
    </w:p>
    <w:p w14:paraId="1C6E93E6" w14:textId="77777777" w:rsidR="00025650" w:rsidRPr="00F11D4F" w:rsidRDefault="00025650" w:rsidP="00F11D4F">
      <w:pPr>
        <w:spacing w:line="360" w:lineRule="auto"/>
        <w:ind w:right="237"/>
        <w:rPr>
          <w:rFonts w:asciiTheme="majorBidi" w:hAnsiTheme="majorBidi" w:cstheme="majorBidi"/>
        </w:rPr>
      </w:pPr>
      <w:r w:rsidRPr="00F11D4F">
        <w:rPr>
          <w:rFonts w:asciiTheme="majorBidi" w:hAnsiTheme="majorBidi" w:cstheme="majorBidi"/>
        </w:rPr>
        <w:br w:type="page"/>
      </w:r>
    </w:p>
    <w:p w14:paraId="76B6FAAC" w14:textId="78791342" w:rsidR="0FF883D4" w:rsidRPr="00F11D4F" w:rsidRDefault="0FF883D4" w:rsidP="00F11D4F">
      <w:pPr>
        <w:spacing w:line="360" w:lineRule="auto"/>
        <w:ind w:left="2880" w:right="225" w:firstLine="720"/>
        <w:rPr>
          <w:rFonts w:asciiTheme="majorBidi" w:hAnsiTheme="majorBidi" w:cstheme="majorBidi"/>
          <w:b/>
          <w:bCs/>
          <w:lang w:eastAsia="zh-TW"/>
        </w:rPr>
      </w:pPr>
    </w:p>
    <w:p w14:paraId="1ADEFAE5" w14:textId="382C9CE8" w:rsidR="0FF883D4" w:rsidRPr="00F11D4F" w:rsidRDefault="5CE196A1" w:rsidP="00F11D4F">
      <w:pPr>
        <w:spacing w:line="360" w:lineRule="auto"/>
        <w:rPr>
          <w:rFonts w:asciiTheme="majorBidi" w:hAnsiTheme="majorBidi" w:cstheme="majorBidi"/>
        </w:rPr>
      </w:pPr>
      <w:r w:rsidRPr="00F11D4F">
        <w:rPr>
          <w:rFonts w:asciiTheme="majorBidi" w:eastAsia="Arial" w:hAnsiTheme="majorBidi" w:cstheme="majorBidi"/>
          <w:b/>
          <w:bCs/>
          <w:color w:val="000000" w:themeColor="text1"/>
        </w:rPr>
        <w:t xml:space="preserve">Authentication signature: </w:t>
      </w:r>
    </w:p>
    <w:p w14:paraId="3E37DF86" w14:textId="687D12EF" w:rsidR="0FF883D4" w:rsidRPr="00F11D4F" w:rsidRDefault="5CE196A1" w:rsidP="00F11D4F">
      <w:pPr>
        <w:spacing w:line="360" w:lineRule="auto"/>
        <w:rPr>
          <w:rFonts w:asciiTheme="majorBidi" w:hAnsiTheme="majorBidi" w:cstheme="majorBidi"/>
        </w:rPr>
      </w:pPr>
      <w:r w:rsidRPr="00F11D4F">
        <w:rPr>
          <w:rFonts w:asciiTheme="majorBidi" w:eastAsia="Arial" w:hAnsiTheme="majorBidi" w:cstheme="majorBidi"/>
          <w:b/>
          <w:bCs/>
          <w:color w:val="000000" w:themeColor="text1"/>
        </w:rPr>
        <w:t xml:space="preserve"> </w:t>
      </w:r>
    </w:p>
    <w:p w14:paraId="543EE689" w14:textId="7FB2A7D1" w:rsidR="0FF883D4" w:rsidRPr="00F11D4F" w:rsidRDefault="5CE196A1" w:rsidP="00F11D4F">
      <w:pPr>
        <w:spacing w:line="360" w:lineRule="auto"/>
        <w:rPr>
          <w:rFonts w:asciiTheme="majorBidi" w:hAnsiTheme="majorBidi" w:cstheme="majorBidi"/>
        </w:rPr>
      </w:pPr>
      <w:r w:rsidRPr="00F11D4F">
        <w:rPr>
          <w:rFonts w:asciiTheme="majorBidi" w:eastAsia="Arial" w:hAnsiTheme="majorBidi" w:cstheme="majorBidi"/>
          <w:b/>
          <w:bCs/>
          <w:color w:val="000000" w:themeColor="text1"/>
        </w:rPr>
        <w:t xml:space="preserve">Please sign to confirm that the work submitted is your own and has not been copied from another: </w:t>
      </w:r>
    </w:p>
    <w:p w14:paraId="09D0056A" w14:textId="12CDB5C7" w:rsidR="0FF883D4" w:rsidRDefault="5CE196A1" w:rsidP="5CE196A1">
      <w:r w:rsidRPr="5CE196A1">
        <w:rPr>
          <w:rFonts w:ascii="Arial" w:eastAsia="Arial" w:hAnsi="Arial" w:cs="Arial"/>
          <w:b/>
          <w:bCs/>
          <w:color w:val="000000" w:themeColor="text1"/>
        </w:rPr>
        <w:t xml:space="preserve"> </w:t>
      </w:r>
    </w:p>
    <w:p w14:paraId="6CBAEEA0" w14:textId="1F29E0C1" w:rsidR="0FF883D4" w:rsidRDefault="5CE196A1" w:rsidP="5CE196A1">
      <w:r w:rsidRPr="5CE196A1">
        <w:rPr>
          <w:rFonts w:ascii="Arial" w:eastAsia="Arial" w:hAnsi="Arial" w:cs="Arial"/>
          <w:b/>
          <w:bCs/>
          <w:color w:val="000000" w:themeColor="text1"/>
        </w:rPr>
        <w:t xml:space="preserve">Signed: </w:t>
      </w:r>
      <w:r w:rsidR="00F11D4F">
        <w:rPr>
          <w:rFonts w:ascii="Arial" w:eastAsia="Arial" w:hAnsi="Arial" w:cs="Arial"/>
          <w:b/>
          <w:bCs/>
          <w:color w:val="000000" w:themeColor="text1"/>
        </w:rPr>
        <w:t>Wehab Mohamed</w:t>
      </w:r>
    </w:p>
    <w:p w14:paraId="563192E7" w14:textId="7A83C86F" w:rsidR="0FF883D4" w:rsidRDefault="5CE196A1" w:rsidP="5CE196A1">
      <w:r w:rsidRPr="5CE196A1">
        <w:rPr>
          <w:rFonts w:ascii="Arial" w:eastAsia="Arial" w:hAnsi="Arial" w:cs="Arial"/>
          <w:b/>
          <w:bCs/>
          <w:color w:val="000000" w:themeColor="text1"/>
        </w:rPr>
        <w:t xml:space="preserve"> </w:t>
      </w:r>
    </w:p>
    <w:p w14:paraId="12317BA9" w14:textId="4FEBBBAA" w:rsidR="0FF883D4" w:rsidRDefault="5CE196A1" w:rsidP="00F11D4F">
      <w:pPr>
        <w:rPr>
          <w:rFonts w:ascii="Arial" w:eastAsia="Arial" w:hAnsi="Arial" w:cs="Arial"/>
          <w:b/>
          <w:bCs/>
          <w:color w:val="000000" w:themeColor="text1"/>
        </w:rPr>
      </w:pPr>
      <w:r w:rsidRPr="5CE196A1">
        <w:rPr>
          <w:rFonts w:ascii="Arial" w:eastAsia="Arial" w:hAnsi="Arial" w:cs="Arial"/>
          <w:b/>
          <w:bCs/>
          <w:color w:val="000000" w:themeColor="text1"/>
        </w:rPr>
        <w:t>Date</w:t>
      </w:r>
      <w:r w:rsidR="00F11D4F">
        <w:rPr>
          <w:rFonts w:ascii="Arial" w:eastAsia="Arial" w:hAnsi="Arial" w:cs="Arial"/>
          <w:b/>
          <w:bCs/>
          <w:color w:val="000000" w:themeColor="text1"/>
        </w:rPr>
        <w:t>:12/06/2023</w:t>
      </w:r>
    </w:p>
    <w:p w14:paraId="35A8A9CC" w14:textId="77777777" w:rsidR="00F11D4F" w:rsidRDefault="00F11D4F" w:rsidP="00F11D4F">
      <w:pPr>
        <w:rPr>
          <w:rFonts w:ascii="Arial" w:eastAsia="Arial" w:hAnsi="Arial" w:cs="Arial"/>
          <w:b/>
          <w:bCs/>
          <w:color w:val="000000" w:themeColor="text1"/>
        </w:rPr>
      </w:pPr>
    </w:p>
    <w:p w14:paraId="2731F143" w14:textId="77777777" w:rsidR="00F11D4F" w:rsidRDefault="00F11D4F" w:rsidP="00F11D4F">
      <w:pPr>
        <w:rPr>
          <w:rFonts w:ascii="Arial" w:eastAsia="Arial" w:hAnsi="Arial" w:cs="Arial"/>
          <w:b/>
          <w:bCs/>
          <w:color w:val="000000" w:themeColor="text1"/>
        </w:rPr>
      </w:pPr>
    </w:p>
    <w:p w14:paraId="4AEFD3F0" w14:textId="77777777" w:rsidR="00F11D4F" w:rsidRDefault="00F11D4F" w:rsidP="00F11D4F">
      <w:pPr>
        <w:rPr>
          <w:rFonts w:ascii="Arial" w:eastAsia="Arial" w:hAnsi="Arial" w:cs="Arial"/>
          <w:b/>
          <w:bCs/>
          <w:color w:val="000000" w:themeColor="text1"/>
        </w:rPr>
      </w:pPr>
    </w:p>
    <w:p w14:paraId="0B62478C" w14:textId="77777777" w:rsidR="00F11D4F" w:rsidRDefault="00F11D4F" w:rsidP="00F11D4F">
      <w:pPr>
        <w:rPr>
          <w:rFonts w:ascii="Arial" w:eastAsia="Arial" w:hAnsi="Arial" w:cs="Arial"/>
          <w:b/>
          <w:bCs/>
          <w:color w:val="000000" w:themeColor="text1"/>
        </w:rPr>
      </w:pPr>
    </w:p>
    <w:p w14:paraId="6FF21090" w14:textId="77777777" w:rsidR="00F11D4F" w:rsidRDefault="00F11D4F" w:rsidP="00F11D4F">
      <w:pPr>
        <w:rPr>
          <w:rFonts w:ascii="Arial" w:eastAsia="Arial" w:hAnsi="Arial" w:cs="Arial"/>
          <w:b/>
          <w:bCs/>
          <w:color w:val="000000" w:themeColor="text1"/>
        </w:rPr>
      </w:pPr>
    </w:p>
    <w:p w14:paraId="23253219" w14:textId="77777777" w:rsidR="00F11D4F" w:rsidRDefault="00F11D4F" w:rsidP="00F11D4F">
      <w:pPr>
        <w:rPr>
          <w:rFonts w:ascii="Arial" w:eastAsia="Arial" w:hAnsi="Arial" w:cs="Arial"/>
          <w:b/>
          <w:bCs/>
          <w:color w:val="000000" w:themeColor="text1"/>
        </w:rPr>
      </w:pPr>
    </w:p>
    <w:p w14:paraId="41E0152D" w14:textId="77777777" w:rsidR="00F11D4F" w:rsidRDefault="00F11D4F" w:rsidP="00F11D4F">
      <w:pPr>
        <w:rPr>
          <w:rFonts w:ascii="Arial" w:eastAsia="Arial" w:hAnsi="Arial" w:cs="Arial"/>
          <w:b/>
          <w:bCs/>
          <w:color w:val="000000" w:themeColor="text1"/>
        </w:rPr>
      </w:pPr>
    </w:p>
    <w:p w14:paraId="2BD7E7C2" w14:textId="77777777" w:rsidR="00F11D4F" w:rsidRDefault="00F11D4F" w:rsidP="00F11D4F">
      <w:pPr>
        <w:rPr>
          <w:rFonts w:ascii="Arial" w:eastAsia="Arial" w:hAnsi="Arial" w:cs="Arial"/>
          <w:b/>
          <w:bCs/>
          <w:color w:val="000000" w:themeColor="text1"/>
        </w:rPr>
      </w:pPr>
    </w:p>
    <w:p w14:paraId="5D56F100" w14:textId="77777777" w:rsidR="00F11D4F" w:rsidRDefault="00F11D4F" w:rsidP="00F11D4F">
      <w:pPr>
        <w:rPr>
          <w:rFonts w:ascii="Arial" w:eastAsia="Arial" w:hAnsi="Arial" w:cs="Arial"/>
          <w:b/>
          <w:bCs/>
          <w:color w:val="000000" w:themeColor="text1"/>
        </w:rPr>
      </w:pPr>
    </w:p>
    <w:p w14:paraId="482B2B3A" w14:textId="14E2D6CB" w:rsidR="00F11D4F" w:rsidRPr="00F11D4F" w:rsidRDefault="00F11D4F" w:rsidP="00F11D4F">
      <w:pPr>
        <w:sectPr w:rsidR="00F11D4F" w:rsidRPr="00F11D4F" w:rsidSect="0022001B">
          <w:footerReference w:type="default" r:id="rId15"/>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rPr>
      </w:pPr>
      <w:r w:rsidRPr="00E676F7">
        <w:rPr>
          <w:b/>
        </w:rPr>
        <w:lastRenderedPageBreak/>
        <w:t>Bibliography</w:t>
      </w:r>
    </w:p>
    <w:p w14:paraId="0AB807FE" w14:textId="2DDB237F" w:rsidR="1E8636EB" w:rsidRDefault="000F7ECD" w:rsidP="00EA28F1">
      <w:pPr>
        <w:keepNext/>
        <w:spacing w:before="240" w:after="60"/>
        <w:ind w:right="237"/>
        <w:jc w:val="both"/>
      </w:pPr>
      <w:r w:rsidRPr="00E676F7">
        <w:t xml:space="preserve">The bibliography should only include sources referenced within the </w:t>
      </w:r>
      <w:r w:rsidR="00F139CF" w:rsidRPr="00E676F7">
        <w:t>workbook</w:t>
      </w:r>
      <w:r w:rsidRPr="00E676F7">
        <w:t xml:space="preserve"> using the Harvard referencing system. </w:t>
      </w:r>
      <w:r w:rsidR="004923DA" w:rsidRPr="00E676F7">
        <w:t>Information about referencing in written assignments and how to avoid plagiarism can be found on Moodle</w:t>
      </w:r>
      <w:r w:rsidR="00C27C95" w:rsidRPr="00E676F7">
        <w:t>.</w:t>
      </w:r>
      <w:r w:rsidR="00147DE3" w:rsidRPr="00E676F7">
        <w:t xml:space="preserve"> It is important that you are aware of the importance of ensuring that the work submitted is your original work</w:t>
      </w:r>
      <w:r w:rsidR="00EA28F1">
        <w:t xml:space="preserve">. </w:t>
      </w:r>
    </w:p>
    <w:p w14:paraId="57712266" w14:textId="77777777" w:rsidR="00F11D4F" w:rsidRPr="00F11D4F" w:rsidRDefault="00F11D4F" w:rsidP="00F11D4F">
      <w:pPr>
        <w:spacing w:line="360" w:lineRule="auto"/>
        <w:rPr>
          <w:rFonts w:asciiTheme="majorBidi" w:hAnsiTheme="majorBidi" w:cstheme="majorBidi"/>
        </w:rPr>
      </w:pPr>
    </w:p>
    <w:p w14:paraId="2A418BBB" w14:textId="77777777" w:rsidR="00F11D4F" w:rsidRPr="00F11D4F" w:rsidRDefault="00F11D4F" w:rsidP="00F11D4F">
      <w:pPr>
        <w:pStyle w:val="NormalWeb"/>
        <w:spacing w:line="360" w:lineRule="auto"/>
        <w:ind w:left="567" w:hanging="567"/>
        <w:rPr>
          <w:rFonts w:asciiTheme="majorBidi" w:hAnsiTheme="majorBidi" w:cstheme="majorBidi"/>
        </w:rPr>
      </w:pPr>
      <w:r w:rsidRPr="00F11D4F">
        <w:rPr>
          <w:rFonts w:asciiTheme="majorBidi" w:hAnsiTheme="majorBidi" w:cstheme="majorBidi"/>
        </w:rPr>
        <w:t xml:space="preserve">Adefolalu, A.O. (2013) ‘Fear of the perpetrator: A major reason why sexual assault victims delayed presenting at Hospital’, </w:t>
      </w:r>
      <w:r w:rsidRPr="00F11D4F">
        <w:rPr>
          <w:rFonts w:asciiTheme="majorBidi" w:hAnsiTheme="majorBidi" w:cstheme="majorBidi"/>
          <w:i/>
          <w:iCs/>
        </w:rPr>
        <w:t>Tropical Medicine &amp;amp; International Health</w:t>
      </w:r>
      <w:r w:rsidRPr="00F11D4F">
        <w:rPr>
          <w:rFonts w:asciiTheme="majorBidi" w:hAnsiTheme="majorBidi" w:cstheme="majorBidi"/>
        </w:rPr>
        <w:t xml:space="preserve">, 19(3), pp. 342–347. doi:10.1111/tmi.12249. </w:t>
      </w:r>
    </w:p>
    <w:p w14:paraId="2F9A5542" w14:textId="77777777" w:rsidR="00F11D4F" w:rsidRPr="00F11D4F" w:rsidRDefault="00F11D4F" w:rsidP="00F11D4F">
      <w:pPr>
        <w:pStyle w:val="NormalWeb"/>
        <w:spacing w:line="360" w:lineRule="auto"/>
        <w:ind w:left="567" w:hanging="567"/>
        <w:rPr>
          <w:rFonts w:asciiTheme="majorBidi" w:hAnsiTheme="majorBidi" w:cstheme="majorBidi"/>
        </w:rPr>
      </w:pPr>
      <w:r w:rsidRPr="00F11D4F">
        <w:rPr>
          <w:rFonts w:asciiTheme="majorBidi" w:hAnsiTheme="majorBidi" w:cstheme="majorBidi"/>
        </w:rPr>
        <w:t xml:space="preserve">Aepli, P. (2011) </w:t>
      </w:r>
      <w:r w:rsidRPr="00F11D4F">
        <w:rPr>
          <w:rFonts w:asciiTheme="majorBidi" w:hAnsiTheme="majorBidi" w:cstheme="majorBidi"/>
          <w:i/>
          <w:iCs/>
        </w:rPr>
        <w:t>Decision making in policing: Operations and management</w:t>
      </w:r>
      <w:r w:rsidRPr="00F11D4F">
        <w:rPr>
          <w:rFonts w:asciiTheme="majorBidi" w:hAnsiTheme="majorBidi" w:cstheme="majorBidi"/>
        </w:rPr>
        <w:t xml:space="preserve">. Lausanne: EPFL-Press. </w:t>
      </w:r>
    </w:p>
    <w:p w14:paraId="4EC59406" w14:textId="77777777" w:rsidR="00F11D4F" w:rsidRPr="00F11D4F" w:rsidRDefault="00F11D4F" w:rsidP="00F11D4F">
      <w:pPr>
        <w:pStyle w:val="NormalWeb"/>
        <w:spacing w:line="360" w:lineRule="auto"/>
        <w:ind w:left="567" w:hanging="567"/>
        <w:rPr>
          <w:rFonts w:asciiTheme="majorBidi" w:hAnsiTheme="majorBidi" w:cstheme="majorBidi"/>
        </w:rPr>
      </w:pPr>
      <w:r w:rsidRPr="00F11D4F">
        <w:rPr>
          <w:rFonts w:asciiTheme="majorBidi" w:hAnsiTheme="majorBidi" w:cstheme="majorBidi"/>
        </w:rPr>
        <w:t xml:space="preserve">Ashby, M.P. (2017) ‘The value of CCTV surveillance cameras as an investigative tool: An empirical analysis’, </w:t>
      </w:r>
      <w:r w:rsidRPr="00F11D4F">
        <w:rPr>
          <w:rFonts w:asciiTheme="majorBidi" w:hAnsiTheme="majorBidi" w:cstheme="majorBidi"/>
          <w:i/>
          <w:iCs/>
        </w:rPr>
        <w:t>European Journal on Criminal Policy and Research</w:t>
      </w:r>
      <w:r w:rsidRPr="00F11D4F">
        <w:rPr>
          <w:rFonts w:asciiTheme="majorBidi" w:hAnsiTheme="majorBidi" w:cstheme="majorBidi"/>
        </w:rPr>
        <w:t xml:space="preserve">, 23(3), pp. 441–459. doi:10.1007/s10610-017-9341-6. </w:t>
      </w:r>
    </w:p>
    <w:p w14:paraId="0CCC9C39" w14:textId="77777777" w:rsidR="00F11D4F" w:rsidRPr="00F11D4F" w:rsidRDefault="00F11D4F" w:rsidP="00F11D4F">
      <w:pPr>
        <w:pStyle w:val="NormalWeb"/>
        <w:spacing w:line="360" w:lineRule="auto"/>
        <w:ind w:left="567" w:hanging="567"/>
        <w:rPr>
          <w:rFonts w:asciiTheme="majorBidi" w:hAnsiTheme="majorBidi" w:cstheme="majorBidi"/>
        </w:rPr>
      </w:pPr>
      <w:r w:rsidRPr="00F11D4F">
        <w:rPr>
          <w:rFonts w:asciiTheme="majorBidi" w:hAnsiTheme="majorBidi" w:cstheme="majorBidi"/>
        </w:rPr>
        <w:t xml:space="preserve">Cazalis, F. </w:t>
      </w:r>
      <w:r w:rsidRPr="00F11D4F">
        <w:rPr>
          <w:rFonts w:asciiTheme="majorBidi" w:hAnsiTheme="majorBidi" w:cstheme="majorBidi"/>
          <w:i/>
          <w:iCs/>
        </w:rPr>
        <w:t>et al.</w:t>
      </w:r>
      <w:r w:rsidRPr="00F11D4F">
        <w:rPr>
          <w:rFonts w:asciiTheme="majorBidi" w:hAnsiTheme="majorBidi" w:cstheme="majorBidi"/>
        </w:rPr>
        <w:t xml:space="preserve"> (2022) ‘Evidence that nine autistic women out of ten have been victims of sexual violence’, </w:t>
      </w:r>
      <w:r w:rsidRPr="00F11D4F">
        <w:rPr>
          <w:rFonts w:asciiTheme="majorBidi" w:hAnsiTheme="majorBidi" w:cstheme="majorBidi"/>
          <w:i/>
          <w:iCs/>
        </w:rPr>
        <w:t>Frontiers in Behavioral Neuroscience</w:t>
      </w:r>
      <w:r w:rsidRPr="00F11D4F">
        <w:rPr>
          <w:rFonts w:asciiTheme="majorBidi" w:hAnsiTheme="majorBidi" w:cstheme="majorBidi"/>
        </w:rPr>
        <w:t xml:space="preserve">, 16. doi:10.3389/fnbeh.2022.852203. </w:t>
      </w:r>
    </w:p>
    <w:p w14:paraId="2091FBB8" w14:textId="77777777" w:rsidR="00F11D4F" w:rsidRPr="00F11D4F" w:rsidRDefault="00F11D4F" w:rsidP="00F11D4F">
      <w:pPr>
        <w:keepNext/>
        <w:spacing w:before="240" w:after="60" w:line="360" w:lineRule="auto"/>
        <w:ind w:right="107"/>
        <w:rPr>
          <w:rFonts w:asciiTheme="majorBidi" w:hAnsiTheme="majorBidi" w:cstheme="majorBidi"/>
          <w:bCs/>
        </w:rPr>
      </w:pPr>
      <w:r w:rsidRPr="00F11D4F">
        <w:rPr>
          <w:rFonts w:asciiTheme="majorBidi" w:hAnsiTheme="majorBidi" w:cstheme="majorBidi"/>
          <w:bCs/>
        </w:rPr>
        <w:t xml:space="preserve">Chan, K. L (2012), Predicting the risk of intimate partner violence: The Chinese risk assessment tool for victims., Journal of Family Violence, 27, pp.157-164. </w:t>
      </w:r>
    </w:p>
    <w:p w14:paraId="1B72807D" w14:textId="77777777" w:rsidR="00F11D4F" w:rsidRPr="00F11D4F" w:rsidRDefault="00F11D4F" w:rsidP="00F11D4F">
      <w:pPr>
        <w:pStyle w:val="NormalWeb"/>
        <w:spacing w:line="360" w:lineRule="auto"/>
        <w:rPr>
          <w:rFonts w:asciiTheme="majorBidi" w:hAnsiTheme="majorBidi" w:cstheme="majorBidi"/>
        </w:rPr>
      </w:pPr>
      <w:r w:rsidRPr="00F11D4F">
        <w:rPr>
          <w:rFonts w:asciiTheme="majorBidi" w:hAnsiTheme="majorBidi" w:cstheme="majorBidi"/>
        </w:rPr>
        <w:t xml:space="preserve">Christopher D et al (2020) ‘New Approaches to Policing High-Risk Intimate Partner Victims and Offenders’, </w:t>
      </w:r>
      <w:r w:rsidRPr="00F11D4F">
        <w:rPr>
          <w:rFonts w:asciiTheme="majorBidi" w:hAnsiTheme="majorBidi" w:cstheme="majorBidi"/>
          <w:i/>
          <w:iCs/>
        </w:rPr>
        <w:t>NIJ Journa</w:t>
      </w:r>
      <w:r w:rsidRPr="00F11D4F">
        <w:rPr>
          <w:rFonts w:asciiTheme="majorBidi" w:hAnsiTheme="majorBidi" w:cstheme="majorBidi"/>
        </w:rPr>
        <w:t>l, (282) Available at: https://nij.ojp.gov/topics/articles/ new-approaches-policing-high-risk-intimate-partner- victims-and-offenders (Accessed: 11 June 2023).</w:t>
      </w:r>
    </w:p>
    <w:p w14:paraId="12B7E932" w14:textId="77777777" w:rsidR="00F11D4F" w:rsidRPr="00F11D4F" w:rsidRDefault="00F11D4F" w:rsidP="00F11D4F">
      <w:pPr>
        <w:pStyle w:val="NormalWeb"/>
        <w:spacing w:line="360" w:lineRule="auto"/>
        <w:ind w:left="567" w:hanging="567"/>
        <w:rPr>
          <w:rFonts w:asciiTheme="majorBidi" w:hAnsiTheme="majorBidi" w:cstheme="majorBidi"/>
        </w:rPr>
      </w:pPr>
      <w:r w:rsidRPr="00F11D4F">
        <w:rPr>
          <w:rFonts w:asciiTheme="majorBidi" w:hAnsiTheme="majorBidi" w:cstheme="majorBidi"/>
        </w:rPr>
        <w:t xml:space="preserve">Cassidy, H., Akehurst, L. and Cherryman, J. (2020) ‘Police interviewers’ perceptions of child credibility in forensic investigations’, </w:t>
      </w:r>
      <w:r w:rsidRPr="00F11D4F">
        <w:rPr>
          <w:rFonts w:asciiTheme="majorBidi" w:hAnsiTheme="majorBidi" w:cstheme="majorBidi"/>
          <w:i/>
          <w:iCs/>
        </w:rPr>
        <w:t>Psychiatry, Psychology and Law</w:t>
      </w:r>
      <w:r w:rsidRPr="00F11D4F">
        <w:rPr>
          <w:rFonts w:asciiTheme="majorBidi" w:hAnsiTheme="majorBidi" w:cstheme="majorBidi"/>
        </w:rPr>
        <w:t xml:space="preserve">, 27(1), pp. 61–80. doi:10.1080/13218719.2019.1687044. </w:t>
      </w:r>
    </w:p>
    <w:p w14:paraId="3479D5F7" w14:textId="77777777" w:rsidR="00F11D4F" w:rsidRPr="00F11D4F" w:rsidRDefault="00F11D4F" w:rsidP="00F11D4F">
      <w:pPr>
        <w:pStyle w:val="NormalWeb"/>
        <w:spacing w:line="360" w:lineRule="auto"/>
        <w:ind w:left="567" w:hanging="567"/>
        <w:rPr>
          <w:rFonts w:asciiTheme="majorBidi" w:hAnsiTheme="majorBidi" w:cstheme="majorBidi"/>
        </w:rPr>
      </w:pPr>
      <w:r w:rsidRPr="00F11D4F">
        <w:rPr>
          <w:rFonts w:asciiTheme="majorBidi" w:hAnsiTheme="majorBidi" w:cstheme="majorBidi"/>
          <w:i/>
          <w:iCs/>
        </w:rPr>
        <w:t>College of Policing (2013)</w:t>
      </w:r>
      <w:r w:rsidRPr="00F11D4F">
        <w:rPr>
          <w:rFonts w:asciiTheme="majorBidi" w:hAnsiTheme="majorBidi" w:cstheme="majorBidi"/>
        </w:rPr>
        <w:t xml:space="preserve"> </w:t>
      </w:r>
      <w:r w:rsidRPr="00F11D4F">
        <w:rPr>
          <w:rFonts w:asciiTheme="majorBidi" w:hAnsiTheme="majorBidi" w:cstheme="majorBidi"/>
          <w:i/>
          <w:iCs/>
        </w:rPr>
        <w:t>House-to-house enquiries</w:t>
      </w:r>
      <w:r w:rsidRPr="00F11D4F">
        <w:rPr>
          <w:rFonts w:asciiTheme="majorBidi" w:hAnsiTheme="majorBidi" w:cstheme="majorBidi"/>
        </w:rPr>
        <w:t xml:space="preserve">. Available at: https://www.college.police.uk/app/investigation/investigative-strategies/house-house-enquiries (Accessed: 19 June 2023). </w:t>
      </w:r>
    </w:p>
    <w:p w14:paraId="4112446A" w14:textId="77777777" w:rsidR="00F11D4F" w:rsidRPr="00F11D4F" w:rsidRDefault="00F11D4F" w:rsidP="00F11D4F">
      <w:pPr>
        <w:keepNext/>
        <w:spacing w:before="240" w:after="60" w:line="360" w:lineRule="auto"/>
        <w:ind w:right="107"/>
        <w:rPr>
          <w:rFonts w:asciiTheme="majorBidi" w:hAnsiTheme="majorBidi" w:cstheme="majorBidi"/>
          <w:bCs/>
        </w:rPr>
      </w:pPr>
      <w:r w:rsidRPr="00F11D4F">
        <w:rPr>
          <w:rFonts w:asciiTheme="majorBidi" w:hAnsiTheme="majorBidi" w:cstheme="majorBidi"/>
          <w:bCs/>
        </w:rPr>
        <w:lastRenderedPageBreak/>
        <w:t xml:space="preserve">College of Policing (2014) </w:t>
      </w:r>
      <w:r w:rsidRPr="00F11D4F">
        <w:rPr>
          <w:rFonts w:asciiTheme="majorBidi" w:hAnsiTheme="majorBidi" w:cstheme="majorBidi"/>
          <w:bCs/>
          <w:i/>
          <w:iCs/>
        </w:rPr>
        <w:t>Code of Ethics A Code of Practice for the Principles and Standards of Professional Behaviour for the Policing Profession of England and Wales.</w:t>
      </w:r>
      <w:r w:rsidRPr="00F11D4F">
        <w:rPr>
          <w:rFonts w:asciiTheme="majorBidi" w:hAnsiTheme="majorBidi" w:cstheme="majorBidi"/>
          <w:bCs/>
        </w:rPr>
        <w:t xml:space="preserve"> Available at: https://assets.college.police.uk/s3fs-public/2021-02/code_of_ethics.pdf?_gl=1*iubzw8*_ga*MTk3MzU2NDA3OC4xNjU2NTA2NzQ3*_ga_Z2RHWQ33HY*MTY4MTYwNDY2MC4xLjAuMTY4MTYwNDY2MC4wLjAuMA.. (Accessed: 25th November 2022)</w:t>
      </w:r>
    </w:p>
    <w:p w14:paraId="74D76E9F" w14:textId="77777777" w:rsidR="00F11D4F" w:rsidRPr="00F11D4F" w:rsidRDefault="00F11D4F" w:rsidP="00F11D4F">
      <w:pPr>
        <w:pStyle w:val="NormalWeb"/>
        <w:spacing w:line="360" w:lineRule="auto"/>
        <w:ind w:left="567" w:hanging="567"/>
        <w:rPr>
          <w:rFonts w:asciiTheme="majorBidi" w:hAnsiTheme="majorBidi" w:cstheme="majorBidi"/>
        </w:rPr>
      </w:pPr>
      <w:r w:rsidRPr="00F11D4F">
        <w:rPr>
          <w:rFonts w:asciiTheme="majorBidi" w:hAnsiTheme="majorBidi" w:cstheme="majorBidi"/>
        </w:rPr>
        <w:t xml:space="preserve">College of Policing (2016) </w:t>
      </w:r>
      <w:r w:rsidRPr="00F11D4F">
        <w:rPr>
          <w:rFonts w:asciiTheme="majorBidi" w:hAnsiTheme="majorBidi" w:cstheme="majorBidi"/>
          <w:i/>
          <w:iCs/>
        </w:rPr>
        <w:t>Risk-led policing of domestic abuse and the Dash Risk Model</w:t>
      </w:r>
      <w:r w:rsidRPr="00F11D4F">
        <w:rPr>
          <w:rFonts w:asciiTheme="majorBidi" w:hAnsiTheme="majorBidi" w:cstheme="majorBidi"/>
        </w:rPr>
        <w:t xml:space="preserve">. Available at: https://library.college.police.uk/docs/college-of-policing/Risk-led-policing-2-2016.pdf (Accessed: 11 June 2023). </w:t>
      </w:r>
    </w:p>
    <w:p w14:paraId="07BBBAFB" w14:textId="77777777" w:rsidR="00F11D4F" w:rsidRPr="00F11D4F" w:rsidRDefault="00F11D4F" w:rsidP="00F11D4F">
      <w:pPr>
        <w:keepNext/>
        <w:spacing w:before="240" w:after="60" w:line="360" w:lineRule="auto"/>
        <w:ind w:right="107"/>
        <w:rPr>
          <w:rFonts w:asciiTheme="majorBidi" w:hAnsiTheme="majorBidi" w:cstheme="majorBidi"/>
        </w:rPr>
      </w:pPr>
      <w:r w:rsidRPr="00F11D4F">
        <w:rPr>
          <w:rFonts w:asciiTheme="majorBidi" w:hAnsiTheme="majorBidi" w:cstheme="majorBidi"/>
          <w:bCs/>
        </w:rPr>
        <w:t xml:space="preserve">College of Policing (2020) Recognising and Responding to vulnerability related risk.       </w:t>
      </w:r>
      <w:r w:rsidRPr="00F11D4F">
        <w:rPr>
          <w:rFonts w:asciiTheme="majorBidi" w:hAnsiTheme="majorBidi" w:cstheme="majorBidi"/>
          <w:bCs/>
        </w:rPr>
        <w:br/>
        <w:t xml:space="preserve">Available at: </w:t>
      </w:r>
      <w:hyperlink r:id="rId16" w:history="1">
        <w:r w:rsidRPr="00F11D4F">
          <w:rPr>
            <w:rStyle w:val="Hyperlink"/>
            <w:rFonts w:asciiTheme="majorBidi" w:hAnsiTheme="majorBidi" w:cstheme="majorBidi"/>
            <w:bCs/>
          </w:rPr>
          <w:t>https://paas-s3-broker-prod-lon-6453d964-1d1a-432a-9260-5e0ba7d2fc51.s3.eu-west-2.amazonaws.com/s3fs-public/Recognising-responding-vulnerability-related-risks-guidelines.pdf</w:t>
        </w:r>
      </w:hyperlink>
      <w:r w:rsidRPr="00F11D4F">
        <w:rPr>
          <w:rFonts w:asciiTheme="majorBidi" w:hAnsiTheme="majorBidi" w:cstheme="majorBidi"/>
          <w:bCs/>
        </w:rPr>
        <w:t xml:space="preserve"> </w:t>
      </w:r>
      <w:r w:rsidRPr="00F11D4F">
        <w:rPr>
          <w:rFonts w:asciiTheme="majorBidi" w:hAnsiTheme="majorBidi" w:cstheme="majorBidi"/>
        </w:rPr>
        <w:t>(Accessed: 11</w:t>
      </w:r>
      <w:r w:rsidRPr="00F11D4F">
        <w:rPr>
          <w:rFonts w:asciiTheme="majorBidi" w:hAnsiTheme="majorBidi" w:cstheme="majorBidi"/>
          <w:vertAlign w:val="superscript"/>
        </w:rPr>
        <w:t>th</w:t>
      </w:r>
      <w:r w:rsidRPr="00F11D4F">
        <w:rPr>
          <w:rFonts w:asciiTheme="majorBidi" w:hAnsiTheme="majorBidi" w:cstheme="majorBidi"/>
        </w:rPr>
        <w:t xml:space="preserve"> June 2023)</w:t>
      </w:r>
    </w:p>
    <w:p w14:paraId="4800F458" w14:textId="77777777" w:rsidR="00F11D4F" w:rsidRPr="00F11D4F" w:rsidRDefault="00F11D4F" w:rsidP="00F11D4F">
      <w:pPr>
        <w:pStyle w:val="NormalWeb"/>
        <w:spacing w:line="360" w:lineRule="auto"/>
        <w:ind w:left="567" w:hanging="567"/>
        <w:rPr>
          <w:rFonts w:asciiTheme="majorBidi" w:hAnsiTheme="majorBidi" w:cstheme="majorBidi"/>
        </w:rPr>
      </w:pPr>
      <w:r w:rsidRPr="00F11D4F">
        <w:rPr>
          <w:rFonts w:asciiTheme="majorBidi" w:hAnsiTheme="majorBidi" w:cstheme="majorBidi"/>
        </w:rPr>
        <w:t xml:space="preserve">College of Policing (2022a) </w:t>
      </w:r>
      <w:r w:rsidRPr="00F11D4F">
        <w:rPr>
          <w:rFonts w:asciiTheme="majorBidi" w:hAnsiTheme="majorBidi" w:cstheme="majorBidi"/>
          <w:i/>
          <w:iCs/>
        </w:rPr>
        <w:t>Interventions to reduce violence against women and girls (VAWG) in ...</w:t>
      </w:r>
      <w:r w:rsidRPr="00F11D4F">
        <w:rPr>
          <w:rFonts w:asciiTheme="majorBidi" w:hAnsiTheme="majorBidi" w:cstheme="majorBidi"/>
        </w:rPr>
        <w:t xml:space="preserve"> Available at: https://assets.college.police.uk/s3fs-public/2022-03/Interventions-to-reduce-VAWG-in-public-spaces.pdf (Accessed: 11 June 2023). </w:t>
      </w:r>
    </w:p>
    <w:p w14:paraId="67AAA08B" w14:textId="77777777" w:rsidR="00F11D4F" w:rsidRPr="00F11D4F" w:rsidRDefault="00F11D4F" w:rsidP="00F11D4F">
      <w:pPr>
        <w:pStyle w:val="NormalWeb"/>
        <w:spacing w:line="360" w:lineRule="auto"/>
        <w:ind w:left="567" w:hanging="567"/>
        <w:rPr>
          <w:rFonts w:asciiTheme="majorBidi" w:hAnsiTheme="majorBidi" w:cstheme="majorBidi"/>
        </w:rPr>
      </w:pPr>
      <w:r w:rsidRPr="00F11D4F">
        <w:rPr>
          <w:rFonts w:asciiTheme="majorBidi" w:hAnsiTheme="majorBidi" w:cstheme="majorBidi"/>
        </w:rPr>
        <w:t xml:space="preserve">College of Policing (2022b) </w:t>
      </w:r>
      <w:r w:rsidRPr="00F11D4F">
        <w:rPr>
          <w:rFonts w:asciiTheme="majorBidi" w:hAnsiTheme="majorBidi" w:cstheme="majorBidi"/>
          <w:i/>
          <w:iCs/>
        </w:rPr>
        <w:t>Conducting effective investigations guidelines consultation</w:t>
      </w:r>
      <w:r w:rsidRPr="00F11D4F">
        <w:rPr>
          <w:rFonts w:asciiTheme="majorBidi" w:hAnsiTheme="majorBidi" w:cstheme="majorBidi"/>
        </w:rPr>
        <w:t xml:space="preserve">. Available at: https://assets.college.police.uk/s3fs-public/2022-07/Conducting-effective-investigations-guidelines.pdf (Accessed: 19 June 2023). </w:t>
      </w:r>
    </w:p>
    <w:p w14:paraId="17DDE6C4" w14:textId="77777777" w:rsidR="00F11D4F" w:rsidRPr="00F11D4F" w:rsidRDefault="00F11D4F" w:rsidP="00F11D4F">
      <w:pPr>
        <w:keepNext/>
        <w:spacing w:before="240" w:after="60" w:line="360" w:lineRule="auto"/>
        <w:ind w:right="107"/>
        <w:rPr>
          <w:rFonts w:asciiTheme="majorBidi" w:hAnsiTheme="majorBidi" w:cstheme="majorBidi"/>
          <w:bCs/>
        </w:rPr>
      </w:pPr>
      <w:r w:rsidRPr="00F11D4F">
        <w:rPr>
          <w:rFonts w:asciiTheme="majorBidi" w:hAnsiTheme="majorBidi" w:cstheme="majorBidi"/>
          <w:bCs/>
        </w:rPr>
        <w:lastRenderedPageBreak/>
        <w:t xml:space="preserve">College of Policing (2022c) </w:t>
      </w:r>
      <w:r w:rsidRPr="00F11D4F">
        <w:rPr>
          <w:rFonts w:asciiTheme="majorBidi" w:hAnsiTheme="majorBidi" w:cstheme="majorBidi"/>
          <w:bCs/>
          <w:i/>
          <w:iCs/>
        </w:rPr>
        <w:t>National Decision- Making Model</w:t>
      </w:r>
      <w:r w:rsidRPr="00F11D4F">
        <w:rPr>
          <w:rFonts w:asciiTheme="majorBidi" w:hAnsiTheme="majorBidi" w:cstheme="majorBidi"/>
          <w:bCs/>
        </w:rPr>
        <w:t>. Available at:  https://www.college.police.uk/app/national-decision-model/national-decision-model (Accessed: 10th April 2023).</w:t>
      </w:r>
    </w:p>
    <w:p w14:paraId="36EAA0C1" w14:textId="77777777" w:rsidR="00F11D4F" w:rsidRPr="00F11D4F" w:rsidRDefault="00F11D4F" w:rsidP="00F11D4F">
      <w:pPr>
        <w:keepNext/>
        <w:spacing w:before="240" w:after="60" w:line="360" w:lineRule="auto"/>
        <w:ind w:right="107"/>
        <w:rPr>
          <w:rFonts w:asciiTheme="majorBidi" w:hAnsiTheme="majorBidi" w:cstheme="majorBidi"/>
        </w:rPr>
      </w:pPr>
      <w:r w:rsidRPr="00F11D4F">
        <w:rPr>
          <w:rFonts w:asciiTheme="majorBidi" w:hAnsiTheme="majorBidi" w:cstheme="majorBidi"/>
          <w:bCs/>
        </w:rPr>
        <w:t xml:space="preserve">College of Policing (2023a) </w:t>
      </w:r>
      <w:r w:rsidRPr="00F11D4F">
        <w:rPr>
          <w:rFonts w:asciiTheme="majorBidi" w:hAnsiTheme="majorBidi" w:cstheme="majorBidi"/>
          <w:i/>
          <w:iCs/>
        </w:rPr>
        <w:t>For police first responders to a report of rape or sexual assault</w:t>
      </w:r>
      <w:r w:rsidRPr="00F11D4F">
        <w:rPr>
          <w:rFonts w:asciiTheme="majorBidi" w:hAnsiTheme="majorBidi" w:cstheme="majorBidi"/>
        </w:rPr>
        <w:t xml:space="preserve">. Available at: </w:t>
      </w:r>
      <w:hyperlink r:id="rId17" w:history="1">
        <w:r w:rsidRPr="00F11D4F">
          <w:rPr>
            <w:rStyle w:val="Hyperlink"/>
            <w:rFonts w:asciiTheme="majorBidi" w:hAnsiTheme="majorBidi" w:cstheme="majorBidi"/>
          </w:rPr>
          <w:t>https://assets.college.police.uk/s3fs-public/2023-04/Briefing-note-for-police-first-responders-to-a-rape-or-sexual-assault.pdf</w:t>
        </w:r>
      </w:hyperlink>
      <w:r w:rsidRPr="00F11D4F">
        <w:rPr>
          <w:rFonts w:asciiTheme="majorBidi" w:hAnsiTheme="majorBidi" w:cstheme="majorBidi"/>
        </w:rPr>
        <w:t xml:space="preserve"> (Accessed: 11</w:t>
      </w:r>
      <w:r w:rsidRPr="00F11D4F">
        <w:rPr>
          <w:rFonts w:asciiTheme="majorBidi" w:hAnsiTheme="majorBidi" w:cstheme="majorBidi"/>
          <w:vertAlign w:val="superscript"/>
        </w:rPr>
        <w:t>th</w:t>
      </w:r>
      <w:r w:rsidRPr="00F11D4F">
        <w:rPr>
          <w:rFonts w:asciiTheme="majorBidi" w:hAnsiTheme="majorBidi" w:cstheme="majorBidi"/>
        </w:rPr>
        <w:t xml:space="preserve"> June 2023)</w:t>
      </w:r>
    </w:p>
    <w:p w14:paraId="6225E4C0" w14:textId="77777777" w:rsidR="00F11D4F" w:rsidRPr="00F11D4F" w:rsidRDefault="00F11D4F" w:rsidP="00F11D4F">
      <w:pPr>
        <w:keepNext/>
        <w:spacing w:before="240" w:after="60" w:line="360" w:lineRule="auto"/>
        <w:ind w:right="107"/>
        <w:rPr>
          <w:rFonts w:asciiTheme="majorBidi" w:hAnsiTheme="majorBidi" w:cstheme="majorBidi"/>
        </w:rPr>
      </w:pPr>
      <w:r w:rsidRPr="00F11D4F">
        <w:rPr>
          <w:rFonts w:asciiTheme="majorBidi" w:hAnsiTheme="majorBidi" w:cstheme="majorBidi"/>
        </w:rPr>
        <w:t>College of Policing (2023b)</w:t>
      </w:r>
      <w:r w:rsidRPr="00F11D4F">
        <w:rPr>
          <w:rFonts w:asciiTheme="majorBidi" w:hAnsiTheme="majorBidi" w:cstheme="majorBidi"/>
          <w:i/>
          <w:iCs/>
        </w:rPr>
        <w:t xml:space="preserve"> Authorised Professional Practice. Investigation</w:t>
      </w:r>
      <w:r w:rsidRPr="00F11D4F">
        <w:rPr>
          <w:rFonts w:asciiTheme="majorBidi" w:hAnsiTheme="majorBidi" w:cstheme="majorBidi"/>
        </w:rPr>
        <w:t xml:space="preserve">. Available at: </w:t>
      </w:r>
      <w:hyperlink r:id="rId18" w:history="1">
        <w:r w:rsidRPr="00F11D4F">
          <w:rPr>
            <w:rStyle w:val="Hyperlink"/>
            <w:rFonts w:asciiTheme="majorBidi" w:hAnsiTheme="majorBidi" w:cstheme="majorBidi"/>
          </w:rPr>
          <w:t>https://www.college.police.uk/app/investigation/working-victims-and-witnesses</w:t>
        </w:r>
      </w:hyperlink>
      <w:r w:rsidRPr="00F11D4F">
        <w:rPr>
          <w:rFonts w:asciiTheme="majorBidi" w:hAnsiTheme="majorBidi" w:cstheme="majorBidi"/>
        </w:rPr>
        <w:t xml:space="preserve">  (Accessed: 1</w:t>
      </w:r>
      <w:r w:rsidRPr="00F11D4F">
        <w:rPr>
          <w:rFonts w:asciiTheme="majorBidi" w:hAnsiTheme="majorBidi" w:cstheme="majorBidi"/>
          <w:vertAlign w:val="superscript"/>
        </w:rPr>
        <w:t>st</w:t>
      </w:r>
      <w:r w:rsidRPr="00F11D4F">
        <w:rPr>
          <w:rFonts w:asciiTheme="majorBidi" w:hAnsiTheme="majorBidi" w:cstheme="majorBidi"/>
        </w:rPr>
        <w:t xml:space="preserve"> April 2023)</w:t>
      </w:r>
    </w:p>
    <w:p w14:paraId="62C59561" w14:textId="77777777" w:rsidR="00F11D4F" w:rsidRPr="00F11D4F" w:rsidRDefault="00F11D4F" w:rsidP="00F11D4F">
      <w:pPr>
        <w:pStyle w:val="NormalWeb"/>
        <w:spacing w:line="360" w:lineRule="auto"/>
        <w:rPr>
          <w:rFonts w:asciiTheme="majorBidi" w:hAnsiTheme="majorBidi" w:cstheme="majorBidi"/>
        </w:rPr>
      </w:pPr>
      <w:r w:rsidRPr="00F11D4F">
        <w:rPr>
          <w:rFonts w:asciiTheme="majorBidi" w:hAnsiTheme="majorBidi" w:cstheme="majorBidi"/>
        </w:rPr>
        <w:t xml:space="preserve">College of Policing (2023c) </w:t>
      </w:r>
      <w:r w:rsidRPr="00F11D4F">
        <w:rPr>
          <w:rFonts w:asciiTheme="majorBidi" w:hAnsiTheme="majorBidi" w:cstheme="majorBidi"/>
          <w:i/>
          <w:iCs/>
        </w:rPr>
        <w:t>Introduction to vulnerability related risk</w:t>
      </w:r>
      <w:r w:rsidRPr="00F11D4F">
        <w:rPr>
          <w:rFonts w:asciiTheme="majorBidi" w:hAnsiTheme="majorBidi" w:cstheme="majorBidi"/>
        </w:rPr>
        <w:t xml:space="preserve">. Available at: </w:t>
      </w:r>
      <w:hyperlink r:id="rId19" w:history="1">
        <w:r w:rsidRPr="00F11D4F">
          <w:rPr>
            <w:rStyle w:val="Hyperlink"/>
            <w:rFonts w:asciiTheme="majorBidi" w:hAnsiTheme="majorBidi" w:cstheme="majorBidi"/>
          </w:rPr>
          <w:t>https://www.college.police.uk/guidance/vulnerability-related-risks/introduction-vulnerability-related-risk#:~:text=exploited%20or%20abused.-,THRIVE,others%20from%20harm%20or%20exploitation</w:t>
        </w:r>
      </w:hyperlink>
      <w:r w:rsidRPr="00F11D4F">
        <w:rPr>
          <w:rFonts w:asciiTheme="majorBidi" w:hAnsiTheme="majorBidi" w:cstheme="majorBidi"/>
        </w:rPr>
        <w:t xml:space="preserve"> (Accessed: 12 June 2023)</w:t>
      </w:r>
    </w:p>
    <w:p w14:paraId="51009F33" w14:textId="77777777" w:rsidR="00F11D4F" w:rsidRPr="00F11D4F" w:rsidRDefault="00F11D4F" w:rsidP="00F11D4F">
      <w:pPr>
        <w:pStyle w:val="NormalWeb"/>
        <w:spacing w:line="360" w:lineRule="auto"/>
        <w:ind w:left="567" w:hanging="567"/>
        <w:rPr>
          <w:rFonts w:asciiTheme="majorBidi" w:hAnsiTheme="majorBidi" w:cstheme="majorBidi"/>
        </w:rPr>
      </w:pPr>
      <w:r w:rsidRPr="00F11D4F">
        <w:rPr>
          <w:rFonts w:asciiTheme="majorBidi" w:hAnsiTheme="majorBidi" w:cstheme="majorBidi"/>
        </w:rPr>
        <w:t xml:space="preserve">College of Policing (2023c) </w:t>
      </w:r>
      <w:r w:rsidRPr="00F11D4F">
        <w:rPr>
          <w:rFonts w:asciiTheme="majorBidi" w:hAnsiTheme="majorBidi" w:cstheme="majorBidi"/>
          <w:i/>
          <w:iCs/>
        </w:rPr>
        <w:t>Investigation process</w:t>
      </w:r>
      <w:r w:rsidRPr="00F11D4F">
        <w:rPr>
          <w:rFonts w:asciiTheme="majorBidi" w:hAnsiTheme="majorBidi" w:cstheme="majorBidi"/>
        </w:rPr>
        <w:t xml:space="preserve">, </w:t>
      </w:r>
      <w:r w:rsidRPr="00F11D4F">
        <w:rPr>
          <w:rFonts w:asciiTheme="majorBidi" w:hAnsiTheme="majorBidi" w:cstheme="majorBidi"/>
          <w:i/>
          <w:iCs/>
        </w:rPr>
        <w:t>Investigation process. Authorised Professional Practice</w:t>
      </w:r>
      <w:r w:rsidRPr="00F11D4F">
        <w:rPr>
          <w:rFonts w:asciiTheme="majorBidi" w:hAnsiTheme="majorBidi" w:cstheme="majorBidi"/>
        </w:rPr>
        <w:t xml:space="preserve">. Available at: https://www.college.police.uk/app/investigation/investigation-process (Accessed: 12 June 2023). </w:t>
      </w:r>
    </w:p>
    <w:p w14:paraId="1FE85620" w14:textId="77777777" w:rsidR="00F11D4F" w:rsidRPr="00F11D4F" w:rsidRDefault="00F11D4F" w:rsidP="00F11D4F">
      <w:pPr>
        <w:keepNext/>
        <w:spacing w:before="240" w:after="60" w:line="360" w:lineRule="auto"/>
        <w:ind w:right="107"/>
        <w:rPr>
          <w:rFonts w:asciiTheme="majorBidi" w:hAnsiTheme="majorBidi" w:cstheme="majorBidi"/>
          <w:bCs/>
        </w:rPr>
      </w:pPr>
      <w:r w:rsidRPr="00F11D4F">
        <w:rPr>
          <w:rFonts w:asciiTheme="majorBidi" w:hAnsiTheme="majorBidi" w:cstheme="majorBidi"/>
          <w:bCs/>
          <w:i/>
          <w:iCs/>
        </w:rPr>
        <w:t>Criminal Procedure and Investigation Act 1996</w:t>
      </w:r>
      <w:r w:rsidRPr="00F11D4F">
        <w:rPr>
          <w:rFonts w:asciiTheme="majorBidi" w:hAnsiTheme="majorBidi" w:cstheme="majorBidi"/>
          <w:bCs/>
        </w:rPr>
        <w:t>. Available at:</w:t>
      </w:r>
      <w:hyperlink r:id="rId20" w:history="1">
        <w:r w:rsidRPr="00F11D4F">
          <w:rPr>
            <w:rStyle w:val="Hyperlink"/>
            <w:rFonts w:asciiTheme="majorBidi" w:hAnsiTheme="majorBidi" w:cstheme="majorBidi"/>
            <w:bCs/>
          </w:rPr>
          <w:t>https://www.legislation.gov.uk/ukpga/1996/25/contents</w:t>
        </w:r>
      </w:hyperlink>
      <w:r w:rsidRPr="00F11D4F">
        <w:rPr>
          <w:rFonts w:asciiTheme="majorBidi" w:hAnsiTheme="majorBidi" w:cstheme="majorBidi"/>
          <w:bCs/>
        </w:rPr>
        <w:t>(Accessed: 25th November 2022).</w:t>
      </w:r>
    </w:p>
    <w:p w14:paraId="2F3CC100" w14:textId="77777777" w:rsidR="00F11D4F" w:rsidRPr="00F11D4F" w:rsidRDefault="00F11D4F" w:rsidP="00F11D4F">
      <w:pPr>
        <w:keepNext/>
        <w:spacing w:before="240" w:after="60" w:line="360" w:lineRule="auto"/>
        <w:ind w:right="107"/>
        <w:rPr>
          <w:rFonts w:asciiTheme="majorBidi" w:hAnsiTheme="majorBidi" w:cstheme="majorBidi"/>
          <w:bCs/>
        </w:rPr>
      </w:pPr>
      <w:r w:rsidRPr="00F11D4F">
        <w:rPr>
          <w:rFonts w:asciiTheme="majorBidi" w:hAnsiTheme="majorBidi" w:cstheme="majorBidi"/>
          <w:bCs/>
          <w:i/>
          <w:iCs/>
        </w:rPr>
        <w:t>Criminal Law Act 1967</w:t>
      </w:r>
      <w:r w:rsidRPr="00F11D4F">
        <w:rPr>
          <w:rFonts w:asciiTheme="majorBidi" w:hAnsiTheme="majorBidi" w:cstheme="majorBidi"/>
          <w:bCs/>
        </w:rPr>
        <w:t xml:space="preserve">. Available at: </w:t>
      </w:r>
      <w:hyperlink r:id="rId21" w:history="1">
        <w:r w:rsidRPr="00F11D4F">
          <w:rPr>
            <w:rStyle w:val="Hyperlink"/>
            <w:rFonts w:asciiTheme="majorBidi" w:hAnsiTheme="majorBidi" w:cstheme="majorBidi"/>
            <w:bCs/>
          </w:rPr>
          <w:t>https://www.legislation.gov.uk/ukpga/1967/58/contents</w:t>
        </w:r>
      </w:hyperlink>
      <w:r w:rsidRPr="00F11D4F">
        <w:rPr>
          <w:rFonts w:asciiTheme="majorBidi" w:hAnsiTheme="majorBidi" w:cstheme="majorBidi"/>
          <w:bCs/>
        </w:rPr>
        <w:t xml:space="preserve">  Accessed: 4</w:t>
      </w:r>
      <w:r w:rsidRPr="00F11D4F">
        <w:rPr>
          <w:rFonts w:asciiTheme="majorBidi" w:hAnsiTheme="majorBidi" w:cstheme="majorBidi"/>
          <w:bCs/>
          <w:vertAlign w:val="superscript"/>
        </w:rPr>
        <w:t>st</w:t>
      </w:r>
      <w:r w:rsidRPr="00F11D4F">
        <w:rPr>
          <w:rFonts w:asciiTheme="majorBidi" w:hAnsiTheme="majorBidi" w:cstheme="majorBidi"/>
          <w:bCs/>
        </w:rPr>
        <w:t xml:space="preserve"> April 2023).</w:t>
      </w:r>
    </w:p>
    <w:p w14:paraId="48C4D964" w14:textId="77777777" w:rsidR="00F11D4F" w:rsidRPr="00F11D4F" w:rsidRDefault="00F11D4F" w:rsidP="00F11D4F">
      <w:pPr>
        <w:pStyle w:val="NormalWeb"/>
        <w:spacing w:line="360" w:lineRule="auto"/>
        <w:ind w:left="567" w:hanging="567"/>
        <w:rPr>
          <w:rFonts w:asciiTheme="majorBidi" w:hAnsiTheme="majorBidi" w:cstheme="majorBidi"/>
        </w:rPr>
      </w:pPr>
      <w:r w:rsidRPr="00F11D4F">
        <w:rPr>
          <w:rFonts w:asciiTheme="majorBidi" w:hAnsiTheme="majorBidi" w:cstheme="majorBidi"/>
        </w:rPr>
        <w:t xml:space="preserve">Dalton, C.T. </w:t>
      </w:r>
      <w:r w:rsidRPr="00F11D4F">
        <w:rPr>
          <w:rFonts w:asciiTheme="majorBidi" w:hAnsiTheme="majorBidi" w:cstheme="majorBidi"/>
          <w:i/>
          <w:iCs/>
        </w:rPr>
        <w:t>et al.</w:t>
      </w:r>
      <w:r w:rsidRPr="00F11D4F">
        <w:rPr>
          <w:rFonts w:asciiTheme="majorBidi" w:hAnsiTheme="majorBidi" w:cstheme="majorBidi"/>
        </w:rPr>
        <w:t xml:space="preserve"> (2022) ‘A systematic literature review of specialist policing of rape and serious sexual offences’, </w:t>
      </w:r>
      <w:r w:rsidRPr="00F11D4F">
        <w:rPr>
          <w:rFonts w:asciiTheme="majorBidi" w:hAnsiTheme="majorBidi" w:cstheme="majorBidi"/>
          <w:i/>
          <w:iCs/>
        </w:rPr>
        <w:t>International Criminology</w:t>
      </w:r>
      <w:r w:rsidRPr="00F11D4F">
        <w:rPr>
          <w:rFonts w:asciiTheme="majorBidi" w:hAnsiTheme="majorBidi" w:cstheme="majorBidi"/>
        </w:rPr>
        <w:t xml:space="preserve">, 2(3), pp. 230–252. doi:10.1007/s43576-022-00062-1. </w:t>
      </w:r>
    </w:p>
    <w:p w14:paraId="42D4BA9A" w14:textId="77777777" w:rsidR="00F11D4F" w:rsidRPr="00F11D4F" w:rsidRDefault="00F11D4F" w:rsidP="00F11D4F">
      <w:pPr>
        <w:pStyle w:val="NormalWeb"/>
        <w:spacing w:line="360" w:lineRule="auto"/>
        <w:ind w:left="567" w:hanging="567"/>
        <w:rPr>
          <w:rFonts w:asciiTheme="majorBidi" w:hAnsiTheme="majorBidi" w:cstheme="majorBidi"/>
        </w:rPr>
      </w:pPr>
      <w:r w:rsidRPr="00F11D4F">
        <w:rPr>
          <w:rFonts w:asciiTheme="majorBidi" w:hAnsiTheme="majorBidi" w:cstheme="majorBidi"/>
        </w:rPr>
        <w:t xml:space="preserve">Data Protection Act 2018, Available at:  </w:t>
      </w:r>
      <w:hyperlink r:id="rId22" w:history="1">
        <w:r w:rsidRPr="00F11D4F">
          <w:rPr>
            <w:rStyle w:val="Hyperlink"/>
            <w:rFonts w:asciiTheme="majorBidi" w:hAnsiTheme="majorBidi" w:cstheme="majorBidi"/>
          </w:rPr>
          <w:t>https://www.legislation.gov.uk/ukpga/2018/12/contents/enacted</w:t>
        </w:r>
      </w:hyperlink>
      <w:r w:rsidRPr="00F11D4F">
        <w:rPr>
          <w:rFonts w:asciiTheme="majorBidi" w:hAnsiTheme="majorBidi" w:cstheme="majorBidi"/>
        </w:rPr>
        <w:t xml:space="preserve"> (Accessed: 11 June 2023)</w:t>
      </w:r>
    </w:p>
    <w:p w14:paraId="760787A6" w14:textId="77777777" w:rsidR="00F11D4F" w:rsidRPr="00F11D4F" w:rsidRDefault="00F11D4F" w:rsidP="00F11D4F">
      <w:pPr>
        <w:pStyle w:val="NormalWeb"/>
        <w:spacing w:line="360" w:lineRule="auto"/>
        <w:ind w:left="567" w:hanging="567"/>
        <w:rPr>
          <w:rFonts w:asciiTheme="majorBidi" w:hAnsiTheme="majorBidi" w:cstheme="majorBidi"/>
        </w:rPr>
      </w:pPr>
    </w:p>
    <w:p w14:paraId="19EBE61D" w14:textId="77777777" w:rsidR="00F11D4F" w:rsidRPr="00F11D4F" w:rsidRDefault="00F11D4F" w:rsidP="00F11D4F">
      <w:pPr>
        <w:pStyle w:val="NormalWeb"/>
        <w:spacing w:line="360" w:lineRule="auto"/>
        <w:ind w:left="567" w:hanging="567"/>
        <w:rPr>
          <w:rFonts w:asciiTheme="majorBidi" w:hAnsiTheme="majorBidi" w:cstheme="majorBidi"/>
        </w:rPr>
      </w:pPr>
      <w:r w:rsidRPr="00F11D4F">
        <w:rPr>
          <w:rFonts w:asciiTheme="majorBidi" w:hAnsiTheme="majorBidi" w:cstheme="majorBidi"/>
        </w:rPr>
        <w:lastRenderedPageBreak/>
        <w:t xml:space="preserve">Dawnay, N. and Sheppard, K. (2023) ‘From crime scene to courtroom: A review of the current bioanalytical evidence workflows used in rape and sexual assault investigations in the United Kingdom’, </w:t>
      </w:r>
      <w:r w:rsidRPr="00F11D4F">
        <w:rPr>
          <w:rFonts w:asciiTheme="majorBidi" w:hAnsiTheme="majorBidi" w:cstheme="majorBidi"/>
          <w:i/>
          <w:iCs/>
        </w:rPr>
        <w:t>Science &amp;amp; Justice</w:t>
      </w:r>
      <w:r w:rsidRPr="00F11D4F">
        <w:rPr>
          <w:rFonts w:asciiTheme="majorBidi" w:hAnsiTheme="majorBidi" w:cstheme="majorBidi"/>
        </w:rPr>
        <w:t xml:space="preserve">, 63(2), pp. 206–228. doi:10.1016/j.scijus.2022.12.006. </w:t>
      </w:r>
    </w:p>
    <w:p w14:paraId="09E7B54A" w14:textId="77777777" w:rsidR="00F11D4F" w:rsidRPr="00F11D4F" w:rsidRDefault="00F11D4F" w:rsidP="00F11D4F">
      <w:pPr>
        <w:pStyle w:val="NormalWeb"/>
        <w:spacing w:line="360" w:lineRule="auto"/>
        <w:ind w:left="567" w:hanging="567"/>
        <w:rPr>
          <w:rFonts w:asciiTheme="majorBidi" w:hAnsiTheme="majorBidi" w:cstheme="majorBidi"/>
        </w:rPr>
      </w:pPr>
    </w:p>
    <w:p w14:paraId="192287B1" w14:textId="77777777" w:rsidR="00F11D4F" w:rsidRPr="00F11D4F" w:rsidRDefault="00F11D4F" w:rsidP="00F11D4F">
      <w:pPr>
        <w:keepNext/>
        <w:spacing w:before="240" w:after="60" w:line="360" w:lineRule="auto"/>
        <w:ind w:right="107"/>
        <w:rPr>
          <w:rFonts w:asciiTheme="majorBidi" w:hAnsiTheme="majorBidi" w:cstheme="majorBidi"/>
          <w:bCs/>
        </w:rPr>
      </w:pPr>
      <w:r w:rsidRPr="00F11D4F">
        <w:rPr>
          <w:rFonts w:asciiTheme="majorBidi" w:hAnsiTheme="majorBidi" w:cstheme="majorBidi"/>
          <w:bCs/>
          <w:i/>
          <w:iCs/>
        </w:rPr>
        <w:t>Domestic Abuse Act 2021</w:t>
      </w:r>
      <w:r w:rsidRPr="00F11D4F">
        <w:rPr>
          <w:rFonts w:asciiTheme="majorBidi" w:hAnsiTheme="majorBidi" w:cstheme="majorBidi"/>
          <w:bCs/>
        </w:rPr>
        <w:t>. Available at: https://www.legislation.gov.uk/ukpga/2021/17/contents/enacted (Accessed: 25th November 2022).</w:t>
      </w:r>
    </w:p>
    <w:p w14:paraId="5CBC406E" w14:textId="77777777" w:rsidR="00F11D4F" w:rsidRPr="00F11D4F" w:rsidRDefault="00F11D4F" w:rsidP="00F11D4F">
      <w:pPr>
        <w:pStyle w:val="NormalWeb"/>
        <w:spacing w:line="360" w:lineRule="auto"/>
        <w:rPr>
          <w:rFonts w:asciiTheme="majorBidi" w:hAnsiTheme="majorBidi" w:cstheme="majorBidi"/>
        </w:rPr>
      </w:pPr>
    </w:p>
    <w:p w14:paraId="3D009F77" w14:textId="77777777" w:rsidR="00F11D4F" w:rsidRPr="00F11D4F" w:rsidRDefault="00F11D4F" w:rsidP="00F11D4F">
      <w:pPr>
        <w:pStyle w:val="NormalWeb"/>
        <w:spacing w:line="360" w:lineRule="auto"/>
        <w:ind w:left="567" w:hanging="567"/>
        <w:rPr>
          <w:rFonts w:asciiTheme="majorBidi" w:hAnsiTheme="majorBidi" w:cstheme="majorBidi"/>
        </w:rPr>
      </w:pPr>
      <w:r w:rsidRPr="00F11D4F">
        <w:rPr>
          <w:rFonts w:asciiTheme="majorBidi" w:hAnsiTheme="majorBidi" w:cstheme="majorBidi"/>
        </w:rPr>
        <w:t xml:space="preserve">Edelson, M.G. (2010) ‘Sexual abuse of children with autism: Factors that increase risk and interfere with recognition of abuse’, </w:t>
      </w:r>
      <w:r w:rsidRPr="00F11D4F">
        <w:rPr>
          <w:rFonts w:asciiTheme="majorBidi" w:hAnsiTheme="majorBidi" w:cstheme="majorBidi"/>
          <w:i/>
          <w:iCs/>
        </w:rPr>
        <w:t>Disability Studies Quarterly</w:t>
      </w:r>
      <w:r w:rsidRPr="00F11D4F">
        <w:rPr>
          <w:rFonts w:asciiTheme="majorBidi" w:hAnsiTheme="majorBidi" w:cstheme="majorBidi"/>
        </w:rPr>
        <w:t xml:space="preserve">, 30(1). doi:10.18061/dsq.v30i1.1058. </w:t>
      </w:r>
    </w:p>
    <w:p w14:paraId="5BF27A76" w14:textId="77777777" w:rsidR="00F11D4F" w:rsidRPr="00F11D4F" w:rsidRDefault="00F11D4F" w:rsidP="00F11D4F">
      <w:pPr>
        <w:pStyle w:val="NormalWeb"/>
        <w:spacing w:line="360" w:lineRule="auto"/>
        <w:ind w:left="567" w:hanging="567"/>
        <w:rPr>
          <w:rFonts w:asciiTheme="majorBidi" w:hAnsiTheme="majorBidi" w:cstheme="majorBidi"/>
        </w:rPr>
      </w:pPr>
    </w:p>
    <w:p w14:paraId="0050DFBB" w14:textId="77777777" w:rsidR="00F11D4F" w:rsidRPr="00F11D4F" w:rsidRDefault="00F11D4F" w:rsidP="00F11D4F">
      <w:pPr>
        <w:pStyle w:val="NormalWeb"/>
        <w:spacing w:line="360" w:lineRule="auto"/>
        <w:ind w:left="567" w:hanging="567"/>
        <w:rPr>
          <w:rFonts w:asciiTheme="majorBidi" w:hAnsiTheme="majorBidi" w:cstheme="majorBidi"/>
        </w:rPr>
      </w:pPr>
      <w:r w:rsidRPr="00F11D4F">
        <w:rPr>
          <w:rFonts w:asciiTheme="majorBidi" w:hAnsiTheme="majorBidi" w:cstheme="majorBidi"/>
        </w:rPr>
        <w:t xml:space="preserve">Edmond, G. </w:t>
      </w:r>
      <w:r w:rsidRPr="00F11D4F">
        <w:rPr>
          <w:rFonts w:asciiTheme="majorBidi" w:hAnsiTheme="majorBidi" w:cstheme="majorBidi"/>
          <w:i/>
          <w:iCs/>
        </w:rPr>
        <w:t>et al.</w:t>
      </w:r>
      <w:r w:rsidRPr="00F11D4F">
        <w:rPr>
          <w:rFonts w:asciiTheme="majorBidi" w:hAnsiTheme="majorBidi" w:cstheme="majorBidi"/>
        </w:rPr>
        <w:t xml:space="preserve"> (2014) ‘Contextual bias and cross-contamination in the Forensic Sciences: The corrosive implications for investigations, Plea Bargains, trials and appeals’, </w:t>
      </w:r>
      <w:r w:rsidRPr="00F11D4F">
        <w:rPr>
          <w:rFonts w:asciiTheme="majorBidi" w:hAnsiTheme="majorBidi" w:cstheme="majorBidi"/>
          <w:i/>
          <w:iCs/>
        </w:rPr>
        <w:t>Law, Probability and Risk</w:t>
      </w:r>
      <w:r w:rsidRPr="00F11D4F">
        <w:rPr>
          <w:rFonts w:asciiTheme="majorBidi" w:hAnsiTheme="majorBidi" w:cstheme="majorBidi"/>
        </w:rPr>
        <w:t xml:space="preserve">, 14(1), pp. 1–25. doi:10.1093/lpr/mgu018. </w:t>
      </w:r>
    </w:p>
    <w:p w14:paraId="39A3BAC3" w14:textId="77777777" w:rsidR="00F11D4F" w:rsidRPr="00F11D4F" w:rsidRDefault="00F11D4F" w:rsidP="00F11D4F">
      <w:pPr>
        <w:spacing w:line="360" w:lineRule="auto"/>
        <w:rPr>
          <w:rFonts w:asciiTheme="majorBidi" w:hAnsiTheme="majorBidi" w:cstheme="majorBidi"/>
          <w:color w:val="000000" w:themeColor="text1"/>
        </w:rPr>
      </w:pPr>
      <w:r w:rsidRPr="00F11D4F">
        <w:rPr>
          <w:rFonts w:asciiTheme="majorBidi" w:hAnsiTheme="majorBidi" w:cstheme="majorBidi"/>
          <w:color w:val="000000" w:themeColor="text1"/>
        </w:rPr>
        <w:t xml:space="preserve">Essex Police (2014) </w:t>
      </w:r>
      <w:r w:rsidRPr="00F11D4F">
        <w:rPr>
          <w:rFonts w:asciiTheme="majorBidi" w:hAnsiTheme="majorBidi" w:cstheme="majorBidi"/>
          <w:i/>
          <w:iCs/>
          <w:color w:val="000000" w:themeColor="text1"/>
        </w:rPr>
        <w:t>Predictive Policing</w:t>
      </w:r>
      <w:r w:rsidRPr="00F11D4F">
        <w:rPr>
          <w:rFonts w:asciiTheme="majorBidi" w:hAnsiTheme="majorBidi" w:cstheme="majorBidi"/>
          <w:color w:val="000000" w:themeColor="text1"/>
        </w:rPr>
        <w:t xml:space="preserve">. Available at: </w:t>
      </w:r>
      <w:hyperlink r:id="rId23" w:history="1">
        <w:r w:rsidRPr="00F11D4F">
          <w:rPr>
            <w:rStyle w:val="Hyperlink"/>
            <w:rFonts w:asciiTheme="majorBidi" w:hAnsiTheme="majorBidi" w:cstheme="majorBidi"/>
            <w:color w:val="000000" w:themeColor="text1"/>
          </w:rPr>
          <w:t>https://www.essex.police.uk/foi-ai/essex-police/other-information/previous-foi-requests/predictive-policing/</w:t>
        </w:r>
      </w:hyperlink>
      <w:r w:rsidRPr="00F11D4F">
        <w:rPr>
          <w:rFonts w:asciiTheme="majorBidi" w:hAnsiTheme="majorBidi" w:cstheme="majorBidi"/>
          <w:color w:val="000000" w:themeColor="text1"/>
        </w:rPr>
        <w:t xml:space="preserve"> (Accessed: 1</w:t>
      </w:r>
      <w:r w:rsidRPr="00F11D4F">
        <w:rPr>
          <w:rFonts w:asciiTheme="majorBidi" w:hAnsiTheme="majorBidi" w:cstheme="majorBidi"/>
          <w:color w:val="000000" w:themeColor="text1"/>
          <w:vertAlign w:val="superscript"/>
        </w:rPr>
        <w:t>st</w:t>
      </w:r>
      <w:r w:rsidRPr="00F11D4F">
        <w:rPr>
          <w:rFonts w:asciiTheme="majorBidi" w:hAnsiTheme="majorBidi" w:cstheme="majorBidi"/>
          <w:color w:val="000000" w:themeColor="text1"/>
        </w:rPr>
        <w:t xml:space="preserve"> May 2023)</w:t>
      </w:r>
    </w:p>
    <w:p w14:paraId="59409CA9" w14:textId="77777777" w:rsidR="00F11D4F" w:rsidRPr="00F11D4F" w:rsidRDefault="00F11D4F" w:rsidP="00F11D4F">
      <w:pPr>
        <w:pStyle w:val="NormalWeb"/>
        <w:spacing w:line="360" w:lineRule="auto"/>
        <w:ind w:left="567" w:hanging="567"/>
        <w:rPr>
          <w:rFonts w:asciiTheme="majorBidi" w:hAnsiTheme="majorBidi" w:cstheme="majorBidi"/>
        </w:rPr>
      </w:pPr>
      <w:r w:rsidRPr="00F11D4F">
        <w:rPr>
          <w:rFonts w:asciiTheme="majorBidi" w:hAnsiTheme="majorBidi" w:cstheme="majorBidi"/>
        </w:rPr>
        <w:t xml:space="preserve">Gekoski, A. </w:t>
      </w:r>
      <w:r w:rsidRPr="00F11D4F">
        <w:rPr>
          <w:rFonts w:asciiTheme="majorBidi" w:hAnsiTheme="majorBidi" w:cstheme="majorBidi"/>
          <w:i/>
          <w:iCs/>
        </w:rPr>
        <w:t>et al.</w:t>
      </w:r>
      <w:r w:rsidRPr="00F11D4F">
        <w:rPr>
          <w:rFonts w:asciiTheme="majorBidi" w:hAnsiTheme="majorBidi" w:cstheme="majorBidi"/>
        </w:rPr>
        <w:t xml:space="preserve"> (2017) ‘The prevalence and nature of sexual harassment and assault against women and girls on public transport: An international review’, </w:t>
      </w:r>
      <w:r w:rsidRPr="00F11D4F">
        <w:rPr>
          <w:rFonts w:asciiTheme="majorBidi" w:hAnsiTheme="majorBidi" w:cstheme="majorBidi"/>
          <w:i/>
          <w:iCs/>
        </w:rPr>
        <w:t>Journal of Criminological Research, Policy and Practice</w:t>
      </w:r>
      <w:r w:rsidRPr="00F11D4F">
        <w:rPr>
          <w:rFonts w:asciiTheme="majorBidi" w:hAnsiTheme="majorBidi" w:cstheme="majorBidi"/>
        </w:rPr>
        <w:t xml:space="preserve">, 3(1), pp. 3–16. doi:10.1108/jcrpp-08-2016-0016. </w:t>
      </w:r>
    </w:p>
    <w:p w14:paraId="1EC6F51C" w14:textId="77777777" w:rsidR="00F11D4F" w:rsidRPr="00F11D4F" w:rsidRDefault="00F11D4F" w:rsidP="00F11D4F">
      <w:pPr>
        <w:keepNext/>
        <w:spacing w:before="240" w:after="60" w:line="360" w:lineRule="auto"/>
        <w:ind w:right="107"/>
        <w:rPr>
          <w:rFonts w:asciiTheme="majorBidi" w:hAnsiTheme="majorBidi" w:cstheme="majorBidi"/>
          <w:bCs/>
        </w:rPr>
      </w:pPr>
      <w:r w:rsidRPr="00F11D4F">
        <w:rPr>
          <w:rFonts w:asciiTheme="majorBidi" w:hAnsiTheme="majorBidi" w:cstheme="majorBidi"/>
          <w:bCs/>
        </w:rPr>
        <w:t xml:space="preserve">GOV.UK (2021) </w:t>
      </w:r>
      <w:r w:rsidRPr="00F11D4F">
        <w:rPr>
          <w:rFonts w:asciiTheme="majorBidi" w:hAnsiTheme="majorBidi" w:cstheme="majorBidi"/>
          <w:bCs/>
          <w:i/>
          <w:iCs/>
        </w:rPr>
        <w:t>Code of Practice for Victims of Crime in England and Wales (Victim's Code).</w:t>
      </w:r>
      <w:r w:rsidRPr="00F11D4F">
        <w:rPr>
          <w:rFonts w:asciiTheme="majorBidi" w:hAnsiTheme="majorBidi" w:cstheme="majorBidi"/>
          <w:bCs/>
        </w:rPr>
        <w:t xml:space="preserve"> Available at: https://www.gov.uk/government/publications/the-code-of-practice-for-</w:t>
      </w:r>
      <w:r w:rsidRPr="00F11D4F">
        <w:rPr>
          <w:rFonts w:asciiTheme="majorBidi" w:hAnsiTheme="majorBidi" w:cstheme="majorBidi"/>
          <w:bCs/>
        </w:rPr>
        <w:lastRenderedPageBreak/>
        <w:t>victims-of-crime/code-of-practice-for-victims-of-crime-in-england-and-wales-victims-code (Accessed: 25th November 2022).</w:t>
      </w:r>
    </w:p>
    <w:p w14:paraId="51B5F45C" w14:textId="77777777" w:rsidR="00F11D4F" w:rsidRPr="00F11D4F" w:rsidRDefault="00F11D4F" w:rsidP="00F11D4F">
      <w:pPr>
        <w:pStyle w:val="NormalWeb"/>
        <w:spacing w:line="360" w:lineRule="auto"/>
        <w:ind w:left="567" w:hanging="567"/>
        <w:rPr>
          <w:rFonts w:asciiTheme="majorBidi" w:hAnsiTheme="majorBidi" w:cstheme="majorBidi"/>
          <w:color w:val="000000"/>
        </w:rPr>
      </w:pPr>
      <w:r w:rsidRPr="00F11D4F">
        <w:rPr>
          <w:rFonts w:asciiTheme="majorBidi" w:hAnsiTheme="majorBidi" w:cstheme="majorBidi"/>
          <w:i/>
          <w:iCs/>
          <w:color w:val="000000"/>
        </w:rPr>
        <w:t>GOV.UK</w:t>
      </w:r>
      <w:r w:rsidRPr="00F11D4F">
        <w:rPr>
          <w:rFonts w:asciiTheme="majorBidi" w:hAnsiTheme="majorBidi" w:cstheme="majorBidi"/>
          <w:color w:val="000000"/>
        </w:rPr>
        <w:t>(2022)</w:t>
      </w:r>
      <w:r w:rsidRPr="00F11D4F">
        <w:rPr>
          <w:rStyle w:val="apple-converted-space"/>
          <w:rFonts w:asciiTheme="majorBidi" w:hAnsiTheme="majorBidi" w:cstheme="majorBidi"/>
          <w:color w:val="000000"/>
        </w:rPr>
        <w:t> </w:t>
      </w:r>
      <w:r w:rsidRPr="00F11D4F">
        <w:rPr>
          <w:rFonts w:asciiTheme="majorBidi" w:hAnsiTheme="majorBidi" w:cstheme="majorBidi"/>
          <w:i/>
          <w:iCs/>
          <w:color w:val="000000"/>
        </w:rPr>
        <w:t>Pre-charge bail statutory guidance (accessible)</w:t>
      </w:r>
      <w:r w:rsidRPr="00F11D4F">
        <w:rPr>
          <w:rFonts w:asciiTheme="majorBidi" w:hAnsiTheme="majorBidi" w:cstheme="majorBidi"/>
          <w:color w:val="000000"/>
        </w:rPr>
        <w:t>. Available at: https://www.gov.uk/government/publications/pre-charge-bail-statutory-guidance/pre-charge-bail-statutory-guidance-accessible (Accessed: 12 June 2023).</w:t>
      </w:r>
      <w:r w:rsidRPr="00F11D4F">
        <w:rPr>
          <w:rStyle w:val="apple-converted-space"/>
          <w:rFonts w:asciiTheme="majorBidi" w:hAnsiTheme="majorBidi" w:cstheme="majorBidi"/>
          <w:color w:val="000000"/>
        </w:rPr>
        <w:t> </w:t>
      </w:r>
    </w:p>
    <w:p w14:paraId="4C6C484F" w14:textId="77777777" w:rsidR="00F11D4F" w:rsidRPr="00F11D4F" w:rsidRDefault="00F11D4F" w:rsidP="00F11D4F">
      <w:pPr>
        <w:keepNext/>
        <w:spacing w:before="240" w:after="60" w:line="360" w:lineRule="auto"/>
        <w:ind w:right="107"/>
        <w:rPr>
          <w:rFonts w:asciiTheme="majorBidi" w:hAnsiTheme="majorBidi" w:cstheme="majorBidi"/>
          <w:bCs/>
        </w:rPr>
      </w:pPr>
    </w:p>
    <w:p w14:paraId="711EE533" w14:textId="77777777" w:rsidR="00F11D4F" w:rsidRPr="00F11D4F" w:rsidRDefault="00F11D4F" w:rsidP="00F11D4F">
      <w:pPr>
        <w:pStyle w:val="NormalWeb"/>
        <w:spacing w:line="360" w:lineRule="auto"/>
        <w:ind w:left="567" w:hanging="567"/>
        <w:rPr>
          <w:rFonts w:asciiTheme="majorBidi" w:hAnsiTheme="majorBidi" w:cstheme="majorBidi"/>
        </w:rPr>
      </w:pPr>
      <w:r w:rsidRPr="00F11D4F">
        <w:rPr>
          <w:rFonts w:asciiTheme="majorBidi" w:hAnsiTheme="majorBidi" w:cstheme="majorBidi"/>
        </w:rPr>
        <w:t xml:space="preserve">Garza, A.D. &amp; Franklin, C.A. (2020) ‘The effect of rape myth endorsement on police response to sexual assault survivors’, </w:t>
      </w:r>
      <w:r w:rsidRPr="00F11D4F">
        <w:rPr>
          <w:rFonts w:asciiTheme="majorBidi" w:hAnsiTheme="majorBidi" w:cstheme="majorBidi"/>
          <w:i/>
          <w:iCs/>
        </w:rPr>
        <w:t>Violence Against Women</w:t>
      </w:r>
      <w:r w:rsidRPr="00F11D4F">
        <w:rPr>
          <w:rFonts w:asciiTheme="majorBidi" w:hAnsiTheme="majorBidi" w:cstheme="majorBidi"/>
        </w:rPr>
        <w:t xml:space="preserve">, 27(3–4), pp. 552–573. doi:10.1177/1077801220911460. </w:t>
      </w:r>
    </w:p>
    <w:p w14:paraId="494BC1F3" w14:textId="77777777" w:rsidR="00F11D4F" w:rsidRPr="00F11D4F" w:rsidRDefault="00F11D4F" w:rsidP="00F11D4F">
      <w:pPr>
        <w:pStyle w:val="NormalWeb"/>
        <w:spacing w:line="360" w:lineRule="auto"/>
        <w:ind w:left="567" w:hanging="567"/>
        <w:rPr>
          <w:rFonts w:asciiTheme="majorBidi" w:hAnsiTheme="majorBidi" w:cstheme="majorBidi"/>
        </w:rPr>
      </w:pPr>
      <w:r w:rsidRPr="00F11D4F">
        <w:rPr>
          <w:rFonts w:asciiTheme="majorBidi" w:hAnsiTheme="majorBidi" w:cstheme="majorBidi"/>
        </w:rPr>
        <w:t xml:space="preserve">Hester, M. and Lilley, S.-J. (2017) ‘More than support to court’, </w:t>
      </w:r>
      <w:r w:rsidRPr="00F11D4F">
        <w:rPr>
          <w:rFonts w:asciiTheme="majorBidi" w:hAnsiTheme="majorBidi" w:cstheme="majorBidi"/>
          <w:i/>
          <w:iCs/>
        </w:rPr>
        <w:t>International Review of Victimology</w:t>
      </w:r>
      <w:r w:rsidRPr="00F11D4F">
        <w:rPr>
          <w:rFonts w:asciiTheme="majorBidi" w:hAnsiTheme="majorBidi" w:cstheme="majorBidi"/>
        </w:rPr>
        <w:t xml:space="preserve">, 24(3), pp. 313–328. doi:10.1177/0269758017742717. </w:t>
      </w:r>
    </w:p>
    <w:p w14:paraId="7A5C5AD2" w14:textId="77777777" w:rsidR="00F11D4F" w:rsidRPr="00F11D4F" w:rsidRDefault="00F11D4F" w:rsidP="00F11D4F">
      <w:pPr>
        <w:pStyle w:val="NormalWeb"/>
        <w:spacing w:line="360" w:lineRule="auto"/>
        <w:ind w:left="567" w:hanging="567"/>
        <w:rPr>
          <w:rFonts w:asciiTheme="majorBidi" w:hAnsiTheme="majorBidi" w:cstheme="majorBidi"/>
        </w:rPr>
      </w:pPr>
      <w:r w:rsidRPr="00F11D4F">
        <w:rPr>
          <w:rFonts w:asciiTheme="majorBidi" w:hAnsiTheme="majorBidi" w:cstheme="majorBidi"/>
        </w:rPr>
        <w:t xml:space="preserve">Hohl, K. and Stanko, E.A. (2015) ‘Complaints of rape and the criminal justice system: Fresh evidence on the attrition problem in England and Wales’, </w:t>
      </w:r>
      <w:r w:rsidRPr="00F11D4F">
        <w:rPr>
          <w:rFonts w:asciiTheme="majorBidi" w:hAnsiTheme="majorBidi" w:cstheme="majorBidi"/>
          <w:i/>
          <w:iCs/>
        </w:rPr>
        <w:t>European Journal of Criminology</w:t>
      </w:r>
      <w:r w:rsidRPr="00F11D4F">
        <w:rPr>
          <w:rFonts w:asciiTheme="majorBidi" w:hAnsiTheme="majorBidi" w:cstheme="majorBidi"/>
        </w:rPr>
        <w:t xml:space="preserve">, 12(3), pp. 324–341. doi:10.1177/1477370815571949. </w:t>
      </w:r>
    </w:p>
    <w:p w14:paraId="4415186F" w14:textId="77777777" w:rsidR="00F11D4F" w:rsidRPr="00F11D4F" w:rsidRDefault="00F11D4F" w:rsidP="00F11D4F">
      <w:pPr>
        <w:pStyle w:val="NormalWeb"/>
        <w:spacing w:line="360" w:lineRule="auto"/>
        <w:ind w:left="567" w:hanging="567"/>
        <w:rPr>
          <w:rFonts w:asciiTheme="majorBidi" w:hAnsiTheme="majorBidi" w:cstheme="majorBidi"/>
        </w:rPr>
      </w:pPr>
      <w:r w:rsidRPr="00F11D4F">
        <w:rPr>
          <w:rFonts w:asciiTheme="majorBidi" w:hAnsiTheme="majorBidi" w:cstheme="majorBidi"/>
        </w:rPr>
        <w:t xml:space="preserve">Home Office (2017) </w:t>
      </w:r>
      <w:r w:rsidRPr="00F11D4F">
        <w:rPr>
          <w:rFonts w:asciiTheme="majorBidi" w:hAnsiTheme="majorBidi" w:cstheme="majorBidi"/>
          <w:i/>
          <w:iCs/>
        </w:rPr>
        <w:t>The role of the Independent Sexual Violence Adviser</w:t>
      </w:r>
      <w:r w:rsidRPr="00F11D4F">
        <w:rPr>
          <w:rFonts w:asciiTheme="majorBidi" w:hAnsiTheme="majorBidi" w:cstheme="majorBidi"/>
        </w:rPr>
        <w:t xml:space="preserve">. Available at: https://assets.publishing.service.gov.uk/government/uploads/system/uploads/attachment_data/file/647112/The_Role_of_the_Independent_Sexual_Violence_Adviser_-_Essential_Elements_September_2017_Final.pdf (Accessed: 11 June 2023). </w:t>
      </w:r>
    </w:p>
    <w:p w14:paraId="785734C2" w14:textId="77777777" w:rsidR="00F11D4F" w:rsidRPr="00F11D4F" w:rsidRDefault="00F11D4F" w:rsidP="00F11D4F">
      <w:pPr>
        <w:keepNext/>
        <w:spacing w:before="240" w:after="60" w:line="360" w:lineRule="auto"/>
        <w:ind w:right="107"/>
        <w:rPr>
          <w:rFonts w:asciiTheme="majorBidi" w:hAnsiTheme="majorBidi" w:cstheme="majorBidi"/>
          <w:bCs/>
        </w:rPr>
      </w:pPr>
      <w:r w:rsidRPr="00F11D4F">
        <w:rPr>
          <w:rFonts w:asciiTheme="majorBidi" w:hAnsiTheme="majorBidi" w:cstheme="majorBidi"/>
          <w:bCs/>
          <w:i/>
          <w:iCs/>
        </w:rPr>
        <w:t>Human Rights Act 1998</w:t>
      </w:r>
      <w:r w:rsidRPr="00F11D4F">
        <w:rPr>
          <w:rFonts w:asciiTheme="majorBidi" w:hAnsiTheme="majorBidi" w:cstheme="majorBidi"/>
          <w:bCs/>
        </w:rPr>
        <w:t xml:space="preserve">. Available at: </w:t>
      </w:r>
      <w:hyperlink r:id="rId24" w:history="1">
        <w:r w:rsidRPr="00F11D4F">
          <w:rPr>
            <w:rStyle w:val="Hyperlink"/>
            <w:rFonts w:asciiTheme="majorBidi" w:hAnsiTheme="majorBidi" w:cstheme="majorBidi"/>
            <w:bCs/>
          </w:rPr>
          <w:t>https://www.legislation.gov.uk/ukpga/1998/42/contents</w:t>
        </w:r>
      </w:hyperlink>
      <w:r w:rsidRPr="00F11D4F">
        <w:rPr>
          <w:rFonts w:asciiTheme="majorBidi" w:hAnsiTheme="majorBidi" w:cstheme="majorBidi"/>
          <w:bCs/>
        </w:rPr>
        <w:t xml:space="preserve"> (Accessed: 3</w:t>
      </w:r>
      <w:r w:rsidRPr="00F11D4F">
        <w:rPr>
          <w:rFonts w:asciiTheme="majorBidi" w:hAnsiTheme="majorBidi" w:cstheme="majorBidi"/>
          <w:bCs/>
          <w:vertAlign w:val="superscript"/>
        </w:rPr>
        <w:t>rd</w:t>
      </w:r>
      <w:r w:rsidRPr="00F11D4F">
        <w:rPr>
          <w:rFonts w:asciiTheme="majorBidi" w:hAnsiTheme="majorBidi" w:cstheme="majorBidi"/>
          <w:bCs/>
        </w:rPr>
        <w:t xml:space="preserve"> April 2023).</w:t>
      </w:r>
    </w:p>
    <w:p w14:paraId="448FFFE5" w14:textId="77777777" w:rsidR="00F11D4F" w:rsidRPr="00F11D4F" w:rsidRDefault="00F11D4F" w:rsidP="00F11D4F">
      <w:pPr>
        <w:pStyle w:val="NormalWeb"/>
        <w:spacing w:line="360" w:lineRule="auto"/>
        <w:rPr>
          <w:rFonts w:asciiTheme="majorBidi" w:hAnsiTheme="majorBidi" w:cstheme="majorBidi"/>
        </w:rPr>
      </w:pPr>
    </w:p>
    <w:p w14:paraId="6358D320" w14:textId="77777777" w:rsidR="00F11D4F" w:rsidRPr="00F11D4F" w:rsidRDefault="00F11D4F" w:rsidP="00F11D4F">
      <w:pPr>
        <w:pStyle w:val="NormalWeb"/>
        <w:spacing w:line="360" w:lineRule="auto"/>
        <w:ind w:left="567" w:hanging="567"/>
        <w:rPr>
          <w:rFonts w:asciiTheme="majorBidi" w:hAnsiTheme="majorBidi" w:cstheme="majorBidi"/>
        </w:rPr>
      </w:pPr>
      <w:r w:rsidRPr="00F11D4F">
        <w:rPr>
          <w:rFonts w:asciiTheme="majorBidi" w:hAnsiTheme="majorBidi" w:cstheme="majorBidi"/>
        </w:rPr>
        <w:t xml:space="preserve">Mailhot Amborski, A. </w:t>
      </w:r>
      <w:r w:rsidRPr="00F11D4F">
        <w:rPr>
          <w:rFonts w:asciiTheme="majorBidi" w:hAnsiTheme="majorBidi" w:cstheme="majorBidi"/>
          <w:i/>
          <w:iCs/>
        </w:rPr>
        <w:t>et al.</w:t>
      </w:r>
      <w:r w:rsidRPr="00F11D4F">
        <w:rPr>
          <w:rFonts w:asciiTheme="majorBidi" w:hAnsiTheme="majorBidi" w:cstheme="majorBidi"/>
        </w:rPr>
        <w:t xml:space="preserve"> (2021) ‘Sexual violence against persons with disabilities: A meta-analysis’, </w:t>
      </w:r>
      <w:r w:rsidRPr="00F11D4F">
        <w:rPr>
          <w:rFonts w:asciiTheme="majorBidi" w:hAnsiTheme="majorBidi" w:cstheme="majorBidi"/>
          <w:i/>
          <w:iCs/>
        </w:rPr>
        <w:t>Trauma, Violence, &amp;amp; Abuse</w:t>
      </w:r>
      <w:r w:rsidRPr="00F11D4F">
        <w:rPr>
          <w:rFonts w:asciiTheme="majorBidi" w:hAnsiTheme="majorBidi" w:cstheme="majorBidi"/>
        </w:rPr>
        <w:t xml:space="preserve">, 23(4), pp. 1330–1343. doi:10.1177/1524838021995975. </w:t>
      </w:r>
    </w:p>
    <w:p w14:paraId="61A851C8" w14:textId="77777777" w:rsidR="00F11D4F" w:rsidRPr="00F11D4F" w:rsidRDefault="00F11D4F" w:rsidP="00F11D4F">
      <w:pPr>
        <w:keepNext/>
        <w:spacing w:before="240" w:after="60" w:line="360" w:lineRule="auto"/>
        <w:ind w:right="107"/>
        <w:rPr>
          <w:rFonts w:asciiTheme="majorBidi" w:hAnsiTheme="majorBidi" w:cstheme="majorBidi"/>
          <w:bCs/>
        </w:rPr>
      </w:pPr>
      <w:r w:rsidRPr="00F11D4F">
        <w:rPr>
          <w:rFonts w:asciiTheme="majorBidi" w:hAnsiTheme="majorBidi" w:cstheme="majorBidi"/>
          <w:bCs/>
        </w:rPr>
        <w:t xml:space="preserve">Ministry of Justice (2015) </w:t>
      </w:r>
      <w:r w:rsidRPr="00F11D4F">
        <w:rPr>
          <w:rFonts w:asciiTheme="majorBidi" w:hAnsiTheme="majorBidi" w:cstheme="majorBidi"/>
          <w:bCs/>
          <w:i/>
          <w:iCs/>
        </w:rPr>
        <w:t>The Criminal Procedure and Investigations Act 1996 (Section 23 (1)) Code of Practice</w:t>
      </w:r>
      <w:r w:rsidRPr="00F11D4F">
        <w:rPr>
          <w:rFonts w:asciiTheme="majorBidi" w:hAnsiTheme="majorBidi" w:cstheme="majorBidi"/>
          <w:bCs/>
        </w:rPr>
        <w:t xml:space="preserve"> . Available at: </w:t>
      </w:r>
      <w:hyperlink r:id="rId25" w:history="1">
        <w:r w:rsidRPr="00F11D4F">
          <w:rPr>
            <w:rStyle w:val="Hyperlink"/>
            <w:rFonts w:asciiTheme="majorBidi" w:hAnsiTheme="majorBidi" w:cstheme="majorBidi"/>
            <w:bCs/>
          </w:rPr>
          <w:t>https://assets.publishing.service.gov.uk/government/uploads/system/uploads/attachment_data/file/447967/code-of-practice-approved.pdf</w:t>
        </w:r>
      </w:hyperlink>
      <w:r w:rsidRPr="00F11D4F">
        <w:rPr>
          <w:rFonts w:asciiTheme="majorBidi" w:hAnsiTheme="majorBidi" w:cstheme="majorBidi"/>
          <w:bCs/>
        </w:rPr>
        <w:t xml:space="preserve"> (Accessed: 4</w:t>
      </w:r>
      <w:r w:rsidRPr="00F11D4F">
        <w:rPr>
          <w:rFonts w:asciiTheme="majorBidi" w:hAnsiTheme="majorBidi" w:cstheme="majorBidi"/>
          <w:bCs/>
          <w:vertAlign w:val="superscript"/>
        </w:rPr>
        <w:t>st</w:t>
      </w:r>
      <w:r w:rsidRPr="00F11D4F">
        <w:rPr>
          <w:rFonts w:asciiTheme="majorBidi" w:hAnsiTheme="majorBidi" w:cstheme="majorBidi"/>
          <w:bCs/>
        </w:rPr>
        <w:t xml:space="preserve"> April 2023).</w:t>
      </w:r>
    </w:p>
    <w:p w14:paraId="115659B9" w14:textId="77777777" w:rsidR="00F11D4F" w:rsidRPr="00F11D4F" w:rsidRDefault="00F11D4F" w:rsidP="00F11D4F">
      <w:pPr>
        <w:pStyle w:val="NormalWeb"/>
        <w:spacing w:line="360" w:lineRule="auto"/>
        <w:ind w:left="567" w:hanging="567"/>
        <w:rPr>
          <w:rFonts w:asciiTheme="majorBidi" w:hAnsiTheme="majorBidi" w:cstheme="majorBidi"/>
        </w:rPr>
      </w:pPr>
      <w:r w:rsidRPr="00F11D4F">
        <w:rPr>
          <w:rFonts w:asciiTheme="majorBidi" w:hAnsiTheme="majorBidi" w:cstheme="majorBidi"/>
        </w:rPr>
        <w:t xml:space="preserve">Majeed-Ariss, R. </w:t>
      </w:r>
      <w:r w:rsidRPr="00F11D4F">
        <w:rPr>
          <w:rFonts w:asciiTheme="majorBidi" w:hAnsiTheme="majorBidi" w:cstheme="majorBidi"/>
          <w:i/>
          <w:iCs/>
        </w:rPr>
        <w:t>et al.</w:t>
      </w:r>
      <w:r w:rsidRPr="00F11D4F">
        <w:rPr>
          <w:rFonts w:asciiTheme="majorBidi" w:hAnsiTheme="majorBidi" w:cstheme="majorBidi"/>
        </w:rPr>
        <w:t xml:space="preserve"> (2019) ‘“could do better”: Report on the use of special measures in sexual offences cases’, </w:t>
      </w:r>
      <w:r w:rsidRPr="00F11D4F">
        <w:rPr>
          <w:rFonts w:asciiTheme="majorBidi" w:hAnsiTheme="majorBidi" w:cstheme="majorBidi"/>
          <w:i/>
          <w:iCs/>
        </w:rPr>
        <w:t>Criminology &amp;amp; Criminal Justice</w:t>
      </w:r>
      <w:r w:rsidRPr="00F11D4F">
        <w:rPr>
          <w:rFonts w:asciiTheme="majorBidi" w:hAnsiTheme="majorBidi" w:cstheme="majorBidi"/>
        </w:rPr>
        <w:t xml:space="preserve">, 21(1), pp. 89–106. doi:10.1177/1748895819840396. </w:t>
      </w:r>
    </w:p>
    <w:p w14:paraId="38BCCF8C" w14:textId="77777777" w:rsidR="00F11D4F" w:rsidRPr="00F11D4F" w:rsidRDefault="00F11D4F" w:rsidP="00F11D4F">
      <w:pPr>
        <w:pStyle w:val="NormalWeb"/>
        <w:spacing w:line="360" w:lineRule="auto"/>
        <w:ind w:left="567" w:hanging="567"/>
        <w:rPr>
          <w:rFonts w:asciiTheme="majorBidi" w:hAnsiTheme="majorBidi" w:cstheme="majorBidi"/>
        </w:rPr>
      </w:pPr>
      <w:r w:rsidRPr="00F11D4F">
        <w:rPr>
          <w:rFonts w:asciiTheme="majorBidi" w:hAnsiTheme="majorBidi" w:cstheme="majorBidi"/>
        </w:rPr>
        <w:t xml:space="preserve">McMillan, L. (2014) ‘The role of the specially trained officer in rape and sexual offence cases’, </w:t>
      </w:r>
      <w:r w:rsidRPr="00F11D4F">
        <w:rPr>
          <w:rFonts w:asciiTheme="majorBidi" w:hAnsiTheme="majorBidi" w:cstheme="majorBidi"/>
          <w:i/>
          <w:iCs/>
        </w:rPr>
        <w:t>Policing and Society</w:t>
      </w:r>
      <w:r w:rsidRPr="00F11D4F">
        <w:rPr>
          <w:rFonts w:asciiTheme="majorBidi" w:hAnsiTheme="majorBidi" w:cstheme="majorBidi"/>
        </w:rPr>
        <w:t xml:space="preserve">, 25(6), pp. 622–640. doi:10.1080/10439463.2014.912648. </w:t>
      </w:r>
    </w:p>
    <w:p w14:paraId="3E72F052" w14:textId="77777777" w:rsidR="00F11D4F" w:rsidRPr="00F11D4F" w:rsidRDefault="00F11D4F" w:rsidP="00F11D4F">
      <w:pPr>
        <w:keepNext/>
        <w:spacing w:before="240" w:after="60" w:line="360" w:lineRule="auto"/>
        <w:ind w:right="107"/>
        <w:rPr>
          <w:rFonts w:asciiTheme="majorBidi" w:hAnsiTheme="majorBidi" w:cstheme="majorBidi"/>
          <w:bCs/>
        </w:rPr>
      </w:pPr>
      <w:r w:rsidRPr="00F11D4F">
        <w:rPr>
          <w:rFonts w:asciiTheme="majorBidi" w:hAnsiTheme="majorBidi" w:cstheme="majorBidi"/>
          <w:bCs/>
        </w:rPr>
        <w:t xml:space="preserve">Ministry of Justice (2022) </w:t>
      </w:r>
      <w:r w:rsidRPr="00F11D4F">
        <w:rPr>
          <w:rFonts w:asciiTheme="majorBidi" w:hAnsiTheme="majorBidi" w:cstheme="majorBidi"/>
          <w:bCs/>
          <w:i/>
          <w:iCs/>
        </w:rPr>
        <w:t xml:space="preserve">Achieving Best Evidence in Criminal Proceedings: Guidance on Interviewing Victims and Witnesses, and Guidance on Using Special Measures. </w:t>
      </w:r>
      <w:r w:rsidRPr="00F11D4F">
        <w:rPr>
          <w:rFonts w:asciiTheme="majorBidi" w:hAnsiTheme="majorBidi" w:cstheme="majorBidi"/>
          <w:bCs/>
        </w:rPr>
        <w:t xml:space="preserve">Available at: </w:t>
      </w:r>
      <w:r w:rsidRPr="00F11D4F">
        <w:rPr>
          <w:rFonts w:asciiTheme="majorBidi" w:hAnsiTheme="majorBidi" w:cstheme="majorBidi"/>
        </w:rPr>
        <w:fldChar w:fldCharType="begin"/>
      </w:r>
      <w:r w:rsidRPr="00F11D4F">
        <w:rPr>
          <w:rFonts w:asciiTheme="majorBidi" w:hAnsiTheme="majorBidi" w:cstheme="majorBidi"/>
        </w:rPr>
        <w:instrText xml:space="preserve"> HYPERLINK "https://assets.publishing.service.gov.uk/government/uploads/system/uploads/attachment_data/file/1051269/achieving-best-evidence-criminal-proceedings.pdf" </w:instrText>
      </w:r>
      <w:r w:rsidRPr="00F11D4F">
        <w:rPr>
          <w:rFonts w:asciiTheme="majorBidi" w:hAnsiTheme="majorBidi" w:cstheme="majorBidi"/>
        </w:rPr>
        <w:fldChar w:fldCharType="separate"/>
      </w:r>
      <w:r w:rsidRPr="00F11D4F">
        <w:rPr>
          <w:rStyle w:val="Hyperlink"/>
          <w:rFonts w:asciiTheme="majorBidi" w:hAnsiTheme="majorBidi" w:cstheme="majorBidi"/>
          <w:bCs/>
        </w:rPr>
        <w:t>https://assets.publishing.service.gov.uk/government/uploads/system/uploads/attachment_data/file/1051269/achieving-best-evidence-criminal-proceedings.pdf</w:t>
      </w:r>
      <w:r w:rsidRPr="00F11D4F">
        <w:rPr>
          <w:rStyle w:val="Hyperlink"/>
          <w:rFonts w:asciiTheme="majorBidi" w:hAnsiTheme="majorBidi" w:cstheme="majorBidi"/>
          <w:bCs/>
        </w:rPr>
        <w:fldChar w:fldCharType="end"/>
      </w:r>
      <w:r w:rsidRPr="00F11D4F">
        <w:rPr>
          <w:rFonts w:asciiTheme="majorBidi" w:hAnsiTheme="majorBidi" w:cstheme="majorBidi"/>
          <w:bCs/>
        </w:rPr>
        <w:t xml:space="preserve"> (Accessed: 1</w:t>
      </w:r>
      <w:r w:rsidRPr="00F11D4F">
        <w:rPr>
          <w:rFonts w:asciiTheme="majorBidi" w:hAnsiTheme="majorBidi" w:cstheme="majorBidi"/>
          <w:bCs/>
          <w:vertAlign w:val="superscript"/>
        </w:rPr>
        <w:t>st</w:t>
      </w:r>
      <w:r w:rsidRPr="00F11D4F">
        <w:rPr>
          <w:rFonts w:asciiTheme="majorBidi" w:hAnsiTheme="majorBidi" w:cstheme="majorBidi"/>
          <w:bCs/>
        </w:rPr>
        <w:t xml:space="preserve"> April 2023).</w:t>
      </w:r>
    </w:p>
    <w:p w14:paraId="5A7A580C" w14:textId="77777777" w:rsidR="00F11D4F" w:rsidRPr="00F11D4F" w:rsidRDefault="00F11D4F" w:rsidP="00F11D4F">
      <w:pPr>
        <w:pStyle w:val="NormalWeb"/>
        <w:spacing w:line="360" w:lineRule="auto"/>
        <w:ind w:left="567" w:hanging="567"/>
        <w:rPr>
          <w:rFonts w:asciiTheme="majorBidi" w:hAnsiTheme="majorBidi" w:cstheme="majorBidi"/>
        </w:rPr>
      </w:pPr>
      <w:r w:rsidRPr="00F11D4F">
        <w:rPr>
          <w:rFonts w:asciiTheme="majorBidi" w:hAnsiTheme="majorBidi" w:cstheme="majorBidi"/>
        </w:rPr>
        <w:t xml:space="preserve">Mourtgos, S.M., Adams, I.T. and Mastracci, S.H. (2021) ‘Improving victim engagement and officer response in rape investigations: A longitudinal assessment of a brief training’, </w:t>
      </w:r>
      <w:r w:rsidRPr="00F11D4F">
        <w:rPr>
          <w:rFonts w:asciiTheme="majorBidi" w:hAnsiTheme="majorBidi" w:cstheme="majorBidi"/>
          <w:i/>
          <w:iCs/>
        </w:rPr>
        <w:t>Journal of Criminal Justice</w:t>
      </w:r>
      <w:r w:rsidRPr="00F11D4F">
        <w:rPr>
          <w:rFonts w:asciiTheme="majorBidi" w:hAnsiTheme="majorBidi" w:cstheme="majorBidi"/>
        </w:rPr>
        <w:t xml:space="preserve">, 74, p. 101818. doi:10.1016/j.jcrimjus.2021.101818. </w:t>
      </w:r>
    </w:p>
    <w:p w14:paraId="2290B188" w14:textId="77777777" w:rsidR="00F11D4F" w:rsidRPr="00F11D4F" w:rsidRDefault="00F11D4F" w:rsidP="00F11D4F">
      <w:pPr>
        <w:keepNext/>
        <w:spacing w:before="240" w:after="60" w:line="360" w:lineRule="auto"/>
        <w:ind w:right="107"/>
        <w:rPr>
          <w:rFonts w:asciiTheme="majorBidi" w:hAnsiTheme="majorBidi" w:cstheme="majorBidi"/>
          <w:bCs/>
        </w:rPr>
      </w:pPr>
    </w:p>
    <w:p w14:paraId="23F77AD6" w14:textId="77777777" w:rsidR="00F11D4F" w:rsidRPr="00F11D4F" w:rsidRDefault="00F11D4F" w:rsidP="00F11D4F">
      <w:pPr>
        <w:pStyle w:val="NormalWeb"/>
        <w:spacing w:line="360" w:lineRule="auto"/>
        <w:ind w:left="567" w:hanging="567"/>
        <w:rPr>
          <w:rFonts w:asciiTheme="majorBidi" w:hAnsiTheme="majorBidi" w:cstheme="majorBidi"/>
        </w:rPr>
      </w:pPr>
      <w:r w:rsidRPr="00F11D4F">
        <w:rPr>
          <w:rFonts w:asciiTheme="majorBidi" w:hAnsiTheme="majorBidi" w:cstheme="majorBidi"/>
        </w:rPr>
        <w:t xml:space="preserve">Murphy-Oikonen, J. </w:t>
      </w:r>
      <w:r w:rsidRPr="00F11D4F">
        <w:rPr>
          <w:rFonts w:asciiTheme="majorBidi" w:hAnsiTheme="majorBidi" w:cstheme="majorBidi"/>
          <w:i/>
          <w:iCs/>
        </w:rPr>
        <w:t>et al.</w:t>
      </w:r>
      <w:r w:rsidRPr="00F11D4F">
        <w:rPr>
          <w:rFonts w:asciiTheme="majorBidi" w:hAnsiTheme="majorBidi" w:cstheme="majorBidi"/>
        </w:rPr>
        <w:t xml:space="preserve"> (2020) ‘Unfounded sexual assault: Women’s experiences of not being believed by the police’, </w:t>
      </w:r>
      <w:r w:rsidRPr="00F11D4F">
        <w:rPr>
          <w:rFonts w:asciiTheme="majorBidi" w:hAnsiTheme="majorBidi" w:cstheme="majorBidi"/>
          <w:i/>
          <w:iCs/>
        </w:rPr>
        <w:t>Journal of Interpersonal Violence</w:t>
      </w:r>
      <w:r w:rsidRPr="00F11D4F">
        <w:rPr>
          <w:rFonts w:asciiTheme="majorBidi" w:hAnsiTheme="majorBidi" w:cstheme="majorBidi"/>
        </w:rPr>
        <w:t xml:space="preserve">, 37(11–12). doi:10.1177/0886260520978190. </w:t>
      </w:r>
    </w:p>
    <w:p w14:paraId="683021B5" w14:textId="77777777" w:rsidR="00F11D4F" w:rsidRPr="00F11D4F" w:rsidRDefault="00F11D4F" w:rsidP="00F11D4F">
      <w:pPr>
        <w:pStyle w:val="NormalWeb"/>
        <w:spacing w:line="360" w:lineRule="auto"/>
        <w:ind w:left="567" w:hanging="567"/>
        <w:rPr>
          <w:rFonts w:asciiTheme="majorBidi" w:hAnsiTheme="majorBidi" w:cstheme="majorBidi"/>
        </w:rPr>
      </w:pPr>
      <w:r w:rsidRPr="00F11D4F">
        <w:rPr>
          <w:rFonts w:asciiTheme="majorBidi" w:hAnsiTheme="majorBidi" w:cstheme="majorBidi"/>
        </w:rPr>
        <w:t xml:space="preserve">National Crime Agency (2023) </w:t>
      </w:r>
      <w:r w:rsidRPr="00F11D4F">
        <w:rPr>
          <w:rFonts w:asciiTheme="majorBidi" w:hAnsiTheme="majorBidi" w:cstheme="majorBidi"/>
          <w:i/>
          <w:iCs/>
        </w:rPr>
        <w:t>Serious crime analysis section</w:t>
      </w:r>
      <w:r w:rsidRPr="00F11D4F">
        <w:rPr>
          <w:rFonts w:asciiTheme="majorBidi" w:hAnsiTheme="majorBidi" w:cstheme="majorBidi"/>
        </w:rPr>
        <w:t xml:space="preserve">, </w:t>
      </w:r>
      <w:r w:rsidRPr="00F11D4F">
        <w:rPr>
          <w:rFonts w:asciiTheme="majorBidi" w:hAnsiTheme="majorBidi" w:cstheme="majorBidi"/>
          <w:i/>
          <w:iCs/>
        </w:rPr>
        <w:t>National Crime Agency</w:t>
      </w:r>
      <w:r w:rsidRPr="00F11D4F">
        <w:rPr>
          <w:rFonts w:asciiTheme="majorBidi" w:hAnsiTheme="majorBidi" w:cstheme="majorBidi"/>
        </w:rPr>
        <w:t xml:space="preserve">. Available at: https://www.nationalcrimeagency.gov.uk/what-we-do/how-we-work/providing-specialist-capabilities-for-law-enforcement/serious-crime-analysis (Accessed: 11 June 2023). </w:t>
      </w:r>
    </w:p>
    <w:p w14:paraId="1989FEEA" w14:textId="77777777" w:rsidR="00F11D4F" w:rsidRPr="00F11D4F" w:rsidRDefault="00F11D4F" w:rsidP="00F11D4F">
      <w:pPr>
        <w:keepNext/>
        <w:spacing w:before="240" w:after="60" w:line="360" w:lineRule="auto"/>
        <w:ind w:right="107"/>
        <w:rPr>
          <w:rFonts w:asciiTheme="majorBidi" w:hAnsiTheme="majorBidi" w:cstheme="majorBidi"/>
          <w:bCs/>
        </w:rPr>
      </w:pPr>
    </w:p>
    <w:p w14:paraId="5E050889" w14:textId="77777777" w:rsidR="00F11D4F" w:rsidRPr="00F11D4F" w:rsidRDefault="00F11D4F" w:rsidP="00F11D4F">
      <w:pPr>
        <w:pStyle w:val="NormalWeb"/>
        <w:spacing w:line="360" w:lineRule="auto"/>
        <w:ind w:left="567" w:hanging="567"/>
        <w:rPr>
          <w:rFonts w:asciiTheme="majorBidi" w:hAnsiTheme="majorBidi" w:cstheme="majorBidi"/>
        </w:rPr>
      </w:pPr>
      <w:r w:rsidRPr="00F11D4F">
        <w:rPr>
          <w:rFonts w:asciiTheme="majorBidi" w:hAnsiTheme="majorBidi" w:cstheme="majorBidi"/>
        </w:rPr>
        <w:t xml:space="preserve">Ullman, S.E. and Najdowski, C.J. (2011) ‘Vulnerability and protective factors for sexual assault.’, </w:t>
      </w:r>
      <w:r w:rsidRPr="00F11D4F">
        <w:rPr>
          <w:rFonts w:asciiTheme="majorBidi" w:hAnsiTheme="majorBidi" w:cstheme="majorBidi"/>
          <w:i/>
          <w:iCs/>
        </w:rPr>
        <w:t>Violence against women and children, Vol 1: Mapping the terrain.</w:t>
      </w:r>
      <w:r w:rsidRPr="00F11D4F">
        <w:rPr>
          <w:rFonts w:asciiTheme="majorBidi" w:hAnsiTheme="majorBidi" w:cstheme="majorBidi"/>
        </w:rPr>
        <w:t xml:space="preserve">, pp. 151–172. doi:10.1037/12307-007. </w:t>
      </w:r>
    </w:p>
    <w:p w14:paraId="02254C16" w14:textId="77777777" w:rsidR="00F11D4F" w:rsidRPr="00F11D4F" w:rsidRDefault="00F11D4F" w:rsidP="00F11D4F">
      <w:pPr>
        <w:keepNext/>
        <w:spacing w:before="240" w:after="60" w:line="360" w:lineRule="auto"/>
        <w:ind w:right="107"/>
        <w:rPr>
          <w:rFonts w:asciiTheme="majorBidi" w:hAnsiTheme="majorBidi" w:cstheme="majorBidi"/>
          <w:bCs/>
        </w:rPr>
      </w:pPr>
      <w:r w:rsidRPr="00F11D4F">
        <w:rPr>
          <w:rFonts w:asciiTheme="majorBidi" w:hAnsiTheme="majorBidi" w:cstheme="majorBidi"/>
          <w:bCs/>
        </w:rPr>
        <w:lastRenderedPageBreak/>
        <w:t xml:space="preserve">Office for National Statistics (2022) </w:t>
      </w:r>
      <w:r w:rsidRPr="00F11D4F">
        <w:rPr>
          <w:rFonts w:asciiTheme="majorBidi" w:hAnsiTheme="majorBidi" w:cstheme="majorBidi"/>
          <w:bCs/>
          <w:i/>
          <w:iCs/>
        </w:rPr>
        <w:t>Sexual offences victim characteristics, England and Wales: year ending March 2022.</w:t>
      </w:r>
      <w:r w:rsidRPr="00F11D4F">
        <w:rPr>
          <w:rFonts w:asciiTheme="majorBidi" w:hAnsiTheme="majorBidi" w:cstheme="majorBidi"/>
          <w:bCs/>
        </w:rPr>
        <w:t xml:space="preserve"> Available at: </w:t>
      </w:r>
      <w:hyperlink r:id="rId26" w:history="1">
        <w:r w:rsidRPr="00F11D4F">
          <w:rPr>
            <w:rStyle w:val="Hyperlink"/>
            <w:rFonts w:asciiTheme="majorBidi" w:hAnsiTheme="majorBidi" w:cstheme="majorBidi"/>
            <w:bCs/>
          </w:rPr>
          <w:t>https://www.ons.gov.uk/peoplepopulationandcommunity/crimeandjustice/articles/sexualoffencesvictimcharacteristicsenglandandwales/yearendingmarch2022</w:t>
        </w:r>
      </w:hyperlink>
      <w:r w:rsidRPr="00F11D4F">
        <w:rPr>
          <w:rFonts w:asciiTheme="majorBidi" w:hAnsiTheme="majorBidi" w:cstheme="majorBidi"/>
          <w:bCs/>
        </w:rPr>
        <w:t xml:space="preserve"> (Accessed: 1</w:t>
      </w:r>
      <w:r w:rsidRPr="00F11D4F">
        <w:rPr>
          <w:rFonts w:asciiTheme="majorBidi" w:hAnsiTheme="majorBidi" w:cstheme="majorBidi"/>
          <w:bCs/>
          <w:vertAlign w:val="superscript"/>
        </w:rPr>
        <w:t>st</w:t>
      </w:r>
      <w:r w:rsidRPr="00F11D4F">
        <w:rPr>
          <w:rFonts w:asciiTheme="majorBidi" w:hAnsiTheme="majorBidi" w:cstheme="majorBidi"/>
          <w:bCs/>
        </w:rPr>
        <w:t xml:space="preserve"> April 2023).</w:t>
      </w:r>
    </w:p>
    <w:p w14:paraId="6BE49313" w14:textId="77777777" w:rsidR="00F11D4F" w:rsidRPr="00F11D4F" w:rsidRDefault="00F11D4F" w:rsidP="00F11D4F">
      <w:pPr>
        <w:keepNext/>
        <w:spacing w:before="240" w:after="60" w:line="360" w:lineRule="auto"/>
        <w:ind w:right="107"/>
        <w:rPr>
          <w:rFonts w:asciiTheme="majorBidi" w:hAnsiTheme="majorBidi" w:cstheme="majorBidi"/>
        </w:rPr>
      </w:pPr>
      <w:r w:rsidRPr="00F11D4F">
        <w:rPr>
          <w:rFonts w:asciiTheme="majorBidi" w:hAnsiTheme="majorBidi" w:cstheme="majorBidi"/>
        </w:rPr>
        <w:t xml:space="preserve">Police.UK (2023) </w:t>
      </w:r>
      <w:r w:rsidRPr="00F11D4F">
        <w:rPr>
          <w:rFonts w:asciiTheme="majorBidi" w:hAnsiTheme="majorBidi" w:cstheme="majorBidi"/>
          <w:i/>
          <w:iCs/>
        </w:rPr>
        <w:t>Cardiff</w:t>
      </w:r>
      <w:r w:rsidRPr="00F11D4F">
        <w:rPr>
          <w:rFonts w:asciiTheme="majorBidi" w:hAnsiTheme="majorBidi" w:cstheme="majorBidi"/>
        </w:rPr>
        <w:t xml:space="preserve">. Available at: </w:t>
      </w:r>
      <w:hyperlink r:id="rId27" w:history="1">
        <w:r w:rsidRPr="00F11D4F">
          <w:rPr>
            <w:rStyle w:val="Hyperlink"/>
            <w:rFonts w:asciiTheme="majorBidi" w:hAnsiTheme="majorBidi" w:cstheme="majorBidi"/>
          </w:rPr>
          <w:t>https://www.police.uk/pu/your-area/south-wales-police/cardiff/</w:t>
        </w:r>
      </w:hyperlink>
      <w:r w:rsidRPr="00F11D4F">
        <w:rPr>
          <w:rFonts w:asciiTheme="majorBidi" w:hAnsiTheme="majorBidi" w:cstheme="majorBidi"/>
        </w:rPr>
        <w:t xml:space="preserve"> (Accessed: 11</w:t>
      </w:r>
      <w:r w:rsidRPr="00F11D4F">
        <w:rPr>
          <w:rFonts w:asciiTheme="majorBidi" w:hAnsiTheme="majorBidi" w:cstheme="majorBidi"/>
          <w:vertAlign w:val="superscript"/>
        </w:rPr>
        <w:t>th</w:t>
      </w:r>
      <w:r w:rsidRPr="00F11D4F">
        <w:rPr>
          <w:rFonts w:asciiTheme="majorBidi" w:hAnsiTheme="majorBidi" w:cstheme="majorBidi"/>
        </w:rPr>
        <w:t xml:space="preserve"> June 2023)</w:t>
      </w:r>
    </w:p>
    <w:p w14:paraId="3AEB2AC1" w14:textId="77777777" w:rsidR="00F11D4F" w:rsidRPr="00F11D4F" w:rsidRDefault="00F11D4F" w:rsidP="00F11D4F">
      <w:pPr>
        <w:keepNext/>
        <w:spacing w:before="240" w:after="60" w:line="360" w:lineRule="auto"/>
        <w:ind w:right="107"/>
        <w:rPr>
          <w:rFonts w:asciiTheme="majorBidi" w:hAnsiTheme="majorBidi" w:cstheme="majorBidi"/>
          <w:bCs/>
        </w:rPr>
      </w:pPr>
      <w:r w:rsidRPr="00F11D4F">
        <w:rPr>
          <w:rFonts w:asciiTheme="majorBidi" w:hAnsiTheme="majorBidi" w:cstheme="majorBidi"/>
          <w:bCs/>
          <w:i/>
          <w:iCs/>
        </w:rPr>
        <w:t>Police and Criminal Evidence Act 1984</w:t>
      </w:r>
      <w:r w:rsidRPr="00F11D4F">
        <w:rPr>
          <w:rFonts w:asciiTheme="majorBidi" w:hAnsiTheme="majorBidi" w:cstheme="majorBidi"/>
          <w:bCs/>
        </w:rPr>
        <w:t>. Available at: https://www.legislation.gov.uk/ukpga/1984/60/contents(Accessed: 3</w:t>
      </w:r>
      <w:r w:rsidRPr="00F11D4F">
        <w:rPr>
          <w:rFonts w:asciiTheme="majorBidi" w:hAnsiTheme="majorBidi" w:cstheme="majorBidi"/>
          <w:bCs/>
          <w:vertAlign w:val="superscript"/>
        </w:rPr>
        <w:t>rd</w:t>
      </w:r>
      <w:r w:rsidRPr="00F11D4F">
        <w:rPr>
          <w:rFonts w:asciiTheme="majorBidi" w:hAnsiTheme="majorBidi" w:cstheme="majorBidi"/>
          <w:bCs/>
        </w:rPr>
        <w:t xml:space="preserve"> April 2022)</w:t>
      </w:r>
    </w:p>
    <w:p w14:paraId="6AD3F96A" w14:textId="77777777" w:rsidR="00F11D4F" w:rsidRPr="00F11D4F" w:rsidRDefault="00F11D4F" w:rsidP="00F11D4F">
      <w:pPr>
        <w:spacing w:line="360" w:lineRule="auto"/>
        <w:rPr>
          <w:rFonts w:asciiTheme="majorBidi" w:hAnsiTheme="majorBidi" w:cstheme="majorBidi"/>
          <w:color w:val="494949"/>
          <w:shd w:val="clear" w:color="auto" w:fill="FFFFFF"/>
        </w:rPr>
      </w:pPr>
    </w:p>
    <w:p w14:paraId="61144666" w14:textId="77777777" w:rsidR="00F11D4F" w:rsidRPr="00F11D4F" w:rsidRDefault="00F11D4F" w:rsidP="00F11D4F">
      <w:pPr>
        <w:spacing w:line="360" w:lineRule="auto"/>
        <w:rPr>
          <w:rFonts w:asciiTheme="majorBidi" w:hAnsiTheme="majorBidi" w:cstheme="majorBidi"/>
          <w:color w:val="494949"/>
          <w:shd w:val="clear" w:color="auto" w:fill="FFFFFF"/>
        </w:rPr>
      </w:pPr>
      <w:r w:rsidRPr="00F11D4F">
        <w:rPr>
          <w:rFonts w:asciiTheme="majorBidi" w:hAnsiTheme="majorBidi" w:cstheme="majorBidi"/>
          <w:color w:val="494949"/>
          <w:shd w:val="clear" w:color="auto" w:fill="FFFFFF"/>
        </w:rPr>
        <w:t>Price TG, O'Neill RM. EMS Crime Scene Responsibility. In: StatPearls. StatPearls Publishing, Treasure Island (FL); 2022. PMID: 29763175</w:t>
      </w:r>
    </w:p>
    <w:p w14:paraId="61DDB0A9" w14:textId="77777777" w:rsidR="00F11D4F" w:rsidRPr="00F11D4F" w:rsidRDefault="00F11D4F" w:rsidP="00F11D4F">
      <w:pPr>
        <w:spacing w:line="360" w:lineRule="auto"/>
        <w:rPr>
          <w:rFonts w:asciiTheme="majorBidi" w:hAnsiTheme="majorBidi" w:cstheme="majorBidi"/>
          <w:color w:val="494949"/>
          <w:shd w:val="clear" w:color="auto" w:fill="FFFFFF"/>
        </w:rPr>
      </w:pPr>
    </w:p>
    <w:p w14:paraId="10CF3C08" w14:textId="77777777" w:rsidR="00F11D4F" w:rsidRPr="00F11D4F" w:rsidRDefault="00F11D4F" w:rsidP="00F11D4F">
      <w:pPr>
        <w:pStyle w:val="NormalWeb"/>
        <w:spacing w:line="360" w:lineRule="auto"/>
        <w:ind w:left="567" w:hanging="567"/>
        <w:rPr>
          <w:rFonts w:asciiTheme="majorBidi" w:hAnsiTheme="majorBidi" w:cstheme="majorBidi"/>
        </w:rPr>
      </w:pPr>
      <w:r w:rsidRPr="00F11D4F">
        <w:rPr>
          <w:rFonts w:asciiTheme="majorBidi" w:hAnsiTheme="majorBidi" w:cstheme="majorBidi"/>
          <w:i/>
          <w:iCs/>
        </w:rPr>
        <w:t>Rape Crisis England &amp; Wales (2023) Reporting to the police</w:t>
      </w:r>
      <w:r w:rsidRPr="00F11D4F">
        <w:rPr>
          <w:rFonts w:asciiTheme="majorBidi" w:hAnsiTheme="majorBidi" w:cstheme="majorBidi"/>
        </w:rPr>
        <w:t xml:space="preserve">.Available at: https://rapecrisis.org.uk/get-help/reporting-to-the-police/ (Accessed: 12 June 2023). </w:t>
      </w:r>
    </w:p>
    <w:p w14:paraId="793EC350" w14:textId="77777777" w:rsidR="00F11D4F" w:rsidRPr="00F11D4F" w:rsidRDefault="00F11D4F" w:rsidP="00F11D4F">
      <w:pPr>
        <w:keepNext/>
        <w:spacing w:before="240" w:after="60" w:line="360" w:lineRule="auto"/>
        <w:ind w:right="107"/>
        <w:rPr>
          <w:rFonts w:asciiTheme="majorBidi" w:hAnsiTheme="majorBidi" w:cstheme="majorBidi"/>
          <w:bCs/>
        </w:rPr>
      </w:pPr>
      <w:r w:rsidRPr="00F11D4F">
        <w:rPr>
          <w:rFonts w:asciiTheme="majorBidi" w:hAnsiTheme="majorBidi" w:cstheme="majorBidi"/>
          <w:bCs/>
        </w:rPr>
        <w:t>Roehl, J., &amp; Guertin, K. (2000), Intimate partner violence: The current use of risk assessments in sentencing offenders. The Justice System Journal, 21, pp. 171-198.</w:t>
      </w:r>
    </w:p>
    <w:p w14:paraId="77D7CE0B" w14:textId="77777777" w:rsidR="00F11D4F" w:rsidRPr="00F11D4F" w:rsidRDefault="00F11D4F" w:rsidP="00F11D4F">
      <w:pPr>
        <w:keepNext/>
        <w:spacing w:before="240" w:after="60" w:line="360" w:lineRule="auto"/>
        <w:ind w:right="107"/>
        <w:rPr>
          <w:rFonts w:asciiTheme="majorBidi" w:hAnsiTheme="majorBidi" w:cstheme="majorBidi"/>
          <w:bCs/>
        </w:rPr>
      </w:pPr>
      <w:r w:rsidRPr="00F11D4F">
        <w:rPr>
          <w:rFonts w:asciiTheme="majorBidi" w:hAnsiTheme="majorBidi" w:cstheme="majorBidi"/>
          <w:bCs/>
          <w:i/>
          <w:iCs/>
        </w:rPr>
        <w:t>Sexual Offence Act 2003, S.1</w:t>
      </w:r>
      <w:r w:rsidRPr="00F11D4F">
        <w:rPr>
          <w:rFonts w:asciiTheme="majorBidi" w:hAnsiTheme="majorBidi" w:cstheme="majorBidi"/>
          <w:bCs/>
        </w:rPr>
        <w:t xml:space="preserve">. Available at: </w:t>
      </w:r>
      <w:hyperlink r:id="rId28" w:history="1">
        <w:r w:rsidRPr="00F11D4F">
          <w:rPr>
            <w:rStyle w:val="Hyperlink"/>
            <w:rFonts w:asciiTheme="majorBidi" w:hAnsiTheme="majorBidi" w:cstheme="majorBidi"/>
            <w:bCs/>
          </w:rPr>
          <w:t>https://www.legislation.gov.uk/ukpga/1996/25/contents</w:t>
        </w:r>
      </w:hyperlink>
      <w:r w:rsidRPr="00F11D4F">
        <w:rPr>
          <w:rFonts w:asciiTheme="majorBidi" w:hAnsiTheme="majorBidi" w:cstheme="majorBidi"/>
          <w:bCs/>
        </w:rPr>
        <w:t xml:space="preserve"> (Accessed: 25th November 2022).</w:t>
      </w:r>
    </w:p>
    <w:p w14:paraId="2D08711C" w14:textId="77777777" w:rsidR="00F11D4F" w:rsidRPr="00F11D4F" w:rsidRDefault="00F11D4F" w:rsidP="00F11D4F">
      <w:pPr>
        <w:pStyle w:val="NormalWeb"/>
        <w:spacing w:line="360" w:lineRule="auto"/>
        <w:ind w:left="567" w:hanging="567"/>
        <w:rPr>
          <w:rFonts w:asciiTheme="majorBidi" w:hAnsiTheme="majorBidi" w:cstheme="majorBidi"/>
        </w:rPr>
      </w:pPr>
      <w:r w:rsidRPr="00F11D4F">
        <w:rPr>
          <w:rFonts w:asciiTheme="majorBidi" w:hAnsiTheme="majorBidi" w:cstheme="majorBidi"/>
        </w:rPr>
        <w:t xml:space="preserve">Sherman, L.W. (2013) ‘The rise of evidence-based policing: Targeting, testing, and tracking’, </w:t>
      </w:r>
      <w:r w:rsidRPr="00F11D4F">
        <w:rPr>
          <w:rFonts w:asciiTheme="majorBidi" w:hAnsiTheme="majorBidi" w:cstheme="majorBidi"/>
          <w:i/>
          <w:iCs/>
        </w:rPr>
        <w:t>Crime and Justice</w:t>
      </w:r>
      <w:r w:rsidRPr="00F11D4F">
        <w:rPr>
          <w:rFonts w:asciiTheme="majorBidi" w:hAnsiTheme="majorBidi" w:cstheme="majorBidi"/>
        </w:rPr>
        <w:t xml:space="preserve">, 42(1), pp. 377–451. doi:10.1086/670819. </w:t>
      </w:r>
    </w:p>
    <w:p w14:paraId="37E8156A" w14:textId="77777777" w:rsidR="00F11D4F" w:rsidRPr="00F11D4F" w:rsidRDefault="00F11D4F" w:rsidP="00F11D4F">
      <w:pPr>
        <w:keepNext/>
        <w:spacing w:before="240" w:after="60" w:line="360" w:lineRule="auto"/>
        <w:ind w:right="107"/>
        <w:rPr>
          <w:rFonts w:asciiTheme="majorBidi" w:hAnsiTheme="majorBidi" w:cstheme="majorBidi"/>
          <w:bCs/>
        </w:rPr>
      </w:pPr>
      <w:r w:rsidRPr="00F11D4F">
        <w:rPr>
          <w:rFonts w:asciiTheme="majorBidi" w:hAnsiTheme="majorBidi" w:cstheme="majorBidi"/>
          <w:bCs/>
        </w:rPr>
        <w:t xml:space="preserve">The Crown Prosecution Service (2022) </w:t>
      </w:r>
      <w:r w:rsidRPr="00F11D4F">
        <w:rPr>
          <w:rFonts w:asciiTheme="majorBidi" w:hAnsiTheme="majorBidi" w:cstheme="majorBidi"/>
          <w:bCs/>
          <w:i/>
          <w:iCs/>
        </w:rPr>
        <w:t>Special Measures</w:t>
      </w:r>
      <w:r w:rsidRPr="00F11D4F">
        <w:rPr>
          <w:rFonts w:asciiTheme="majorBidi" w:hAnsiTheme="majorBidi" w:cstheme="majorBidi"/>
          <w:bCs/>
        </w:rPr>
        <w:t xml:space="preserve">. Available at: </w:t>
      </w:r>
      <w:hyperlink r:id="rId29" w:history="1">
        <w:r w:rsidRPr="00F11D4F">
          <w:rPr>
            <w:rStyle w:val="Hyperlink"/>
            <w:rFonts w:asciiTheme="majorBidi" w:hAnsiTheme="majorBidi" w:cstheme="majorBidi"/>
            <w:bCs/>
          </w:rPr>
          <w:t>https://www.cps.gov.uk/legal-guidance/special-measures</w:t>
        </w:r>
      </w:hyperlink>
      <w:r w:rsidRPr="00F11D4F">
        <w:rPr>
          <w:rFonts w:asciiTheme="majorBidi" w:hAnsiTheme="majorBidi" w:cstheme="majorBidi"/>
          <w:bCs/>
        </w:rPr>
        <w:t xml:space="preserve"> (Accessed: 25th November 2022).</w:t>
      </w:r>
    </w:p>
    <w:p w14:paraId="5D8A5FF8" w14:textId="77777777" w:rsidR="00F11D4F" w:rsidRPr="00F11D4F" w:rsidRDefault="00F11D4F" w:rsidP="00F11D4F">
      <w:pPr>
        <w:pStyle w:val="NormalWeb"/>
        <w:spacing w:line="360" w:lineRule="auto"/>
        <w:ind w:left="567" w:hanging="567"/>
        <w:rPr>
          <w:rFonts w:asciiTheme="majorBidi" w:hAnsiTheme="majorBidi" w:cstheme="majorBidi"/>
        </w:rPr>
      </w:pPr>
      <w:r w:rsidRPr="00F11D4F">
        <w:rPr>
          <w:rFonts w:asciiTheme="majorBidi" w:hAnsiTheme="majorBidi" w:cstheme="majorBidi"/>
        </w:rPr>
        <w:t xml:space="preserve">Taylor, S.C. and Gassner, L. (2010) ‘Stemming the flow: Challenges for policing adult sexual assault with regard to attrition rates and under‐reporting of sexual offences’, </w:t>
      </w:r>
      <w:r w:rsidRPr="00F11D4F">
        <w:rPr>
          <w:rFonts w:asciiTheme="majorBidi" w:hAnsiTheme="majorBidi" w:cstheme="majorBidi"/>
          <w:i/>
          <w:iCs/>
        </w:rPr>
        <w:t>Police Practice and Research</w:t>
      </w:r>
      <w:r w:rsidRPr="00F11D4F">
        <w:rPr>
          <w:rFonts w:asciiTheme="majorBidi" w:hAnsiTheme="majorBidi" w:cstheme="majorBidi"/>
        </w:rPr>
        <w:t xml:space="preserve">, 11(3), pp. 240–255. doi:10.1080/15614260902830153. </w:t>
      </w:r>
    </w:p>
    <w:p w14:paraId="20908C7B" w14:textId="77777777" w:rsidR="00F11D4F" w:rsidRPr="00F11D4F" w:rsidRDefault="00F11D4F" w:rsidP="00F11D4F">
      <w:pPr>
        <w:keepNext/>
        <w:spacing w:before="240" w:after="60" w:line="360" w:lineRule="auto"/>
        <w:ind w:right="107"/>
        <w:rPr>
          <w:rFonts w:asciiTheme="majorBidi" w:hAnsiTheme="majorBidi" w:cstheme="majorBidi"/>
          <w:bCs/>
        </w:rPr>
      </w:pPr>
      <w:r w:rsidRPr="00F11D4F">
        <w:rPr>
          <w:rFonts w:asciiTheme="majorBidi" w:hAnsiTheme="majorBidi" w:cstheme="majorBidi"/>
          <w:bCs/>
        </w:rPr>
        <w:t xml:space="preserve">The Faculty of Forensic &amp; Legal Medicine (2015). </w:t>
      </w:r>
      <w:r w:rsidRPr="00F11D4F">
        <w:rPr>
          <w:rFonts w:asciiTheme="majorBidi" w:hAnsiTheme="majorBidi" w:cstheme="majorBidi"/>
          <w:bCs/>
          <w:i/>
          <w:iCs/>
        </w:rPr>
        <w:t>Recommendations for the collection of forensic specimens from complainants and suspects.</w:t>
      </w:r>
      <w:r w:rsidRPr="00F11D4F">
        <w:rPr>
          <w:rFonts w:asciiTheme="majorBidi" w:hAnsiTheme="majorBidi" w:cstheme="majorBidi"/>
          <w:bCs/>
        </w:rPr>
        <w:t xml:space="preserve"> Available at: </w:t>
      </w:r>
      <w:hyperlink r:id="rId30" w:history="1">
        <w:r w:rsidRPr="00F11D4F">
          <w:rPr>
            <w:rStyle w:val="Hyperlink"/>
            <w:rFonts w:asciiTheme="majorBidi" w:hAnsiTheme="majorBidi" w:cstheme="majorBidi"/>
            <w:bCs/>
          </w:rPr>
          <w:t>https://fflm.ac.uk/wp-</w:t>
        </w:r>
        <w:r w:rsidRPr="00F11D4F">
          <w:rPr>
            <w:rStyle w:val="Hyperlink"/>
            <w:rFonts w:asciiTheme="majorBidi" w:hAnsiTheme="majorBidi" w:cstheme="majorBidi"/>
            <w:bCs/>
          </w:rPr>
          <w:lastRenderedPageBreak/>
          <w:t>content/uploads/2015/10/Recommendations-for-the-collection-of-forensic-specimens-from.pdf</w:t>
        </w:r>
      </w:hyperlink>
      <w:r w:rsidRPr="00F11D4F">
        <w:rPr>
          <w:rFonts w:asciiTheme="majorBidi" w:hAnsiTheme="majorBidi" w:cstheme="majorBidi"/>
          <w:bCs/>
        </w:rPr>
        <w:t xml:space="preserve"> (Accessed: 1</w:t>
      </w:r>
      <w:r w:rsidRPr="00F11D4F">
        <w:rPr>
          <w:rFonts w:asciiTheme="majorBidi" w:hAnsiTheme="majorBidi" w:cstheme="majorBidi"/>
          <w:bCs/>
          <w:vertAlign w:val="superscript"/>
        </w:rPr>
        <w:t>st</w:t>
      </w:r>
      <w:r w:rsidRPr="00F11D4F">
        <w:rPr>
          <w:rFonts w:asciiTheme="majorBidi" w:hAnsiTheme="majorBidi" w:cstheme="majorBidi"/>
          <w:bCs/>
        </w:rPr>
        <w:t xml:space="preserve"> April 2023).</w:t>
      </w:r>
    </w:p>
    <w:p w14:paraId="646A06ED" w14:textId="77777777" w:rsidR="00F11D4F" w:rsidRPr="00F11D4F" w:rsidRDefault="00F11D4F" w:rsidP="00F11D4F">
      <w:pPr>
        <w:pStyle w:val="NormalWeb"/>
        <w:spacing w:line="360" w:lineRule="auto"/>
        <w:rPr>
          <w:rFonts w:asciiTheme="majorBidi" w:hAnsiTheme="majorBidi" w:cstheme="majorBidi"/>
        </w:rPr>
      </w:pPr>
    </w:p>
    <w:p w14:paraId="52988D6F" w14:textId="77777777" w:rsidR="00F11D4F" w:rsidRPr="00F11D4F" w:rsidRDefault="00F11D4F" w:rsidP="00F11D4F">
      <w:pPr>
        <w:pStyle w:val="NormalWeb"/>
        <w:spacing w:line="360" w:lineRule="auto"/>
        <w:ind w:left="567" w:hanging="567"/>
        <w:rPr>
          <w:rFonts w:asciiTheme="majorBidi" w:hAnsiTheme="majorBidi" w:cstheme="majorBidi"/>
        </w:rPr>
      </w:pPr>
      <w:r w:rsidRPr="00F11D4F">
        <w:rPr>
          <w:rFonts w:asciiTheme="majorBidi" w:hAnsiTheme="majorBidi" w:cstheme="majorBidi"/>
        </w:rPr>
        <w:t xml:space="preserve">UK. Parliament (2018) </w:t>
      </w:r>
      <w:r w:rsidRPr="00F11D4F">
        <w:rPr>
          <w:rFonts w:asciiTheme="majorBidi" w:hAnsiTheme="majorBidi" w:cstheme="majorBidi"/>
          <w:i/>
          <w:iCs/>
        </w:rPr>
        <w:t>FRS0073 – Evidence on Forensic Science.</w:t>
      </w:r>
      <w:r w:rsidRPr="00F11D4F">
        <w:rPr>
          <w:rFonts w:asciiTheme="majorBidi" w:hAnsiTheme="majorBidi" w:cstheme="majorBidi"/>
        </w:rPr>
        <w:t xml:space="preserve"> Available at: </w:t>
      </w:r>
      <w:hyperlink r:id="rId31" w:history="1">
        <w:r w:rsidRPr="00F11D4F">
          <w:rPr>
            <w:rStyle w:val="Hyperlink"/>
            <w:rFonts w:asciiTheme="majorBidi" w:hAnsiTheme="majorBidi" w:cstheme="majorBidi"/>
          </w:rPr>
          <w:t>https://committees.parliament.uk/writtenevidence/94890/pdf/</w:t>
        </w:r>
      </w:hyperlink>
      <w:r w:rsidRPr="00F11D4F">
        <w:rPr>
          <w:rFonts w:asciiTheme="majorBidi" w:hAnsiTheme="majorBidi" w:cstheme="majorBidi"/>
        </w:rPr>
        <w:t xml:space="preserve"> (Accessed: 11</w:t>
      </w:r>
      <w:r w:rsidRPr="00F11D4F">
        <w:rPr>
          <w:rFonts w:asciiTheme="majorBidi" w:hAnsiTheme="majorBidi" w:cstheme="majorBidi"/>
          <w:vertAlign w:val="superscript"/>
        </w:rPr>
        <w:t>th</w:t>
      </w:r>
      <w:r w:rsidRPr="00F11D4F">
        <w:rPr>
          <w:rFonts w:asciiTheme="majorBidi" w:hAnsiTheme="majorBidi" w:cstheme="majorBidi"/>
        </w:rPr>
        <w:t xml:space="preserve"> June 2023)</w:t>
      </w:r>
    </w:p>
    <w:p w14:paraId="4176C546" w14:textId="77777777" w:rsidR="00F11D4F" w:rsidRPr="00F11D4F" w:rsidRDefault="00F11D4F" w:rsidP="00F11D4F">
      <w:pPr>
        <w:pStyle w:val="NormalWeb"/>
        <w:spacing w:line="360" w:lineRule="auto"/>
        <w:ind w:left="567" w:hanging="567"/>
        <w:rPr>
          <w:rFonts w:asciiTheme="majorBidi" w:hAnsiTheme="majorBidi" w:cstheme="majorBidi"/>
        </w:rPr>
      </w:pPr>
      <w:r w:rsidRPr="00F11D4F">
        <w:rPr>
          <w:rFonts w:asciiTheme="majorBidi" w:hAnsiTheme="majorBidi" w:cstheme="majorBidi"/>
        </w:rPr>
        <w:t xml:space="preserve">van Staden, L. and Lawrence , J. (2010) </w:t>
      </w:r>
      <w:r w:rsidRPr="00F11D4F">
        <w:rPr>
          <w:rFonts w:asciiTheme="majorBidi" w:hAnsiTheme="majorBidi" w:cstheme="majorBidi"/>
          <w:i/>
          <w:iCs/>
        </w:rPr>
        <w:t>Research Report 40. A qualitative study of a dedicated sexual assault investigation unit</w:t>
      </w:r>
      <w:r w:rsidRPr="00F11D4F">
        <w:rPr>
          <w:rFonts w:asciiTheme="majorBidi" w:hAnsiTheme="majorBidi" w:cstheme="majorBidi"/>
        </w:rPr>
        <w:t xml:space="preserve">. Home Office. Available at: https://www.bl.uk/britishlibrary/~/media/bl/global/social-welfare/pdfs/non-secure/q/u/a/qualitative-study-of-a-dedicated-sexual-assault-investigation-unit-summary.pdf (Accessed: 12 June 2023). </w:t>
      </w:r>
    </w:p>
    <w:p w14:paraId="047AE221" w14:textId="77777777" w:rsidR="00F11D4F" w:rsidRPr="00F11D4F" w:rsidRDefault="00F11D4F" w:rsidP="00F11D4F">
      <w:pPr>
        <w:pStyle w:val="NormalWeb"/>
        <w:spacing w:line="360" w:lineRule="auto"/>
        <w:ind w:left="567" w:hanging="567"/>
        <w:rPr>
          <w:rFonts w:asciiTheme="majorBidi" w:hAnsiTheme="majorBidi" w:cstheme="majorBidi"/>
          <w:color w:val="000000"/>
        </w:rPr>
      </w:pPr>
      <w:r w:rsidRPr="00F11D4F">
        <w:rPr>
          <w:rFonts w:asciiTheme="majorBidi" w:hAnsiTheme="majorBidi" w:cstheme="majorBidi"/>
          <w:i/>
          <w:iCs/>
          <w:color w:val="000000"/>
        </w:rPr>
        <w:t>Victim Suppor t</w:t>
      </w:r>
      <w:r w:rsidRPr="00F11D4F">
        <w:rPr>
          <w:rFonts w:asciiTheme="majorBidi" w:hAnsiTheme="majorBidi" w:cstheme="majorBidi"/>
          <w:color w:val="000000"/>
        </w:rPr>
        <w:t>(2022)</w:t>
      </w:r>
      <w:r w:rsidRPr="00F11D4F">
        <w:rPr>
          <w:rStyle w:val="apple-converted-space"/>
          <w:rFonts w:asciiTheme="majorBidi" w:hAnsiTheme="majorBidi" w:cstheme="majorBidi"/>
          <w:color w:val="000000"/>
        </w:rPr>
        <w:t> </w:t>
      </w:r>
      <w:r w:rsidRPr="00F11D4F">
        <w:rPr>
          <w:rFonts w:asciiTheme="majorBidi" w:hAnsiTheme="majorBidi" w:cstheme="majorBidi"/>
          <w:i/>
          <w:iCs/>
          <w:color w:val="000000"/>
        </w:rPr>
        <w:t>Rape and sexual assault</w:t>
      </w:r>
      <w:r w:rsidRPr="00F11D4F">
        <w:rPr>
          <w:rFonts w:asciiTheme="majorBidi" w:hAnsiTheme="majorBidi" w:cstheme="majorBidi"/>
          <w:color w:val="000000"/>
        </w:rPr>
        <w:t>. Available at: https://www.victimsupport.org.uk/crime-info/types-crime/rape-and-sexual-assault/ (Accessed: 12 June 2023).</w:t>
      </w:r>
      <w:r w:rsidRPr="00F11D4F">
        <w:rPr>
          <w:rStyle w:val="apple-converted-space"/>
          <w:rFonts w:asciiTheme="majorBidi" w:hAnsiTheme="majorBidi" w:cstheme="majorBidi"/>
          <w:color w:val="000000"/>
        </w:rPr>
        <w:t> </w:t>
      </w:r>
    </w:p>
    <w:p w14:paraId="7941BB57" w14:textId="77777777" w:rsidR="00F11D4F" w:rsidRPr="00F11D4F" w:rsidRDefault="00F11D4F" w:rsidP="00F11D4F">
      <w:pPr>
        <w:pStyle w:val="NormalWeb"/>
        <w:spacing w:line="360" w:lineRule="auto"/>
        <w:ind w:left="567" w:hanging="567"/>
        <w:rPr>
          <w:rFonts w:asciiTheme="majorBidi" w:hAnsiTheme="majorBidi" w:cstheme="majorBidi"/>
        </w:rPr>
      </w:pPr>
      <w:r w:rsidRPr="00F11D4F">
        <w:rPr>
          <w:rFonts w:asciiTheme="majorBidi" w:hAnsiTheme="majorBidi" w:cstheme="majorBidi"/>
        </w:rPr>
        <w:t xml:space="preserve">Walker, H. and Tough, A. (2015) ‘Facial comparison from CCTV footage: The competence and confidence of the Jury’, </w:t>
      </w:r>
      <w:r w:rsidRPr="00F11D4F">
        <w:rPr>
          <w:rFonts w:asciiTheme="majorBidi" w:hAnsiTheme="majorBidi" w:cstheme="majorBidi"/>
          <w:i/>
          <w:iCs/>
        </w:rPr>
        <w:t>Science &amp;amp; Justice</w:t>
      </w:r>
      <w:r w:rsidRPr="00F11D4F">
        <w:rPr>
          <w:rFonts w:asciiTheme="majorBidi" w:hAnsiTheme="majorBidi" w:cstheme="majorBidi"/>
        </w:rPr>
        <w:t xml:space="preserve">, 55(6), pp. 487–498. doi:10.1016/j.scijus.2015.04.010. </w:t>
      </w:r>
    </w:p>
    <w:p w14:paraId="69BCF103" w14:textId="77777777" w:rsidR="00F11D4F" w:rsidRPr="00F11D4F" w:rsidRDefault="00F11D4F" w:rsidP="00F11D4F">
      <w:pPr>
        <w:pStyle w:val="NormalWeb"/>
        <w:spacing w:line="360" w:lineRule="auto"/>
        <w:ind w:left="567" w:hanging="567"/>
        <w:rPr>
          <w:rFonts w:asciiTheme="majorBidi" w:hAnsiTheme="majorBidi" w:cstheme="majorBidi"/>
        </w:rPr>
      </w:pPr>
      <w:r w:rsidRPr="00F11D4F">
        <w:rPr>
          <w:rFonts w:asciiTheme="majorBidi" w:hAnsiTheme="majorBidi" w:cstheme="majorBidi"/>
        </w:rPr>
        <w:t xml:space="preserve">Westera, N.J., Powell, M.B. and Milne, B. (2015) ‘Lost in the detail: Prosecutors’ perceptions of the utility of video recorded police interviews as rape complainant evidence’, </w:t>
      </w:r>
      <w:r w:rsidRPr="00F11D4F">
        <w:rPr>
          <w:rFonts w:asciiTheme="majorBidi" w:hAnsiTheme="majorBidi" w:cstheme="majorBidi"/>
          <w:i/>
          <w:iCs/>
        </w:rPr>
        <w:t>Australian &amp;amp; New Zealand Journal of Criminology</w:t>
      </w:r>
      <w:r w:rsidRPr="00F11D4F">
        <w:rPr>
          <w:rFonts w:asciiTheme="majorBidi" w:hAnsiTheme="majorBidi" w:cstheme="majorBidi"/>
        </w:rPr>
        <w:t xml:space="preserve">, 50(2), pp. 252–268. doi:10.1177/0004865815620705. </w:t>
      </w:r>
    </w:p>
    <w:p w14:paraId="1076FC66" w14:textId="77777777" w:rsidR="00F11D4F" w:rsidRPr="00F11D4F" w:rsidRDefault="00F11D4F" w:rsidP="00F11D4F">
      <w:pPr>
        <w:keepNext/>
        <w:spacing w:before="240" w:after="60" w:line="360" w:lineRule="auto"/>
        <w:ind w:right="107"/>
        <w:rPr>
          <w:rFonts w:asciiTheme="majorBidi" w:hAnsiTheme="majorBidi" w:cstheme="majorBidi"/>
          <w:bCs/>
        </w:rPr>
      </w:pPr>
      <w:r w:rsidRPr="00F11D4F">
        <w:rPr>
          <w:rFonts w:asciiTheme="majorBidi" w:hAnsiTheme="majorBidi" w:cstheme="majorBidi"/>
          <w:i/>
          <w:iCs/>
          <w:color w:val="000000"/>
          <w:shd w:val="clear" w:color="auto" w:fill="FFFFFF"/>
        </w:rPr>
        <w:t>Youth Justice and Criminal Evidence Act of 1999</w:t>
      </w:r>
      <w:r w:rsidRPr="00F11D4F">
        <w:rPr>
          <w:rFonts w:asciiTheme="majorBidi" w:hAnsiTheme="majorBidi" w:cstheme="majorBidi"/>
          <w:i/>
          <w:iCs/>
          <w:shd w:val="clear" w:color="auto" w:fill="FFFFFF"/>
        </w:rPr>
        <w:t>, S.17.</w:t>
      </w:r>
      <w:r w:rsidRPr="00F11D4F">
        <w:rPr>
          <w:rFonts w:asciiTheme="majorBidi" w:hAnsiTheme="majorBidi" w:cstheme="majorBidi"/>
          <w:shd w:val="clear" w:color="auto" w:fill="FFFFFF"/>
        </w:rPr>
        <w:t xml:space="preserve"> Available at: </w:t>
      </w:r>
      <w:hyperlink r:id="rId32" w:history="1">
        <w:r w:rsidRPr="00F11D4F">
          <w:rPr>
            <w:rStyle w:val="Hyperlink"/>
            <w:rFonts w:asciiTheme="majorBidi" w:hAnsiTheme="majorBidi" w:cstheme="majorBidi"/>
            <w:shd w:val="clear" w:color="auto" w:fill="FFFFFF"/>
          </w:rPr>
          <w:t>https://www.legislation.gov.uk/ukpga/1999/23/section/17</w:t>
        </w:r>
      </w:hyperlink>
      <w:r w:rsidRPr="00F11D4F">
        <w:rPr>
          <w:rFonts w:asciiTheme="majorBidi" w:hAnsiTheme="majorBidi" w:cstheme="majorBidi"/>
          <w:shd w:val="clear" w:color="auto" w:fill="FFFFFF"/>
        </w:rPr>
        <w:t xml:space="preserve"> </w:t>
      </w:r>
      <w:r w:rsidRPr="00F11D4F">
        <w:rPr>
          <w:rFonts w:asciiTheme="majorBidi" w:hAnsiTheme="majorBidi" w:cstheme="majorBidi"/>
          <w:bCs/>
        </w:rPr>
        <w:t>(Accessed: 1</w:t>
      </w:r>
      <w:r w:rsidRPr="00F11D4F">
        <w:rPr>
          <w:rFonts w:asciiTheme="majorBidi" w:hAnsiTheme="majorBidi" w:cstheme="majorBidi"/>
          <w:bCs/>
          <w:vertAlign w:val="superscript"/>
        </w:rPr>
        <w:t>st</w:t>
      </w:r>
      <w:r w:rsidRPr="00F11D4F">
        <w:rPr>
          <w:rFonts w:asciiTheme="majorBidi" w:hAnsiTheme="majorBidi" w:cstheme="majorBidi"/>
          <w:bCs/>
        </w:rPr>
        <w:t xml:space="preserve"> April 2023).</w:t>
      </w:r>
    </w:p>
    <w:p w14:paraId="3FBD95A5" w14:textId="77777777" w:rsidR="00F11D4F" w:rsidRPr="00F11D4F" w:rsidRDefault="00F11D4F" w:rsidP="00F11D4F">
      <w:pPr>
        <w:pStyle w:val="NormalWeb"/>
        <w:spacing w:line="360" w:lineRule="auto"/>
        <w:ind w:left="567" w:hanging="567"/>
        <w:rPr>
          <w:rFonts w:asciiTheme="majorBidi" w:hAnsiTheme="majorBidi" w:cstheme="majorBidi"/>
        </w:rPr>
      </w:pPr>
      <w:r w:rsidRPr="00F11D4F">
        <w:rPr>
          <w:rFonts w:asciiTheme="majorBidi" w:hAnsiTheme="majorBidi" w:cstheme="majorBidi"/>
        </w:rPr>
        <w:t xml:space="preserve">Youstin, T.J. and Siddique, J.A. (2018) ‘Psychological distress, formal help-seeking behavior, and the role of Victim Services Among Violent Crime Victims’, </w:t>
      </w:r>
      <w:r w:rsidRPr="00F11D4F">
        <w:rPr>
          <w:rFonts w:asciiTheme="majorBidi" w:hAnsiTheme="majorBidi" w:cstheme="majorBidi"/>
          <w:i/>
          <w:iCs/>
        </w:rPr>
        <w:t>Victims &amp;amp; Offenders</w:t>
      </w:r>
      <w:r w:rsidRPr="00F11D4F">
        <w:rPr>
          <w:rFonts w:asciiTheme="majorBidi" w:hAnsiTheme="majorBidi" w:cstheme="majorBidi"/>
        </w:rPr>
        <w:t xml:space="preserve">, 14(1), pp. 52–74. doi:10.1080/15564886.2018.1547235. </w:t>
      </w:r>
    </w:p>
    <w:p w14:paraId="4AED96BA" w14:textId="77777777" w:rsidR="00F11D4F" w:rsidRDefault="00F11D4F" w:rsidP="00EA28F1">
      <w:pPr>
        <w:keepNext/>
        <w:spacing w:before="240" w:after="60"/>
        <w:ind w:right="237"/>
        <w:jc w:val="both"/>
      </w:pPr>
    </w:p>
    <w:sectPr w:rsidR="00F11D4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9D369E" w14:textId="77777777" w:rsidR="00B16D07" w:rsidRDefault="00B16D07">
      <w:r>
        <w:separator/>
      </w:r>
    </w:p>
  </w:endnote>
  <w:endnote w:type="continuationSeparator" w:id="0">
    <w:p w14:paraId="78C809CA" w14:textId="77777777" w:rsidR="00B16D07" w:rsidRDefault="00B16D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77777777" w:rsidR="00473CF9" w:rsidRDefault="00473CF9">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473CF9" w:rsidRPr="00BB5EAA" w:rsidRDefault="00473CF9"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611BFF" w14:textId="77777777" w:rsidR="00B16D07" w:rsidRDefault="00B16D07">
      <w:r>
        <w:separator/>
      </w:r>
    </w:p>
  </w:footnote>
  <w:footnote w:type="continuationSeparator" w:id="0">
    <w:p w14:paraId="07E3E5F0" w14:textId="77777777" w:rsidR="00B16D07" w:rsidRDefault="00B16D07">
      <w:r>
        <w:continuationSeparator/>
      </w:r>
    </w:p>
  </w:footnote>
</w:footnotes>
</file>

<file path=word/intelligence2.xml><?xml version="1.0" encoding="utf-8"?>
<int2:intelligence xmlns:int2="http://schemas.microsoft.com/office/intelligence/2020/intelligence">
  <int2:observations>
    <int2:textHash int2:hashCode="CIzEkdJ0/bblq0" int2:id="f+fQUpQP">
      <int2:state int2:type="AugLoop_Text_Critique" int2:value="Rejected"/>
    </int2:textHash>
    <int2:bookmark int2:bookmarkName="_Int_iqtpDieQ" int2:invalidationBookmarkName="" int2:hashCode="D4JDEQ/HN5+s4C" int2:id="cnnUzY7w">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1"/>
  </w:num>
  <w:num w:numId="3">
    <w:abstractNumId w:val="3"/>
  </w:num>
  <w:num w:numId="4">
    <w:abstractNumId w:val="2"/>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doNotDisplayPageBoundaries/>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3E12"/>
    <w:rsid w:val="000045B8"/>
    <w:rsid w:val="00007D9E"/>
    <w:rsid w:val="0002023D"/>
    <w:rsid w:val="00020EEC"/>
    <w:rsid w:val="00021914"/>
    <w:rsid w:val="00025650"/>
    <w:rsid w:val="00026FAB"/>
    <w:rsid w:val="00027B1F"/>
    <w:rsid w:val="0003088B"/>
    <w:rsid w:val="00031E28"/>
    <w:rsid w:val="000325D9"/>
    <w:rsid w:val="000372B2"/>
    <w:rsid w:val="0004079F"/>
    <w:rsid w:val="00045B87"/>
    <w:rsid w:val="00045C07"/>
    <w:rsid w:val="00051E85"/>
    <w:rsid w:val="00055D43"/>
    <w:rsid w:val="00056713"/>
    <w:rsid w:val="00056FAC"/>
    <w:rsid w:val="00057751"/>
    <w:rsid w:val="00062E39"/>
    <w:rsid w:val="0006580E"/>
    <w:rsid w:val="00072485"/>
    <w:rsid w:val="00074AB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4F6"/>
    <w:rsid w:val="000A469A"/>
    <w:rsid w:val="000B1E96"/>
    <w:rsid w:val="000C378F"/>
    <w:rsid w:val="000C6892"/>
    <w:rsid w:val="000C6FFE"/>
    <w:rsid w:val="000D0BB6"/>
    <w:rsid w:val="000E26B0"/>
    <w:rsid w:val="000F1599"/>
    <w:rsid w:val="000F1769"/>
    <w:rsid w:val="000F6196"/>
    <w:rsid w:val="000F74B6"/>
    <w:rsid w:val="000F7ECD"/>
    <w:rsid w:val="00102E64"/>
    <w:rsid w:val="0010312C"/>
    <w:rsid w:val="00106DC7"/>
    <w:rsid w:val="00112391"/>
    <w:rsid w:val="00114F52"/>
    <w:rsid w:val="0012135C"/>
    <w:rsid w:val="0012715C"/>
    <w:rsid w:val="00130E83"/>
    <w:rsid w:val="001347F8"/>
    <w:rsid w:val="00137BB5"/>
    <w:rsid w:val="00137E05"/>
    <w:rsid w:val="001447F6"/>
    <w:rsid w:val="0014745A"/>
    <w:rsid w:val="00147DE3"/>
    <w:rsid w:val="00150794"/>
    <w:rsid w:val="0015403C"/>
    <w:rsid w:val="0015461A"/>
    <w:rsid w:val="001608C4"/>
    <w:rsid w:val="001677EF"/>
    <w:rsid w:val="00171418"/>
    <w:rsid w:val="00185498"/>
    <w:rsid w:val="001858C6"/>
    <w:rsid w:val="00190913"/>
    <w:rsid w:val="001961CF"/>
    <w:rsid w:val="001A59BB"/>
    <w:rsid w:val="001A6A51"/>
    <w:rsid w:val="001A79C4"/>
    <w:rsid w:val="001B331A"/>
    <w:rsid w:val="001C0E74"/>
    <w:rsid w:val="001C60F5"/>
    <w:rsid w:val="001C6CEC"/>
    <w:rsid w:val="001D056E"/>
    <w:rsid w:val="001D229F"/>
    <w:rsid w:val="001D6162"/>
    <w:rsid w:val="001E6FAD"/>
    <w:rsid w:val="001E7592"/>
    <w:rsid w:val="001F3878"/>
    <w:rsid w:val="001F4552"/>
    <w:rsid w:val="001F7870"/>
    <w:rsid w:val="00200D51"/>
    <w:rsid w:val="002019EB"/>
    <w:rsid w:val="002030F2"/>
    <w:rsid w:val="00205051"/>
    <w:rsid w:val="00211F65"/>
    <w:rsid w:val="0021255D"/>
    <w:rsid w:val="00213A97"/>
    <w:rsid w:val="0022001B"/>
    <w:rsid w:val="00220D06"/>
    <w:rsid w:val="002219BA"/>
    <w:rsid w:val="002246A0"/>
    <w:rsid w:val="00224AF9"/>
    <w:rsid w:val="00230439"/>
    <w:rsid w:val="00235176"/>
    <w:rsid w:val="00236061"/>
    <w:rsid w:val="0024100E"/>
    <w:rsid w:val="00241C1B"/>
    <w:rsid w:val="002423B2"/>
    <w:rsid w:val="0024288B"/>
    <w:rsid w:val="0024507B"/>
    <w:rsid w:val="00255D8E"/>
    <w:rsid w:val="002657E9"/>
    <w:rsid w:val="0026665E"/>
    <w:rsid w:val="00270EEB"/>
    <w:rsid w:val="0027147E"/>
    <w:rsid w:val="00272AF1"/>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484F"/>
    <w:rsid w:val="002B5B35"/>
    <w:rsid w:val="002C256A"/>
    <w:rsid w:val="002C496D"/>
    <w:rsid w:val="002D05EB"/>
    <w:rsid w:val="002D2F29"/>
    <w:rsid w:val="002D2FD3"/>
    <w:rsid w:val="002E7017"/>
    <w:rsid w:val="002F4F6E"/>
    <w:rsid w:val="003015C3"/>
    <w:rsid w:val="0030698D"/>
    <w:rsid w:val="0031350A"/>
    <w:rsid w:val="00313556"/>
    <w:rsid w:val="00316815"/>
    <w:rsid w:val="003168CA"/>
    <w:rsid w:val="00321255"/>
    <w:rsid w:val="0032230D"/>
    <w:rsid w:val="00322A0B"/>
    <w:rsid w:val="00332F54"/>
    <w:rsid w:val="003349A9"/>
    <w:rsid w:val="0033571D"/>
    <w:rsid w:val="00335FC5"/>
    <w:rsid w:val="00340E9A"/>
    <w:rsid w:val="0035106F"/>
    <w:rsid w:val="003516C0"/>
    <w:rsid w:val="00352E59"/>
    <w:rsid w:val="00354DBE"/>
    <w:rsid w:val="00355210"/>
    <w:rsid w:val="003555D5"/>
    <w:rsid w:val="00365DF9"/>
    <w:rsid w:val="0036668D"/>
    <w:rsid w:val="00367797"/>
    <w:rsid w:val="00372DB4"/>
    <w:rsid w:val="0037490C"/>
    <w:rsid w:val="00375AF5"/>
    <w:rsid w:val="003761BD"/>
    <w:rsid w:val="003769F6"/>
    <w:rsid w:val="00385414"/>
    <w:rsid w:val="003855B6"/>
    <w:rsid w:val="00390074"/>
    <w:rsid w:val="00392A97"/>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12C2"/>
    <w:rsid w:val="004046F0"/>
    <w:rsid w:val="0040668F"/>
    <w:rsid w:val="00411A03"/>
    <w:rsid w:val="00412677"/>
    <w:rsid w:val="00417925"/>
    <w:rsid w:val="00426B7B"/>
    <w:rsid w:val="004348AE"/>
    <w:rsid w:val="00435E9A"/>
    <w:rsid w:val="004376C0"/>
    <w:rsid w:val="0044115F"/>
    <w:rsid w:val="0044223A"/>
    <w:rsid w:val="00446792"/>
    <w:rsid w:val="00446F80"/>
    <w:rsid w:val="00450C83"/>
    <w:rsid w:val="00451851"/>
    <w:rsid w:val="00453343"/>
    <w:rsid w:val="0045410B"/>
    <w:rsid w:val="004552BD"/>
    <w:rsid w:val="004608B9"/>
    <w:rsid w:val="00460ADB"/>
    <w:rsid w:val="004629C0"/>
    <w:rsid w:val="00465947"/>
    <w:rsid w:val="004672C1"/>
    <w:rsid w:val="00470BB1"/>
    <w:rsid w:val="004718F7"/>
    <w:rsid w:val="00473153"/>
    <w:rsid w:val="00473CF9"/>
    <w:rsid w:val="004743AF"/>
    <w:rsid w:val="00482C17"/>
    <w:rsid w:val="004911B4"/>
    <w:rsid w:val="0049196A"/>
    <w:rsid w:val="00492391"/>
    <w:rsid w:val="004923DA"/>
    <w:rsid w:val="00493434"/>
    <w:rsid w:val="00494664"/>
    <w:rsid w:val="004962F9"/>
    <w:rsid w:val="004968E2"/>
    <w:rsid w:val="004A07F1"/>
    <w:rsid w:val="004A14C4"/>
    <w:rsid w:val="004A2A49"/>
    <w:rsid w:val="004B1E6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16F4E"/>
    <w:rsid w:val="00521123"/>
    <w:rsid w:val="00521221"/>
    <w:rsid w:val="00536FA9"/>
    <w:rsid w:val="00541204"/>
    <w:rsid w:val="005414F4"/>
    <w:rsid w:val="00546187"/>
    <w:rsid w:val="005463F1"/>
    <w:rsid w:val="00557D77"/>
    <w:rsid w:val="00562EAA"/>
    <w:rsid w:val="00563B58"/>
    <w:rsid w:val="005640C4"/>
    <w:rsid w:val="00564C53"/>
    <w:rsid w:val="0056684C"/>
    <w:rsid w:val="00574A0C"/>
    <w:rsid w:val="00576E4C"/>
    <w:rsid w:val="0057780F"/>
    <w:rsid w:val="005800AC"/>
    <w:rsid w:val="00581E0A"/>
    <w:rsid w:val="00582870"/>
    <w:rsid w:val="005859AE"/>
    <w:rsid w:val="00586D89"/>
    <w:rsid w:val="005916B8"/>
    <w:rsid w:val="00591755"/>
    <w:rsid w:val="00593D00"/>
    <w:rsid w:val="005A1B4C"/>
    <w:rsid w:val="005A1BA3"/>
    <w:rsid w:val="005A545C"/>
    <w:rsid w:val="005B0B60"/>
    <w:rsid w:val="005C1567"/>
    <w:rsid w:val="005C6CE5"/>
    <w:rsid w:val="005C76DE"/>
    <w:rsid w:val="005D3F07"/>
    <w:rsid w:val="005D583E"/>
    <w:rsid w:val="005E13EA"/>
    <w:rsid w:val="005E53BD"/>
    <w:rsid w:val="00606E27"/>
    <w:rsid w:val="006108C9"/>
    <w:rsid w:val="00615C7E"/>
    <w:rsid w:val="006173B6"/>
    <w:rsid w:val="0062158D"/>
    <w:rsid w:val="00630F39"/>
    <w:rsid w:val="00632063"/>
    <w:rsid w:val="006326D1"/>
    <w:rsid w:val="00632E0A"/>
    <w:rsid w:val="00633165"/>
    <w:rsid w:val="00636B6C"/>
    <w:rsid w:val="006447DE"/>
    <w:rsid w:val="0065276E"/>
    <w:rsid w:val="00654329"/>
    <w:rsid w:val="00654C54"/>
    <w:rsid w:val="00654CEC"/>
    <w:rsid w:val="00655507"/>
    <w:rsid w:val="006712A7"/>
    <w:rsid w:val="006733CC"/>
    <w:rsid w:val="00674FC2"/>
    <w:rsid w:val="00677E42"/>
    <w:rsid w:val="00682334"/>
    <w:rsid w:val="00684B16"/>
    <w:rsid w:val="0069138B"/>
    <w:rsid w:val="00694C00"/>
    <w:rsid w:val="00696F65"/>
    <w:rsid w:val="006A4084"/>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3253"/>
    <w:rsid w:val="00734809"/>
    <w:rsid w:val="0073644B"/>
    <w:rsid w:val="007406E1"/>
    <w:rsid w:val="0074213C"/>
    <w:rsid w:val="00743E40"/>
    <w:rsid w:val="007468F2"/>
    <w:rsid w:val="00751263"/>
    <w:rsid w:val="0075704F"/>
    <w:rsid w:val="00763B2D"/>
    <w:rsid w:val="0077228F"/>
    <w:rsid w:val="00772924"/>
    <w:rsid w:val="00775930"/>
    <w:rsid w:val="007819BA"/>
    <w:rsid w:val="00783E18"/>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436A"/>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47212"/>
    <w:rsid w:val="0085230E"/>
    <w:rsid w:val="0085355E"/>
    <w:rsid w:val="008550A1"/>
    <w:rsid w:val="00861035"/>
    <w:rsid w:val="00861038"/>
    <w:rsid w:val="00865008"/>
    <w:rsid w:val="00866B50"/>
    <w:rsid w:val="00867E78"/>
    <w:rsid w:val="008708F1"/>
    <w:rsid w:val="00880539"/>
    <w:rsid w:val="008859E8"/>
    <w:rsid w:val="0088737B"/>
    <w:rsid w:val="00892716"/>
    <w:rsid w:val="00893067"/>
    <w:rsid w:val="008933DE"/>
    <w:rsid w:val="00894B06"/>
    <w:rsid w:val="00895FCE"/>
    <w:rsid w:val="00897F3E"/>
    <w:rsid w:val="008A1BA8"/>
    <w:rsid w:val="008A21B4"/>
    <w:rsid w:val="008A2BA6"/>
    <w:rsid w:val="008A446F"/>
    <w:rsid w:val="008A4576"/>
    <w:rsid w:val="008B07DE"/>
    <w:rsid w:val="008B28E7"/>
    <w:rsid w:val="008C14C7"/>
    <w:rsid w:val="008C2FFB"/>
    <w:rsid w:val="008C6EEA"/>
    <w:rsid w:val="008D231D"/>
    <w:rsid w:val="008D5813"/>
    <w:rsid w:val="008D634E"/>
    <w:rsid w:val="008D778A"/>
    <w:rsid w:val="008E61F4"/>
    <w:rsid w:val="008F22BD"/>
    <w:rsid w:val="008F4066"/>
    <w:rsid w:val="009079BD"/>
    <w:rsid w:val="00912B18"/>
    <w:rsid w:val="00912BD9"/>
    <w:rsid w:val="00916CFB"/>
    <w:rsid w:val="00920E5B"/>
    <w:rsid w:val="009249F8"/>
    <w:rsid w:val="00926436"/>
    <w:rsid w:val="0093018C"/>
    <w:rsid w:val="00932CCA"/>
    <w:rsid w:val="009544C0"/>
    <w:rsid w:val="00954996"/>
    <w:rsid w:val="00954FA4"/>
    <w:rsid w:val="00956AE9"/>
    <w:rsid w:val="00964CC6"/>
    <w:rsid w:val="00970C44"/>
    <w:rsid w:val="00991FDA"/>
    <w:rsid w:val="009927A1"/>
    <w:rsid w:val="0099774D"/>
    <w:rsid w:val="009A310E"/>
    <w:rsid w:val="009A5F3B"/>
    <w:rsid w:val="009B0B61"/>
    <w:rsid w:val="009B28C0"/>
    <w:rsid w:val="009B395A"/>
    <w:rsid w:val="009B7136"/>
    <w:rsid w:val="009B7806"/>
    <w:rsid w:val="009C27B3"/>
    <w:rsid w:val="009C3AC2"/>
    <w:rsid w:val="009D4365"/>
    <w:rsid w:val="009D4E3B"/>
    <w:rsid w:val="009D6ED7"/>
    <w:rsid w:val="009D7BC9"/>
    <w:rsid w:val="009E0C5A"/>
    <w:rsid w:val="009E1982"/>
    <w:rsid w:val="009E47FF"/>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676C8"/>
    <w:rsid w:val="00A71498"/>
    <w:rsid w:val="00A732EA"/>
    <w:rsid w:val="00A7489E"/>
    <w:rsid w:val="00A749FF"/>
    <w:rsid w:val="00A75EF9"/>
    <w:rsid w:val="00A8015F"/>
    <w:rsid w:val="00A80BD2"/>
    <w:rsid w:val="00A85039"/>
    <w:rsid w:val="00A851F7"/>
    <w:rsid w:val="00A906AA"/>
    <w:rsid w:val="00A94C5E"/>
    <w:rsid w:val="00AA241A"/>
    <w:rsid w:val="00AA252C"/>
    <w:rsid w:val="00AA666E"/>
    <w:rsid w:val="00AB5518"/>
    <w:rsid w:val="00AC01D4"/>
    <w:rsid w:val="00AC4A04"/>
    <w:rsid w:val="00AD2649"/>
    <w:rsid w:val="00AD336F"/>
    <w:rsid w:val="00AD3550"/>
    <w:rsid w:val="00AE2564"/>
    <w:rsid w:val="00AE301F"/>
    <w:rsid w:val="00AE3302"/>
    <w:rsid w:val="00AE7077"/>
    <w:rsid w:val="00AF61C2"/>
    <w:rsid w:val="00AF6513"/>
    <w:rsid w:val="00AF6A8F"/>
    <w:rsid w:val="00AF6CC6"/>
    <w:rsid w:val="00B011CD"/>
    <w:rsid w:val="00B0296A"/>
    <w:rsid w:val="00B12295"/>
    <w:rsid w:val="00B13219"/>
    <w:rsid w:val="00B137BE"/>
    <w:rsid w:val="00B16D07"/>
    <w:rsid w:val="00B17FA0"/>
    <w:rsid w:val="00B24344"/>
    <w:rsid w:val="00B26769"/>
    <w:rsid w:val="00B31C91"/>
    <w:rsid w:val="00B3747F"/>
    <w:rsid w:val="00B43194"/>
    <w:rsid w:val="00B47734"/>
    <w:rsid w:val="00B50FBA"/>
    <w:rsid w:val="00B558EB"/>
    <w:rsid w:val="00B56629"/>
    <w:rsid w:val="00B577D3"/>
    <w:rsid w:val="00B60466"/>
    <w:rsid w:val="00B62A42"/>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D6074"/>
    <w:rsid w:val="00BE0F7B"/>
    <w:rsid w:val="00BE10C2"/>
    <w:rsid w:val="00BE5D70"/>
    <w:rsid w:val="00BE621D"/>
    <w:rsid w:val="00C01D14"/>
    <w:rsid w:val="00C025B4"/>
    <w:rsid w:val="00C0275F"/>
    <w:rsid w:val="00C06512"/>
    <w:rsid w:val="00C11F61"/>
    <w:rsid w:val="00C161FD"/>
    <w:rsid w:val="00C23F17"/>
    <w:rsid w:val="00C26972"/>
    <w:rsid w:val="00C26A95"/>
    <w:rsid w:val="00C26D0D"/>
    <w:rsid w:val="00C27C95"/>
    <w:rsid w:val="00C300D2"/>
    <w:rsid w:val="00C3270F"/>
    <w:rsid w:val="00C3278B"/>
    <w:rsid w:val="00C33375"/>
    <w:rsid w:val="00C34C23"/>
    <w:rsid w:val="00C42005"/>
    <w:rsid w:val="00C42863"/>
    <w:rsid w:val="00C44446"/>
    <w:rsid w:val="00C4664D"/>
    <w:rsid w:val="00C472AA"/>
    <w:rsid w:val="00C50A05"/>
    <w:rsid w:val="00C54AED"/>
    <w:rsid w:val="00C55B2F"/>
    <w:rsid w:val="00C63D00"/>
    <w:rsid w:val="00C6441B"/>
    <w:rsid w:val="00C7108B"/>
    <w:rsid w:val="00C72CE3"/>
    <w:rsid w:val="00C8089F"/>
    <w:rsid w:val="00C836CC"/>
    <w:rsid w:val="00C87A74"/>
    <w:rsid w:val="00C90A71"/>
    <w:rsid w:val="00C91574"/>
    <w:rsid w:val="00C91BC2"/>
    <w:rsid w:val="00C92C71"/>
    <w:rsid w:val="00C93F8F"/>
    <w:rsid w:val="00C94BF2"/>
    <w:rsid w:val="00CA2745"/>
    <w:rsid w:val="00CA3593"/>
    <w:rsid w:val="00CA7DC2"/>
    <w:rsid w:val="00CA7F4F"/>
    <w:rsid w:val="00CB258E"/>
    <w:rsid w:val="00CB3C8F"/>
    <w:rsid w:val="00CB75AA"/>
    <w:rsid w:val="00CB75CE"/>
    <w:rsid w:val="00CC02F1"/>
    <w:rsid w:val="00CC11A6"/>
    <w:rsid w:val="00CC135E"/>
    <w:rsid w:val="00CD5D3F"/>
    <w:rsid w:val="00CD6D7B"/>
    <w:rsid w:val="00CF1E90"/>
    <w:rsid w:val="00CF212A"/>
    <w:rsid w:val="00CF3DB3"/>
    <w:rsid w:val="00D052BC"/>
    <w:rsid w:val="00D07026"/>
    <w:rsid w:val="00D07BAB"/>
    <w:rsid w:val="00D11C62"/>
    <w:rsid w:val="00D22C8F"/>
    <w:rsid w:val="00D23E77"/>
    <w:rsid w:val="00D301FD"/>
    <w:rsid w:val="00D33491"/>
    <w:rsid w:val="00D44F8E"/>
    <w:rsid w:val="00D44FD0"/>
    <w:rsid w:val="00D5733C"/>
    <w:rsid w:val="00D607EF"/>
    <w:rsid w:val="00D60F88"/>
    <w:rsid w:val="00D625E7"/>
    <w:rsid w:val="00D646BD"/>
    <w:rsid w:val="00D70239"/>
    <w:rsid w:val="00D71201"/>
    <w:rsid w:val="00D720C7"/>
    <w:rsid w:val="00D77A04"/>
    <w:rsid w:val="00D81D06"/>
    <w:rsid w:val="00D84580"/>
    <w:rsid w:val="00D8652C"/>
    <w:rsid w:val="00D876E6"/>
    <w:rsid w:val="00DA1025"/>
    <w:rsid w:val="00DA133D"/>
    <w:rsid w:val="00DA22EC"/>
    <w:rsid w:val="00DA5860"/>
    <w:rsid w:val="00DB2767"/>
    <w:rsid w:val="00DC4729"/>
    <w:rsid w:val="00DC5AA4"/>
    <w:rsid w:val="00DE1FBD"/>
    <w:rsid w:val="00DE3078"/>
    <w:rsid w:val="00DE3C92"/>
    <w:rsid w:val="00DE556F"/>
    <w:rsid w:val="00E00D17"/>
    <w:rsid w:val="00E03B6D"/>
    <w:rsid w:val="00E0649E"/>
    <w:rsid w:val="00E06605"/>
    <w:rsid w:val="00E10011"/>
    <w:rsid w:val="00E17160"/>
    <w:rsid w:val="00E35BEC"/>
    <w:rsid w:val="00E41CCF"/>
    <w:rsid w:val="00E46B1B"/>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EF00A3"/>
    <w:rsid w:val="00F01F92"/>
    <w:rsid w:val="00F10A08"/>
    <w:rsid w:val="00F11D4F"/>
    <w:rsid w:val="00F139CF"/>
    <w:rsid w:val="00F22AC5"/>
    <w:rsid w:val="00F254D1"/>
    <w:rsid w:val="00F32B82"/>
    <w:rsid w:val="00F4043E"/>
    <w:rsid w:val="00F40CB5"/>
    <w:rsid w:val="00F41BBC"/>
    <w:rsid w:val="00F43B9D"/>
    <w:rsid w:val="00F444F0"/>
    <w:rsid w:val="00F4558B"/>
    <w:rsid w:val="00F45856"/>
    <w:rsid w:val="00F46639"/>
    <w:rsid w:val="00F50847"/>
    <w:rsid w:val="00F53F27"/>
    <w:rsid w:val="00F546D1"/>
    <w:rsid w:val="00F6513F"/>
    <w:rsid w:val="00F66272"/>
    <w:rsid w:val="00F6ACA0"/>
    <w:rsid w:val="00F709C0"/>
    <w:rsid w:val="00F70EC2"/>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D6642"/>
    <w:rsid w:val="00FE0C16"/>
    <w:rsid w:val="00FE14AD"/>
    <w:rsid w:val="00FE14B1"/>
    <w:rsid w:val="00FE1F6A"/>
    <w:rsid w:val="00FF0070"/>
    <w:rsid w:val="00FF31EC"/>
    <w:rsid w:val="00FF5F6A"/>
    <w:rsid w:val="00FF6BE0"/>
    <w:rsid w:val="00FF7784"/>
    <w:rsid w:val="00FF7BE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106F"/>
    <w:rPr>
      <w:sz w:val="24"/>
      <w:szCs w:val="24"/>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ind w:left="108"/>
    </w:pPr>
    <w:rPr>
      <w:rFonts w:eastAsia="Arial"/>
      <w:sz w:val="22"/>
      <w:szCs w:val="22"/>
      <w:lang w:bidi="en-GB"/>
    </w:rPr>
  </w:style>
  <w:style w:type="paragraph" w:customStyle="1" w:styleId="paragraph">
    <w:name w:val="paragraph"/>
    <w:basedOn w:val="Normal"/>
    <w:rsid w:val="00A221AB"/>
    <w:pPr>
      <w:spacing w:before="100" w:beforeAutospacing="1" w:after="100" w:afterAutospacing="1"/>
    </w:pPr>
    <w:rPr>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unhideWhenUsed/>
    <w:rsid w:val="00970C44"/>
    <w:pPr>
      <w:spacing w:before="100" w:beforeAutospacing="1" w:after="100" w:afterAutospacing="1"/>
    </w:pPr>
  </w:style>
  <w:style w:type="character" w:customStyle="1" w:styleId="apple-converted-space">
    <w:name w:val="apple-converted-space"/>
    <w:basedOn w:val="DefaultParagraphFont"/>
    <w:rsid w:val="00541204"/>
  </w:style>
  <w:style w:type="character" w:styleId="Emphasis">
    <w:name w:val="Emphasis"/>
    <w:basedOn w:val="DefaultParagraphFont"/>
    <w:uiPriority w:val="20"/>
    <w:qFormat/>
    <w:rsid w:val="00783E18"/>
    <w:rPr>
      <w:i/>
      <w:iCs/>
    </w:rPr>
  </w:style>
  <w:style w:type="character" w:styleId="FollowedHyperlink">
    <w:name w:val="FollowedHyperlink"/>
    <w:basedOn w:val="DefaultParagraphFont"/>
    <w:uiPriority w:val="99"/>
    <w:semiHidden/>
    <w:unhideWhenUsed/>
    <w:rsid w:val="00F11D4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604053">
      <w:bodyDiv w:val="1"/>
      <w:marLeft w:val="0"/>
      <w:marRight w:val="0"/>
      <w:marTop w:val="0"/>
      <w:marBottom w:val="0"/>
      <w:divBdr>
        <w:top w:val="none" w:sz="0" w:space="0" w:color="auto"/>
        <w:left w:val="none" w:sz="0" w:space="0" w:color="auto"/>
        <w:bottom w:val="none" w:sz="0" w:space="0" w:color="auto"/>
        <w:right w:val="none" w:sz="0" w:space="0" w:color="auto"/>
      </w:divBdr>
    </w:div>
    <w:div w:id="82145311">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69488235">
      <w:bodyDiv w:val="1"/>
      <w:marLeft w:val="0"/>
      <w:marRight w:val="0"/>
      <w:marTop w:val="0"/>
      <w:marBottom w:val="0"/>
      <w:divBdr>
        <w:top w:val="none" w:sz="0" w:space="0" w:color="auto"/>
        <w:left w:val="none" w:sz="0" w:space="0" w:color="auto"/>
        <w:bottom w:val="none" w:sz="0" w:space="0" w:color="auto"/>
        <w:right w:val="none" w:sz="0" w:space="0" w:color="auto"/>
      </w:divBdr>
      <w:divsChild>
        <w:div w:id="322978067">
          <w:marLeft w:val="0"/>
          <w:marRight w:val="0"/>
          <w:marTop w:val="0"/>
          <w:marBottom w:val="0"/>
          <w:divBdr>
            <w:top w:val="none" w:sz="0" w:space="0" w:color="auto"/>
            <w:left w:val="none" w:sz="0" w:space="0" w:color="auto"/>
            <w:bottom w:val="none" w:sz="0" w:space="0" w:color="auto"/>
            <w:right w:val="none" w:sz="0" w:space="0" w:color="auto"/>
          </w:divBdr>
          <w:divsChild>
            <w:div w:id="1730692655">
              <w:marLeft w:val="0"/>
              <w:marRight w:val="0"/>
              <w:marTop w:val="0"/>
              <w:marBottom w:val="0"/>
              <w:divBdr>
                <w:top w:val="none" w:sz="0" w:space="0" w:color="auto"/>
                <w:left w:val="none" w:sz="0" w:space="0" w:color="auto"/>
                <w:bottom w:val="none" w:sz="0" w:space="0" w:color="auto"/>
                <w:right w:val="none" w:sz="0" w:space="0" w:color="auto"/>
              </w:divBdr>
              <w:divsChild>
                <w:div w:id="187179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11584">
      <w:bodyDiv w:val="1"/>
      <w:marLeft w:val="0"/>
      <w:marRight w:val="0"/>
      <w:marTop w:val="0"/>
      <w:marBottom w:val="0"/>
      <w:divBdr>
        <w:top w:val="none" w:sz="0" w:space="0" w:color="auto"/>
        <w:left w:val="none" w:sz="0" w:space="0" w:color="auto"/>
        <w:bottom w:val="none" w:sz="0" w:space="0" w:color="auto"/>
        <w:right w:val="none" w:sz="0" w:space="0" w:color="auto"/>
      </w:divBdr>
    </w:div>
    <w:div w:id="236209149">
      <w:bodyDiv w:val="1"/>
      <w:marLeft w:val="0"/>
      <w:marRight w:val="0"/>
      <w:marTop w:val="0"/>
      <w:marBottom w:val="0"/>
      <w:divBdr>
        <w:top w:val="none" w:sz="0" w:space="0" w:color="auto"/>
        <w:left w:val="none" w:sz="0" w:space="0" w:color="auto"/>
        <w:bottom w:val="none" w:sz="0" w:space="0" w:color="auto"/>
        <w:right w:val="none" w:sz="0" w:space="0" w:color="auto"/>
      </w:divBdr>
    </w:div>
    <w:div w:id="336538725">
      <w:bodyDiv w:val="1"/>
      <w:marLeft w:val="0"/>
      <w:marRight w:val="0"/>
      <w:marTop w:val="0"/>
      <w:marBottom w:val="0"/>
      <w:divBdr>
        <w:top w:val="none" w:sz="0" w:space="0" w:color="auto"/>
        <w:left w:val="none" w:sz="0" w:space="0" w:color="auto"/>
        <w:bottom w:val="none" w:sz="0" w:space="0" w:color="auto"/>
        <w:right w:val="none" w:sz="0" w:space="0" w:color="auto"/>
      </w:divBdr>
    </w:div>
    <w:div w:id="369110159">
      <w:bodyDiv w:val="1"/>
      <w:marLeft w:val="0"/>
      <w:marRight w:val="0"/>
      <w:marTop w:val="0"/>
      <w:marBottom w:val="0"/>
      <w:divBdr>
        <w:top w:val="none" w:sz="0" w:space="0" w:color="auto"/>
        <w:left w:val="none" w:sz="0" w:space="0" w:color="auto"/>
        <w:bottom w:val="none" w:sz="0" w:space="0" w:color="auto"/>
        <w:right w:val="none" w:sz="0" w:space="0" w:color="auto"/>
      </w:divBdr>
    </w:div>
    <w:div w:id="388042599">
      <w:bodyDiv w:val="1"/>
      <w:marLeft w:val="0"/>
      <w:marRight w:val="0"/>
      <w:marTop w:val="0"/>
      <w:marBottom w:val="0"/>
      <w:divBdr>
        <w:top w:val="none" w:sz="0" w:space="0" w:color="auto"/>
        <w:left w:val="none" w:sz="0" w:space="0" w:color="auto"/>
        <w:bottom w:val="none" w:sz="0" w:space="0" w:color="auto"/>
        <w:right w:val="none" w:sz="0" w:space="0" w:color="auto"/>
      </w:divBdr>
    </w:div>
    <w:div w:id="445538348">
      <w:bodyDiv w:val="1"/>
      <w:marLeft w:val="0"/>
      <w:marRight w:val="0"/>
      <w:marTop w:val="0"/>
      <w:marBottom w:val="0"/>
      <w:divBdr>
        <w:top w:val="none" w:sz="0" w:space="0" w:color="auto"/>
        <w:left w:val="none" w:sz="0" w:space="0" w:color="auto"/>
        <w:bottom w:val="none" w:sz="0" w:space="0" w:color="auto"/>
        <w:right w:val="none" w:sz="0" w:space="0" w:color="auto"/>
      </w:divBdr>
    </w:div>
    <w:div w:id="534316966">
      <w:bodyDiv w:val="1"/>
      <w:marLeft w:val="0"/>
      <w:marRight w:val="0"/>
      <w:marTop w:val="0"/>
      <w:marBottom w:val="0"/>
      <w:divBdr>
        <w:top w:val="none" w:sz="0" w:space="0" w:color="auto"/>
        <w:left w:val="none" w:sz="0" w:space="0" w:color="auto"/>
        <w:bottom w:val="none" w:sz="0" w:space="0" w:color="auto"/>
        <w:right w:val="none" w:sz="0" w:space="0" w:color="auto"/>
      </w:divBdr>
    </w:div>
    <w:div w:id="548422852">
      <w:bodyDiv w:val="1"/>
      <w:marLeft w:val="0"/>
      <w:marRight w:val="0"/>
      <w:marTop w:val="0"/>
      <w:marBottom w:val="0"/>
      <w:divBdr>
        <w:top w:val="none" w:sz="0" w:space="0" w:color="auto"/>
        <w:left w:val="none" w:sz="0" w:space="0" w:color="auto"/>
        <w:bottom w:val="none" w:sz="0" w:space="0" w:color="auto"/>
        <w:right w:val="none" w:sz="0" w:space="0" w:color="auto"/>
      </w:divBdr>
      <w:divsChild>
        <w:div w:id="1724060013">
          <w:marLeft w:val="0"/>
          <w:marRight w:val="0"/>
          <w:marTop w:val="0"/>
          <w:marBottom w:val="0"/>
          <w:divBdr>
            <w:top w:val="none" w:sz="0" w:space="0" w:color="auto"/>
            <w:left w:val="none" w:sz="0" w:space="0" w:color="auto"/>
            <w:bottom w:val="none" w:sz="0" w:space="0" w:color="auto"/>
            <w:right w:val="none" w:sz="0" w:space="0" w:color="auto"/>
          </w:divBdr>
          <w:divsChild>
            <w:div w:id="378895628">
              <w:marLeft w:val="0"/>
              <w:marRight w:val="0"/>
              <w:marTop w:val="0"/>
              <w:marBottom w:val="0"/>
              <w:divBdr>
                <w:top w:val="none" w:sz="0" w:space="0" w:color="auto"/>
                <w:left w:val="none" w:sz="0" w:space="0" w:color="auto"/>
                <w:bottom w:val="none" w:sz="0" w:space="0" w:color="auto"/>
                <w:right w:val="none" w:sz="0" w:space="0" w:color="auto"/>
              </w:divBdr>
              <w:divsChild>
                <w:div w:id="1872692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012780">
      <w:bodyDiv w:val="1"/>
      <w:marLeft w:val="0"/>
      <w:marRight w:val="0"/>
      <w:marTop w:val="0"/>
      <w:marBottom w:val="0"/>
      <w:divBdr>
        <w:top w:val="none" w:sz="0" w:space="0" w:color="auto"/>
        <w:left w:val="none" w:sz="0" w:space="0" w:color="auto"/>
        <w:bottom w:val="none" w:sz="0" w:space="0" w:color="auto"/>
        <w:right w:val="none" w:sz="0" w:space="0" w:color="auto"/>
      </w:divBdr>
    </w:div>
    <w:div w:id="680930075">
      <w:bodyDiv w:val="1"/>
      <w:marLeft w:val="0"/>
      <w:marRight w:val="0"/>
      <w:marTop w:val="0"/>
      <w:marBottom w:val="0"/>
      <w:divBdr>
        <w:top w:val="none" w:sz="0" w:space="0" w:color="auto"/>
        <w:left w:val="none" w:sz="0" w:space="0" w:color="auto"/>
        <w:bottom w:val="none" w:sz="0" w:space="0" w:color="auto"/>
        <w:right w:val="none" w:sz="0" w:space="0" w:color="auto"/>
      </w:divBdr>
      <w:divsChild>
        <w:div w:id="299655509">
          <w:marLeft w:val="0"/>
          <w:marRight w:val="0"/>
          <w:marTop w:val="0"/>
          <w:marBottom w:val="0"/>
          <w:divBdr>
            <w:top w:val="none" w:sz="0" w:space="0" w:color="auto"/>
            <w:left w:val="none" w:sz="0" w:space="0" w:color="auto"/>
            <w:bottom w:val="none" w:sz="0" w:space="0" w:color="auto"/>
            <w:right w:val="none" w:sz="0" w:space="0" w:color="auto"/>
          </w:divBdr>
          <w:divsChild>
            <w:div w:id="1908147938">
              <w:marLeft w:val="0"/>
              <w:marRight w:val="0"/>
              <w:marTop w:val="0"/>
              <w:marBottom w:val="0"/>
              <w:divBdr>
                <w:top w:val="none" w:sz="0" w:space="0" w:color="auto"/>
                <w:left w:val="none" w:sz="0" w:space="0" w:color="auto"/>
                <w:bottom w:val="none" w:sz="0" w:space="0" w:color="auto"/>
                <w:right w:val="none" w:sz="0" w:space="0" w:color="auto"/>
              </w:divBdr>
              <w:divsChild>
                <w:div w:id="1767534222">
                  <w:marLeft w:val="0"/>
                  <w:marRight w:val="0"/>
                  <w:marTop w:val="0"/>
                  <w:marBottom w:val="0"/>
                  <w:divBdr>
                    <w:top w:val="none" w:sz="0" w:space="0" w:color="auto"/>
                    <w:left w:val="none" w:sz="0" w:space="0" w:color="auto"/>
                    <w:bottom w:val="none" w:sz="0" w:space="0" w:color="auto"/>
                    <w:right w:val="none" w:sz="0" w:space="0" w:color="auto"/>
                  </w:divBdr>
                  <w:divsChild>
                    <w:div w:id="466506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7582585">
      <w:bodyDiv w:val="1"/>
      <w:marLeft w:val="0"/>
      <w:marRight w:val="0"/>
      <w:marTop w:val="0"/>
      <w:marBottom w:val="0"/>
      <w:divBdr>
        <w:top w:val="none" w:sz="0" w:space="0" w:color="auto"/>
        <w:left w:val="none" w:sz="0" w:space="0" w:color="auto"/>
        <w:bottom w:val="none" w:sz="0" w:space="0" w:color="auto"/>
        <w:right w:val="none" w:sz="0" w:space="0" w:color="auto"/>
      </w:divBdr>
    </w:div>
    <w:div w:id="712267091">
      <w:bodyDiv w:val="1"/>
      <w:marLeft w:val="0"/>
      <w:marRight w:val="0"/>
      <w:marTop w:val="0"/>
      <w:marBottom w:val="0"/>
      <w:divBdr>
        <w:top w:val="none" w:sz="0" w:space="0" w:color="auto"/>
        <w:left w:val="none" w:sz="0" w:space="0" w:color="auto"/>
        <w:bottom w:val="none" w:sz="0" w:space="0" w:color="auto"/>
        <w:right w:val="none" w:sz="0" w:space="0" w:color="auto"/>
      </w:divBdr>
      <w:divsChild>
        <w:div w:id="2021931814">
          <w:marLeft w:val="0"/>
          <w:marRight w:val="0"/>
          <w:marTop w:val="0"/>
          <w:marBottom w:val="0"/>
          <w:divBdr>
            <w:top w:val="none" w:sz="0" w:space="0" w:color="auto"/>
            <w:left w:val="none" w:sz="0" w:space="0" w:color="auto"/>
            <w:bottom w:val="none" w:sz="0" w:space="0" w:color="auto"/>
            <w:right w:val="none" w:sz="0" w:space="0" w:color="auto"/>
          </w:divBdr>
        </w:div>
      </w:divsChild>
    </w:div>
    <w:div w:id="753867539">
      <w:bodyDiv w:val="1"/>
      <w:marLeft w:val="0"/>
      <w:marRight w:val="0"/>
      <w:marTop w:val="0"/>
      <w:marBottom w:val="0"/>
      <w:divBdr>
        <w:top w:val="none" w:sz="0" w:space="0" w:color="auto"/>
        <w:left w:val="none" w:sz="0" w:space="0" w:color="auto"/>
        <w:bottom w:val="none" w:sz="0" w:space="0" w:color="auto"/>
        <w:right w:val="none" w:sz="0" w:space="0" w:color="auto"/>
      </w:divBdr>
    </w:div>
    <w:div w:id="804272883">
      <w:bodyDiv w:val="1"/>
      <w:marLeft w:val="0"/>
      <w:marRight w:val="0"/>
      <w:marTop w:val="0"/>
      <w:marBottom w:val="0"/>
      <w:divBdr>
        <w:top w:val="none" w:sz="0" w:space="0" w:color="auto"/>
        <w:left w:val="none" w:sz="0" w:space="0" w:color="auto"/>
        <w:bottom w:val="none" w:sz="0" w:space="0" w:color="auto"/>
        <w:right w:val="none" w:sz="0" w:space="0" w:color="auto"/>
      </w:divBdr>
      <w:divsChild>
        <w:div w:id="493684821">
          <w:marLeft w:val="0"/>
          <w:marRight w:val="0"/>
          <w:marTop w:val="0"/>
          <w:marBottom w:val="0"/>
          <w:divBdr>
            <w:top w:val="none" w:sz="0" w:space="0" w:color="auto"/>
            <w:left w:val="none" w:sz="0" w:space="0" w:color="auto"/>
            <w:bottom w:val="none" w:sz="0" w:space="0" w:color="auto"/>
            <w:right w:val="none" w:sz="0" w:space="0" w:color="auto"/>
          </w:divBdr>
          <w:divsChild>
            <w:div w:id="306517821">
              <w:marLeft w:val="0"/>
              <w:marRight w:val="0"/>
              <w:marTop w:val="0"/>
              <w:marBottom w:val="0"/>
              <w:divBdr>
                <w:top w:val="none" w:sz="0" w:space="0" w:color="auto"/>
                <w:left w:val="none" w:sz="0" w:space="0" w:color="auto"/>
                <w:bottom w:val="none" w:sz="0" w:space="0" w:color="auto"/>
                <w:right w:val="none" w:sz="0" w:space="0" w:color="auto"/>
              </w:divBdr>
              <w:divsChild>
                <w:div w:id="1835560631">
                  <w:marLeft w:val="0"/>
                  <w:marRight w:val="0"/>
                  <w:marTop w:val="0"/>
                  <w:marBottom w:val="0"/>
                  <w:divBdr>
                    <w:top w:val="none" w:sz="0" w:space="0" w:color="auto"/>
                    <w:left w:val="none" w:sz="0" w:space="0" w:color="auto"/>
                    <w:bottom w:val="none" w:sz="0" w:space="0" w:color="auto"/>
                    <w:right w:val="none" w:sz="0" w:space="0" w:color="auto"/>
                  </w:divBdr>
                  <w:divsChild>
                    <w:div w:id="106228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408006">
      <w:bodyDiv w:val="1"/>
      <w:marLeft w:val="0"/>
      <w:marRight w:val="0"/>
      <w:marTop w:val="0"/>
      <w:marBottom w:val="0"/>
      <w:divBdr>
        <w:top w:val="none" w:sz="0" w:space="0" w:color="auto"/>
        <w:left w:val="none" w:sz="0" w:space="0" w:color="auto"/>
        <w:bottom w:val="none" w:sz="0" w:space="0" w:color="auto"/>
        <w:right w:val="none" w:sz="0" w:space="0" w:color="auto"/>
      </w:divBdr>
    </w:div>
    <w:div w:id="894663426">
      <w:bodyDiv w:val="1"/>
      <w:marLeft w:val="0"/>
      <w:marRight w:val="0"/>
      <w:marTop w:val="0"/>
      <w:marBottom w:val="0"/>
      <w:divBdr>
        <w:top w:val="none" w:sz="0" w:space="0" w:color="auto"/>
        <w:left w:val="none" w:sz="0" w:space="0" w:color="auto"/>
        <w:bottom w:val="none" w:sz="0" w:space="0" w:color="auto"/>
        <w:right w:val="none" w:sz="0" w:space="0" w:color="auto"/>
      </w:divBdr>
    </w:div>
    <w:div w:id="931008060">
      <w:bodyDiv w:val="1"/>
      <w:marLeft w:val="0"/>
      <w:marRight w:val="0"/>
      <w:marTop w:val="0"/>
      <w:marBottom w:val="0"/>
      <w:divBdr>
        <w:top w:val="none" w:sz="0" w:space="0" w:color="auto"/>
        <w:left w:val="none" w:sz="0" w:space="0" w:color="auto"/>
        <w:bottom w:val="none" w:sz="0" w:space="0" w:color="auto"/>
        <w:right w:val="none" w:sz="0" w:space="0" w:color="auto"/>
      </w:divBdr>
      <w:divsChild>
        <w:div w:id="2123375330">
          <w:marLeft w:val="0"/>
          <w:marRight w:val="0"/>
          <w:marTop w:val="0"/>
          <w:marBottom w:val="0"/>
          <w:divBdr>
            <w:top w:val="none" w:sz="0" w:space="0" w:color="auto"/>
            <w:left w:val="none" w:sz="0" w:space="0" w:color="auto"/>
            <w:bottom w:val="none" w:sz="0" w:space="0" w:color="auto"/>
            <w:right w:val="none" w:sz="0" w:space="0" w:color="auto"/>
          </w:divBdr>
          <w:divsChild>
            <w:div w:id="1513952557">
              <w:marLeft w:val="0"/>
              <w:marRight w:val="0"/>
              <w:marTop w:val="0"/>
              <w:marBottom w:val="0"/>
              <w:divBdr>
                <w:top w:val="none" w:sz="0" w:space="0" w:color="auto"/>
                <w:left w:val="none" w:sz="0" w:space="0" w:color="auto"/>
                <w:bottom w:val="none" w:sz="0" w:space="0" w:color="auto"/>
                <w:right w:val="none" w:sz="0" w:space="0" w:color="auto"/>
              </w:divBdr>
              <w:divsChild>
                <w:div w:id="933784616">
                  <w:marLeft w:val="0"/>
                  <w:marRight w:val="0"/>
                  <w:marTop w:val="0"/>
                  <w:marBottom w:val="0"/>
                  <w:divBdr>
                    <w:top w:val="none" w:sz="0" w:space="0" w:color="auto"/>
                    <w:left w:val="none" w:sz="0" w:space="0" w:color="auto"/>
                    <w:bottom w:val="none" w:sz="0" w:space="0" w:color="auto"/>
                    <w:right w:val="none" w:sz="0" w:space="0" w:color="auto"/>
                  </w:divBdr>
                  <w:divsChild>
                    <w:div w:id="173631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831073">
      <w:bodyDiv w:val="1"/>
      <w:marLeft w:val="0"/>
      <w:marRight w:val="0"/>
      <w:marTop w:val="0"/>
      <w:marBottom w:val="0"/>
      <w:divBdr>
        <w:top w:val="none" w:sz="0" w:space="0" w:color="auto"/>
        <w:left w:val="none" w:sz="0" w:space="0" w:color="auto"/>
        <w:bottom w:val="none" w:sz="0" w:space="0" w:color="auto"/>
        <w:right w:val="none" w:sz="0" w:space="0" w:color="auto"/>
      </w:divBdr>
    </w:div>
    <w:div w:id="960840465">
      <w:bodyDiv w:val="1"/>
      <w:marLeft w:val="0"/>
      <w:marRight w:val="0"/>
      <w:marTop w:val="0"/>
      <w:marBottom w:val="0"/>
      <w:divBdr>
        <w:top w:val="none" w:sz="0" w:space="0" w:color="auto"/>
        <w:left w:val="none" w:sz="0" w:space="0" w:color="auto"/>
        <w:bottom w:val="none" w:sz="0" w:space="0" w:color="auto"/>
        <w:right w:val="none" w:sz="0" w:space="0" w:color="auto"/>
      </w:divBdr>
      <w:divsChild>
        <w:div w:id="147406924">
          <w:marLeft w:val="0"/>
          <w:marRight w:val="0"/>
          <w:marTop w:val="0"/>
          <w:marBottom w:val="0"/>
          <w:divBdr>
            <w:top w:val="none" w:sz="0" w:space="0" w:color="auto"/>
            <w:left w:val="none" w:sz="0" w:space="0" w:color="auto"/>
            <w:bottom w:val="none" w:sz="0" w:space="0" w:color="auto"/>
            <w:right w:val="none" w:sz="0" w:space="0" w:color="auto"/>
          </w:divBdr>
          <w:divsChild>
            <w:div w:id="1134564183">
              <w:marLeft w:val="0"/>
              <w:marRight w:val="0"/>
              <w:marTop w:val="0"/>
              <w:marBottom w:val="0"/>
              <w:divBdr>
                <w:top w:val="none" w:sz="0" w:space="0" w:color="auto"/>
                <w:left w:val="none" w:sz="0" w:space="0" w:color="auto"/>
                <w:bottom w:val="none" w:sz="0" w:space="0" w:color="auto"/>
                <w:right w:val="none" w:sz="0" w:space="0" w:color="auto"/>
              </w:divBdr>
              <w:divsChild>
                <w:div w:id="2142724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751027">
      <w:bodyDiv w:val="1"/>
      <w:marLeft w:val="0"/>
      <w:marRight w:val="0"/>
      <w:marTop w:val="0"/>
      <w:marBottom w:val="0"/>
      <w:divBdr>
        <w:top w:val="none" w:sz="0" w:space="0" w:color="auto"/>
        <w:left w:val="none" w:sz="0" w:space="0" w:color="auto"/>
        <w:bottom w:val="none" w:sz="0" w:space="0" w:color="auto"/>
        <w:right w:val="none" w:sz="0" w:space="0" w:color="auto"/>
      </w:divBdr>
    </w:div>
    <w:div w:id="106661107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02923439">
      <w:bodyDiv w:val="1"/>
      <w:marLeft w:val="0"/>
      <w:marRight w:val="0"/>
      <w:marTop w:val="0"/>
      <w:marBottom w:val="0"/>
      <w:divBdr>
        <w:top w:val="none" w:sz="0" w:space="0" w:color="auto"/>
        <w:left w:val="none" w:sz="0" w:space="0" w:color="auto"/>
        <w:bottom w:val="none" w:sz="0" w:space="0" w:color="auto"/>
        <w:right w:val="none" w:sz="0" w:space="0" w:color="auto"/>
      </w:divBdr>
      <w:divsChild>
        <w:div w:id="400911379">
          <w:marLeft w:val="0"/>
          <w:marRight w:val="0"/>
          <w:marTop w:val="0"/>
          <w:marBottom w:val="0"/>
          <w:divBdr>
            <w:top w:val="none" w:sz="0" w:space="0" w:color="auto"/>
            <w:left w:val="none" w:sz="0" w:space="0" w:color="auto"/>
            <w:bottom w:val="none" w:sz="0" w:space="0" w:color="auto"/>
            <w:right w:val="none" w:sz="0" w:space="0" w:color="auto"/>
          </w:divBdr>
          <w:divsChild>
            <w:div w:id="2066709306">
              <w:marLeft w:val="0"/>
              <w:marRight w:val="0"/>
              <w:marTop w:val="0"/>
              <w:marBottom w:val="0"/>
              <w:divBdr>
                <w:top w:val="none" w:sz="0" w:space="0" w:color="auto"/>
                <w:left w:val="none" w:sz="0" w:space="0" w:color="auto"/>
                <w:bottom w:val="none" w:sz="0" w:space="0" w:color="auto"/>
                <w:right w:val="none" w:sz="0" w:space="0" w:color="auto"/>
              </w:divBdr>
              <w:divsChild>
                <w:div w:id="1003818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600769">
      <w:bodyDiv w:val="1"/>
      <w:marLeft w:val="0"/>
      <w:marRight w:val="0"/>
      <w:marTop w:val="0"/>
      <w:marBottom w:val="0"/>
      <w:divBdr>
        <w:top w:val="none" w:sz="0" w:space="0" w:color="auto"/>
        <w:left w:val="none" w:sz="0" w:space="0" w:color="auto"/>
        <w:bottom w:val="none" w:sz="0" w:space="0" w:color="auto"/>
        <w:right w:val="none" w:sz="0" w:space="0" w:color="auto"/>
      </w:divBdr>
      <w:divsChild>
        <w:div w:id="1584026135">
          <w:marLeft w:val="0"/>
          <w:marRight w:val="0"/>
          <w:marTop w:val="0"/>
          <w:marBottom w:val="0"/>
          <w:divBdr>
            <w:top w:val="none" w:sz="0" w:space="0" w:color="auto"/>
            <w:left w:val="none" w:sz="0" w:space="0" w:color="auto"/>
            <w:bottom w:val="none" w:sz="0" w:space="0" w:color="auto"/>
            <w:right w:val="none" w:sz="0" w:space="0" w:color="auto"/>
          </w:divBdr>
          <w:divsChild>
            <w:div w:id="725026222">
              <w:marLeft w:val="0"/>
              <w:marRight w:val="0"/>
              <w:marTop w:val="0"/>
              <w:marBottom w:val="0"/>
              <w:divBdr>
                <w:top w:val="none" w:sz="0" w:space="0" w:color="auto"/>
                <w:left w:val="none" w:sz="0" w:space="0" w:color="auto"/>
                <w:bottom w:val="none" w:sz="0" w:space="0" w:color="auto"/>
                <w:right w:val="none" w:sz="0" w:space="0" w:color="auto"/>
              </w:divBdr>
              <w:divsChild>
                <w:div w:id="130751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951205">
      <w:bodyDiv w:val="1"/>
      <w:marLeft w:val="0"/>
      <w:marRight w:val="0"/>
      <w:marTop w:val="0"/>
      <w:marBottom w:val="0"/>
      <w:divBdr>
        <w:top w:val="none" w:sz="0" w:space="0" w:color="auto"/>
        <w:left w:val="none" w:sz="0" w:space="0" w:color="auto"/>
        <w:bottom w:val="none" w:sz="0" w:space="0" w:color="auto"/>
        <w:right w:val="none" w:sz="0" w:space="0" w:color="auto"/>
      </w:divBdr>
    </w:div>
    <w:div w:id="1350644661">
      <w:bodyDiv w:val="1"/>
      <w:marLeft w:val="0"/>
      <w:marRight w:val="0"/>
      <w:marTop w:val="0"/>
      <w:marBottom w:val="0"/>
      <w:divBdr>
        <w:top w:val="none" w:sz="0" w:space="0" w:color="auto"/>
        <w:left w:val="none" w:sz="0" w:space="0" w:color="auto"/>
        <w:bottom w:val="none" w:sz="0" w:space="0" w:color="auto"/>
        <w:right w:val="none" w:sz="0" w:space="0" w:color="auto"/>
      </w:divBdr>
      <w:divsChild>
        <w:div w:id="684135067">
          <w:marLeft w:val="0"/>
          <w:marRight w:val="0"/>
          <w:marTop w:val="0"/>
          <w:marBottom w:val="0"/>
          <w:divBdr>
            <w:top w:val="none" w:sz="0" w:space="0" w:color="auto"/>
            <w:left w:val="none" w:sz="0" w:space="0" w:color="auto"/>
            <w:bottom w:val="none" w:sz="0" w:space="0" w:color="auto"/>
            <w:right w:val="none" w:sz="0" w:space="0" w:color="auto"/>
          </w:divBdr>
          <w:divsChild>
            <w:div w:id="24018624">
              <w:marLeft w:val="0"/>
              <w:marRight w:val="0"/>
              <w:marTop w:val="0"/>
              <w:marBottom w:val="0"/>
              <w:divBdr>
                <w:top w:val="none" w:sz="0" w:space="0" w:color="auto"/>
                <w:left w:val="none" w:sz="0" w:space="0" w:color="auto"/>
                <w:bottom w:val="none" w:sz="0" w:space="0" w:color="auto"/>
                <w:right w:val="none" w:sz="0" w:space="0" w:color="auto"/>
              </w:divBdr>
              <w:divsChild>
                <w:div w:id="1678343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156659">
      <w:bodyDiv w:val="1"/>
      <w:marLeft w:val="0"/>
      <w:marRight w:val="0"/>
      <w:marTop w:val="0"/>
      <w:marBottom w:val="0"/>
      <w:divBdr>
        <w:top w:val="none" w:sz="0" w:space="0" w:color="auto"/>
        <w:left w:val="none" w:sz="0" w:space="0" w:color="auto"/>
        <w:bottom w:val="none" w:sz="0" w:space="0" w:color="auto"/>
        <w:right w:val="none" w:sz="0" w:space="0" w:color="auto"/>
      </w:divBdr>
    </w:div>
    <w:div w:id="1413622765">
      <w:bodyDiv w:val="1"/>
      <w:marLeft w:val="0"/>
      <w:marRight w:val="0"/>
      <w:marTop w:val="0"/>
      <w:marBottom w:val="0"/>
      <w:divBdr>
        <w:top w:val="none" w:sz="0" w:space="0" w:color="auto"/>
        <w:left w:val="none" w:sz="0" w:space="0" w:color="auto"/>
        <w:bottom w:val="none" w:sz="0" w:space="0" w:color="auto"/>
        <w:right w:val="none" w:sz="0" w:space="0" w:color="auto"/>
      </w:divBdr>
    </w:div>
    <w:div w:id="1432429146">
      <w:bodyDiv w:val="1"/>
      <w:marLeft w:val="0"/>
      <w:marRight w:val="0"/>
      <w:marTop w:val="0"/>
      <w:marBottom w:val="0"/>
      <w:divBdr>
        <w:top w:val="none" w:sz="0" w:space="0" w:color="auto"/>
        <w:left w:val="none" w:sz="0" w:space="0" w:color="auto"/>
        <w:bottom w:val="none" w:sz="0" w:space="0" w:color="auto"/>
        <w:right w:val="none" w:sz="0" w:space="0" w:color="auto"/>
      </w:divBdr>
      <w:divsChild>
        <w:div w:id="76290175">
          <w:marLeft w:val="0"/>
          <w:marRight w:val="0"/>
          <w:marTop w:val="0"/>
          <w:marBottom w:val="0"/>
          <w:divBdr>
            <w:top w:val="none" w:sz="0" w:space="0" w:color="auto"/>
            <w:left w:val="none" w:sz="0" w:space="0" w:color="auto"/>
            <w:bottom w:val="none" w:sz="0" w:space="0" w:color="auto"/>
            <w:right w:val="none" w:sz="0" w:space="0" w:color="auto"/>
          </w:divBdr>
          <w:divsChild>
            <w:div w:id="1689133502">
              <w:marLeft w:val="0"/>
              <w:marRight w:val="0"/>
              <w:marTop w:val="0"/>
              <w:marBottom w:val="0"/>
              <w:divBdr>
                <w:top w:val="none" w:sz="0" w:space="0" w:color="auto"/>
                <w:left w:val="none" w:sz="0" w:space="0" w:color="auto"/>
                <w:bottom w:val="none" w:sz="0" w:space="0" w:color="auto"/>
                <w:right w:val="none" w:sz="0" w:space="0" w:color="auto"/>
              </w:divBdr>
              <w:divsChild>
                <w:div w:id="210314565">
                  <w:marLeft w:val="0"/>
                  <w:marRight w:val="0"/>
                  <w:marTop w:val="0"/>
                  <w:marBottom w:val="0"/>
                  <w:divBdr>
                    <w:top w:val="none" w:sz="0" w:space="0" w:color="auto"/>
                    <w:left w:val="none" w:sz="0" w:space="0" w:color="auto"/>
                    <w:bottom w:val="none" w:sz="0" w:space="0" w:color="auto"/>
                    <w:right w:val="none" w:sz="0" w:space="0" w:color="auto"/>
                  </w:divBdr>
                  <w:divsChild>
                    <w:div w:id="834808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0616168">
      <w:bodyDiv w:val="1"/>
      <w:marLeft w:val="0"/>
      <w:marRight w:val="0"/>
      <w:marTop w:val="0"/>
      <w:marBottom w:val="0"/>
      <w:divBdr>
        <w:top w:val="none" w:sz="0" w:space="0" w:color="auto"/>
        <w:left w:val="none" w:sz="0" w:space="0" w:color="auto"/>
        <w:bottom w:val="none" w:sz="0" w:space="0" w:color="auto"/>
        <w:right w:val="none" w:sz="0" w:space="0" w:color="auto"/>
      </w:divBdr>
      <w:divsChild>
        <w:div w:id="216167958">
          <w:marLeft w:val="0"/>
          <w:marRight w:val="0"/>
          <w:marTop w:val="0"/>
          <w:marBottom w:val="0"/>
          <w:divBdr>
            <w:top w:val="none" w:sz="0" w:space="0" w:color="auto"/>
            <w:left w:val="none" w:sz="0" w:space="0" w:color="auto"/>
            <w:bottom w:val="none" w:sz="0" w:space="0" w:color="auto"/>
            <w:right w:val="none" w:sz="0" w:space="0" w:color="auto"/>
          </w:divBdr>
          <w:divsChild>
            <w:div w:id="1707561813">
              <w:marLeft w:val="0"/>
              <w:marRight w:val="0"/>
              <w:marTop w:val="0"/>
              <w:marBottom w:val="0"/>
              <w:divBdr>
                <w:top w:val="none" w:sz="0" w:space="0" w:color="auto"/>
                <w:left w:val="none" w:sz="0" w:space="0" w:color="auto"/>
                <w:bottom w:val="none" w:sz="0" w:space="0" w:color="auto"/>
                <w:right w:val="none" w:sz="0" w:space="0" w:color="auto"/>
              </w:divBdr>
              <w:divsChild>
                <w:div w:id="99426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20474">
      <w:bodyDiv w:val="1"/>
      <w:marLeft w:val="0"/>
      <w:marRight w:val="0"/>
      <w:marTop w:val="0"/>
      <w:marBottom w:val="0"/>
      <w:divBdr>
        <w:top w:val="none" w:sz="0" w:space="0" w:color="auto"/>
        <w:left w:val="none" w:sz="0" w:space="0" w:color="auto"/>
        <w:bottom w:val="none" w:sz="0" w:space="0" w:color="auto"/>
        <w:right w:val="none" w:sz="0" w:space="0" w:color="auto"/>
      </w:divBdr>
    </w:div>
    <w:div w:id="1508864673">
      <w:bodyDiv w:val="1"/>
      <w:marLeft w:val="0"/>
      <w:marRight w:val="0"/>
      <w:marTop w:val="0"/>
      <w:marBottom w:val="0"/>
      <w:divBdr>
        <w:top w:val="none" w:sz="0" w:space="0" w:color="auto"/>
        <w:left w:val="none" w:sz="0" w:space="0" w:color="auto"/>
        <w:bottom w:val="none" w:sz="0" w:space="0" w:color="auto"/>
        <w:right w:val="none" w:sz="0" w:space="0" w:color="auto"/>
      </w:divBdr>
      <w:divsChild>
        <w:div w:id="1104810544">
          <w:marLeft w:val="0"/>
          <w:marRight w:val="0"/>
          <w:marTop w:val="0"/>
          <w:marBottom w:val="0"/>
          <w:divBdr>
            <w:top w:val="none" w:sz="0" w:space="0" w:color="auto"/>
            <w:left w:val="none" w:sz="0" w:space="0" w:color="auto"/>
            <w:bottom w:val="none" w:sz="0" w:space="0" w:color="auto"/>
            <w:right w:val="none" w:sz="0" w:space="0" w:color="auto"/>
          </w:divBdr>
          <w:divsChild>
            <w:div w:id="1978339094">
              <w:marLeft w:val="0"/>
              <w:marRight w:val="0"/>
              <w:marTop w:val="0"/>
              <w:marBottom w:val="0"/>
              <w:divBdr>
                <w:top w:val="none" w:sz="0" w:space="0" w:color="auto"/>
                <w:left w:val="none" w:sz="0" w:space="0" w:color="auto"/>
                <w:bottom w:val="none" w:sz="0" w:space="0" w:color="auto"/>
                <w:right w:val="none" w:sz="0" w:space="0" w:color="auto"/>
              </w:divBdr>
              <w:divsChild>
                <w:div w:id="2088573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300880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6609097">
      <w:bodyDiv w:val="1"/>
      <w:marLeft w:val="0"/>
      <w:marRight w:val="0"/>
      <w:marTop w:val="0"/>
      <w:marBottom w:val="0"/>
      <w:divBdr>
        <w:top w:val="none" w:sz="0" w:space="0" w:color="auto"/>
        <w:left w:val="none" w:sz="0" w:space="0" w:color="auto"/>
        <w:bottom w:val="none" w:sz="0" w:space="0" w:color="auto"/>
        <w:right w:val="none" w:sz="0" w:space="0" w:color="auto"/>
      </w:divBdr>
      <w:divsChild>
        <w:div w:id="1763918535">
          <w:marLeft w:val="0"/>
          <w:marRight w:val="0"/>
          <w:marTop w:val="0"/>
          <w:marBottom w:val="0"/>
          <w:divBdr>
            <w:top w:val="none" w:sz="0" w:space="0" w:color="auto"/>
            <w:left w:val="none" w:sz="0" w:space="0" w:color="auto"/>
            <w:bottom w:val="none" w:sz="0" w:space="0" w:color="auto"/>
            <w:right w:val="none" w:sz="0" w:space="0" w:color="auto"/>
          </w:divBdr>
          <w:divsChild>
            <w:div w:id="1642156557">
              <w:marLeft w:val="0"/>
              <w:marRight w:val="0"/>
              <w:marTop w:val="0"/>
              <w:marBottom w:val="0"/>
              <w:divBdr>
                <w:top w:val="none" w:sz="0" w:space="0" w:color="auto"/>
                <w:left w:val="none" w:sz="0" w:space="0" w:color="auto"/>
                <w:bottom w:val="none" w:sz="0" w:space="0" w:color="auto"/>
                <w:right w:val="none" w:sz="0" w:space="0" w:color="auto"/>
              </w:divBdr>
              <w:divsChild>
                <w:div w:id="1010179330">
                  <w:marLeft w:val="0"/>
                  <w:marRight w:val="0"/>
                  <w:marTop w:val="0"/>
                  <w:marBottom w:val="0"/>
                  <w:divBdr>
                    <w:top w:val="none" w:sz="0" w:space="0" w:color="auto"/>
                    <w:left w:val="none" w:sz="0" w:space="0" w:color="auto"/>
                    <w:bottom w:val="none" w:sz="0" w:space="0" w:color="auto"/>
                    <w:right w:val="none" w:sz="0" w:space="0" w:color="auto"/>
                  </w:divBdr>
                  <w:divsChild>
                    <w:div w:id="1333875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987245">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15712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investigation/working-victims-and-witnesses" TargetMode="External"/><Relationship Id="rId26" Type="http://schemas.openxmlformats.org/officeDocument/2006/relationships/hyperlink" Target="https://www.ons.gov.uk/peoplepopulationandcommunity/crimeandjustice/articles/sexualoffencesvictimcharacteristicsenglandandwales/yearendingmarch2022" TargetMode="External"/><Relationship Id="rId3" Type="http://schemas.openxmlformats.org/officeDocument/2006/relationships/customXml" Target="../customXml/item3.xml"/><Relationship Id="rId21" Type="http://schemas.openxmlformats.org/officeDocument/2006/relationships/hyperlink" Target="https://www.legislation.gov.uk/ukpga/1967/58/contents"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assets.college.police.uk/s3fs-public/2023-04/Briefing-note-for-police-first-responders-to-a-rape-or-sexual-assault.pdf" TargetMode="External"/><Relationship Id="rId25" Type="http://schemas.openxmlformats.org/officeDocument/2006/relationships/hyperlink" Target="https://assets.publishing.service.gov.uk/government/uploads/system/uploads/attachment_data/file/447967/code-of-practice-approved.pdf" TargetMode="External"/><Relationship Id="rId33" Type="http://schemas.openxmlformats.org/officeDocument/2006/relationships/fontTable" Target="fontTable.xml"/><Relationship Id="R5b5bfbccfd8c497b"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s://paas-s3-broker-prod-lon-6453d964-1d1a-432a-9260-5e0ba7d2fc51.s3.eu-west-2.amazonaws.com/s3fs-public/Recognising-responding-vulnerability-related-risks-guidelines.pdf" TargetMode="External"/><Relationship Id="rId20" Type="http://schemas.openxmlformats.org/officeDocument/2006/relationships/hyperlink" Target="https://www.legislation.gov.uk/ukpga/1996/25/contents" TargetMode="External"/><Relationship Id="rId29" Type="http://schemas.openxmlformats.org/officeDocument/2006/relationships/hyperlink" Target="https://www.cps.gov.uk/legal-guidance/special-measur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gislation.gov.uk/ukpga/1998/42/contents" TargetMode="External"/><Relationship Id="rId32" Type="http://schemas.openxmlformats.org/officeDocument/2006/relationships/hyperlink" Target="https://www.legislation.gov.uk/ukpga/1999/23/section/17"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essex.police.uk/foi-ai/essex-police/other-information/previous-foi-requests/predictive-policing/" TargetMode="External"/><Relationship Id="rId28" Type="http://schemas.openxmlformats.org/officeDocument/2006/relationships/hyperlink" Target="https://www.legislation.gov.uk/ukpga/1996/25/contents" TargetMode="External"/><Relationship Id="rId10" Type="http://schemas.openxmlformats.org/officeDocument/2006/relationships/endnotes" Target="endnotes.xml"/><Relationship Id="rId19" Type="http://schemas.openxmlformats.org/officeDocument/2006/relationships/hyperlink" Target="https://www.college.police.uk/guidance/vulnerability-related-risks/introduction-vulnerability-related-risk#:~:text=exploited%20or%20abused.-,THRIVE,others%20from%20harm%20or%20exploitation" TargetMode="External"/><Relationship Id="rId31" Type="http://schemas.openxmlformats.org/officeDocument/2006/relationships/hyperlink" Target="https://committees.parliament.uk/writtenevidence/94890/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legislation.gov.uk/ukpga/2018/12/contents/enacted" TargetMode="External"/><Relationship Id="rId27" Type="http://schemas.openxmlformats.org/officeDocument/2006/relationships/hyperlink" Target="https://www.police.uk/pu/your-area/south-wales-police/cardiff/" TargetMode="External"/><Relationship Id="rId30" Type="http://schemas.openxmlformats.org/officeDocument/2006/relationships/hyperlink" Target="https://fflm.ac.uk/wp-content/uploads/2015/10/Recommendations-for-the-collection-of-forensic-specimens-from.pdf"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F70D221C-F4FC-1F4D-A436-3D8D4CBDE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7691</Words>
  <Characters>43842</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Mohamed W (FLSE)</cp:lastModifiedBy>
  <cp:revision>2</cp:revision>
  <cp:lastPrinted>2014-08-26T08:55:00Z</cp:lastPrinted>
  <dcterms:created xsi:type="dcterms:W3CDTF">2023-06-19T17:22:00Z</dcterms:created>
  <dcterms:modified xsi:type="dcterms:W3CDTF">2023-06-19T17:22:00Z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