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9D2E01" w14:textId="77777777" w:rsidR="00D305F8" w:rsidRPr="00D305F8" w:rsidRDefault="00D305F8" w:rsidP="00D305F8">
      <w:pPr>
        <w:spacing w:line="360" w:lineRule="auto"/>
        <w:jc w:val="both"/>
        <w:rPr>
          <w:sz w:val="24"/>
          <w:szCs w:val="24"/>
          <w:lang w:val="en-US"/>
        </w:rPr>
      </w:pPr>
      <w:r w:rsidRPr="00D305F8">
        <w:rPr>
          <w:noProof/>
          <w:sz w:val="24"/>
          <w:szCs w:val="24"/>
          <w:lang w:val="en-US"/>
        </w:rPr>
        <w:drawing>
          <wp:inline distT="0" distB="0" distL="0" distR="0" wp14:anchorId="198DB217" wp14:editId="224095CC">
            <wp:extent cx="2209992" cy="853514"/>
            <wp:effectExtent l="0" t="0" r="0" b="3810"/>
            <wp:docPr id="864347065"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47065" name="Picture 1" descr="A close-up of black text&#10;&#10;Description automatically generated"/>
                    <pic:cNvPicPr/>
                  </pic:nvPicPr>
                  <pic:blipFill>
                    <a:blip r:embed="rId8"/>
                    <a:stretch>
                      <a:fillRect/>
                    </a:stretch>
                  </pic:blipFill>
                  <pic:spPr>
                    <a:xfrm>
                      <a:off x="0" y="0"/>
                      <a:ext cx="2209992" cy="853514"/>
                    </a:xfrm>
                    <a:prstGeom prst="rect">
                      <a:avLst/>
                    </a:prstGeom>
                  </pic:spPr>
                </pic:pic>
              </a:graphicData>
            </a:graphic>
          </wp:inline>
        </w:drawing>
      </w:r>
    </w:p>
    <w:p w14:paraId="5FB1C88D" w14:textId="0C0C38F9" w:rsidR="00505607" w:rsidRPr="00226168" w:rsidRDefault="002B325D" w:rsidP="009B641E">
      <w:pPr>
        <w:spacing w:line="360" w:lineRule="auto"/>
        <w:rPr>
          <w:b/>
          <w:bCs/>
          <w:sz w:val="28"/>
          <w:szCs w:val="28"/>
          <w:lang w:val="en-US"/>
        </w:rPr>
      </w:pPr>
      <w:r w:rsidRPr="00711DB2">
        <w:rPr>
          <w:b/>
          <w:bCs/>
          <w:sz w:val="32"/>
          <w:szCs w:val="32"/>
          <w:lang w:val="en-US"/>
        </w:rPr>
        <w:t>Strategic Management</w:t>
      </w:r>
      <w:r w:rsidR="00711DB2">
        <w:rPr>
          <w:b/>
          <w:bCs/>
          <w:sz w:val="32"/>
          <w:szCs w:val="32"/>
          <w:lang w:val="en-US"/>
        </w:rPr>
        <w:t xml:space="preserve">      </w:t>
      </w:r>
      <w:r w:rsidR="00226168">
        <w:rPr>
          <w:b/>
          <w:bCs/>
          <w:sz w:val="32"/>
          <w:szCs w:val="32"/>
          <w:lang w:val="en-US"/>
        </w:rPr>
        <w:t xml:space="preserve">   </w:t>
      </w:r>
      <w:r w:rsidRPr="00711DB2">
        <w:rPr>
          <w:b/>
          <w:bCs/>
          <w:sz w:val="32"/>
          <w:szCs w:val="32"/>
          <w:lang w:val="en-US"/>
        </w:rPr>
        <w:t>and</w:t>
      </w:r>
      <w:r w:rsidR="00505607" w:rsidRPr="00711DB2">
        <w:rPr>
          <w:b/>
          <w:bCs/>
          <w:sz w:val="32"/>
          <w:szCs w:val="32"/>
          <w:lang w:val="en-US"/>
        </w:rPr>
        <w:t xml:space="preserve"> </w:t>
      </w:r>
      <w:r w:rsidRPr="00711DB2">
        <w:rPr>
          <w:b/>
          <w:bCs/>
          <w:sz w:val="32"/>
          <w:szCs w:val="32"/>
          <w:lang w:val="en-US"/>
        </w:rPr>
        <w:t xml:space="preserve"> Sustainability</w:t>
      </w:r>
    </w:p>
    <w:p w14:paraId="654C75AF" w14:textId="2E5CD391" w:rsidR="00D305F8" w:rsidRDefault="00505607" w:rsidP="00D305F8">
      <w:pPr>
        <w:spacing w:line="360" w:lineRule="auto"/>
        <w:jc w:val="both"/>
        <w:rPr>
          <w:sz w:val="24"/>
          <w:szCs w:val="24"/>
          <w:lang w:val="en-US"/>
        </w:rPr>
      </w:pPr>
      <w:r>
        <w:rPr>
          <w:sz w:val="24"/>
          <w:szCs w:val="24"/>
          <w:lang w:val="en-US"/>
        </w:rPr>
        <w:t xml:space="preserve">                        </w:t>
      </w:r>
      <w:r w:rsidR="002B325D">
        <w:rPr>
          <w:sz w:val="24"/>
          <w:szCs w:val="24"/>
          <w:lang w:val="en-US"/>
        </w:rPr>
        <w:t>(LCBB6004)</w:t>
      </w:r>
    </w:p>
    <w:p w14:paraId="60AB9951" w14:textId="77777777" w:rsidR="00CF6EF8" w:rsidRPr="00D305F8" w:rsidRDefault="00CF6EF8" w:rsidP="00D305F8">
      <w:pPr>
        <w:spacing w:line="360" w:lineRule="auto"/>
        <w:jc w:val="both"/>
        <w:rPr>
          <w:sz w:val="24"/>
          <w:szCs w:val="24"/>
          <w:lang w:val="en-US"/>
        </w:rPr>
      </w:pPr>
    </w:p>
    <w:p w14:paraId="414BB216" w14:textId="77777777" w:rsidR="00D305F8" w:rsidRPr="00D305F8" w:rsidRDefault="00D305F8" w:rsidP="00D305F8">
      <w:pPr>
        <w:spacing w:line="360" w:lineRule="auto"/>
        <w:jc w:val="both"/>
        <w:rPr>
          <w:sz w:val="24"/>
          <w:szCs w:val="24"/>
          <w:lang w:val="en-US"/>
        </w:rPr>
      </w:pPr>
    </w:p>
    <w:p w14:paraId="0FFBC4F8" w14:textId="77777777" w:rsidR="00D305F8" w:rsidRPr="00D305F8" w:rsidRDefault="00D305F8" w:rsidP="00D305F8">
      <w:pPr>
        <w:spacing w:line="360" w:lineRule="auto"/>
        <w:jc w:val="both"/>
        <w:rPr>
          <w:sz w:val="24"/>
          <w:szCs w:val="24"/>
          <w:lang w:val="en-US"/>
        </w:rPr>
      </w:pPr>
    </w:p>
    <w:p w14:paraId="48C022CE" w14:textId="77777777" w:rsidR="00D305F8" w:rsidRPr="00D305F8" w:rsidRDefault="00D305F8" w:rsidP="00D305F8">
      <w:pPr>
        <w:spacing w:line="360" w:lineRule="auto"/>
        <w:jc w:val="both"/>
        <w:rPr>
          <w:rFonts w:ascii="Arial" w:hAnsi="Arial" w:cs="Arial"/>
          <w:sz w:val="24"/>
          <w:szCs w:val="24"/>
          <w:lang w:val="en-US"/>
        </w:rPr>
      </w:pPr>
    </w:p>
    <w:p w14:paraId="0E0401F8" w14:textId="33AFB494" w:rsidR="00D305F8" w:rsidRPr="00D305F8" w:rsidRDefault="00D305F8" w:rsidP="00D305F8">
      <w:pPr>
        <w:spacing w:line="360" w:lineRule="auto"/>
        <w:jc w:val="center"/>
        <w:rPr>
          <w:rFonts w:ascii="Arial" w:hAnsi="Arial" w:cs="Arial"/>
          <w:b/>
          <w:bCs/>
          <w:sz w:val="24"/>
          <w:szCs w:val="24"/>
          <w:lang w:val="en-US"/>
        </w:rPr>
      </w:pPr>
      <w:r w:rsidRPr="00D305F8">
        <w:rPr>
          <w:rFonts w:ascii="Arial" w:hAnsi="Arial" w:cs="Arial"/>
          <w:b/>
          <w:bCs/>
          <w:sz w:val="24"/>
          <w:szCs w:val="24"/>
          <w:lang w:val="en-US"/>
        </w:rPr>
        <w:t>Student name:</w:t>
      </w:r>
      <w:r w:rsidR="00927767">
        <w:rPr>
          <w:rFonts w:ascii="Arial" w:hAnsi="Arial" w:cs="Arial"/>
          <w:b/>
          <w:bCs/>
          <w:sz w:val="24"/>
          <w:szCs w:val="24"/>
          <w:lang w:val="en-US"/>
        </w:rPr>
        <w:t xml:space="preserve">Elitsa Ivanova </w:t>
      </w:r>
    </w:p>
    <w:p w14:paraId="58229F25" w14:textId="587F961A" w:rsidR="004A0CFF" w:rsidRDefault="00941456" w:rsidP="00927767">
      <w:pPr>
        <w:spacing w:line="360" w:lineRule="auto"/>
        <w:rPr>
          <w:rFonts w:ascii="Arial" w:hAnsi="Arial" w:cs="Arial"/>
          <w:b/>
          <w:bCs/>
          <w:sz w:val="24"/>
          <w:szCs w:val="24"/>
          <w:lang w:val="en-US"/>
        </w:rPr>
      </w:pPr>
      <w:r>
        <w:rPr>
          <w:rFonts w:ascii="Arial" w:hAnsi="Arial" w:cs="Arial"/>
          <w:b/>
          <w:bCs/>
          <w:sz w:val="24"/>
          <w:szCs w:val="24"/>
          <w:lang w:val="en-US"/>
        </w:rPr>
        <w:t xml:space="preserve">  </w:t>
      </w:r>
      <w:r w:rsidR="00927767">
        <w:rPr>
          <w:rFonts w:ascii="Arial" w:hAnsi="Arial" w:cs="Arial"/>
          <w:b/>
          <w:bCs/>
          <w:sz w:val="24"/>
          <w:szCs w:val="24"/>
          <w:lang w:val="en-US"/>
        </w:rPr>
        <w:t>Student ID</w:t>
      </w:r>
      <w:r>
        <w:rPr>
          <w:rFonts w:ascii="Arial" w:hAnsi="Arial" w:cs="Arial"/>
          <w:b/>
          <w:bCs/>
          <w:sz w:val="24"/>
          <w:szCs w:val="24"/>
          <w:lang w:val="en-US"/>
        </w:rPr>
        <w:t>:2123375</w:t>
      </w:r>
    </w:p>
    <w:p w14:paraId="035DF79C" w14:textId="77777777" w:rsidR="00941456" w:rsidRDefault="00941456" w:rsidP="00927767">
      <w:pPr>
        <w:spacing w:line="360" w:lineRule="auto"/>
        <w:rPr>
          <w:rFonts w:ascii="Arial" w:hAnsi="Arial" w:cs="Arial"/>
          <w:b/>
          <w:bCs/>
          <w:sz w:val="24"/>
          <w:szCs w:val="24"/>
          <w:lang w:val="en-US"/>
        </w:rPr>
      </w:pPr>
    </w:p>
    <w:p w14:paraId="21026290" w14:textId="77777777" w:rsidR="00941456" w:rsidRDefault="00941456" w:rsidP="00927767">
      <w:pPr>
        <w:spacing w:line="360" w:lineRule="auto"/>
        <w:rPr>
          <w:rFonts w:ascii="Arial" w:hAnsi="Arial" w:cs="Arial"/>
          <w:b/>
          <w:bCs/>
          <w:sz w:val="24"/>
          <w:szCs w:val="24"/>
          <w:lang w:val="en-US"/>
        </w:rPr>
      </w:pPr>
    </w:p>
    <w:p w14:paraId="045579BE" w14:textId="77777777" w:rsidR="00847DF5" w:rsidRDefault="00847DF5" w:rsidP="00927767">
      <w:pPr>
        <w:spacing w:line="360" w:lineRule="auto"/>
        <w:rPr>
          <w:rFonts w:ascii="Arial" w:hAnsi="Arial" w:cs="Arial"/>
          <w:b/>
          <w:bCs/>
          <w:sz w:val="24"/>
          <w:szCs w:val="24"/>
          <w:lang w:val="en-US"/>
        </w:rPr>
      </w:pPr>
    </w:p>
    <w:p w14:paraId="5AF13691" w14:textId="77777777" w:rsidR="00941456" w:rsidRPr="0083137D" w:rsidRDefault="00941456" w:rsidP="00927767">
      <w:pPr>
        <w:spacing w:line="360" w:lineRule="auto"/>
        <w:rPr>
          <w:rFonts w:ascii="Arial" w:hAnsi="Arial" w:cs="Arial"/>
          <w:b/>
          <w:bCs/>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40673512"/>
        <w:docPartObj>
          <w:docPartGallery w:val="Table of Contents"/>
          <w:docPartUnique/>
        </w:docPartObj>
      </w:sdtPr>
      <w:sdtEndPr>
        <w:rPr>
          <w:b/>
          <w:bCs/>
          <w:noProof/>
        </w:rPr>
      </w:sdtEndPr>
      <w:sdtContent>
        <w:p w14:paraId="02AA119B" w14:textId="401CDA17" w:rsidR="004A0CFF" w:rsidRPr="004A0CFF" w:rsidRDefault="004A0CFF" w:rsidP="004A0CFF">
          <w:pPr>
            <w:pStyle w:val="af5"/>
            <w:spacing w:after="240" w:line="480" w:lineRule="auto"/>
            <w:jc w:val="both"/>
            <w:rPr>
              <w:rFonts w:ascii="Arial" w:hAnsi="Arial" w:cs="Arial"/>
              <w:b/>
              <w:bCs/>
              <w:sz w:val="28"/>
              <w:szCs w:val="28"/>
            </w:rPr>
          </w:pPr>
          <w:r w:rsidRPr="004A0CFF">
            <w:rPr>
              <w:rFonts w:ascii="Arial" w:hAnsi="Arial" w:cs="Arial"/>
              <w:b/>
              <w:bCs/>
              <w:sz w:val="28"/>
              <w:szCs w:val="28"/>
            </w:rPr>
            <w:t>Table of Contents</w:t>
          </w:r>
        </w:p>
        <w:p w14:paraId="0C6E1E83" w14:textId="7BDA5CBE" w:rsidR="004A0CFF" w:rsidRPr="004A0CFF" w:rsidRDefault="004A0CFF" w:rsidP="004A0CFF">
          <w:pPr>
            <w:pStyle w:val="11"/>
            <w:tabs>
              <w:tab w:val="right" w:leader="dot" w:pos="9062"/>
            </w:tabs>
            <w:spacing w:after="240" w:line="480" w:lineRule="auto"/>
            <w:jc w:val="both"/>
            <w:rPr>
              <w:rFonts w:ascii="Arial" w:hAnsi="Arial" w:cs="Arial"/>
              <w:noProof/>
              <w:sz w:val="24"/>
              <w:szCs w:val="24"/>
            </w:rPr>
          </w:pPr>
          <w:r w:rsidRPr="004A0CFF">
            <w:rPr>
              <w:rFonts w:ascii="Arial" w:hAnsi="Arial" w:cs="Arial"/>
            </w:rPr>
            <w:fldChar w:fldCharType="begin"/>
          </w:r>
          <w:r w:rsidRPr="004A0CFF">
            <w:rPr>
              <w:rFonts w:ascii="Arial" w:hAnsi="Arial" w:cs="Arial"/>
            </w:rPr>
            <w:instrText xml:space="preserve"> TOC \o "1-3" \h \z \u </w:instrText>
          </w:r>
          <w:r w:rsidRPr="004A0CFF">
            <w:rPr>
              <w:rFonts w:ascii="Arial" w:hAnsi="Arial" w:cs="Arial"/>
            </w:rPr>
            <w:fldChar w:fldCharType="separate"/>
          </w:r>
          <w:hyperlink w:anchor="_Toc175582853" w:history="1">
            <w:r w:rsidRPr="004A0CFF">
              <w:rPr>
                <w:rStyle w:val="af2"/>
                <w:rFonts w:ascii="Arial" w:hAnsi="Arial" w:cs="Arial"/>
                <w:noProof/>
                <w:sz w:val="24"/>
                <w:szCs w:val="24"/>
                <w:lang w:val="en-US"/>
              </w:rPr>
              <w:t>Introduction</w:t>
            </w:r>
            <w:r w:rsidRPr="004A0CFF">
              <w:rPr>
                <w:rFonts w:ascii="Arial" w:hAnsi="Arial" w:cs="Arial"/>
                <w:noProof/>
                <w:webHidden/>
                <w:sz w:val="24"/>
                <w:szCs w:val="24"/>
              </w:rPr>
              <w:tab/>
            </w:r>
            <w:r w:rsidRPr="004A0CFF">
              <w:rPr>
                <w:rFonts w:ascii="Arial" w:hAnsi="Arial" w:cs="Arial"/>
                <w:noProof/>
                <w:webHidden/>
                <w:sz w:val="24"/>
                <w:szCs w:val="24"/>
              </w:rPr>
              <w:fldChar w:fldCharType="begin"/>
            </w:r>
            <w:r w:rsidRPr="004A0CFF">
              <w:rPr>
                <w:rFonts w:ascii="Arial" w:hAnsi="Arial" w:cs="Arial"/>
                <w:noProof/>
                <w:webHidden/>
                <w:sz w:val="24"/>
                <w:szCs w:val="24"/>
              </w:rPr>
              <w:instrText xml:space="preserve"> PAGEREF _Toc175582853 \h </w:instrText>
            </w:r>
            <w:r w:rsidRPr="004A0CFF">
              <w:rPr>
                <w:rFonts w:ascii="Arial" w:hAnsi="Arial" w:cs="Arial"/>
                <w:noProof/>
                <w:webHidden/>
                <w:sz w:val="24"/>
                <w:szCs w:val="24"/>
              </w:rPr>
            </w:r>
            <w:r w:rsidRPr="004A0CFF">
              <w:rPr>
                <w:rFonts w:ascii="Arial" w:hAnsi="Arial" w:cs="Arial"/>
                <w:noProof/>
                <w:webHidden/>
                <w:sz w:val="24"/>
                <w:szCs w:val="24"/>
              </w:rPr>
              <w:fldChar w:fldCharType="separate"/>
            </w:r>
            <w:r w:rsidR="00960ECD">
              <w:rPr>
                <w:rFonts w:ascii="Arial" w:hAnsi="Arial" w:cs="Arial"/>
                <w:noProof/>
                <w:webHidden/>
                <w:sz w:val="24"/>
                <w:szCs w:val="24"/>
              </w:rPr>
              <w:t>3</w:t>
            </w:r>
            <w:r w:rsidRPr="004A0CFF">
              <w:rPr>
                <w:rFonts w:ascii="Arial" w:hAnsi="Arial" w:cs="Arial"/>
                <w:noProof/>
                <w:webHidden/>
                <w:sz w:val="24"/>
                <w:szCs w:val="24"/>
              </w:rPr>
              <w:fldChar w:fldCharType="end"/>
            </w:r>
          </w:hyperlink>
        </w:p>
        <w:p w14:paraId="77955211" w14:textId="3A32AB8A"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54" w:history="1">
            <w:r w:rsidR="004A0CFF" w:rsidRPr="004A0CFF">
              <w:rPr>
                <w:rStyle w:val="af2"/>
                <w:rFonts w:ascii="Arial" w:hAnsi="Arial" w:cs="Arial"/>
                <w:noProof/>
                <w:sz w:val="24"/>
                <w:szCs w:val="24"/>
                <w:lang w:val="en-US"/>
              </w:rPr>
              <w:t>Corporate and business strategy of AZ</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_Toc175582854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3</w:t>
            </w:r>
            <w:r w:rsidR="004A0CFF" w:rsidRPr="004A0CFF">
              <w:rPr>
                <w:rFonts w:ascii="Arial" w:hAnsi="Arial" w:cs="Arial"/>
                <w:noProof/>
                <w:webHidden/>
                <w:sz w:val="24"/>
                <w:szCs w:val="24"/>
              </w:rPr>
              <w:fldChar w:fldCharType="end"/>
            </w:r>
          </w:hyperlink>
        </w:p>
        <w:p w14:paraId="367A4525" w14:textId="2123939B"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55" w:history="1">
            <w:r w:rsidR="004A0CFF" w:rsidRPr="004A0CFF">
              <w:rPr>
                <w:rStyle w:val="af2"/>
                <w:rFonts w:ascii="Arial" w:hAnsi="Arial" w:cs="Arial"/>
                <w:noProof/>
                <w:sz w:val="24"/>
                <w:szCs w:val="24"/>
                <w:lang w:val="en-US"/>
              </w:rPr>
              <w:t>AZ’s resources and capabilities</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_Toc175582855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5</w:t>
            </w:r>
            <w:r w:rsidR="004A0CFF" w:rsidRPr="004A0CFF">
              <w:rPr>
                <w:rFonts w:ascii="Arial" w:hAnsi="Arial" w:cs="Arial"/>
                <w:noProof/>
                <w:webHidden/>
                <w:sz w:val="24"/>
                <w:szCs w:val="24"/>
              </w:rPr>
              <w:fldChar w:fldCharType="end"/>
            </w:r>
          </w:hyperlink>
        </w:p>
        <w:p w14:paraId="0BBB76BC" w14:textId="44E95184"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56" w:history="1">
            <w:r w:rsidR="004A0CFF" w:rsidRPr="004A0CFF">
              <w:rPr>
                <w:rStyle w:val="af2"/>
                <w:rFonts w:ascii="Arial" w:hAnsi="Arial" w:cs="Arial"/>
                <w:noProof/>
                <w:sz w:val="24"/>
                <w:szCs w:val="24"/>
                <w:lang w:val="en-US"/>
              </w:rPr>
              <w:t>Strategic performance evaluation of AZ</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_Toc175582856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7</w:t>
            </w:r>
            <w:r w:rsidR="004A0CFF" w:rsidRPr="004A0CFF">
              <w:rPr>
                <w:rFonts w:ascii="Arial" w:hAnsi="Arial" w:cs="Arial"/>
                <w:noProof/>
                <w:webHidden/>
                <w:sz w:val="24"/>
                <w:szCs w:val="24"/>
              </w:rPr>
              <w:fldChar w:fldCharType="end"/>
            </w:r>
          </w:hyperlink>
        </w:p>
        <w:p w14:paraId="31C6B90E" w14:textId="179BE26C"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57" w:history="1">
            <w:r w:rsidR="004A0CFF" w:rsidRPr="004A0CFF">
              <w:rPr>
                <w:rStyle w:val="af2"/>
                <w:rFonts w:ascii="Arial" w:hAnsi="Arial" w:cs="Arial"/>
                <w:noProof/>
                <w:sz w:val="24"/>
                <w:szCs w:val="24"/>
                <w:lang w:val="en-US"/>
              </w:rPr>
              <w:t>Sustainability and the environment for competitiveness</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_Toc175582857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10</w:t>
            </w:r>
            <w:r w:rsidR="004A0CFF" w:rsidRPr="004A0CFF">
              <w:rPr>
                <w:rFonts w:ascii="Arial" w:hAnsi="Arial" w:cs="Arial"/>
                <w:noProof/>
                <w:webHidden/>
                <w:sz w:val="24"/>
                <w:szCs w:val="24"/>
              </w:rPr>
              <w:fldChar w:fldCharType="end"/>
            </w:r>
          </w:hyperlink>
        </w:p>
        <w:p w14:paraId="2FB60EC0" w14:textId="7E05C60A"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58" w:history="1">
            <w:r w:rsidR="004A0CFF" w:rsidRPr="004A0CFF">
              <w:rPr>
                <w:rStyle w:val="af2"/>
                <w:rFonts w:ascii="Arial" w:hAnsi="Arial" w:cs="Arial"/>
                <w:noProof/>
                <w:sz w:val="24"/>
                <w:szCs w:val="24"/>
                <w:lang w:val="en-US"/>
              </w:rPr>
              <w:t>Strategic choices for future development</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_Toc175582858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12</w:t>
            </w:r>
            <w:r w:rsidR="004A0CFF" w:rsidRPr="004A0CFF">
              <w:rPr>
                <w:rFonts w:ascii="Arial" w:hAnsi="Arial" w:cs="Arial"/>
                <w:noProof/>
                <w:webHidden/>
                <w:sz w:val="24"/>
                <w:szCs w:val="24"/>
              </w:rPr>
              <w:fldChar w:fldCharType="end"/>
            </w:r>
          </w:hyperlink>
        </w:p>
        <w:p w14:paraId="7660AC38" w14:textId="079F69DF"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59" w:history="1">
            <w:r w:rsidR="004A0CFF" w:rsidRPr="004A0CFF">
              <w:rPr>
                <w:rStyle w:val="af2"/>
                <w:rFonts w:ascii="Arial" w:hAnsi="Arial" w:cs="Arial"/>
                <w:noProof/>
                <w:sz w:val="24"/>
                <w:szCs w:val="24"/>
                <w:lang w:val="en-US"/>
              </w:rPr>
              <w:t>Conclusion</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_Toc175582859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13</w:t>
            </w:r>
            <w:r w:rsidR="004A0CFF" w:rsidRPr="004A0CFF">
              <w:rPr>
                <w:rFonts w:ascii="Arial" w:hAnsi="Arial" w:cs="Arial"/>
                <w:noProof/>
                <w:webHidden/>
                <w:sz w:val="24"/>
                <w:szCs w:val="24"/>
              </w:rPr>
              <w:fldChar w:fldCharType="end"/>
            </w:r>
          </w:hyperlink>
        </w:p>
        <w:p w14:paraId="75BBE3B1" w14:textId="554B17DE"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60" w:history="1">
            <w:r w:rsidR="004A0CFF" w:rsidRPr="004A0CFF">
              <w:rPr>
                <w:rStyle w:val="af2"/>
                <w:rFonts w:ascii="Arial" w:hAnsi="Arial" w:cs="Arial"/>
                <w:noProof/>
                <w:sz w:val="24"/>
                <w:szCs w:val="24"/>
                <w:lang w:val="en-US"/>
              </w:rPr>
              <w:t>References</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_Toc175582860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14</w:t>
            </w:r>
            <w:r w:rsidR="004A0CFF" w:rsidRPr="004A0CFF">
              <w:rPr>
                <w:rFonts w:ascii="Arial" w:hAnsi="Arial" w:cs="Arial"/>
                <w:noProof/>
                <w:webHidden/>
                <w:sz w:val="24"/>
                <w:szCs w:val="24"/>
              </w:rPr>
              <w:fldChar w:fldCharType="end"/>
            </w:r>
          </w:hyperlink>
        </w:p>
        <w:p w14:paraId="441AE72D" w14:textId="66B44604" w:rsidR="004A0CFF" w:rsidRPr="004A0CFF" w:rsidRDefault="002E4C09" w:rsidP="004A0CFF">
          <w:pPr>
            <w:pStyle w:val="11"/>
            <w:tabs>
              <w:tab w:val="right" w:leader="dot" w:pos="9062"/>
            </w:tabs>
            <w:spacing w:after="240" w:line="480" w:lineRule="auto"/>
            <w:jc w:val="both"/>
            <w:rPr>
              <w:rFonts w:ascii="Arial" w:hAnsi="Arial" w:cs="Arial"/>
              <w:noProof/>
              <w:sz w:val="24"/>
              <w:szCs w:val="24"/>
            </w:rPr>
          </w:pPr>
          <w:hyperlink w:anchor="_Toc175582861" w:history="1">
            <w:r w:rsidR="004A0CFF" w:rsidRPr="004A0CFF">
              <w:rPr>
                <w:rStyle w:val="af2"/>
                <w:rFonts w:ascii="Arial" w:hAnsi="Arial" w:cs="Arial"/>
                <w:noProof/>
                <w:sz w:val="24"/>
                <w:szCs w:val="24"/>
                <w:lang w:val="en-US"/>
              </w:rPr>
              <w:t>Appendix</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_Toc175582861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19</w:t>
            </w:r>
            <w:r w:rsidR="004A0CFF" w:rsidRPr="004A0CFF">
              <w:rPr>
                <w:rFonts w:ascii="Arial" w:hAnsi="Arial" w:cs="Arial"/>
                <w:noProof/>
                <w:webHidden/>
                <w:sz w:val="24"/>
                <w:szCs w:val="24"/>
              </w:rPr>
              <w:fldChar w:fldCharType="end"/>
            </w:r>
          </w:hyperlink>
        </w:p>
        <w:p w14:paraId="57237626" w14:textId="672B3F0A" w:rsidR="004A0CFF" w:rsidRPr="004A0CFF" w:rsidRDefault="002E4C09" w:rsidP="004A0CFF">
          <w:pPr>
            <w:pStyle w:val="21"/>
            <w:tabs>
              <w:tab w:val="right" w:leader="dot" w:pos="9062"/>
            </w:tabs>
            <w:spacing w:after="240" w:line="480" w:lineRule="auto"/>
            <w:jc w:val="both"/>
            <w:rPr>
              <w:rFonts w:ascii="Arial" w:hAnsi="Arial" w:cs="Arial"/>
              <w:noProof/>
              <w:sz w:val="24"/>
              <w:szCs w:val="24"/>
            </w:rPr>
          </w:pPr>
          <w:hyperlink w:anchor="_Toc175582862" w:history="1">
            <w:r w:rsidR="004A0CFF" w:rsidRPr="004A0CFF">
              <w:rPr>
                <w:rStyle w:val="af2"/>
                <w:rFonts w:ascii="Arial" w:hAnsi="Arial" w:cs="Arial"/>
                <w:noProof/>
                <w:sz w:val="24"/>
                <w:szCs w:val="24"/>
                <w:lang w:val="en-US"/>
              </w:rPr>
              <w:t>PESTEL analysis</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_Toc175582862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19</w:t>
            </w:r>
            <w:r w:rsidR="004A0CFF" w:rsidRPr="004A0CFF">
              <w:rPr>
                <w:rFonts w:ascii="Arial" w:hAnsi="Arial" w:cs="Arial"/>
                <w:noProof/>
                <w:webHidden/>
                <w:sz w:val="24"/>
                <w:szCs w:val="24"/>
              </w:rPr>
              <w:fldChar w:fldCharType="end"/>
            </w:r>
          </w:hyperlink>
        </w:p>
        <w:p w14:paraId="0678709E" w14:textId="041BF06E" w:rsidR="004A0CFF" w:rsidRPr="004A0CFF" w:rsidRDefault="002E4C09" w:rsidP="004A0CFF">
          <w:pPr>
            <w:pStyle w:val="21"/>
            <w:tabs>
              <w:tab w:val="right" w:leader="dot" w:pos="9062"/>
            </w:tabs>
            <w:spacing w:after="240" w:line="480" w:lineRule="auto"/>
            <w:jc w:val="both"/>
            <w:rPr>
              <w:rFonts w:ascii="Arial" w:hAnsi="Arial" w:cs="Arial"/>
              <w:noProof/>
              <w:sz w:val="24"/>
              <w:szCs w:val="24"/>
            </w:rPr>
          </w:pPr>
          <w:hyperlink w:anchor="_Toc175582863" w:history="1">
            <w:r w:rsidR="004A0CFF" w:rsidRPr="004A0CFF">
              <w:rPr>
                <w:rStyle w:val="af2"/>
                <w:rFonts w:ascii="Arial" w:hAnsi="Arial" w:cs="Arial"/>
                <w:noProof/>
                <w:sz w:val="24"/>
                <w:szCs w:val="24"/>
                <w:lang w:val="en-US"/>
              </w:rPr>
              <w:t>Porter’s Five Forces</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_Toc175582863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23</w:t>
            </w:r>
            <w:r w:rsidR="004A0CFF" w:rsidRPr="004A0CFF">
              <w:rPr>
                <w:rFonts w:ascii="Arial" w:hAnsi="Arial" w:cs="Arial"/>
                <w:noProof/>
                <w:webHidden/>
                <w:sz w:val="24"/>
                <w:szCs w:val="24"/>
              </w:rPr>
              <w:fldChar w:fldCharType="end"/>
            </w:r>
          </w:hyperlink>
        </w:p>
        <w:p w14:paraId="55850496" w14:textId="328C5779" w:rsidR="004A0CFF" w:rsidRPr="004A0CFF" w:rsidRDefault="002E4C09" w:rsidP="004A0CFF">
          <w:pPr>
            <w:pStyle w:val="21"/>
            <w:tabs>
              <w:tab w:val="right" w:leader="dot" w:pos="9062"/>
            </w:tabs>
            <w:spacing w:after="240" w:line="480" w:lineRule="auto"/>
            <w:jc w:val="both"/>
            <w:rPr>
              <w:rFonts w:ascii="Arial" w:hAnsi="Arial" w:cs="Arial"/>
              <w:noProof/>
              <w:sz w:val="24"/>
              <w:szCs w:val="24"/>
            </w:rPr>
          </w:pPr>
          <w:hyperlink w:anchor="_Toc175582864" w:history="1">
            <w:r w:rsidR="004A0CFF" w:rsidRPr="004A0CFF">
              <w:rPr>
                <w:rStyle w:val="af2"/>
                <w:rFonts w:ascii="Arial" w:hAnsi="Arial" w:cs="Arial"/>
                <w:noProof/>
                <w:sz w:val="24"/>
                <w:szCs w:val="24"/>
                <w:lang w:val="en-US"/>
              </w:rPr>
              <w:t>SWOT analysis</w:t>
            </w:r>
            <w:r w:rsidR="004A0CFF" w:rsidRPr="004A0CFF">
              <w:rPr>
                <w:rFonts w:ascii="Arial" w:hAnsi="Arial" w:cs="Arial"/>
                <w:noProof/>
                <w:webHidden/>
                <w:sz w:val="24"/>
                <w:szCs w:val="24"/>
              </w:rPr>
              <w:tab/>
            </w:r>
            <w:r w:rsidR="004A0CFF" w:rsidRPr="004A0CFF">
              <w:rPr>
                <w:rFonts w:ascii="Arial" w:hAnsi="Arial" w:cs="Arial"/>
                <w:noProof/>
                <w:webHidden/>
                <w:sz w:val="24"/>
                <w:szCs w:val="24"/>
              </w:rPr>
              <w:fldChar w:fldCharType="begin"/>
            </w:r>
            <w:r w:rsidR="004A0CFF" w:rsidRPr="004A0CFF">
              <w:rPr>
                <w:rFonts w:ascii="Arial" w:hAnsi="Arial" w:cs="Arial"/>
                <w:noProof/>
                <w:webHidden/>
                <w:sz w:val="24"/>
                <w:szCs w:val="24"/>
              </w:rPr>
              <w:instrText xml:space="preserve"> PAGEREF _Toc175582864 \h </w:instrText>
            </w:r>
            <w:r w:rsidR="004A0CFF" w:rsidRPr="004A0CFF">
              <w:rPr>
                <w:rFonts w:ascii="Arial" w:hAnsi="Arial" w:cs="Arial"/>
                <w:noProof/>
                <w:webHidden/>
                <w:sz w:val="24"/>
                <w:szCs w:val="24"/>
              </w:rPr>
            </w:r>
            <w:r w:rsidR="004A0CFF" w:rsidRPr="004A0CFF">
              <w:rPr>
                <w:rFonts w:ascii="Arial" w:hAnsi="Arial" w:cs="Arial"/>
                <w:noProof/>
                <w:webHidden/>
                <w:sz w:val="24"/>
                <w:szCs w:val="24"/>
              </w:rPr>
              <w:fldChar w:fldCharType="separate"/>
            </w:r>
            <w:r w:rsidR="00960ECD">
              <w:rPr>
                <w:rFonts w:ascii="Arial" w:hAnsi="Arial" w:cs="Arial"/>
                <w:noProof/>
                <w:webHidden/>
                <w:sz w:val="24"/>
                <w:szCs w:val="24"/>
              </w:rPr>
              <w:t>25</w:t>
            </w:r>
            <w:r w:rsidR="004A0CFF" w:rsidRPr="004A0CFF">
              <w:rPr>
                <w:rFonts w:ascii="Arial" w:hAnsi="Arial" w:cs="Arial"/>
                <w:noProof/>
                <w:webHidden/>
                <w:sz w:val="24"/>
                <w:szCs w:val="24"/>
              </w:rPr>
              <w:fldChar w:fldCharType="end"/>
            </w:r>
          </w:hyperlink>
        </w:p>
        <w:p w14:paraId="51720641" w14:textId="39745CE7" w:rsidR="004A0CFF" w:rsidRDefault="004A0CFF" w:rsidP="004A0CFF">
          <w:pPr>
            <w:spacing w:after="240" w:line="480" w:lineRule="auto"/>
            <w:jc w:val="both"/>
          </w:pPr>
          <w:r w:rsidRPr="004A0CFF">
            <w:rPr>
              <w:rFonts w:ascii="Arial" w:hAnsi="Arial" w:cs="Arial"/>
              <w:b/>
              <w:bCs/>
              <w:noProof/>
            </w:rPr>
            <w:fldChar w:fldCharType="end"/>
          </w:r>
        </w:p>
      </w:sdtContent>
    </w:sdt>
    <w:p w14:paraId="103659BE" w14:textId="77777777" w:rsidR="004A0CFF" w:rsidRPr="004A0CFF" w:rsidRDefault="004A0CFF" w:rsidP="00CE4CC0">
      <w:pPr>
        <w:spacing w:line="360" w:lineRule="auto"/>
        <w:jc w:val="both"/>
        <w:rPr>
          <w:sz w:val="24"/>
          <w:szCs w:val="24"/>
          <w:lang w:val="en-US"/>
        </w:rPr>
      </w:pPr>
    </w:p>
    <w:p w14:paraId="5A7EB4D2" w14:textId="77777777" w:rsidR="004A0CFF" w:rsidRPr="004A0CFF" w:rsidRDefault="004A0CFF" w:rsidP="00CE4CC0">
      <w:pPr>
        <w:spacing w:line="360" w:lineRule="auto"/>
        <w:jc w:val="both"/>
        <w:rPr>
          <w:sz w:val="24"/>
          <w:szCs w:val="24"/>
          <w:lang w:val="en-US"/>
        </w:rPr>
      </w:pPr>
    </w:p>
    <w:p w14:paraId="756E825C" w14:textId="77777777" w:rsidR="004A0CFF" w:rsidRPr="004A0CFF" w:rsidRDefault="004A0CFF" w:rsidP="00CE4CC0">
      <w:pPr>
        <w:spacing w:line="360" w:lineRule="auto"/>
        <w:jc w:val="both"/>
        <w:rPr>
          <w:sz w:val="24"/>
          <w:szCs w:val="24"/>
          <w:lang w:val="en-US"/>
        </w:rPr>
      </w:pPr>
    </w:p>
    <w:p w14:paraId="35686364" w14:textId="77777777" w:rsidR="004A0CFF" w:rsidRPr="004A0CFF" w:rsidRDefault="004A0CFF" w:rsidP="00CE4CC0">
      <w:pPr>
        <w:spacing w:line="360" w:lineRule="auto"/>
        <w:jc w:val="both"/>
        <w:rPr>
          <w:sz w:val="24"/>
          <w:szCs w:val="24"/>
          <w:lang w:val="en-US"/>
        </w:rPr>
      </w:pPr>
    </w:p>
    <w:p w14:paraId="36BC9928" w14:textId="77777777" w:rsidR="004A0CFF" w:rsidRDefault="004A0CFF" w:rsidP="00CE4CC0">
      <w:pPr>
        <w:spacing w:line="360" w:lineRule="auto"/>
        <w:jc w:val="both"/>
        <w:rPr>
          <w:b/>
          <w:bCs/>
          <w:sz w:val="28"/>
          <w:szCs w:val="28"/>
          <w:lang w:val="en-US"/>
        </w:rPr>
      </w:pPr>
    </w:p>
    <w:p w14:paraId="18A3BAAD" w14:textId="6F5F513E" w:rsidR="00E9170F" w:rsidRPr="004A0CFF" w:rsidRDefault="00CE4CC0" w:rsidP="004A0CFF">
      <w:pPr>
        <w:pStyle w:val="1"/>
        <w:spacing w:before="0" w:after="240"/>
        <w:rPr>
          <w:rFonts w:ascii="Arial" w:hAnsi="Arial" w:cs="Arial"/>
          <w:lang w:val="en-US"/>
        </w:rPr>
      </w:pPr>
      <w:bookmarkStart w:id="0" w:name="_Toc175582853"/>
      <w:r w:rsidRPr="004A0CFF">
        <w:rPr>
          <w:rFonts w:ascii="Arial" w:hAnsi="Arial" w:cs="Arial"/>
          <w:lang w:val="en-US"/>
        </w:rPr>
        <w:t>Introduction</w:t>
      </w:r>
      <w:bookmarkEnd w:id="0"/>
      <w:r w:rsidRPr="004A0CFF">
        <w:rPr>
          <w:rFonts w:ascii="Arial" w:hAnsi="Arial" w:cs="Arial"/>
          <w:lang w:val="en-US"/>
        </w:rPr>
        <w:t xml:space="preserve"> </w:t>
      </w:r>
    </w:p>
    <w:p w14:paraId="0B0CCD4B" w14:textId="370909EB" w:rsidR="00CE4CC0" w:rsidRPr="004A0CFF" w:rsidRDefault="00C64B96" w:rsidP="00CE4CC0">
      <w:pPr>
        <w:spacing w:line="360" w:lineRule="auto"/>
        <w:jc w:val="both"/>
        <w:rPr>
          <w:rFonts w:ascii="Arial" w:hAnsi="Arial" w:cs="Arial"/>
          <w:sz w:val="24"/>
          <w:szCs w:val="24"/>
          <w:lang w:val="en-US"/>
        </w:rPr>
      </w:pPr>
      <w:r w:rsidRPr="004A0CFF">
        <w:rPr>
          <w:rFonts w:ascii="Arial" w:hAnsi="Arial" w:cs="Arial"/>
          <w:sz w:val="24"/>
          <w:szCs w:val="24"/>
          <w:lang w:val="en-US"/>
        </w:rPr>
        <w:t>The report considers the case of AstraZeneca (AZ). It is the largest UK-based pharmaceutical company</w:t>
      </w:r>
      <w:r w:rsidR="00C90929" w:rsidRPr="004A0CFF">
        <w:rPr>
          <w:rFonts w:ascii="Arial" w:hAnsi="Arial" w:cs="Arial"/>
          <w:sz w:val="24"/>
          <w:szCs w:val="24"/>
          <w:lang w:val="en-US"/>
        </w:rPr>
        <w:t xml:space="preserve"> and a public business organisation which </w:t>
      </w:r>
      <w:r w:rsidR="005B54B4" w:rsidRPr="004A0CFF">
        <w:rPr>
          <w:rFonts w:ascii="Arial" w:hAnsi="Arial" w:cs="Arial"/>
          <w:sz w:val="24"/>
          <w:szCs w:val="24"/>
          <w:lang w:val="en-US"/>
        </w:rPr>
        <w:t>has been</w:t>
      </w:r>
      <w:r w:rsidR="00C90929" w:rsidRPr="004A0CFF">
        <w:rPr>
          <w:rFonts w:ascii="Arial" w:hAnsi="Arial" w:cs="Arial"/>
          <w:sz w:val="24"/>
          <w:szCs w:val="24"/>
          <w:lang w:val="en-US"/>
        </w:rPr>
        <w:t xml:space="preserve"> listed on </w:t>
      </w:r>
      <w:r w:rsidR="005B54B4" w:rsidRPr="004A0CFF">
        <w:rPr>
          <w:rFonts w:ascii="Arial" w:hAnsi="Arial" w:cs="Arial"/>
          <w:sz w:val="24"/>
          <w:szCs w:val="24"/>
          <w:lang w:val="en-US"/>
        </w:rPr>
        <w:t>the London</w:t>
      </w:r>
      <w:r w:rsidR="00C90929" w:rsidRPr="004A0CFF">
        <w:rPr>
          <w:rFonts w:ascii="Arial" w:hAnsi="Arial" w:cs="Arial"/>
          <w:sz w:val="24"/>
          <w:szCs w:val="24"/>
          <w:lang w:val="en-US"/>
        </w:rPr>
        <w:t xml:space="preserve"> Stock Exchange since the year 2006 (LSE, 2024). </w:t>
      </w:r>
      <w:r w:rsidR="005B54B4" w:rsidRPr="004A0CFF">
        <w:rPr>
          <w:rFonts w:ascii="Arial" w:hAnsi="Arial" w:cs="Arial"/>
          <w:sz w:val="24"/>
          <w:szCs w:val="24"/>
          <w:lang w:val="en-US"/>
        </w:rPr>
        <w:t xml:space="preserve">AZ has a market capitalisation of more than £202 billion as of August 2024 (Reuters, 2024). The annual revenue of the company is £45.8 billion, whereas the net profit reaches £6 billion (Reuters, 2024). The large organisational size is also supported by a significant workforce size exceeding 76,000 employees (Zippia, 2024). The products of AZ are </w:t>
      </w:r>
      <w:r w:rsidR="005B54B4" w:rsidRPr="004A0CFF">
        <w:rPr>
          <w:rFonts w:ascii="Arial" w:hAnsi="Arial" w:cs="Arial"/>
          <w:sz w:val="24"/>
          <w:szCs w:val="24"/>
          <w:lang w:val="en-US"/>
        </w:rPr>
        <w:lastRenderedPageBreak/>
        <w:t>sold in 62 countries worldwide and the company has offices in 19 countries (ATMF, 2024). Considering these key facts, AZ appears to be a global company worth examining in more detail as a part of the strategic report.</w:t>
      </w:r>
    </w:p>
    <w:p w14:paraId="36F6657B" w14:textId="75842C4A" w:rsidR="005B54B4" w:rsidRPr="004A0CFF" w:rsidRDefault="005B54B4" w:rsidP="00CE4CC0">
      <w:pPr>
        <w:spacing w:line="360" w:lineRule="auto"/>
        <w:jc w:val="both"/>
        <w:rPr>
          <w:rFonts w:ascii="Arial" w:hAnsi="Arial" w:cs="Arial"/>
          <w:color w:val="000000" w:themeColor="text1"/>
          <w:sz w:val="24"/>
          <w:szCs w:val="24"/>
          <w:lang w:val="en-US"/>
        </w:rPr>
      </w:pPr>
      <w:r w:rsidRPr="004A0CFF">
        <w:rPr>
          <w:rFonts w:ascii="Arial" w:hAnsi="Arial" w:cs="Arial"/>
          <w:sz w:val="24"/>
          <w:szCs w:val="24"/>
          <w:lang w:val="en-US"/>
        </w:rPr>
        <w:t xml:space="preserve">The success of the company has been driven by its extensive </w:t>
      </w:r>
      <w:r w:rsidR="00F701B7" w:rsidRPr="004A0CFF">
        <w:rPr>
          <w:rFonts w:ascii="Arial" w:hAnsi="Arial" w:cs="Arial"/>
          <w:sz w:val="24"/>
          <w:szCs w:val="24"/>
          <w:lang w:val="en-US"/>
        </w:rPr>
        <w:t xml:space="preserve">level of </w:t>
      </w:r>
      <w:r w:rsidRPr="004A0CFF">
        <w:rPr>
          <w:rFonts w:ascii="Arial" w:hAnsi="Arial" w:cs="Arial"/>
          <w:sz w:val="24"/>
          <w:szCs w:val="24"/>
          <w:lang w:val="en-US"/>
        </w:rPr>
        <w:t xml:space="preserve">innovation and </w:t>
      </w:r>
      <w:r w:rsidR="00F701B7" w:rsidRPr="004A0CFF">
        <w:rPr>
          <w:rFonts w:ascii="Arial" w:hAnsi="Arial" w:cs="Arial"/>
          <w:sz w:val="24"/>
          <w:szCs w:val="24"/>
          <w:lang w:val="en-US"/>
        </w:rPr>
        <w:t xml:space="preserve">a wide portfolio of high-quality </w:t>
      </w:r>
      <w:r w:rsidR="00F701B7" w:rsidRPr="004A0CFF">
        <w:rPr>
          <w:rFonts w:ascii="Arial" w:hAnsi="Arial" w:cs="Arial"/>
          <w:color w:val="000000" w:themeColor="text1"/>
          <w:sz w:val="24"/>
          <w:szCs w:val="24"/>
          <w:lang w:val="en-US"/>
        </w:rPr>
        <w:t xml:space="preserve">medicines in fields, such as </w:t>
      </w:r>
      <w:r w:rsidRPr="004A0CFF">
        <w:rPr>
          <w:rFonts w:ascii="Arial" w:hAnsi="Arial" w:cs="Arial"/>
          <w:color w:val="000000" w:themeColor="text1"/>
          <w:sz w:val="24"/>
          <w:szCs w:val="24"/>
          <w:lang w:val="en-US"/>
        </w:rPr>
        <w:t xml:space="preserve">vaccines, respiratory and rare diseases, immunology, cancer and </w:t>
      </w:r>
      <w:r w:rsidR="00F701B7" w:rsidRPr="004A0CFF">
        <w:rPr>
          <w:rFonts w:ascii="Arial" w:hAnsi="Arial" w:cs="Arial"/>
          <w:color w:val="000000" w:themeColor="text1"/>
          <w:sz w:val="24"/>
          <w:szCs w:val="24"/>
          <w:lang w:val="en-US"/>
        </w:rPr>
        <w:t xml:space="preserve">many </w:t>
      </w:r>
      <w:r w:rsidRPr="004A0CFF">
        <w:rPr>
          <w:rFonts w:ascii="Arial" w:hAnsi="Arial" w:cs="Arial"/>
          <w:color w:val="000000" w:themeColor="text1"/>
          <w:sz w:val="24"/>
          <w:szCs w:val="24"/>
          <w:lang w:val="en-US"/>
        </w:rPr>
        <w:t xml:space="preserve">others (Reuters, 2024). The strategic report aims to assess the key sources of competitive advantage for AZ, the current strategy and the potential strategic development directions. The critical discussion is expected to generate reasonable suggestions for future development. </w:t>
      </w:r>
    </w:p>
    <w:p w14:paraId="12094517" w14:textId="5F22CB3D" w:rsidR="00CE4CC0" w:rsidRPr="004A0CFF" w:rsidRDefault="00EE05C9" w:rsidP="004A0CFF">
      <w:pPr>
        <w:pStyle w:val="1"/>
        <w:spacing w:before="0" w:after="240"/>
        <w:rPr>
          <w:rFonts w:ascii="Arial" w:hAnsi="Arial" w:cs="Arial"/>
          <w:lang w:val="en-US"/>
        </w:rPr>
      </w:pPr>
      <w:bookmarkStart w:id="1" w:name="_Toc175582854"/>
      <w:r w:rsidRPr="004A0CFF">
        <w:rPr>
          <w:rFonts w:ascii="Arial" w:hAnsi="Arial" w:cs="Arial"/>
          <w:lang w:val="en-US"/>
        </w:rPr>
        <w:t>Corporate and business strategy of AZ</w:t>
      </w:r>
      <w:bookmarkEnd w:id="1"/>
    </w:p>
    <w:p w14:paraId="0F80BD0F" w14:textId="035FA04F" w:rsidR="00EE05C9" w:rsidRPr="004A0CFF" w:rsidRDefault="003A671A"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Corporate strategy determines the main directions of the intended future development, including the types of markets to operate and enter, the sources of growth in the long-run and others (Indeed, 2024). Business strategy is focused on achieving competitive advantage in the marketplace by considering the decisions related to products, customer service and the completion of specific business goals (Indeed, 2024). </w:t>
      </w:r>
    </w:p>
    <w:p w14:paraId="4F434CD0" w14:textId="47B6F670" w:rsidR="00726379" w:rsidRPr="004A0CFF" w:rsidRDefault="000D10AE" w:rsidP="00726379">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corporate strategy of AZ </w:t>
      </w:r>
      <w:r w:rsidR="00726379" w:rsidRPr="004A0CFF">
        <w:rPr>
          <w:rFonts w:ascii="Arial" w:hAnsi="Arial" w:cs="Arial"/>
          <w:color w:val="000000" w:themeColor="text1"/>
          <w:sz w:val="24"/>
          <w:szCs w:val="24"/>
          <w:lang w:val="en-US"/>
        </w:rPr>
        <w:t>aims to make the company</w:t>
      </w:r>
      <w:r w:rsidR="00726379" w:rsidRPr="004A0CFF">
        <w:rPr>
          <w:rFonts w:ascii="Arial" w:hAnsi="Arial" w:cs="Arial"/>
          <w:color w:val="000000" w:themeColor="text1"/>
          <w:sz w:val="24"/>
          <w:szCs w:val="24"/>
          <w:lang w:val="bg-BG"/>
        </w:rPr>
        <w:t xml:space="preserve"> </w:t>
      </w:r>
      <w:r w:rsidR="00726379" w:rsidRPr="004A0CFF">
        <w:rPr>
          <w:rFonts w:ascii="Arial" w:hAnsi="Arial" w:cs="Arial"/>
          <w:color w:val="000000" w:themeColor="text1"/>
          <w:sz w:val="24"/>
          <w:szCs w:val="24"/>
          <w:lang w:val="en-US"/>
        </w:rPr>
        <w:t>“</w:t>
      </w:r>
      <w:r w:rsidR="00726379" w:rsidRPr="004A0CFF">
        <w:rPr>
          <w:rFonts w:ascii="Arial" w:hAnsi="Arial" w:cs="Arial"/>
          <w:i/>
          <w:iCs/>
          <w:color w:val="000000" w:themeColor="text1"/>
          <w:sz w:val="24"/>
          <w:szCs w:val="24"/>
          <w:lang w:val="en-US"/>
        </w:rPr>
        <w:t>...</w:t>
      </w:r>
      <w:r w:rsidR="00726379" w:rsidRPr="004A0CFF">
        <w:rPr>
          <w:rFonts w:ascii="Arial" w:hAnsi="Arial" w:cs="Arial"/>
          <w:i/>
          <w:iCs/>
          <w:color w:val="000000" w:themeColor="text1"/>
          <w:sz w:val="24"/>
          <w:szCs w:val="24"/>
          <w:lang w:val="bg-BG"/>
        </w:rPr>
        <w:t>a global, science-led, patient-focused pharmaceutical company seeking to unlock the power of what science can do. Our strategy is consistent but dynamic</w:t>
      </w:r>
      <w:r w:rsidR="00726379" w:rsidRPr="004A0CFF">
        <w:rPr>
          <w:rFonts w:ascii="Arial" w:hAnsi="Arial" w:cs="Arial"/>
          <w:color w:val="000000" w:themeColor="text1"/>
          <w:sz w:val="24"/>
          <w:szCs w:val="24"/>
          <w:lang w:val="en-US"/>
        </w:rPr>
        <w:t xml:space="preserve">” (AZ, 2024a; p.1). The corporate strategy is based on four key pillars, including extensive innovation, leadership in key therapeutical areas, global presence and sustainability (AZ, 2024a). </w:t>
      </w:r>
    </w:p>
    <w:p w14:paraId="1F79105B" w14:textId="0FCBBEB4" w:rsidR="00726379" w:rsidRPr="004A0CFF" w:rsidRDefault="00726379" w:rsidP="00726379">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business strategy of AZ </w:t>
      </w:r>
      <w:r w:rsidR="00350A9F" w:rsidRPr="004A0CFF">
        <w:rPr>
          <w:rFonts w:ascii="Arial" w:hAnsi="Arial" w:cs="Arial"/>
          <w:color w:val="000000" w:themeColor="text1"/>
          <w:sz w:val="24"/>
          <w:szCs w:val="24"/>
          <w:lang w:val="en-US"/>
        </w:rPr>
        <w:t>is focused on achieving strong growth in the long run (AZ, 2024b). More specifically, the targets suggested boosting revenue size from the current level of $45.8 billion (2023) to $80 billion in the year 2023 (AZ, 2024b). This can be achieved by developing 20 new medicines by the end of the decade in the key operational areas of oncology, rare diseases and biopharmaceuticals (AZ, 2024b). AZ also plans to expand its international presence in new markets and develop production facilities to boost capacity in the future (AZ, 2024b). There are also ambitions to considerably reduce the carbon footprint – a goal supporting the corporate strategy of the company (AZ, 2024b).</w:t>
      </w:r>
    </w:p>
    <w:p w14:paraId="5A0FEA3B" w14:textId="159FA735" w:rsidR="00514404" w:rsidRPr="004A0CFF" w:rsidRDefault="002F5CAF"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analysis of AZ’s strategy at corporate and business level demonstrates the existence of ambitious long-term goals defining the process of business development. </w:t>
      </w:r>
      <w:r w:rsidRPr="004A0CFF">
        <w:rPr>
          <w:rFonts w:ascii="Arial" w:hAnsi="Arial" w:cs="Arial"/>
          <w:color w:val="000000" w:themeColor="text1"/>
          <w:sz w:val="24"/>
          <w:szCs w:val="24"/>
          <w:lang w:val="en-US"/>
        </w:rPr>
        <w:lastRenderedPageBreak/>
        <w:t xml:space="preserve">Moreover, there is an alignment of corporate and business strategy since the latter supports the former. Overall, the achievement of the strategic goals of AZ requires constant innovation, sophistication of operations, new product development, a global presence and commitment to sustainability. These are largely key factors for success in the global pharmaceutical industry. </w:t>
      </w:r>
    </w:p>
    <w:p w14:paraId="36778234" w14:textId="5AC4C1D0" w:rsidR="00E12E51" w:rsidRDefault="003E15AD"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strategic goals of AZ also contribute to realising differentiation – a </w:t>
      </w:r>
      <w:r w:rsidR="006E08BB" w:rsidRPr="004A0CFF">
        <w:rPr>
          <w:rFonts w:ascii="Arial" w:hAnsi="Arial" w:cs="Arial"/>
          <w:color w:val="000000" w:themeColor="text1"/>
          <w:sz w:val="24"/>
          <w:szCs w:val="24"/>
          <w:lang w:val="en-US"/>
        </w:rPr>
        <w:t>specific market</w:t>
      </w:r>
      <w:r w:rsidRPr="004A0CFF">
        <w:rPr>
          <w:rFonts w:ascii="Arial" w:hAnsi="Arial" w:cs="Arial"/>
          <w:color w:val="000000" w:themeColor="text1"/>
          <w:sz w:val="24"/>
          <w:szCs w:val="24"/>
          <w:lang w:val="en-US"/>
        </w:rPr>
        <w:t xml:space="preserve"> position involving broad market presence and competitiveness based on unique and high-quality products unmatched by competitors (Porter, </w:t>
      </w:r>
      <w:r w:rsidR="006E08BB" w:rsidRPr="004A0CFF">
        <w:rPr>
          <w:rFonts w:ascii="Arial" w:hAnsi="Arial" w:cs="Arial"/>
          <w:color w:val="000000" w:themeColor="text1"/>
          <w:sz w:val="24"/>
          <w:szCs w:val="24"/>
          <w:lang w:val="en-US"/>
        </w:rPr>
        <w:t>2008a</w:t>
      </w:r>
      <w:r w:rsidRPr="004A0CFF">
        <w:rPr>
          <w:rFonts w:ascii="Arial" w:hAnsi="Arial" w:cs="Arial"/>
          <w:color w:val="000000" w:themeColor="text1"/>
          <w:sz w:val="24"/>
          <w:szCs w:val="24"/>
          <w:lang w:val="en-US"/>
        </w:rPr>
        <w:t xml:space="preserve">). </w:t>
      </w:r>
      <w:r w:rsidR="006E08BB" w:rsidRPr="004A0CFF">
        <w:rPr>
          <w:rFonts w:ascii="Arial" w:hAnsi="Arial" w:cs="Arial"/>
          <w:color w:val="000000" w:themeColor="text1"/>
          <w:sz w:val="24"/>
          <w:szCs w:val="24"/>
          <w:lang w:val="en-US"/>
        </w:rPr>
        <w:t>By applying the differentiation generic strategy, AZ must emphasise new product development, innovativeness, high quality, as well as a wide product portfolio which can serve the needs of many consumer groups (Porter, 2008a).</w:t>
      </w:r>
    </w:p>
    <w:p w14:paraId="0C2094F1" w14:textId="77777777" w:rsidR="004A0CFF" w:rsidRDefault="004A0CFF" w:rsidP="00CE4CC0">
      <w:pPr>
        <w:spacing w:line="360" w:lineRule="auto"/>
        <w:jc w:val="both"/>
        <w:rPr>
          <w:rFonts w:ascii="Arial" w:hAnsi="Arial" w:cs="Arial"/>
          <w:color w:val="000000" w:themeColor="text1"/>
          <w:sz w:val="24"/>
          <w:szCs w:val="24"/>
          <w:lang w:val="en-US"/>
        </w:rPr>
      </w:pPr>
    </w:p>
    <w:p w14:paraId="3B5FCB6E" w14:textId="77777777" w:rsidR="004A0CFF" w:rsidRDefault="004A0CFF" w:rsidP="00CE4CC0">
      <w:pPr>
        <w:spacing w:line="360" w:lineRule="auto"/>
        <w:jc w:val="both"/>
        <w:rPr>
          <w:rFonts w:ascii="Arial" w:hAnsi="Arial" w:cs="Arial"/>
          <w:color w:val="000000" w:themeColor="text1"/>
          <w:sz w:val="24"/>
          <w:szCs w:val="24"/>
          <w:lang w:val="en-US"/>
        </w:rPr>
      </w:pPr>
    </w:p>
    <w:p w14:paraId="18F48BC3" w14:textId="77777777" w:rsidR="004A0CFF" w:rsidRDefault="004A0CFF" w:rsidP="00CE4CC0">
      <w:pPr>
        <w:spacing w:line="360" w:lineRule="auto"/>
        <w:jc w:val="both"/>
        <w:rPr>
          <w:rFonts w:ascii="Arial" w:hAnsi="Arial" w:cs="Arial"/>
          <w:color w:val="000000" w:themeColor="text1"/>
          <w:sz w:val="24"/>
          <w:szCs w:val="24"/>
          <w:lang w:val="en-US"/>
        </w:rPr>
      </w:pPr>
    </w:p>
    <w:p w14:paraId="0D5D0D2D" w14:textId="77777777" w:rsidR="004A0CFF" w:rsidRDefault="004A0CFF" w:rsidP="00CE4CC0">
      <w:pPr>
        <w:spacing w:line="360" w:lineRule="auto"/>
        <w:jc w:val="both"/>
        <w:rPr>
          <w:rFonts w:ascii="Arial" w:hAnsi="Arial" w:cs="Arial"/>
          <w:color w:val="000000" w:themeColor="text1"/>
          <w:sz w:val="24"/>
          <w:szCs w:val="24"/>
          <w:lang w:val="en-US"/>
        </w:rPr>
      </w:pPr>
    </w:p>
    <w:p w14:paraId="35B0C916" w14:textId="77777777" w:rsidR="004A0CFF" w:rsidRDefault="004A0CFF" w:rsidP="00CE4CC0">
      <w:pPr>
        <w:spacing w:line="360" w:lineRule="auto"/>
        <w:jc w:val="both"/>
        <w:rPr>
          <w:rFonts w:ascii="Arial" w:hAnsi="Arial" w:cs="Arial"/>
          <w:color w:val="000000" w:themeColor="text1"/>
          <w:sz w:val="24"/>
          <w:szCs w:val="24"/>
          <w:lang w:val="en-US"/>
        </w:rPr>
      </w:pPr>
    </w:p>
    <w:p w14:paraId="781FC608" w14:textId="77777777" w:rsidR="004A0CFF" w:rsidRDefault="004A0CFF" w:rsidP="00CE4CC0">
      <w:pPr>
        <w:spacing w:line="360" w:lineRule="auto"/>
        <w:jc w:val="both"/>
        <w:rPr>
          <w:rFonts w:ascii="Arial" w:hAnsi="Arial" w:cs="Arial"/>
          <w:color w:val="000000" w:themeColor="text1"/>
          <w:sz w:val="24"/>
          <w:szCs w:val="24"/>
          <w:lang w:val="en-US"/>
        </w:rPr>
      </w:pPr>
    </w:p>
    <w:p w14:paraId="09B58EE4" w14:textId="77777777" w:rsidR="004A0CFF" w:rsidRDefault="004A0CFF" w:rsidP="00CE4CC0">
      <w:pPr>
        <w:spacing w:line="360" w:lineRule="auto"/>
        <w:jc w:val="both"/>
        <w:rPr>
          <w:rFonts w:ascii="Arial" w:hAnsi="Arial" w:cs="Arial"/>
          <w:color w:val="000000" w:themeColor="text1"/>
          <w:sz w:val="24"/>
          <w:szCs w:val="24"/>
          <w:lang w:val="en-US"/>
        </w:rPr>
      </w:pPr>
    </w:p>
    <w:p w14:paraId="0A283503" w14:textId="77777777" w:rsidR="004A0CFF" w:rsidRDefault="004A0CFF" w:rsidP="00CE4CC0">
      <w:pPr>
        <w:spacing w:line="360" w:lineRule="auto"/>
        <w:jc w:val="both"/>
        <w:rPr>
          <w:rFonts w:ascii="Arial" w:hAnsi="Arial" w:cs="Arial"/>
          <w:color w:val="000000" w:themeColor="text1"/>
          <w:sz w:val="24"/>
          <w:szCs w:val="24"/>
          <w:lang w:val="en-US"/>
        </w:rPr>
      </w:pPr>
    </w:p>
    <w:p w14:paraId="18D5199B" w14:textId="77777777" w:rsidR="004A0CFF" w:rsidRDefault="004A0CFF" w:rsidP="00CE4CC0">
      <w:pPr>
        <w:spacing w:line="360" w:lineRule="auto"/>
        <w:jc w:val="both"/>
        <w:rPr>
          <w:rFonts w:ascii="Arial" w:hAnsi="Arial" w:cs="Arial"/>
          <w:color w:val="000000" w:themeColor="text1"/>
          <w:sz w:val="24"/>
          <w:szCs w:val="24"/>
          <w:lang w:val="en-US"/>
        </w:rPr>
      </w:pPr>
    </w:p>
    <w:p w14:paraId="47C99811" w14:textId="77777777" w:rsidR="004A0CFF" w:rsidRPr="004A0CFF" w:rsidRDefault="004A0CFF" w:rsidP="00CE4CC0">
      <w:pPr>
        <w:spacing w:line="360" w:lineRule="auto"/>
        <w:jc w:val="both"/>
        <w:rPr>
          <w:rFonts w:ascii="Arial" w:hAnsi="Arial" w:cs="Arial"/>
          <w:color w:val="000000" w:themeColor="text1"/>
          <w:sz w:val="24"/>
          <w:szCs w:val="24"/>
          <w:lang w:val="en-US"/>
        </w:rPr>
      </w:pPr>
    </w:p>
    <w:p w14:paraId="06D90612" w14:textId="60F6CC35" w:rsidR="006E08BB" w:rsidRPr="004A0CFF" w:rsidRDefault="006E08BB" w:rsidP="00CE4CC0">
      <w:pPr>
        <w:spacing w:line="360" w:lineRule="auto"/>
        <w:jc w:val="both"/>
        <w:rPr>
          <w:rFonts w:ascii="Arial" w:hAnsi="Arial" w:cs="Arial"/>
          <w:b/>
          <w:bCs/>
          <w:color w:val="000000" w:themeColor="text1"/>
          <w:sz w:val="24"/>
          <w:szCs w:val="24"/>
          <w:lang w:val="en-US"/>
        </w:rPr>
      </w:pPr>
      <w:r w:rsidRPr="004A0CFF">
        <w:rPr>
          <w:rFonts w:ascii="Arial" w:hAnsi="Arial" w:cs="Arial"/>
          <w:b/>
          <w:bCs/>
          <w:color w:val="000000" w:themeColor="text1"/>
          <w:sz w:val="24"/>
          <w:szCs w:val="24"/>
          <w:lang w:val="en-US"/>
        </w:rPr>
        <w:t>Figure 1 – Porter’s Generic Strategies model</w:t>
      </w:r>
    </w:p>
    <w:p w14:paraId="0B6D0009" w14:textId="4F433145" w:rsidR="006E08BB" w:rsidRPr="004A0CFF" w:rsidRDefault="006E08BB" w:rsidP="00E12E51">
      <w:pPr>
        <w:spacing w:line="360" w:lineRule="auto"/>
        <w:jc w:val="center"/>
        <w:rPr>
          <w:rFonts w:ascii="Arial" w:hAnsi="Arial" w:cs="Arial"/>
          <w:color w:val="000000" w:themeColor="text1"/>
          <w:sz w:val="24"/>
          <w:szCs w:val="24"/>
          <w:lang w:val="en-US"/>
        </w:rPr>
      </w:pPr>
      <w:r w:rsidRPr="004A0CFF">
        <w:rPr>
          <w:rFonts w:ascii="Arial" w:hAnsi="Arial" w:cs="Arial"/>
          <w:noProof/>
          <w:color w:val="000000" w:themeColor="text1"/>
          <w:sz w:val="24"/>
          <w:szCs w:val="24"/>
          <w:lang w:val="en-US"/>
        </w:rPr>
        <w:lastRenderedPageBreak/>
        <w:drawing>
          <wp:inline distT="0" distB="0" distL="0" distR="0" wp14:anchorId="5FC5FB48" wp14:editId="763B9300">
            <wp:extent cx="4769590" cy="4521200"/>
            <wp:effectExtent l="0" t="0" r="0" b="0"/>
            <wp:docPr id="1624285053" name="Picture 1" descr="A diagram of a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85053" name="Picture 1" descr="A diagram of a marketing strategy&#10;&#10;Description automatically generated"/>
                    <pic:cNvPicPr/>
                  </pic:nvPicPr>
                  <pic:blipFill>
                    <a:blip r:embed="rId9"/>
                    <a:stretch>
                      <a:fillRect/>
                    </a:stretch>
                  </pic:blipFill>
                  <pic:spPr>
                    <a:xfrm>
                      <a:off x="0" y="0"/>
                      <a:ext cx="4779172" cy="4530283"/>
                    </a:xfrm>
                    <a:prstGeom prst="rect">
                      <a:avLst/>
                    </a:prstGeom>
                  </pic:spPr>
                </pic:pic>
              </a:graphicData>
            </a:graphic>
          </wp:inline>
        </w:drawing>
      </w:r>
    </w:p>
    <w:p w14:paraId="1330893D" w14:textId="66C3E947" w:rsidR="006E08BB" w:rsidRPr="004A0CFF" w:rsidRDefault="006E08BB" w:rsidP="00CE4CC0">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Source: Porter (2008a)</w:t>
      </w:r>
    </w:p>
    <w:p w14:paraId="0D171839" w14:textId="4A09071E" w:rsidR="006E08BB" w:rsidRPr="004A0CFF" w:rsidRDefault="006E08BB"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In this context, the choice of corporate and business strategy aligns with the requirements of being a differentiated company. </w:t>
      </w:r>
    </w:p>
    <w:p w14:paraId="30EA5678" w14:textId="38BF1E3E" w:rsidR="005B54B4" w:rsidRPr="004A0CFF" w:rsidRDefault="00B3459D" w:rsidP="004A0CFF">
      <w:pPr>
        <w:pStyle w:val="1"/>
        <w:spacing w:before="0" w:after="240"/>
        <w:rPr>
          <w:rFonts w:ascii="Arial" w:hAnsi="Arial" w:cs="Arial"/>
          <w:lang w:val="en-US"/>
        </w:rPr>
      </w:pPr>
      <w:bookmarkStart w:id="2" w:name="_Toc175582855"/>
      <w:r w:rsidRPr="004A0CFF">
        <w:rPr>
          <w:rFonts w:ascii="Arial" w:hAnsi="Arial" w:cs="Arial"/>
          <w:lang w:val="en-US"/>
        </w:rPr>
        <w:t>AZ’s resources and capabilities</w:t>
      </w:r>
      <w:bookmarkEnd w:id="2"/>
    </w:p>
    <w:p w14:paraId="45397D61" w14:textId="31E5AD17" w:rsidR="00B3459D" w:rsidRPr="004A0CFF" w:rsidRDefault="002873FF"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The development of competitiveness requires the possession of solid resources and capabilities which differentiate an organisation and contribute to efficient and effective market performance (Worthington et al., 2021).</w:t>
      </w:r>
    </w:p>
    <w:p w14:paraId="44EA072C" w14:textId="135EA647" w:rsidR="002873FF" w:rsidRPr="004A0CFF" w:rsidRDefault="00EB4DA0"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To begin with, a</w:t>
      </w:r>
      <w:r w:rsidR="002112DB" w:rsidRPr="004A0CFF">
        <w:rPr>
          <w:rFonts w:ascii="Arial" w:hAnsi="Arial" w:cs="Arial"/>
          <w:color w:val="000000" w:themeColor="text1"/>
          <w:sz w:val="24"/>
          <w:szCs w:val="24"/>
          <w:lang w:val="en-US"/>
        </w:rPr>
        <w:t xml:space="preserve">ccording to Kaplan (2020), physical resources are needed to build operational capacity and deliver valuable products and services to the market. AZ has solid physical resources, as indicated by the value of its assets – £101 billion (Reuters, 2024). These assets include not only buildings, vehicles, specialised equipment and other physical assets supporting business operations, but also cash equal to more than £10 billion per annum (Reuters, 2024). </w:t>
      </w:r>
    </w:p>
    <w:p w14:paraId="3AA9FE0E" w14:textId="571EE98A" w:rsidR="002112DB" w:rsidRPr="004A0CFF" w:rsidRDefault="002112DB"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lastRenderedPageBreak/>
        <w:t xml:space="preserve">The second key type of resource refers to labour (Krugman and Wells, 2020). In the case of AZ, the availability of specialised labour is quite important given the extensive requirements for research and development (R&amp;D). As mentioned in the background information about AZ, the company has a solid workforce size of more than 76,000 employees (Zippia, 2024). It is important to note that the R&amp;D team is composed of 11,000 highly skilled professionals (MBA Skool, 2023). Thus, it can be concluded that AZ has solid </w:t>
      </w:r>
      <w:r w:rsidR="006F7514" w:rsidRPr="004A0CFF">
        <w:rPr>
          <w:rFonts w:ascii="Arial" w:hAnsi="Arial" w:cs="Arial"/>
          <w:color w:val="000000" w:themeColor="text1"/>
          <w:sz w:val="24"/>
          <w:szCs w:val="24"/>
          <w:lang w:val="en-US"/>
        </w:rPr>
        <w:t xml:space="preserve">and well-managed </w:t>
      </w:r>
      <w:r w:rsidRPr="004A0CFF">
        <w:rPr>
          <w:rFonts w:ascii="Arial" w:hAnsi="Arial" w:cs="Arial"/>
          <w:color w:val="000000" w:themeColor="text1"/>
          <w:sz w:val="24"/>
          <w:szCs w:val="24"/>
          <w:lang w:val="en-US"/>
        </w:rPr>
        <w:t xml:space="preserve">human resources. </w:t>
      </w:r>
    </w:p>
    <w:p w14:paraId="70C89D39" w14:textId="2B330E51" w:rsidR="00EB4DA0" w:rsidRPr="004A0CFF" w:rsidRDefault="00EB4DA0" w:rsidP="00CE4CC0">
      <w:pPr>
        <w:spacing w:line="360" w:lineRule="auto"/>
        <w:jc w:val="both"/>
        <w:rPr>
          <w:rFonts w:ascii="Arial" w:hAnsi="Arial" w:cs="Arial"/>
          <w:color w:val="000000" w:themeColor="text1"/>
          <w:sz w:val="24"/>
          <w:szCs w:val="24"/>
        </w:rPr>
      </w:pPr>
      <w:r w:rsidRPr="004A0CFF">
        <w:rPr>
          <w:rFonts w:ascii="Arial" w:hAnsi="Arial" w:cs="Arial"/>
          <w:color w:val="000000" w:themeColor="text1"/>
          <w:sz w:val="24"/>
          <w:szCs w:val="24"/>
          <w:lang w:val="en-US"/>
        </w:rPr>
        <w:t xml:space="preserve">Third, the nature of the distribution network is also worth examining, as it can be a key resource for differentiation. Kenton (2024) explains that large companies with extensive distribution network benefit from economies of scale – a condition leading to lower operational costs, supporting cost efficiency and competitiveness. As discussed, AZ has a broad geographic exposure to 62 countries around the globe and offices in 19 countries (ATMF, 2024). Operations are thus divided into several geographic regions: the home UK market, </w:t>
      </w:r>
      <w:r w:rsidRPr="004A0CFF">
        <w:rPr>
          <w:rFonts w:ascii="Arial" w:hAnsi="Arial" w:cs="Arial"/>
          <w:color w:val="000000" w:themeColor="text1"/>
          <w:sz w:val="24"/>
          <w:szCs w:val="24"/>
        </w:rPr>
        <w:t xml:space="preserve">Rest of Europe, the Americas and Asia, Africa and Australasia (Reuters, 2024). Considering these findings, AZ benefits not only from economies of scale stemming from its large size, but also to a reasonable geographic diversification and access to resources in many regions. </w:t>
      </w:r>
    </w:p>
    <w:p w14:paraId="334535FE" w14:textId="59D46306" w:rsidR="00EB4DA0" w:rsidRPr="004A0CFF" w:rsidRDefault="00EB4DA0"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rPr>
        <w:t xml:space="preserve">Fourth, resources may also be intangible, and the role of the brand value is essential for achieving competitive advantage. Having a solid brand is associated with a large pool of loyal customers who purchases in a repetitive manner and are ready to pay higher prices (Kotler et al., 2020). </w:t>
      </w:r>
      <w:r w:rsidR="00412149" w:rsidRPr="004A0CFF">
        <w:rPr>
          <w:rFonts w:ascii="Arial" w:hAnsi="Arial" w:cs="Arial"/>
          <w:color w:val="000000" w:themeColor="text1"/>
          <w:sz w:val="24"/>
          <w:szCs w:val="24"/>
        </w:rPr>
        <w:t xml:space="preserve">The brand value of the AZ brand is </w:t>
      </w:r>
      <w:r w:rsidR="00412149" w:rsidRPr="004A0CFF">
        <w:rPr>
          <w:rFonts w:ascii="Arial" w:hAnsi="Arial" w:cs="Arial"/>
          <w:color w:val="000000" w:themeColor="text1"/>
          <w:sz w:val="24"/>
          <w:szCs w:val="24"/>
          <w:lang w:val="en-US"/>
        </w:rPr>
        <w:t xml:space="preserve">$5.6 billion (Statista, 2023). It has considerably increased from a level of just $3.17 in the year 2021 (Statista, 2023). Hence, AZ has a strong brand contributing to the visibility of the company in the marketplace and indicating an increasing loyalty of customers. </w:t>
      </w:r>
    </w:p>
    <w:p w14:paraId="2C17DDBF" w14:textId="36BE61BF" w:rsidR="00AB7FD8" w:rsidRPr="004A0CFF" w:rsidRDefault="006F7514"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There are also several key capabilities which play an important role in achieving sustainable competitive advantage in the marketplace. The nature of the organisational culture is important since culture largely defines the values, attitudes and behaviours of organisational members (Rollinson, 2019). The case of AZ indicates the existence of an innovative organisational culture. According to DPW (2024), AZ has a portfolio of </w:t>
      </w:r>
      <w:r w:rsidR="0004686D" w:rsidRPr="004A0CFF">
        <w:rPr>
          <w:rFonts w:ascii="Arial" w:hAnsi="Arial" w:cs="Arial"/>
          <w:color w:val="000000" w:themeColor="text1"/>
          <w:sz w:val="24"/>
          <w:szCs w:val="24"/>
          <w:lang w:val="en-US"/>
        </w:rPr>
        <w:t>2,205</w:t>
      </w:r>
      <w:r w:rsidRPr="004A0CFF">
        <w:rPr>
          <w:rFonts w:ascii="Arial" w:hAnsi="Arial" w:cs="Arial"/>
          <w:color w:val="000000" w:themeColor="text1"/>
          <w:sz w:val="24"/>
          <w:szCs w:val="24"/>
          <w:lang w:val="en-US"/>
        </w:rPr>
        <w:t xml:space="preserve"> interna</w:t>
      </w:r>
      <w:r w:rsidR="0028763C" w:rsidRPr="004A0CFF">
        <w:rPr>
          <w:rFonts w:ascii="Arial" w:hAnsi="Arial" w:cs="Arial"/>
          <w:color w:val="000000" w:themeColor="text1"/>
          <w:sz w:val="24"/>
          <w:szCs w:val="24"/>
          <w:lang w:val="en-US"/>
        </w:rPr>
        <w:t>tional</w:t>
      </w:r>
      <w:r w:rsidRPr="004A0CFF">
        <w:rPr>
          <w:rFonts w:ascii="Arial" w:hAnsi="Arial" w:cs="Arial"/>
          <w:color w:val="000000" w:themeColor="text1"/>
          <w:sz w:val="24"/>
          <w:szCs w:val="24"/>
          <w:lang w:val="en-US"/>
        </w:rPr>
        <w:t xml:space="preserve"> patents, 12</w:t>
      </w:r>
      <w:r w:rsidR="0004686D" w:rsidRPr="004A0CFF">
        <w:rPr>
          <w:rFonts w:ascii="Arial" w:hAnsi="Arial" w:cs="Arial"/>
          <w:color w:val="000000" w:themeColor="text1"/>
          <w:sz w:val="24"/>
          <w:szCs w:val="24"/>
          <w:lang w:val="en-US"/>
        </w:rPr>
        <w:t xml:space="preserve">5 </w:t>
      </w:r>
      <w:r w:rsidRPr="004A0CFF">
        <w:rPr>
          <w:rFonts w:ascii="Arial" w:hAnsi="Arial" w:cs="Arial"/>
          <w:color w:val="000000" w:themeColor="text1"/>
          <w:sz w:val="24"/>
          <w:szCs w:val="24"/>
          <w:lang w:val="en-US"/>
        </w:rPr>
        <w:t xml:space="preserve">US patents and </w:t>
      </w:r>
      <w:r w:rsidR="0004686D" w:rsidRPr="004A0CFF">
        <w:rPr>
          <w:rFonts w:ascii="Arial" w:hAnsi="Arial" w:cs="Arial"/>
          <w:color w:val="000000" w:themeColor="text1"/>
          <w:sz w:val="24"/>
          <w:szCs w:val="24"/>
          <w:lang w:val="en-US"/>
        </w:rPr>
        <w:t xml:space="preserve">66 </w:t>
      </w:r>
      <w:r w:rsidRPr="004A0CFF">
        <w:rPr>
          <w:rFonts w:ascii="Arial" w:hAnsi="Arial" w:cs="Arial"/>
          <w:color w:val="000000" w:themeColor="text1"/>
          <w:sz w:val="24"/>
          <w:szCs w:val="24"/>
          <w:lang w:val="en-US"/>
        </w:rPr>
        <w:t xml:space="preserve">protected tradenames. This shows the solid capacity to innovate and address evolving consumer needs. </w:t>
      </w:r>
    </w:p>
    <w:p w14:paraId="2C06053F" w14:textId="1EC9503C" w:rsidR="00412149" w:rsidRPr="004A0CFF" w:rsidRDefault="006F7514"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Another culture-related factor supporting performance refers to </w:t>
      </w:r>
      <w:r w:rsidR="00AB7FD8" w:rsidRPr="004A0CFF">
        <w:rPr>
          <w:rFonts w:ascii="Arial" w:hAnsi="Arial" w:cs="Arial"/>
          <w:color w:val="000000" w:themeColor="text1"/>
          <w:sz w:val="24"/>
          <w:szCs w:val="24"/>
          <w:lang w:val="en-US"/>
        </w:rPr>
        <w:t>diversity and inclusion in the workplace.</w:t>
      </w:r>
      <w:r w:rsidRPr="004A0CFF">
        <w:rPr>
          <w:rFonts w:ascii="Arial" w:hAnsi="Arial" w:cs="Arial"/>
          <w:color w:val="000000" w:themeColor="text1"/>
          <w:sz w:val="24"/>
          <w:szCs w:val="24"/>
          <w:lang w:val="en-US"/>
        </w:rPr>
        <w:t xml:space="preserve"> In the case of AZ, there is almost an equal division of male (52%) and female (48%) employees, as well as a wide integration of professionals with different ethical background (40% non-white employees) (Zippia, 2024). </w:t>
      </w:r>
      <w:r w:rsidR="00AB7FD8" w:rsidRPr="004A0CFF">
        <w:rPr>
          <w:rFonts w:ascii="Arial" w:hAnsi="Arial" w:cs="Arial"/>
          <w:color w:val="000000" w:themeColor="text1"/>
          <w:sz w:val="24"/>
          <w:szCs w:val="24"/>
          <w:lang w:val="en-US"/>
        </w:rPr>
        <w:t xml:space="preserve">Taken together, the evidence shows that AZ has a diversity score of 9.8 out of 10 points (Zippia, 2024). These findings are important since performance is largely determined by the ability to include diverse professionals who are engaged and committed in a culture of inclusion (Hook and Jenkins, 2019). </w:t>
      </w:r>
    </w:p>
    <w:p w14:paraId="1981DC7E" w14:textId="31530C4A" w:rsidR="005B54B4" w:rsidRPr="004A0CFF" w:rsidRDefault="009A1A6A"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described resources and capabilities play a critically important role in achieving the </w:t>
      </w:r>
      <w:r w:rsidR="00726379" w:rsidRPr="004A0CFF">
        <w:rPr>
          <w:rFonts w:ascii="Arial" w:hAnsi="Arial" w:cs="Arial"/>
          <w:color w:val="000000" w:themeColor="text1"/>
          <w:sz w:val="24"/>
          <w:szCs w:val="24"/>
          <w:lang w:val="en-US"/>
        </w:rPr>
        <w:t xml:space="preserve">corporate </w:t>
      </w:r>
      <w:r w:rsidRPr="004A0CFF">
        <w:rPr>
          <w:rFonts w:ascii="Arial" w:hAnsi="Arial" w:cs="Arial"/>
          <w:color w:val="000000" w:themeColor="text1"/>
          <w:sz w:val="24"/>
          <w:szCs w:val="24"/>
          <w:lang w:val="en-US"/>
        </w:rPr>
        <w:t xml:space="preserve">strategy of AZ to be </w:t>
      </w:r>
      <w:r w:rsidR="00726379" w:rsidRPr="004A0CFF">
        <w:rPr>
          <w:rFonts w:ascii="Arial" w:hAnsi="Arial" w:cs="Arial"/>
          <w:color w:val="000000" w:themeColor="text1"/>
          <w:sz w:val="24"/>
          <w:szCs w:val="24"/>
          <w:lang w:val="en-US"/>
        </w:rPr>
        <w:t>science-led and innovative organisation with global presence and a leadership position in key therapeutical areas (AZ, 2024a).</w:t>
      </w:r>
      <w:r w:rsidRPr="004A0CFF">
        <w:rPr>
          <w:rFonts w:ascii="Arial" w:hAnsi="Arial" w:cs="Arial"/>
          <w:color w:val="000000" w:themeColor="text1"/>
          <w:sz w:val="24"/>
          <w:szCs w:val="24"/>
          <w:lang w:val="en-US"/>
        </w:rPr>
        <w:t xml:space="preserve"> </w:t>
      </w:r>
      <w:r w:rsidR="003D5A33" w:rsidRPr="004A0CFF">
        <w:rPr>
          <w:rFonts w:ascii="Arial" w:hAnsi="Arial" w:cs="Arial"/>
          <w:color w:val="000000" w:themeColor="text1"/>
          <w:sz w:val="24"/>
          <w:szCs w:val="24"/>
          <w:lang w:val="en-US"/>
        </w:rPr>
        <w:t>The achievement of ambitious growth-related business strategy goals is also possible by utilising the described resources and capabilities. More specifically, t</w:t>
      </w:r>
      <w:r w:rsidRPr="004A0CFF">
        <w:rPr>
          <w:rFonts w:ascii="Arial" w:hAnsi="Arial" w:cs="Arial"/>
          <w:color w:val="000000" w:themeColor="text1"/>
          <w:sz w:val="24"/>
          <w:szCs w:val="24"/>
          <w:lang w:val="en-US"/>
        </w:rPr>
        <w:t xml:space="preserve">he combination of capital (physical and human), as well as extensive distribution network contributes to achieving large capacity and efficiency of operations. In this light, resources are needed to maintain profitable global operations. Nevertheless, it is worth noting that the other large competitors in the pharmaceutical sector, such as </w:t>
      </w:r>
      <w:r w:rsidR="0005431C" w:rsidRPr="004A0CFF">
        <w:rPr>
          <w:rFonts w:ascii="Arial" w:hAnsi="Arial" w:cs="Arial"/>
          <w:color w:val="000000" w:themeColor="text1"/>
          <w:sz w:val="24"/>
          <w:szCs w:val="24"/>
          <w:lang w:val="en-US"/>
        </w:rPr>
        <w:t>Pfizer, GlaxoSmithKline</w:t>
      </w:r>
      <w:r w:rsidRPr="004A0CFF">
        <w:rPr>
          <w:rFonts w:ascii="Arial" w:hAnsi="Arial" w:cs="Arial"/>
          <w:color w:val="000000" w:themeColor="text1"/>
          <w:sz w:val="24"/>
          <w:szCs w:val="24"/>
          <w:lang w:val="en-US"/>
        </w:rPr>
        <w:t xml:space="preserve">, Roche and others, also have solid physical and human assets together with extensive distribution networks. Therefore, these resources are not so rare and can be imitated by competitors – a condition preventing the achievement of sustainable competitive advantage (Worthington et al., 2023. Instead, the brand value of AZ and its unique organisational culture are more important for sustainable competitive advantage since these two factors cover all VRIO criteria – valuable, rare, organised and inimitable. </w:t>
      </w:r>
    </w:p>
    <w:p w14:paraId="634C265A" w14:textId="77777777" w:rsidR="006A55B1" w:rsidRPr="004A0CFF" w:rsidRDefault="006A55B1" w:rsidP="004A0CFF">
      <w:pPr>
        <w:pStyle w:val="1"/>
        <w:spacing w:before="0" w:after="240"/>
        <w:rPr>
          <w:rFonts w:ascii="Arial" w:hAnsi="Arial" w:cs="Arial"/>
          <w:lang w:val="en-US"/>
        </w:rPr>
      </w:pPr>
      <w:bookmarkStart w:id="3" w:name="_Toc175582856"/>
      <w:r w:rsidRPr="004A0CFF">
        <w:rPr>
          <w:rFonts w:ascii="Arial" w:hAnsi="Arial" w:cs="Arial"/>
          <w:lang w:val="en-US"/>
        </w:rPr>
        <w:t>Strategic performance evaluation of AZ</w:t>
      </w:r>
      <w:bookmarkEnd w:id="3"/>
    </w:p>
    <w:p w14:paraId="7E90F26C" w14:textId="1D79FF47" w:rsidR="006A55B1" w:rsidRPr="004A0CFF" w:rsidRDefault="00677385"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Performance evaluation can be based on different criteria. In this case, the performance indicators are chosen from the strategy of the company. Hence, the focus is placed </w:t>
      </w:r>
      <w:r w:rsidR="0004686D" w:rsidRPr="004A0CFF">
        <w:rPr>
          <w:rFonts w:ascii="Arial" w:hAnsi="Arial" w:cs="Arial"/>
          <w:color w:val="000000" w:themeColor="text1"/>
          <w:sz w:val="24"/>
          <w:szCs w:val="24"/>
          <w:lang w:val="en-US"/>
        </w:rPr>
        <w:t>on</w:t>
      </w:r>
      <w:r w:rsidRPr="004A0CFF">
        <w:rPr>
          <w:rFonts w:ascii="Arial" w:hAnsi="Arial" w:cs="Arial"/>
          <w:color w:val="000000" w:themeColor="text1"/>
          <w:sz w:val="24"/>
          <w:szCs w:val="24"/>
          <w:lang w:val="en-US"/>
        </w:rPr>
        <w:t xml:space="preserve"> 1) revenue; 2) </w:t>
      </w:r>
      <w:r w:rsidR="00E12E51" w:rsidRPr="004A0CFF">
        <w:rPr>
          <w:rFonts w:ascii="Arial" w:hAnsi="Arial" w:cs="Arial"/>
          <w:color w:val="000000" w:themeColor="text1"/>
          <w:sz w:val="24"/>
          <w:szCs w:val="24"/>
          <w:lang w:val="en-US"/>
        </w:rPr>
        <w:t>innovative performance</w:t>
      </w:r>
      <w:r w:rsidRPr="004A0CFF">
        <w:rPr>
          <w:rFonts w:ascii="Arial" w:hAnsi="Arial" w:cs="Arial"/>
          <w:color w:val="000000" w:themeColor="text1"/>
          <w:sz w:val="24"/>
          <w:szCs w:val="24"/>
          <w:lang w:val="en-US"/>
        </w:rPr>
        <w:t xml:space="preserve">; 3) </w:t>
      </w:r>
      <w:r w:rsidR="00E12E51" w:rsidRPr="004A0CFF">
        <w:rPr>
          <w:rFonts w:ascii="Arial" w:hAnsi="Arial" w:cs="Arial"/>
          <w:color w:val="000000" w:themeColor="text1"/>
          <w:sz w:val="24"/>
          <w:szCs w:val="24"/>
          <w:lang w:val="en-US"/>
        </w:rPr>
        <w:t>sustainability</w:t>
      </w:r>
      <w:r w:rsidR="0028763C" w:rsidRPr="004A0CFF">
        <w:rPr>
          <w:rFonts w:ascii="Arial" w:hAnsi="Arial" w:cs="Arial"/>
          <w:color w:val="000000" w:themeColor="text1"/>
          <w:sz w:val="24"/>
          <w:szCs w:val="24"/>
          <w:lang w:val="en-US"/>
        </w:rPr>
        <w:t>;</w:t>
      </w:r>
      <w:r w:rsidRPr="004A0CFF">
        <w:rPr>
          <w:rFonts w:ascii="Arial" w:hAnsi="Arial" w:cs="Arial"/>
          <w:color w:val="000000" w:themeColor="text1"/>
          <w:sz w:val="24"/>
          <w:szCs w:val="24"/>
          <w:lang w:val="en-US"/>
        </w:rPr>
        <w:t xml:space="preserve"> and 4) number of customers as a proxy measure of customer satisfaction and market share. </w:t>
      </w:r>
    </w:p>
    <w:p w14:paraId="3985D6E2" w14:textId="30B8F217" w:rsidR="006A55B1" w:rsidRPr="004A0CFF" w:rsidRDefault="0004686D"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Table 1 shows the changes in the annual revenue of AZ in the last several years. The company effectively doubled its annual revenue from $22.1 billion (2018) to $45.8 billion (2023), thereby showing the capacity of the company to achieve growth (Macro Trends, 2024). Therefore, the business strategy to reach $80 billion in annual revenue by the year 2030 appears to be quite realistic and achievable given the growth rates.</w:t>
      </w:r>
    </w:p>
    <w:p w14:paraId="5A7C9CC0" w14:textId="57468606" w:rsidR="0004686D" w:rsidRPr="004A0CFF" w:rsidRDefault="0004686D" w:rsidP="004A0CFF">
      <w:pPr>
        <w:spacing w:after="0" w:line="360" w:lineRule="auto"/>
        <w:jc w:val="both"/>
        <w:rPr>
          <w:rFonts w:ascii="Arial" w:hAnsi="Arial" w:cs="Arial"/>
          <w:b/>
          <w:bCs/>
          <w:color w:val="000000" w:themeColor="text1"/>
          <w:sz w:val="24"/>
          <w:szCs w:val="24"/>
          <w:lang w:val="en-US"/>
        </w:rPr>
      </w:pPr>
      <w:r w:rsidRPr="004A0CFF">
        <w:rPr>
          <w:rFonts w:ascii="Arial" w:hAnsi="Arial" w:cs="Arial"/>
          <w:b/>
          <w:bCs/>
          <w:color w:val="000000" w:themeColor="text1"/>
          <w:sz w:val="24"/>
          <w:szCs w:val="24"/>
          <w:lang w:val="en-US"/>
        </w:rPr>
        <w:t>Table 1 – Annual revenue of AZ</w:t>
      </w:r>
      <w:r w:rsidR="00F16324" w:rsidRPr="004A0CFF">
        <w:rPr>
          <w:rFonts w:ascii="Arial" w:hAnsi="Arial" w:cs="Arial"/>
          <w:b/>
          <w:bCs/>
          <w:color w:val="000000" w:themeColor="text1"/>
          <w:sz w:val="24"/>
          <w:szCs w:val="24"/>
          <w:lang w:val="en-US"/>
        </w:rPr>
        <w:t xml:space="preserve"> ($, million)</w:t>
      </w:r>
    </w:p>
    <w:p w14:paraId="0A613304" w14:textId="05123262" w:rsidR="006A55B1" w:rsidRPr="004A0CFF" w:rsidRDefault="0004686D" w:rsidP="00CE4CC0">
      <w:pPr>
        <w:spacing w:line="360" w:lineRule="auto"/>
        <w:jc w:val="both"/>
        <w:rPr>
          <w:rFonts w:ascii="Arial" w:hAnsi="Arial" w:cs="Arial"/>
          <w:color w:val="000000" w:themeColor="text1"/>
          <w:sz w:val="24"/>
          <w:szCs w:val="24"/>
          <w:lang w:val="en-US"/>
        </w:rPr>
      </w:pPr>
      <w:r w:rsidRPr="004A0CFF">
        <w:rPr>
          <w:rFonts w:ascii="Arial" w:hAnsi="Arial" w:cs="Arial"/>
          <w:noProof/>
          <w:color w:val="000000" w:themeColor="text1"/>
          <w:sz w:val="24"/>
          <w:szCs w:val="24"/>
          <w:lang w:val="en-US"/>
        </w:rPr>
        <w:drawing>
          <wp:inline distT="0" distB="0" distL="0" distR="0" wp14:anchorId="2623898F" wp14:editId="2046772B">
            <wp:extent cx="3810000" cy="3160136"/>
            <wp:effectExtent l="0" t="0" r="0" b="2540"/>
            <wp:docPr id="114553098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530980" name="Picture 1" descr="A screenshot of a graph&#10;&#10;Description automatically generated"/>
                    <pic:cNvPicPr/>
                  </pic:nvPicPr>
                  <pic:blipFill>
                    <a:blip r:embed="rId10"/>
                    <a:stretch>
                      <a:fillRect/>
                    </a:stretch>
                  </pic:blipFill>
                  <pic:spPr>
                    <a:xfrm>
                      <a:off x="0" y="0"/>
                      <a:ext cx="3839636" cy="3184717"/>
                    </a:xfrm>
                    <a:prstGeom prst="rect">
                      <a:avLst/>
                    </a:prstGeom>
                  </pic:spPr>
                </pic:pic>
              </a:graphicData>
            </a:graphic>
          </wp:inline>
        </w:drawing>
      </w:r>
    </w:p>
    <w:p w14:paraId="1384B0F9" w14:textId="285A16EA" w:rsidR="0004686D" w:rsidRPr="004A0CFF" w:rsidRDefault="0004686D" w:rsidP="00CE4CC0">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Source: Macro Trends (2024)</w:t>
      </w:r>
    </w:p>
    <w:p w14:paraId="426444BE" w14:textId="765824D4" w:rsidR="00E12E51" w:rsidRDefault="0004686D"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second performance area focuses on innovation capacity, as it is a key corporate strategy goal (AZ, 2024a). The chart shows that AZ has numerous new patent fillings and grants, especially in the key </w:t>
      </w:r>
      <w:r w:rsidR="0028763C" w:rsidRPr="004A0CFF">
        <w:rPr>
          <w:rFonts w:ascii="Arial" w:hAnsi="Arial" w:cs="Arial"/>
          <w:color w:val="000000" w:themeColor="text1"/>
          <w:sz w:val="24"/>
          <w:szCs w:val="24"/>
          <w:lang w:val="en-US"/>
        </w:rPr>
        <w:t>areas of rare diseases (Pharmaceutical Technology, 2024). In addition, AZ has achieved a wide portfolio of intellectual property assets, including 2,205 international patents, 125 US patents and 66 protected tradenames (DPW, 2024). Having said this, the company also shows a solid performance in the field of innovation and new product development.</w:t>
      </w:r>
    </w:p>
    <w:p w14:paraId="73C1D66D" w14:textId="77777777" w:rsidR="004A0CFF" w:rsidRDefault="004A0CFF" w:rsidP="00CE4CC0">
      <w:pPr>
        <w:spacing w:line="360" w:lineRule="auto"/>
        <w:jc w:val="both"/>
        <w:rPr>
          <w:rFonts w:ascii="Arial" w:hAnsi="Arial" w:cs="Arial"/>
          <w:color w:val="000000" w:themeColor="text1"/>
          <w:sz w:val="24"/>
          <w:szCs w:val="24"/>
          <w:lang w:val="en-US"/>
        </w:rPr>
      </w:pPr>
    </w:p>
    <w:p w14:paraId="74FCEF88" w14:textId="77777777" w:rsidR="004A0CFF" w:rsidRDefault="004A0CFF" w:rsidP="00CE4CC0">
      <w:pPr>
        <w:spacing w:line="360" w:lineRule="auto"/>
        <w:jc w:val="both"/>
        <w:rPr>
          <w:rFonts w:ascii="Arial" w:hAnsi="Arial" w:cs="Arial"/>
          <w:color w:val="000000" w:themeColor="text1"/>
          <w:sz w:val="24"/>
          <w:szCs w:val="24"/>
          <w:lang w:val="en-US"/>
        </w:rPr>
      </w:pPr>
    </w:p>
    <w:p w14:paraId="540E06E6" w14:textId="77777777" w:rsidR="004A0CFF" w:rsidRDefault="004A0CFF" w:rsidP="00CE4CC0">
      <w:pPr>
        <w:spacing w:line="360" w:lineRule="auto"/>
        <w:jc w:val="both"/>
        <w:rPr>
          <w:rFonts w:ascii="Arial" w:hAnsi="Arial" w:cs="Arial"/>
          <w:color w:val="000000" w:themeColor="text1"/>
          <w:sz w:val="24"/>
          <w:szCs w:val="24"/>
          <w:lang w:val="en-US"/>
        </w:rPr>
      </w:pPr>
    </w:p>
    <w:p w14:paraId="565E24DE" w14:textId="77777777" w:rsidR="004A0CFF" w:rsidRDefault="004A0CFF" w:rsidP="00CE4CC0">
      <w:pPr>
        <w:spacing w:line="360" w:lineRule="auto"/>
        <w:jc w:val="both"/>
        <w:rPr>
          <w:rFonts w:ascii="Arial" w:hAnsi="Arial" w:cs="Arial"/>
          <w:color w:val="000000" w:themeColor="text1"/>
          <w:sz w:val="24"/>
          <w:szCs w:val="24"/>
          <w:lang w:val="en-US"/>
        </w:rPr>
      </w:pPr>
    </w:p>
    <w:p w14:paraId="7B77C29D" w14:textId="36E8165F" w:rsidR="0028763C" w:rsidRPr="004A0CFF" w:rsidRDefault="0028763C" w:rsidP="00E12E51">
      <w:pPr>
        <w:spacing w:after="0" w:line="360" w:lineRule="auto"/>
        <w:jc w:val="both"/>
        <w:rPr>
          <w:rFonts w:ascii="Arial" w:hAnsi="Arial" w:cs="Arial"/>
          <w:b/>
          <w:bCs/>
          <w:color w:val="000000" w:themeColor="text1"/>
          <w:sz w:val="24"/>
          <w:szCs w:val="24"/>
          <w:lang w:val="en-US"/>
        </w:rPr>
      </w:pPr>
      <w:r w:rsidRPr="004A0CFF">
        <w:rPr>
          <w:rFonts w:ascii="Arial" w:hAnsi="Arial" w:cs="Arial"/>
          <w:b/>
          <w:bCs/>
          <w:color w:val="000000" w:themeColor="text1"/>
          <w:sz w:val="24"/>
          <w:szCs w:val="24"/>
          <w:lang w:val="en-US"/>
        </w:rPr>
        <w:t>Figure 2 – Number of new patent fillings and grants (2</w:t>
      </w:r>
      <w:r w:rsidRPr="004A0CFF">
        <w:rPr>
          <w:rFonts w:ascii="Arial" w:hAnsi="Arial" w:cs="Arial"/>
          <w:b/>
          <w:bCs/>
          <w:color w:val="000000" w:themeColor="text1"/>
          <w:sz w:val="24"/>
          <w:szCs w:val="24"/>
          <w:vertAlign w:val="superscript"/>
          <w:lang w:val="en-US"/>
        </w:rPr>
        <w:t>nd</w:t>
      </w:r>
      <w:r w:rsidRPr="004A0CFF">
        <w:rPr>
          <w:rFonts w:ascii="Arial" w:hAnsi="Arial" w:cs="Arial"/>
          <w:b/>
          <w:bCs/>
          <w:color w:val="000000" w:themeColor="text1"/>
          <w:sz w:val="24"/>
          <w:szCs w:val="24"/>
          <w:lang w:val="en-US"/>
        </w:rPr>
        <w:t xml:space="preserve"> quarter 2024)</w:t>
      </w:r>
    </w:p>
    <w:p w14:paraId="5D9B8AC3" w14:textId="48DF19D7" w:rsidR="006A55B1" w:rsidRPr="004A0CFF" w:rsidRDefault="0004686D" w:rsidP="00E12E51">
      <w:pPr>
        <w:spacing w:after="0" w:line="360" w:lineRule="auto"/>
        <w:jc w:val="both"/>
        <w:rPr>
          <w:rFonts w:ascii="Arial" w:hAnsi="Arial" w:cs="Arial"/>
          <w:color w:val="000000" w:themeColor="text1"/>
          <w:sz w:val="24"/>
          <w:szCs w:val="24"/>
          <w:lang w:val="en-US"/>
        </w:rPr>
      </w:pPr>
      <w:r w:rsidRPr="004A0CFF">
        <w:rPr>
          <w:rFonts w:ascii="Arial" w:hAnsi="Arial" w:cs="Arial"/>
          <w:noProof/>
          <w:color w:val="000000" w:themeColor="text1"/>
          <w:sz w:val="24"/>
          <w:szCs w:val="24"/>
          <w:lang w:val="en-US"/>
        </w:rPr>
        <w:drawing>
          <wp:inline distT="0" distB="0" distL="0" distR="0" wp14:anchorId="31EF327C" wp14:editId="5AD7D6E5">
            <wp:extent cx="5760720" cy="3322320"/>
            <wp:effectExtent l="0" t="0" r="0" b="0"/>
            <wp:docPr id="911159781" name="Picture 1" descr="A graph of blue and black col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159781" name="Picture 1" descr="A graph of blue and black color&#10;&#10;Description automatically generated with medium confidence"/>
                    <pic:cNvPicPr/>
                  </pic:nvPicPr>
                  <pic:blipFill>
                    <a:blip r:embed="rId11"/>
                    <a:stretch>
                      <a:fillRect/>
                    </a:stretch>
                  </pic:blipFill>
                  <pic:spPr>
                    <a:xfrm>
                      <a:off x="0" y="0"/>
                      <a:ext cx="5760720" cy="3322320"/>
                    </a:xfrm>
                    <a:prstGeom prst="rect">
                      <a:avLst/>
                    </a:prstGeom>
                  </pic:spPr>
                </pic:pic>
              </a:graphicData>
            </a:graphic>
          </wp:inline>
        </w:drawing>
      </w:r>
    </w:p>
    <w:p w14:paraId="03FCD34A" w14:textId="52C1848C" w:rsidR="006A55B1" w:rsidRPr="004A0CFF" w:rsidRDefault="0028763C" w:rsidP="00CE4CC0">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Source: Pharmaceutical Technology (2024)</w:t>
      </w:r>
    </w:p>
    <w:p w14:paraId="67DA950B" w14:textId="1154F918" w:rsidR="00895D57" w:rsidRPr="004A0CFF" w:rsidRDefault="00895D57"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In addition, AZ has dramatically increased its R&amp;D budget, as shown below. It currently reaches almost $11 billion per annum which provides solid resources to achieve more extensive innovation and new product development (</w:t>
      </w:r>
      <w:r w:rsidR="00352766" w:rsidRPr="004A0CFF">
        <w:rPr>
          <w:rFonts w:ascii="Arial" w:hAnsi="Arial" w:cs="Arial"/>
          <w:color w:val="000000" w:themeColor="text1"/>
          <w:sz w:val="24"/>
          <w:szCs w:val="24"/>
          <w:lang w:val="en-US"/>
        </w:rPr>
        <w:t>Mikulic, 2024a).</w:t>
      </w:r>
    </w:p>
    <w:p w14:paraId="7CF9489F" w14:textId="13F29776" w:rsidR="00352766" w:rsidRPr="004A0CFF" w:rsidRDefault="00352766" w:rsidP="00E12E51">
      <w:pPr>
        <w:spacing w:after="0" w:line="360" w:lineRule="auto"/>
        <w:jc w:val="both"/>
        <w:rPr>
          <w:rFonts w:ascii="Arial" w:hAnsi="Arial" w:cs="Arial"/>
          <w:b/>
          <w:bCs/>
          <w:color w:val="000000" w:themeColor="text1"/>
          <w:sz w:val="24"/>
          <w:szCs w:val="24"/>
          <w:lang w:val="en-US"/>
        </w:rPr>
      </w:pPr>
      <w:r w:rsidRPr="004A0CFF">
        <w:rPr>
          <w:rFonts w:ascii="Arial" w:hAnsi="Arial" w:cs="Arial"/>
          <w:b/>
          <w:bCs/>
          <w:color w:val="000000" w:themeColor="text1"/>
          <w:sz w:val="24"/>
          <w:szCs w:val="24"/>
          <w:lang w:val="en-US"/>
        </w:rPr>
        <w:t>Figure 3 – R&amp;D budget of AZ ($, million)</w:t>
      </w:r>
    </w:p>
    <w:p w14:paraId="7C611FC2" w14:textId="0E78075E" w:rsidR="00895D57" w:rsidRPr="004A0CFF" w:rsidRDefault="00895D57" w:rsidP="00E12E51">
      <w:pPr>
        <w:spacing w:after="0" w:line="360" w:lineRule="auto"/>
        <w:jc w:val="both"/>
        <w:rPr>
          <w:rFonts w:ascii="Arial" w:hAnsi="Arial" w:cs="Arial"/>
          <w:color w:val="000000" w:themeColor="text1"/>
          <w:sz w:val="24"/>
          <w:szCs w:val="24"/>
          <w:lang w:val="en-US"/>
        </w:rPr>
      </w:pPr>
      <w:r w:rsidRPr="004A0CFF">
        <w:rPr>
          <w:rFonts w:ascii="Arial" w:hAnsi="Arial" w:cs="Arial"/>
          <w:noProof/>
          <w:color w:val="000000" w:themeColor="text1"/>
          <w:sz w:val="24"/>
          <w:szCs w:val="24"/>
          <w:lang w:val="en-US"/>
        </w:rPr>
        <w:drawing>
          <wp:inline distT="0" distB="0" distL="0" distR="0" wp14:anchorId="2DBF6BA1" wp14:editId="1E12F3F3">
            <wp:extent cx="5715000" cy="3230880"/>
            <wp:effectExtent l="0" t="0" r="0" b="7620"/>
            <wp:docPr id="1885894874"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894874" name="Picture 1" descr="A graph with numbers and a bar&#10;&#10;Description automatically generated"/>
                    <pic:cNvPicPr/>
                  </pic:nvPicPr>
                  <pic:blipFill>
                    <a:blip r:embed="rId12"/>
                    <a:stretch>
                      <a:fillRect/>
                    </a:stretch>
                  </pic:blipFill>
                  <pic:spPr>
                    <a:xfrm>
                      <a:off x="0" y="0"/>
                      <a:ext cx="5716144" cy="3231527"/>
                    </a:xfrm>
                    <a:prstGeom prst="rect">
                      <a:avLst/>
                    </a:prstGeom>
                  </pic:spPr>
                </pic:pic>
              </a:graphicData>
            </a:graphic>
          </wp:inline>
        </w:drawing>
      </w:r>
    </w:p>
    <w:p w14:paraId="645282C0" w14:textId="20D7053F" w:rsidR="00352766" w:rsidRPr="004A0CFF" w:rsidRDefault="00352766" w:rsidP="00CE4CC0">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Source: Mikulic (2024a)</w:t>
      </w:r>
    </w:p>
    <w:p w14:paraId="50934998" w14:textId="09B10A08" w:rsidR="0028763C" w:rsidRPr="004A0CFF" w:rsidRDefault="0028763C"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In terms of sustainable development, AZ is placed on the 7</w:t>
      </w:r>
      <w:r w:rsidRPr="004A0CFF">
        <w:rPr>
          <w:rFonts w:ascii="Arial" w:hAnsi="Arial" w:cs="Arial"/>
          <w:color w:val="000000" w:themeColor="text1"/>
          <w:sz w:val="24"/>
          <w:szCs w:val="24"/>
          <w:vertAlign w:val="superscript"/>
          <w:lang w:val="en-US"/>
        </w:rPr>
        <w:t>th</w:t>
      </w:r>
      <w:r w:rsidRPr="004A0CFF">
        <w:rPr>
          <w:rFonts w:ascii="Arial" w:hAnsi="Arial" w:cs="Arial"/>
          <w:color w:val="000000" w:themeColor="text1"/>
          <w:sz w:val="24"/>
          <w:szCs w:val="24"/>
          <w:lang w:val="en-US"/>
        </w:rPr>
        <w:t xml:space="preserve"> place out of 28 global pharmaceutical companies, as discussed in more detail later in the report (WBA, 2023). This indicates a relatively strong performance, but more efforts are needed to achieve the leadership position.</w:t>
      </w:r>
    </w:p>
    <w:p w14:paraId="3C5B4A2A" w14:textId="596DE652" w:rsidR="0028763C" w:rsidRPr="004A0CFF" w:rsidRDefault="00F16324"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Finally, the number of customers </w:t>
      </w:r>
      <w:r w:rsidR="00895D57" w:rsidRPr="004A0CFF">
        <w:rPr>
          <w:rFonts w:ascii="Arial" w:hAnsi="Arial" w:cs="Arial"/>
          <w:color w:val="000000" w:themeColor="text1"/>
          <w:sz w:val="24"/>
          <w:szCs w:val="24"/>
          <w:lang w:val="en-US"/>
        </w:rPr>
        <w:t>is</w:t>
      </w:r>
      <w:r w:rsidRPr="004A0CFF">
        <w:rPr>
          <w:rFonts w:ascii="Arial" w:hAnsi="Arial" w:cs="Arial"/>
          <w:color w:val="000000" w:themeColor="text1"/>
          <w:sz w:val="24"/>
          <w:szCs w:val="24"/>
          <w:lang w:val="en-US"/>
        </w:rPr>
        <w:t xml:space="preserve"> analysed. </w:t>
      </w:r>
      <w:r w:rsidR="00352766" w:rsidRPr="004A0CFF">
        <w:rPr>
          <w:rFonts w:ascii="Arial" w:hAnsi="Arial" w:cs="Arial"/>
          <w:color w:val="000000" w:themeColor="text1"/>
          <w:sz w:val="24"/>
          <w:szCs w:val="24"/>
          <w:lang w:val="en-US"/>
        </w:rPr>
        <w:t xml:space="preserve">There are no precise numbers regarding the number of customers. Nevertheless, the sharply increasing revenue in the recent years ($45.8 billion), the growing brand value ($5.6 billion) and extensive market presence in 62 countries serve as evidence for an increasing number of consumers </w:t>
      </w:r>
      <w:r w:rsidR="00E12E51" w:rsidRPr="004A0CFF">
        <w:rPr>
          <w:rFonts w:ascii="Arial" w:hAnsi="Arial" w:cs="Arial"/>
          <w:color w:val="000000" w:themeColor="text1"/>
          <w:sz w:val="24"/>
          <w:szCs w:val="24"/>
          <w:lang w:val="en-US"/>
        </w:rPr>
        <w:t xml:space="preserve">on a global scale </w:t>
      </w:r>
      <w:r w:rsidR="00352766" w:rsidRPr="004A0CFF">
        <w:rPr>
          <w:rFonts w:ascii="Arial" w:hAnsi="Arial" w:cs="Arial"/>
          <w:color w:val="000000" w:themeColor="text1"/>
          <w:sz w:val="24"/>
          <w:szCs w:val="24"/>
          <w:lang w:val="en-US"/>
        </w:rPr>
        <w:t>(Statista, 2023; ATMF, 2024; Macro Trends, 2024).</w:t>
      </w:r>
    </w:p>
    <w:p w14:paraId="57E6C107" w14:textId="582584F9" w:rsidR="006A55B1" w:rsidRPr="004A0CFF" w:rsidRDefault="00352766"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Overall, the results from the performance analysis indicate that AZ is on track of achieving the main goals, as stated by the corporate and business strategy of the organisation. Consistence and continuous improvements are necessary to ensure successful future performance in a dynamic and competitive marketplace. </w:t>
      </w:r>
    </w:p>
    <w:p w14:paraId="00FA16E6" w14:textId="50A4AAD0" w:rsidR="00CA1EE9" w:rsidRPr="004A0CFF" w:rsidRDefault="00CA1EE9" w:rsidP="004A0CFF">
      <w:pPr>
        <w:pStyle w:val="1"/>
        <w:spacing w:before="0" w:after="240"/>
        <w:rPr>
          <w:rFonts w:ascii="Arial" w:hAnsi="Arial" w:cs="Arial"/>
          <w:lang w:val="en-US"/>
        </w:rPr>
      </w:pPr>
      <w:bookmarkStart w:id="4" w:name="_Toc175582857"/>
      <w:r w:rsidRPr="004A0CFF">
        <w:rPr>
          <w:rFonts w:ascii="Arial" w:hAnsi="Arial" w:cs="Arial"/>
          <w:lang w:val="en-US"/>
        </w:rPr>
        <w:t>Sustainability and the environment for competitiveness</w:t>
      </w:r>
      <w:bookmarkEnd w:id="4"/>
    </w:p>
    <w:p w14:paraId="7F9E789F" w14:textId="39E51490" w:rsidR="00CA1EE9" w:rsidRPr="004A0CFF" w:rsidRDefault="00CA1EE9" w:rsidP="00CA1EE9">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Sustainable development has become increasingly important for society in general. As discussed in the PESTEL analysis, there are stricter environmental regulations faced by the companies in the UK (Matovic, 2020). Moreover, large and public companies face mandatory requirements to periodically publish sustainability reports showing the main environmental risks and policies in the specific area of sustainable development (Jones et al., 2024). </w:t>
      </w:r>
      <w:r w:rsidR="00FF379A" w:rsidRPr="004A0CFF">
        <w:rPr>
          <w:rFonts w:ascii="Arial" w:hAnsi="Arial" w:cs="Arial"/>
          <w:color w:val="000000" w:themeColor="text1"/>
          <w:sz w:val="24"/>
          <w:szCs w:val="24"/>
          <w:lang w:val="en-US"/>
        </w:rPr>
        <w:t xml:space="preserve">In addition to the legal requirements, companies must address the increasing societal expectations for ethical business behaviour (Consultancy UK, 2022). In this context, meeting the elevated expectations for sustainable development can be seen as a factor for differentiation and competitiveness in the marketplace. </w:t>
      </w:r>
    </w:p>
    <w:p w14:paraId="14B16686" w14:textId="26534722" w:rsidR="00FF379A" w:rsidRPr="004A0CFF" w:rsidRDefault="0013026E" w:rsidP="00CA1EE9">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Given these important considerations, it is important to analyse the performance of AZ in more detail. The ranking by the World Benchmarking Alliance (WBA) is used for this purpose, as it includes important assessment criteria measuring the environmental and sustainability performance of companies (WBA, 2023). The performance of AZ is generally positive because it occupies the 7</w:t>
      </w:r>
      <w:r w:rsidRPr="004A0CFF">
        <w:rPr>
          <w:rFonts w:ascii="Arial" w:hAnsi="Arial" w:cs="Arial"/>
          <w:color w:val="000000" w:themeColor="text1"/>
          <w:sz w:val="24"/>
          <w:szCs w:val="24"/>
          <w:vertAlign w:val="superscript"/>
          <w:lang w:val="en-US"/>
        </w:rPr>
        <w:t>th</w:t>
      </w:r>
      <w:r w:rsidRPr="004A0CFF">
        <w:rPr>
          <w:rFonts w:ascii="Arial" w:hAnsi="Arial" w:cs="Arial"/>
          <w:color w:val="000000" w:themeColor="text1"/>
          <w:sz w:val="24"/>
          <w:szCs w:val="24"/>
          <w:lang w:val="en-US"/>
        </w:rPr>
        <w:t xml:space="preserve"> place among 28 global pharmaceutical companies (WBA, 2023). In the general ranking, which is composed of 816 large public organisations, AZ is also among the better performing organisations with 115</w:t>
      </w:r>
      <w:r w:rsidRPr="004A0CFF">
        <w:rPr>
          <w:rFonts w:ascii="Arial" w:hAnsi="Arial" w:cs="Arial"/>
          <w:color w:val="000000" w:themeColor="text1"/>
          <w:sz w:val="24"/>
          <w:szCs w:val="24"/>
          <w:vertAlign w:val="superscript"/>
          <w:lang w:val="en-US"/>
        </w:rPr>
        <w:t>th</w:t>
      </w:r>
      <w:r w:rsidRPr="004A0CFF">
        <w:rPr>
          <w:rFonts w:ascii="Arial" w:hAnsi="Arial" w:cs="Arial"/>
          <w:color w:val="000000" w:themeColor="text1"/>
          <w:sz w:val="24"/>
          <w:szCs w:val="24"/>
          <w:lang w:val="en-US"/>
        </w:rPr>
        <w:t xml:space="preserve"> place (WBA, 2023).</w:t>
      </w:r>
    </w:p>
    <w:p w14:paraId="64ED5AFD" w14:textId="219369BD" w:rsidR="0013026E" w:rsidRPr="0013026E" w:rsidRDefault="0013026E" w:rsidP="0013026E">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While these ranking positions are encouraging, it is also important to analyse the performance of the company across the specific categories. </w:t>
      </w:r>
      <w:r w:rsidR="00CA45EF" w:rsidRPr="004A0CFF">
        <w:rPr>
          <w:rFonts w:ascii="Arial" w:hAnsi="Arial" w:cs="Arial"/>
          <w:color w:val="000000" w:themeColor="text1"/>
          <w:sz w:val="24"/>
          <w:szCs w:val="24"/>
          <w:lang w:val="en-US"/>
        </w:rPr>
        <w:t>As shown below, there are considerable differences across the three main categories. Ecosystems and biodiversity are a major field showing the environmental performance of AZ. In this key area, the company occupies the 88</w:t>
      </w:r>
      <w:r w:rsidR="00CA45EF" w:rsidRPr="004A0CFF">
        <w:rPr>
          <w:rFonts w:ascii="Arial" w:hAnsi="Arial" w:cs="Arial"/>
          <w:color w:val="000000" w:themeColor="text1"/>
          <w:sz w:val="24"/>
          <w:szCs w:val="24"/>
          <w:vertAlign w:val="superscript"/>
          <w:lang w:val="en-US"/>
        </w:rPr>
        <w:t>th</w:t>
      </w:r>
      <w:r w:rsidR="00CA45EF" w:rsidRPr="004A0CFF">
        <w:rPr>
          <w:rFonts w:ascii="Arial" w:hAnsi="Arial" w:cs="Arial"/>
          <w:color w:val="000000" w:themeColor="text1"/>
          <w:sz w:val="24"/>
          <w:szCs w:val="24"/>
          <w:lang w:val="en-US"/>
        </w:rPr>
        <w:t xml:space="preserve"> position out of 816 companies (WBA, 2023). The area of governance and strategy is also quite strong for AZ by occupying the 56</w:t>
      </w:r>
      <w:r w:rsidR="00CA45EF" w:rsidRPr="004A0CFF">
        <w:rPr>
          <w:rFonts w:ascii="Arial" w:hAnsi="Arial" w:cs="Arial"/>
          <w:color w:val="000000" w:themeColor="text1"/>
          <w:sz w:val="24"/>
          <w:szCs w:val="24"/>
          <w:vertAlign w:val="superscript"/>
          <w:lang w:val="en-US"/>
        </w:rPr>
        <w:t>th</w:t>
      </w:r>
      <w:r w:rsidR="00CA45EF" w:rsidRPr="004A0CFF">
        <w:rPr>
          <w:rFonts w:ascii="Arial" w:hAnsi="Arial" w:cs="Arial"/>
          <w:color w:val="000000" w:themeColor="text1"/>
          <w:sz w:val="24"/>
          <w:szCs w:val="24"/>
          <w:lang w:val="en-US"/>
        </w:rPr>
        <w:t xml:space="preserve"> place; however, the performance in social inclusion and community impact is less impressive by having the 206</w:t>
      </w:r>
      <w:r w:rsidR="00CA45EF" w:rsidRPr="004A0CFF">
        <w:rPr>
          <w:rFonts w:ascii="Arial" w:hAnsi="Arial" w:cs="Arial"/>
          <w:color w:val="000000" w:themeColor="text1"/>
          <w:sz w:val="24"/>
          <w:szCs w:val="24"/>
          <w:vertAlign w:val="superscript"/>
          <w:lang w:val="en-US"/>
        </w:rPr>
        <w:t>th</w:t>
      </w:r>
      <w:r w:rsidR="00CA45EF" w:rsidRPr="004A0CFF">
        <w:rPr>
          <w:rFonts w:ascii="Arial" w:hAnsi="Arial" w:cs="Arial"/>
          <w:color w:val="000000" w:themeColor="text1"/>
          <w:sz w:val="24"/>
          <w:szCs w:val="24"/>
          <w:lang w:val="en-US"/>
        </w:rPr>
        <w:t xml:space="preserve"> position (WBA, 2023). </w:t>
      </w:r>
    </w:p>
    <w:p w14:paraId="00C877B4" w14:textId="26624546" w:rsidR="0013026E" w:rsidRPr="004A0CFF" w:rsidRDefault="0013026E" w:rsidP="0013026E">
      <w:pPr>
        <w:spacing w:line="360" w:lineRule="auto"/>
        <w:jc w:val="both"/>
        <w:rPr>
          <w:rFonts w:ascii="Arial" w:hAnsi="Arial" w:cs="Arial"/>
          <w:b/>
          <w:bCs/>
          <w:color w:val="000000" w:themeColor="text1"/>
          <w:sz w:val="24"/>
          <w:szCs w:val="24"/>
          <w:lang w:val="en-US"/>
        </w:rPr>
      </w:pPr>
      <w:r w:rsidRPr="0013026E">
        <w:rPr>
          <w:rFonts w:ascii="Arial" w:hAnsi="Arial" w:cs="Arial"/>
          <w:b/>
          <w:bCs/>
          <w:color w:val="000000" w:themeColor="text1"/>
          <w:sz w:val="24"/>
          <w:szCs w:val="24"/>
          <w:lang w:val="en-US"/>
        </w:rPr>
        <w:t xml:space="preserve">Figure </w:t>
      </w:r>
      <w:r w:rsidR="00352766" w:rsidRPr="004A0CFF">
        <w:rPr>
          <w:rFonts w:ascii="Arial" w:hAnsi="Arial" w:cs="Arial"/>
          <w:b/>
          <w:bCs/>
          <w:color w:val="000000" w:themeColor="text1"/>
          <w:sz w:val="24"/>
          <w:szCs w:val="24"/>
          <w:lang w:val="en-US"/>
        </w:rPr>
        <w:t>4</w:t>
      </w:r>
      <w:r w:rsidRPr="0013026E">
        <w:rPr>
          <w:rFonts w:ascii="Arial" w:hAnsi="Arial" w:cs="Arial"/>
          <w:b/>
          <w:bCs/>
          <w:color w:val="000000" w:themeColor="text1"/>
          <w:sz w:val="24"/>
          <w:szCs w:val="24"/>
          <w:lang w:val="en-US"/>
        </w:rPr>
        <w:t xml:space="preserve"> – Sustainability performance of AZ</w:t>
      </w:r>
    </w:p>
    <w:p w14:paraId="25A4D510" w14:textId="313639BD" w:rsidR="0013026E" w:rsidRPr="0013026E" w:rsidRDefault="0013026E" w:rsidP="0013026E">
      <w:pPr>
        <w:spacing w:line="360" w:lineRule="auto"/>
        <w:jc w:val="both"/>
        <w:rPr>
          <w:rFonts w:ascii="Arial" w:hAnsi="Arial" w:cs="Arial"/>
          <w:b/>
          <w:bCs/>
          <w:color w:val="000000" w:themeColor="text1"/>
          <w:sz w:val="24"/>
          <w:szCs w:val="24"/>
          <w:lang w:val="en-US"/>
        </w:rPr>
      </w:pPr>
      <w:r w:rsidRPr="004A0CFF">
        <w:rPr>
          <w:rFonts w:ascii="Arial" w:hAnsi="Arial" w:cs="Arial"/>
          <w:b/>
          <w:bCs/>
          <w:noProof/>
          <w:color w:val="000000" w:themeColor="text1"/>
          <w:sz w:val="24"/>
          <w:szCs w:val="24"/>
          <w:lang w:val="en-US"/>
        </w:rPr>
        <w:drawing>
          <wp:inline distT="0" distB="0" distL="0" distR="0" wp14:anchorId="2E55839F" wp14:editId="7F91E326">
            <wp:extent cx="5760720" cy="3124200"/>
            <wp:effectExtent l="0" t="0" r="0" b="0"/>
            <wp:docPr id="69232404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24048" name="Picture 1" descr="A screenshot of a graph&#10;&#10;Description automatically generated"/>
                    <pic:cNvPicPr/>
                  </pic:nvPicPr>
                  <pic:blipFill>
                    <a:blip r:embed="rId13"/>
                    <a:stretch>
                      <a:fillRect/>
                    </a:stretch>
                  </pic:blipFill>
                  <pic:spPr>
                    <a:xfrm>
                      <a:off x="0" y="0"/>
                      <a:ext cx="5760720" cy="3124200"/>
                    </a:xfrm>
                    <a:prstGeom prst="rect">
                      <a:avLst/>
                    </a:prstGeom>
                  </pic:spPr>
                </pic:pic>
              </a:graphicData>
            </a:graphic>
          </wp:inline>
        </w:drawing>
      </w:r>
    </w:p>
    <w:p w14:paraId="3F8E81C8" w14:textId="77777777" w:rsidR="0013026E" w:rsidRPr="0013026E" w:rsidRDefault="0013026E" w:rsidP="0013026E">
      <w:pPr>
        <w:spacing w:line="360" w:lineRule="auto"/>
        <w:jc w:val="both"/>
        <w:rPr>
          <w:rFonts w:ascii="Arial" w:hAnsi="Arial" w:cs="Arial"/>
          <w:i/>
          <w:iCs/>
          <w:color w:val="000000" w:themeColor="text1"/>
          <w:sz w:val="24"/>
          <w:szCs w:val="24"/>
          <w:lang w:val="en-US"/>
        </w:rPr>
      </w:pPr>
      <w:r w:rsidRPr="0013026E">
        <w:rPr>
          <w:rFonts w:ascii="Arial" w:hAnsi="Arial" w:cs="Arial"/>
          <w:i/>
          <w:iCs/>
          <w:color w:val="000000" w:themeColor="text1"/>
          <w:sz w:val="24"/>
          <w:szCs w:val="24"/>
          <w:lang w:val="en-US"/>
        </w:rPr>
        <w:t>Source: WBA (2023)</w:t>
      </w:r>
    </w:p>
    <w:p w14:paraId="24D27340" w14:textId="04465DBC" w:rsidR="00FF379A" w:rsidRPr="004A0CFF" w:rsidRDefault="00CA45EF" w:rsidP="00CA1EE9">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evidence indicates that AZ has effective sustainability and environmental policies in place which differentiate the company against its global competitors. The performance metrics, </w:t>
      </w:r>
      <w:r w:rsidR="00A0377C" w:rsidRPr="004A0CFF">
        <w:rPr>
          <w:rFonts w:ascii="Arial" w:hAnsi="Arial" w:cs="Arial"/>
          <w:color w:val="000000" w:themeColor="text1"/>
          <w:sz w:val="24"/>
          <w:szCs w:val="24"/>
          <w:lang w:val="en-US"/>
        </w:rPr>
        <w:t>however,</w:t>
      </w:r>
      <w:r w:rsidRPr="004A0CFF">
        <w:rPr>
          <w:rFonts w:ascii="Arial" w:hAnsi="Arial" w:cs="Arial"/>
          <w:color w:val="000000" w:themeColor="text1"/>
          <w:sz w:val="24"/>
          <w:szCs w:val="24"/>
          <w:lang w:val="en-US"/>
        </w:rPr>
        <w:t xml:space="preserve"> indicate the need for more improvements, especially </w:t>
      </w:r>
      <w:r w:rsidR="00A0377C" w:rsidRPr="004A0CFF">
        <w:rPr>
          <w:rFonts w:ascii="Arial" w:hAnsi="Arial" w:cs="Arial"/>
          <w:color w:val="000000" w:themeColor="text1"/>
          <w:sz w:val="24"/>
          <w:szCs w:val="24"/>
          <w:lang w:val="en-US"/>
        </w:rPr>
        <w:t>in</w:t>
      </w:r>
      <w:r w:rsidRPr="004A0CFF">
        <w:rPr>
          <w:rFonts w:ascii="Arial" w:hAnsi="Arial" w:cs="Arial"/>
          <w:color w:val="000000" w:themeColor="text1"/>
          <w:sz w:val="24"/>
          <w:szCs w:val="24"/>
          <w:lang w:val="en-US"/>
        </w:rPr>
        <w:t xml:space="preserve"> sustainable development and inclusion. </w:t>
      </w:r>
      <w:r w:rsidR="00A0377C" w:rsidRPr="004A0CFF">
        <w:rPr>
          <w:rFonts w:ascii="Arial" w:hAnsi="Arial" w:cs="Arial"/>
          <w:color w:val="000000" w:themeColor="text1"/>
          <w:sz w:val="24"/>
          <w:szCs w:val="24"/>
          <w:lang w:val="en-US"/>
        </w:rPr>
        <w:t xml:space="preserve">The company must address the existing performance weaknesses and dedicate efforts for continuous improvement in alignment with changing regulatory (legal) and societal expectations. Respectively, some recommendations are based on the current findings. </w:t>
      </w:r>
    </w:p>
    <w:p w14:paraId="03F6A29A" w14:textId="499EE57A" w:rsidR="00D147A9" w:rsidRPr="004A0CFF" w:rsidRDefault="00D147A9" w:rsidP="004A0CFF">
      <w:pPr>
        <w:pStyle w:val="1"/>
        <w:spacing w:before="0" w:after="240"/>
        <w:rPr>
          <w:rFonts w:ascii="Arial" w:hAnsi="Arial" w:cs="Arial"/>
          <w:lang w:val="en-US"/>
        </w:rPr>
      </w:pPr>
      <w:bookmarkStart w:id="5" w:name="_Toc175582858"/>
      <w:r w:rsidRPr="004A0CFF">
        <w:rPr>
          <w:rFonts w:ascii="Arial" w:hAnsi="Arial" w:cs="Arial"/>
          <w:lang w:val="en-US"/>
        </w:rPr>
        <w:t>Strategic choices for future development</w:t>
      </w:r>
      <w:bookmarkEnd w:id="5"/>
    </w:p>
    <w:p w14:paraId="0E46864B" w14:textId="27CE8CCC" w:rsidR="00D147A9" w:rsidRPr="004A0CFF" w:rsidRDefault="0066258E"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Ansoff (</w:t>
      </w:r>
      <w:r w:rsidR="009A6BB7" w:rsidRPr="004A0CFF">
        <w:rPr>
          <w:rFonts w:ascii="Arial" w:hAnsi="Arial" w:cs="Arial"/>
          <w:color w:val="000000" w:themeColor="text1"/>
          <w:sz w:val="24"/>
          <w:szCs w:val="24"/>
          <w:lang w:val="en-US"/>
        </w:rPr>
        <w:t>1957</w:t>
      </w:r>
      <w:r w:rsidRPr="004A0CFF">
        <w:rPr>
          <w:rFonts w:ascii="Arial" w:hAnsi="Arial" w:cs="Arial"/>
          <w:color w:val="000000" w:themeColor="text1"/>
          <w:sz w:val="24"/>
          <w:szCs w:val="24"/>
          <w:lang w:val="en-US"/>
        </w:rPr>
        <w:t xml:space="preserve">) identifies four strategies for future growth, as shown below. The strategies consider products and markets by differentiating between new and existing ones (Ansoff, </w:t>
      </w:r>
      <w:r w:rsidR="009A6BB7" w:rsidRPr="004A0CFF">
        <w:rPr>
          <w:rFonts w:ascii="Arial" w:hAnsi="Arial" w:cs="Arial"/>
          <w:color w:val="000000" w:themeColor="text1"/>
          <w:sz w:val="24"/>
          <w:szCs w:val="24"/>
          <w:lang w:val="en-US"/>
        </w:rPr>
        <w:t>1957</w:t>
      </w:r>
      <w:r w:rsidRPr="004A0CFF">
        <w:rPr>
          <w:rFonts w:ascii="Arial" w:hAnsi="Arial" w:cs="Arial"/>
          <w:color w:val="000000" w:themeColor="text1"/>
          <w:sz w:val="24"/>
          <w:szCs w:val="24"/>
          <w:lang w:val="en-US"/>
        </w:rPr>
        <w:t>). Hence, business organisations can choose one or more growth strategies based on the model.</w:t>
      </w:r>
    </w:p>
    <w:p w14:paraId="132D6A04" w14:textId="0FE35D37" w:rsidR="0066258E" w:rsidRPr="004A0CFF" w:rsidRDefault="0066258E" w:rsidP="00CE4CC0">
      <w:pPr>
        <w:spacing w:line="360" w:lineRule="auto"/>
        <w:jc w:val="both"/>
        <w:rPr>
          <w:rFonts w:ascii="Arial" w:hAnsi="Arial" w:cs="Arial"/>
          <w:b/>
          <w:bCs/>
          <w:color w:val="000000" w:themeColor="text1"/>
          <w:sz w:val="24"/>
          <w:szCs w:val="24"/>
          <w:lang w:val="en-US"/>
        </w:rPr>
      </w:pPr>
      <w:r w:rsidRPr="004A0CFF">
        <w:rPr>
          <w:rFonts w:ascii="Arial" w:hAnsi="Arial" w:cs="Arial"/>
          <w:b/>
          <w:bCs/>
          <w:color w:val="000000" w:themeColor="text1"/>
          <w:sz w:val="24"/>
          <w:szCs w:val="24"/>
          <w:lang w:val="en-US"/>
        </w:rPr>
        <w:t xml:space="preserve">Figure </w:t>
      </w:r>
      <w:r w:rsidR="009A6BB7" w:rsidRPr="004A0CFF">
        <w:rPr>
          <w:rFonts w:ascii="Arial" w:hAnsi="Arial" w:cs="Arial"/>
          <w:b/>
          <w:bCs/>
          <w:color w:val="000000" w:themeColor="text1"/>
          <w:sz w:val="24"/>
          <w:szCs w:val="24"/>
          <w:lang w:val="en-US"/>
        </w:rPr>
        <w:t>5</w:t>
      </w:r>
      <w:r w:rsidRPr="004A0CFF">
        <w:rPr>
          <w:rFonts w:ascii="Arial" w:hAnsi="Arial" w:cs="Arial"/>
          <w:b/>
          <w:bCs/>
          <w:color w:val="000000" w:themeColor="text1"/>
          <w:sz w:val="24"/>
          <w:szCs w:val="24"/>
          <w:lang w:val="en-US"/>
        </w:rPr>
        <w:t xml:space="preserve"> – Ansoff matrix</w:t>
      </w:r>
    </w:p>
    <w:p w14:paraId="251F62E0" w14:textId="5D73407B" w:rsidR="0066258E" w:rsidRPr="004A0CFF" w:rsidRDefault="009A6BB7" w:rsidP="00CE4CC0">
      <w:pPr>
        <w:spacing w:line="360" w:lineRule="auto"/>
        <w:jc w:val="both"/>
        <w:rPr>
          <w:rFonts w:ascii="Arial" w:hAnsi="Arial" w:cs="Arial"/>
          <w:color w:val="000000" w:themeColor="text1"/>
          <w:sz w:val="24"/>
          <w:szCs w:val="24"/>
          <w:lang w:val="en-US"/>
        </w:rPr>
      </w:pPr>
      <w:r w:rsidRPr="004A0CFF">
        <w:rPr>
          <w:rFonts w:ascii="Arial" w:hAnsi="Arial" w:cs="Arial"/>
          <w:noProof/>
          <w:color w:val="000000" w:themeColor="text1"/>
          <w:sz w:val="24"/>
          <w:szCs w:val="24"/>
          <w:lang w:val="en-US"/>
        </w:rPr>
        <w:drawing>
          <wp:inline distT="0" distB="0" distL="0" distR="0" wp14:anchorId="297D9C4E" wp14:editId="6D6E4BBF">
            <wp:extent cx="5669771" cy="4069433"/>
            <wp:effectExtent l="0" t="0" r="7620" b="7620"/>
            <wp:docPr id="492889913"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89913" name="Picture 1" descr="A screenshot of a diagram&#10;&#10;Description automatically generated"/>
                    <pic:cNvPicPr/>
                  </pic:nvPicPr>
                  <pic:blipFill>
                    <a:blip r:embed="rId14"/>
                    <a:stretch>
                      <a:fillRect/>
                    </a:stretch>
                  </pic:blipFill>
                  <pic:spPr>
                    <a:xfrm>
                      <a:off x="0" y="0"/>
                      <a:ext cx="5669771" cy="4069433"/>
                    </a:xfrm>
                    <a:prstGeom prst="rect">
                      <a:avLst/>
                    </a:prstGeom>
                  </pic:spPr>
                </pic:pic>
              </a:graphicData>
            </a:graphic>
          </wp:inline>
        </w:drawing>
      </w:r>
    </w:p>
    <w:p w14:paraId="499071AB" w14:textId="288111FF" w:rsidR="0066258E" w:rsidRPr="004A0CFF" w:rsidRDefault="0066258E" w:rsidP="00CE4CC0">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 xml:space="preserve">Source: </w:t>
      </w:r>
      <w:r w:rsidR="009A6BB7" w:rsidRPr="004A0CFF">
        <w:rPr>
          <w:rFonts w:ascii="Arial" w:hAnsi="Arial" w:cs="Arial"/>
          <w:i/>
          <w:iCs/>
          <w:color w:val="000000" w:themeColor="text1"/>
          <w:sz w:val="24"/>
          <w:szCs w:val="24"/>
          <w:lang w:val="en-US"/>
        </w:rPr>
        <w:t>Peterdy (2024)</w:t>
      </w:r>
    </w:p>
    <w:p w14:paraId="3ECE07A4" w14:textId="71914917" w:rsidR="00D147A9" w:rsidRPr="004A0CFF" w:rsidRDefault="0066258E"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Given the strategic analysis of AZ, the company is committed to three out of four growth strategies. Through innovation and R&amp;D, AZ is dedicated to developing new drugs (AZ, 2024b). This supports new product development growth strategy. Moreover, the brand is focused on expanding its revenue which also requires a global presence and new potential consumers (AZ, 2024b). This is evidence for market development growth strategy. It can also be assumed that AZ will continue to operate in existing markets and products, thereby pursuing market penetration in the foreseeable future. Nevertheless, this strategy alone cannot achieve considerable future growth because it is too defensive (</w:t>
      </w:r>
      <w:r w:rsidR="009A6BB7" w:rsidRPr="004A0CFF">
        <w:rPr>
          <w:rFonts w:ascii="Arial" w:hAnsi="Arial" w:cs="Arial"/>
          <w:color w:val="000000" w:themeColor="text1"/>
          <w:sz w:val="24"/>
          <w:szCs w:val="24"/>
          <w:lang w:val="en-US"/>
        </w:rPr>
        <w:t>Peterdy, 2024)</w:t>
      </w:r>
      <w:r w:rsidRPr="004A0CFF">
        <w:rPr>
          <w:rFonts w:ascii="Arial" w:hAnsi="Arial" w:cs="Arial"/>
          <w:color w:val="000000" w:themeColor="text1"/>
          <w:sz w:val="24"/>
          <w:szCs w:val="24"/>
          <w:lang w:val="en-US"/>
        </w:rPr>
        <w:t xml:space="preserve">. </w:t>
      </w:r>
    </w:p>
    <w:p w14:paraId="3DDC09C7" w14:textId="1E9C335A" w:rsidR="0066258E" w:rsidRPr="004A0CFF" w:rsidRDefault="0066258E"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Diversification, by definition, is too risky due to the involvement of new products and new markets (</w:t>
      </w:r>
      <w:r w:rsidR="009A6BB7" w:rsidRPr="004A0CFF">
        <w:rPr>
          <w:rFonts w:ascii="Arial" w:hAnsi="Arial" w:cs="Arial"/>
          <w:color w:val="000000" w:themeColor="text1"/>
          <w:sz w:val="24"/>
          <w:szCs w:val="24"/>
          <w:lang w:val="en-US"/>
        </w:rPr>
        <w:t>Peterdy, 2024</w:t>
      </w:r>
      <w:r w:rsidRPr="004A0CFF">
        <w:rPr>
          <w:rFonts w:ascii="Arial" w:hAnsi="Arial" w:cs="Arial"/>
          <w:color w:val="000000" w:themeColor="text1"/>
          <w:sz w:val="24"/>
          <w:szCs w:val="24"/>
          <w:lang w:val="en-US"/>
        </w:rPr>
        <w:t>). Therefore, the strategy is quite unlikely to be pursued by AZ in the future. Considering all, the pursuit of three different growth strategies – product development, market development and market penetration – appears to be quite appropriate in the case of AZ.</w:t>
      </w:r>
    </w:p>
    <w:p w14:paraId="7B505835" w14:textId="77777777" w:rsidR="0066258E" w:rsidRPr="004A0CFF" w:rsidRDefault="0066258E"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Future strategic success also largely depends on the ability to address current weaknesses and benefit from existing opportunities. The SWOT analysis in the appendix shows that AZ is dependent on few key products and has insufficient presence in key developing markets (Strategy Story, 2024). Therefore, the company is advised to expand its product portfolio beyond the key areas of rare diseases and oncology. To achieve this, AZ is also advised to re-consider its R&amp;D budget and goals, so that resources are re-directed to new areas. It is also important to hire additional professionals in new pharmaceutical areas to boost innovative performance based on talented and skillful professionals. </w:t>
      </w:r>
    </w:p>
    <w:p w14:paraId="4D88FD45" w14:textId="13188904" w:rsidR="0066258E" w:rsidRPr="004A0CFF" w:rsidRDefault="0066258E"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Regarding the market presence of AZ, its future revenue targets are achievable only as an outcome of an aggressive international expansion. Hence, the company must use its popular brand and existing product portfolio, as well as improve its legal and regulatory compliance to better penetrate new markets. Potentially, it is also </w:t>
      </w:r>
      <w:r w:rsidR="001C1316" w:rsidRPr="004A0CFF">
        <w:rPr>
          <w:rFonts w:ascii="Arial" w:hAnsi="Arial" w:cs="Arial"/>
          <w:color w:val="000000" w:themeColor="text1"/>
          <w:sz w:val="24"/>
          <w:szCs w:val="24"/>
          <w:lang w:val="en-US"/>
        </w:rPr>
        <w:t xml:space="preserve">reasonable to consider strategic alliances with other, probably local, pharmaceutical companies to foster innovation and cooperation in entering new markets. </w:t>
      </w:r>
    </w:p>
    <w:p w14:paraId="07BB5802" w14:textId="00B2924E" w:rsidR="006A55B1" w:rsidRPr="004A0CFF" w:rsidRDefault="001C1316" w:rsidP="004A0CFF">
      <w:pPr>
        <w:pStyle w:val="1"/>
        <w:spacing w:before="0" w:after="240"/>
        <w:rPr>
          <w:rFonts w:ascii="Arial" w:hAnsi="Arial" w:cs="Arial"/>
          <w:lang w:val="en-US"/>
        </w:rPr>
      </w:pPr>
      <w:bookmarkStart w:id="6" w:name="_Toc175582859"/>
      <w:r w:rsidRPr="004A0CFF">
        <w:rPr>
          <w:rFonts w:ascii="Arial" w:hAnsi="Arial" w:cs="Arial"/>
          <w:lang w:val="en-US"/>
        </w:rPr>
        <w:t>Conclusion</w:t>
      </w:r>
      <w:bookmarkEnd w:id="6"/>
    </w:p>
    <w:p w14:paraId="62D2498F" w14:textId="6E1A6E4E" w:rsidR="001C1316" w:rsidRPr="004A0CFF" w:rsidRDefault="005A6FDD"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strategic analysis of AZ identified the existence of relevant corporate and business strategies which are supported by solid resources and capabilities. The achievement of the strategic goals has been possible in recent years; however, AZ must consider expanding its product portfolio and entering new geographic markets to improve performance and address existing weaknesses. The company must also improve its capacity to innovate by acquiring more niche professionals and actively cooperating with other partners. Above all, maintaining a flexible culture and focusing on sustainable development can also ensure future strategic success. </w:t>
      </w:r>
    </w:p>
    <w:p w14:paraId="4530CC53" w14:textId="77777777" w:rsidR="0005431C" w:rsidRPr="004A0CFF" w:rsidRDefault="0005431C" w:rsidP="00CE4CC0">
      <w:pPr>
        <w:spacing w:line="360" w:lineRule="auto"/>
        <w:jc w:val="both"/>
        <w:rPr>
          <w:rFonts w:ascii="Arial" w:hAnsi="Arial" w:cs="Arial"/>
          <w:color w:val="000000" w:themeColor="text1"/>
          <w:sz w:val="24"/>
          <w:szCs w:val="24"/>
          <w:lang w:val="en-US"/>
        </w:rPr>
      </w:pPr>
    </w:p>
    <w:p w14:paraId="4C6C2CA6" w14:textId="77777777" w:rsidR="00A0377C" w:rsidRPr="004A0CFF" w:rsidRDefault="00A0377C" w:rsidP="00CE4CC0">
      <w:pPr>
        <w:spacing w:line="360" w:lineRule="auto"/>
        <w:jc w:val="both"/>
        <w:rPr>
          <w:rFonts w:ascii="Arial" w:hAnsi="Arial" w:cs="Arial"/>
          <w:color w:val="000000" w:themeColor="text1"/>
          <w:sz w:val="24"/>
          <w:szCs w:val="24"/>
          <w:lang w:val="en-US"/>
        </w:rPr>
      </w:pPr>
    </w:p>
    <w:p w14:paraId="18F00C8F" w14:textId="3D093633" w:rsidR="00C64B96" w:rsidRPr="004A0CFF" w:rsidRDefault="00C64B96" w:rsidP="004A0CFF">
      <w:pPr>
        <w:pStyle w:val="1"/>
        <w:spacing w:before="0" w:after="240"/>
        <w:rPr>
          <w:rFonts w:ascii="Arial" w:hAnsi="Arial" w:cs="Arial"/>
          <w:lang w:val="en-US"/>
        </w:rPr>
      </w:pPr>
      <w:bookmarkStart w:id="7" w:name="_Toc175582860"/>
      <w:r w:rsidRPr="004A0CFF">
        <w:rPr>
          <w:rFonts w:ascii="Arial" w:hAnsi="Arial" w:cs="Arial"/>
          <w:lang w:val="en-US"/>
        </w:rPr>
        <w:t>References</w:t>
      </w:r>
      <w:bookmarkEnd w:id="7"/>
    </w:p>
    <w:p w14:paraId="76E54F85" w14:textId="77777777" w:rsidR="004A0CFF" w:rsidRPr="004A0CFF" w:rsidRDefault="004A0CFF" w:rsidP="006D0AA7">
      <w:pPr>
        <w:spacing w:line="360" w:lineRule="auto"/>
        <w:rPr>
          <w:rFonts w:ascii="Arial" w:eastAsia="Calibri" w:hAnsi="Arial" w:cs="Arial"/>
          <w:sz w:val="24"/>
          <w:szCs w:val="24"/>
        </w:rPr>
      </w:pPr>
      <w:r w:rsidRPr="004A0CFF">
        <w:rPr>
          <w:rFonts w:ascii="Arial" w:eastAsia="Calibri" w:hAnsi="Arial" w:cs="Arial"/>
          <w:sz w:val="24"/>
          <w:szCs w:val="24"/>
          <w:lang w:val="en-US"/>
        </w:rPr>
        <w:t xml:space="preserve">Access to Medicine Foundation (ATMF) (2024) </w:t>
      </w:r>
      <w:r w:rsidRPr="004A0CFF">
        <w:rPr>
          <w:rFonts w:ascii="Arial" w:eastAsia="Calibri" w:hAnsi="Arial" w:cs="Arial"/>
          <w:i/>
          <w:iCs/>
          <w:sz w:val="24"/>
          <w:szCs w:val="24"/>
        </w:rPr>
        <w:t>AstraZeneca plc</w:t>
      </w:r>
      <w:r w:rsidRPr="004A0CFF">
        <w:rPr>
          <w:rFonts w:ascii="Arial" w:eastAsia="Calibri" w:hAnsi="Arial" w:cs="Arial"/>
          <w:sz w:val="24"/>
          <w:szCs w:val="24"/>
        </w:rPr>
        <w:t xml:space="preserve">, [online] Available: </w:t>
      </w:r>
      <w:hyperlink r:id="rId15" w:history="1">
        <w:r w:rsidRPr="004A0CFF">
          <w:rPr>
            <w:rFonts w:ascii="Arial" w:eastAsia="Calibri" w:hAnsi="Arial" w:cs="Arial"/>
            <w:color w:val="0563C1"/>
            <w:sz w:val="24"/>
            <w:szCs w:val="24"/>
            <w:u w:val="single"/>
          </w:rPr>
          <w:t>https://accesstomedicinefoundation.org/company/astrazeneca-plc#</w:t>
        </w:r>
      </w:hyperlink>
      <w:r w:rsidRPr="004A0CFF">
        <w:rPr>
          <w:rFonts w:ascii="Arial" w:eastAsia="Calibri" w:hAnsi="Arial" w:cs="Arial"/>
          <w:sz w:val="24"/>
          <w:szCs w:val="24"/>
        </w:rPr>
        <w:t xml:space="preserve"> [Accessed: 20 August 2024]</w:t>
      </w:r>
    </w:p>
    <w:p w14:paraId="56289228" w14:textId="77777777" w:rsidR="004A0CFF" w:rsidRPr="004A0CFF" w:rsidRDefault="004A0CFF" w:rsidP="006D0AA7">
      <w:pPr>
        <w:spacing w:line="360" w:lineRule="auto"/>
        <w:rPr>
          <w:rFonts w:ascii="Arial" w:eastAsia="Calibri" w:hAnsi="Arial" w:cs="Arial"/>
          <w:sz w:val="24"/>
          <w:szCs w:val="24"/>
        </w:rPr>
      </w:pPr>
      <w:r w:rsidRPr="004A0CFF">
        <w:rPr>
          <w:rFonts w:ascii="Arial" w:eastAsia="Calibri" w:hAnsi="Arial" w:cs="Arial"/>
          <w:sz w:val="24"/>
          <w:szCs w:val="24"/>
        </w:rPr>
        <w:t xml:space="preserve">Ansoff, I. (1957) Strategies for Diversification, </w:t>
      </w:r>
      <w:r w:rsidRPr="004A0CFF">
        <w:rPr>
          <w:rFonts w:ascii="Arial" w:eastAsia="Calibri" w:hAnsi="Arial" w:cs="Arial"/>
          <w:i/>
          <w:iCs/>
          <w:sz w:val="24"/>
          <w:szCs w:val="24"/>
        </w:rPr>
        <w:t>Harvard Business Review</w:t>
      </w:r>
      <w:r w:rsidRPr="004A0CFF">
        <w:rPr>
          <w:rFonts w:ascii="Arial" w:eastAsia="Calibri" w:hAnsi="Arial" w:cs="Arial"/>
          <w:sz w:val="24"/>
          <w:szCs w:val="24"/>
        </w:rPr>
        <w:t>, pp. 113-124.</w:t>
      </w:r>
    </w:p>
    <w:p w14:paraId="6D7BF7A6"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AstraZeneca (AZ) (2024a) </w:t>
      </w:r>
      <w:r w:rsidRPr="004A0CFF">
        <w:rPr>
          <w:rFonts w:ascii="Arial" w:hAnsi="Arial" w:cs="Arial"/>
          <w:i/>
          <w:iCs/>
          <w:sz w:val="24"/>
          <w:szCs w:val="24"/>
          <w:lang w:val="en-US"/>
        </w:rPr>
        <w:t>Our company</w:t>
      </w:r>
      <w:r w:rsidRPr="004A0CFF">
        <w:rPr>
          <w:rFonts w:ascii="Arial" w:hAnsi="Arial" w:cs="Arial"/>
          <w:sz w:val="24"/>
          <w:szCs w:val="24"/>
          <w:lang w:val="en-US"/>
        </w:rPr>
        <w:t xml:space="preserve">, [online] Available: </w:t>
      </w:r>
      <w:hyperlink r:id="rId16" w:history="1">
        <w:r w:rsidRPr="004A0CFF">
          <w:rPr>
            <w:rStyle w:val="af2"/>
            <w:rFonts w:ascii="Arial" w:hAnsi="Arial" w:cs="Arial"/>
            <w:sz w:val="24"/>
            <w:szCs w:val="24"/>
            <w:lang w:val="en-US"/>
          </w:rPr>
          <w:t>https://www.astrazeneca.com/our-company.html</w:t>
        </w:r>
      </w:hyperlink>
      <w:r w:rsidRPr="004A0CFF">
        <w:rPr>
          <w:rFonts w:ascii="Arial" w:hAnsi="Arial" w:cs="Arial"/>
          <w:sz w:val="24"/>
          <w:szCs w:val="24"/>
          <w:lang w:val="en-US"/>
        </w:rPr>
        <w:t xml:space="preserve"> [Accessed: 21 August 2024]</w:t>
      </w:r>
    </w:p>
    <w:p w14:paraId="47D88374" w14:textId="77777777" w:rsidR="004A0CFF" w:rsidRPr="004A0CFF" w:rsidRDefault="004A0CFF" w:rsidP="006D0AA7">
      <w:pPr>
        <w:spacing w:line="360" w:lineRule="auto"/>
        <w:rPr>
          <w:rFonts w:ascii="Arial" w:hAnsi="Arial" w:cs="Arial"/>
          <w:sz w:val="24"/>
          <w:szCs w:val="24"/>
        </w:rPr>
      </w:pPr>
      <w:r w:rsidRPr="004A0CFF">
        <w:rPr>
          <w:rFonts w:ascii="Arial" w:hAnsi="Arial" w:cs="Arial"/>
          <w:sz w:val="24"/>
          <w:szCs w:val="24"/>
          <w:lang w:val="en-US"/>
        </w:rPr>
        <w:t xml:space="preserve">AstraZeneca (AZ) (2024b) </w:t>
      </w:r>
      <w:r w:rsidRPr="004A0CFF">
        <w:rPr>
          <w:rFonts w:ascii="Arial" w:hAnsi="Arial" w:cs="Arial"/>
          <w:i/>
          <w:iCs/>
          <w:sz w:val="24"/>
          <w:szCs w:val="24"/>
        </w:rPr>
        <w:t>AstraZeneca sets ambition to deliver $80 billion Total Revenue by 2030 and sustained growth post 2030</w:t>
      </w:r>
      <w:r w:rsidRPr="004A0CFF">
        <w:rPr>
          <w:rFonts w:ascii="Arial" w:hAnsi="Arial" w:cs="Arial"/>
          <w:sz w:val="24"/>
          <w:szCs w:val="24"/>
        </w:rPr>
        <w:t xml:space="preserve">, [online] Available: </w:t>
      </w:r>
      <w:hyperlink r:id="rId17" w:anchor=":~:text=We%20are%20planning%20to%20launch,the%20end%20of%20the%20decade.%E2%80%9D" w:history="1">
        <w:r w:rsidRPr="004A0CFF">
          <w:rPr>
            <w:rStyle w:val="af2"/>
            <w:rFonts w:ascii="Arial" w:hAnsi="Arial" w:cs="Arial"/>
            <w:sz w:val="24"/>
            <w:szCs w:val="24"/>
          </w:rPr>
          <w:t>https://www.astrazeneca.com/media-centre/press-releases/2024/astrazeneca-to-deliver-80bn-revenue-by-2030.html#:~:text=We%20are%20planning%20to%20launch,the%20end%20of%20the%20decade.%E2%80%9D</w:t>
        </w:r>
      </w:hyperlink>
      <w:r w:rsidRPr="004A0CFF">
        <w:rPr>
          <w:rFonts w:ascii="Arial" w:hAnsi="Arial" w:cs="Arial"/>
          <w:sz w:val="24"/>
          <w:szCs w:val="24"/>
        </w:rPr>
        <w:t xml:space="preserve"> [Accessed: 21 August 2024]</w:t>
      </w:r>
    </w:p>
    <w:p w14:paraId="5837E590"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bg-BG"/>
        </w:rPr>
        <w:t xml:space="preserve">Bank of England (BoE) (2024) </w:t>
      </w:r>
      <w:r w:rsidRPr="004A0CFF">
        <w:rPr>
          <w:rFonts w:ascii="Arial" w:hAnsi="Arial" w:cs="Arial"/>
          <w:i/>
          <w:iCs/>
          <w:sz w:val="24"/>
          <w:szCs w:val="24"/>
          <w:lang w:val="bg-BG"/>
        </w:rPr>
        <w:t>Interest rates and Bank Rate</w:t>
      </w:r>
      <w:r w:rsidRPr="004A0CFF">
        <w:rPr>
          <w:rFonts w:ascii="Arial" w:hAnsi="Arial" w:cs="Arial"/>
          <w:sz w:val="24"/>
          <w:szCs w:val="24"/>
          <w:lang w:val="bg-BG"/>
        </w:rPr>
        <w:t xml:space="preserve">, [online] Available: </w:t>
      </w:r>
      <w:hyperlink r:id="rId18" w:history="1">
        <w:r w:rsidRPr="004A0CFF">
          <w:rPr>
            <w:rStyle w:val="af2"/>
            <w:rFonts w:ascii="Arial" w:hAnsi="Arial" w:cs="Arial"/>
            <w:sz w:val="24"/>
            <w:szCs w:val="24"/>
            <w:lang w:val="bg-BG"/>
          </w:rPr>
          <w:t>https://www.bankofengland.co.uk/monetary-policy/the-interest-rate-bank-rate</w:t>
        </w:r>
      </w:hyperlink>
      <w:r w:rsidRPr="004A0CFF">
        <w:rPr>
          <w:rFonts w:ascii="Arial" w:hAnsi="Arial" w:cs="Arial"/>
          <w:sz w:val="24"/>
          <w:szCs w:val="24"/>
          <w:lang w:val="bg-BG"/>
        </w:rPr>
        <w:t xml:space="preserve"> [Accessed: </w:t>
      </w:r>
      <w:r w:rsidRPr="004A0CFF">
        <w:rPr>
          <w:rFonts w:ascii="Arial" w:hAnsi="Arial" w:cs="Arial"/>
          <w:sz w:val="24"/>
          <w:szCs w:val="24"/>
          <w:lang w:val="en-US"/>
        </w:rPr>
        <w:t>22 August 2024]</w:t>
      </w:r>
    </w:p>
    <w:p w14:paraId="736E98C8" w14:textId="77777777" w:rsidR="004A0CFF" w:rsidRPr="004A0CFF" w:rsidRDefault="004A0CFF" w:rsidP="006D0AA7">
      <w:pPr>
        <w:spacing w:line="360" w:lineRule="auto"/>
        <w:rPr>
          <w:rFonts w:ascii="Arial" w:eastAsia="Calibri" w:hAnsi="Arial" w:cs="Arial"/>
          <w:bCs/>
          <w:iCs/>
          <w:sz w:val="24"/>
          <w:szCs w:val="24"/>
          <w:lang w:val="en-US"/>
        </w:rPr>
      </w:pPr>
      <w:r w:rsidRPr="004A0CFF">
        <w:rPr>
          <w:rFonts w:ascii="Arial" w:eastAsia="Calibri" w:hAnsi="Arial" w:cs="Arial"/>
          <w:bCs/>
          <w:iCs/>
          <w:sz w:val="24"/>
          <w:szCs w:val="24"/>
          <w:lang w:val="en-US"/>
        </w:rPr>
        <w:t xml:space="preserve">Consultancy UK (2022) </w:t>
      </w:r>
      <w:r w:rsidRPr="004A0CFF">
        <w:rPr>
          <w:rFonts w:ascii="Arial" w:eastAsia="Calibri" w:hAnsi="Arial" w:cs="Arial"/>
          <w:bCs/>
          <w:i/>
          <w:sz w:val="24"/>
          <w:szCs w:val="24"/>
          <w:lang w:val="en-US"/>
        </w:rPr>
        <w:t>Sustainable consumption a £150 billion opportunity for UK retail</w:t>
      </w:r>
      <w:r w:rsidRPr="004A0CFF">
        <w:rPr>
          <w:rFonts w:ascii="Arial" w:eastAsia="Calibri" w:hAnsi="Arial" w:cs="Arial"/>
          <w:bCs/>
          <w:iCs/>
          <w:sz w:val="24"/>
          <w:szCs w:val="24"/>
          <w:lang w:val="en-US"/>
        </w:rPr>
        <w:t xml:space="preserve">, [online] Available: </w:t>
      </w:r>
      <w:hyperlink r:id="rId19" w:history="1">
        <w:r w:rsidRPr="004A0CFF">
          <w:rPr>
            <w:rStyle w:val="af2"/>
            <w:rFonts w:ascii="Arial" w:eastAsia="Calibri" w:hAnsi="Arial" w:cs="Arial"/>
            <w:bCs/>
            <w:iCs/>
            <w:sz w:val="24"/>
            <w:szCs w:val="24"/>
            <w:lang w:val="en-US"/>
          </w:rPr>
          <w:t>https://www.consultancy.uk/news/30531/sustainable-consumption-a-150-billion-opportunity-for-uk-retail</w:t>
        </w:r>
      </w:hyperlink>
      <w:r w:rsidRPr="004A0CFF">
        <w:rPr>
          <w:rFonts w:ascii="Arial" w:eastAsia="Calibri" w:hAnsi="Arial" w:cs="Arial"/>
          <w:bCs/>
          <w:iCs/>
          <w:sz w:val="24"/>
          <w:szCs w:val="24"/>
          <w:lang w:val="en-US"/>
        </w:rPr>
        <w:t xml:space="preserve"> [Accessed: 22 August 2024]</w:t>
      </w:r>
    </w:p>
    <w:p w14:paraId="74E817D4"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Drug Patent Watch (DPW) (2024) </w:t>
      </w:r>
      <w:r w:rsidRPr="004A0CFF">
        <w:rPr>
          <w:rFonts w:ascii="Arial" w:hAnsi="Arial" w:cs="Arial"/>
          <w:i/>
          <w:iCs/>
          <w:sz w:val="24"/>
          <w:szCs w:val="24"/>
          <w:lang w:val="en-US"/>
        </w:rPr>
        <w:t>Astrazeneca Company Profile</w:t>
      </w:r>
      <w:r w:rsidRPr="004A0CFF">
        <w:rPr>
          <w:rFonts w:ascii="Arial" w:hAnsi="Arial" w:cs="Arial"/>
          <w:sz w:val="24"/>
          <w:szCs w:val="24"/>
          <w:lang w:val="en-US"/>
        </w:rPr>
        <w:t xml:space="preserve">, [online] Available: </w:t>
      </w:r>
      <w:hyperlink r:id="rId20" w:history="1">
        <w:r w:rsidRPr="004A0CFF">
          <w:rPr>
            <w:rStyle w:val="af2"/>
            <w:rFonts w:ascii="Arial" w:hAnsi="Arial" w:cs="Arial"/>
            <w:sz w:val="24"/>
            <w:szCs w:val="24"/>
            <w:lang w:val="en-US"/>
          </w:rPr>
          <w:t>https://www.drugpatentwatch.com/p/applicant/Astrazeneca</w:t>
        </w:r>
      </w:hyperlink>
      <w:r w:rsidRPr="004A0CFF">
        <w:rPr>
          <w:rFonts w:ascii="Arial" w:hAnsi="Arial" w:cs="Arial"/>
          <w:sz w:val="24"/>
          <w:szCs w:val="24"/>
          <w:lang w:val="en-US"/>
        </w:rPr>
        <w:t xml:space="preserve"> [Accessed: 22 August 2024]</w:t>
      </w:r>
    </w:p>
    <w:p w14:paraId="06E724DE" w14:textId="77777777" w:rsidR="004A0CFF" w:rsidRPr="004A0CFF" w:rsidRDefault="004A0CFF" w:rsidP="006D0AA7">
      <w:pPr>
        <w:spacing w:line="360" w:lineRule="auto"/>
        <w:rPr>
          <w:rFonts w:ascii="Arial" w:eastAsia="Calibri" w:hAnsi="Arial" w:cs="Arial"/>
          <w:sz w:val="24"/>
          <w:szCs w:val="24"/>
        </w:rPr>
      </w:pPr>
      <w:r w:rsidRPr="004A0CFF">
        <w:rPr>
          <w:rFonts w:ascii="Arial" w:eastAsia="Calibri" w:hAnsi="Arial" w:cs="Arial"/>
          <w:sz w:val="24"/>
          <w:szCs w:val="24"/>
        </w:rPr>
        <w:t xml:space="preserve">Focus Economics (2024) </w:t>
      </w:r>
      <w:r w:rsidRPr="004A0CFF">
        <w:rPr>
          <w:rFonts w:ascii="Arial" w:eastAsia="Calibri" w:hAnsi="Arial" w:cs="Arial"/>
          <w:i/>
          <w:iCs/>
          <w:sz w:val="24"/>
          <w:szCs w:val="24"/>
        </w:rPr>
        <w:t>United Kingdom Economy</w:t>
      </w:r>
      <w:r w:rsidRPr="004A0CFF">
        <w:rPr>
          <w:rFonts w:ascii="Arial" w:eastAsia="Calibri" w:hAnsi="Arial" w:cs="Arial"/>
          <w:sz w:val="24"/>
          <w:szCs w:val="24"/>
        </w:rPr>
        <w:t xml:space="preserve">, [online] Available: </w:t>
      </w:r>
      <w:hyperlink r:id="rId21" w:history="1">
        <w:r w:rsidRPr="004A0CFF">
          <w:rPr>
            <w:rStyle w:val="af2"/>
            <w:rFonts w:ascii="Arial" w:eastAsia="Calibri" w:hAnsi="Arial" w:cs="Arial"/>
            <w:sz w:val="24"/>
            <w:szCs w:val="24"/>
          </w:rPr>
          <w:t>https://www.focus-economics.com/countries/united-kingdom/</w:t>
        </w:r>
      </w:hyperlink>
      <w:r w:rsidRPr="004A0CFF">
        <w:rPr>
          <w:rFonts w:ascii="Arial" w:eastAsia="Calibri" w:hAnsi="Arial" w:cs="Arial"/>
          <w:sz w:val="24"/>
          <w:szCs w:val="24"/>
        </w:rPr>
        <w:t xml:space="preserve"> [Accessed: 22 August 2024]</w:t>
      </w:r>
    </w:p>
    <w:p w14:paraId="6C7E0E12"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Global Economy (2024) </w:t>
      </w:r>
      <w:r w:rsidRPr="004A0CFF">
        <w:rPr>
          <w:rFonts w:ascii="Arial" w:eastAsia="Calibri" w:hAnsi="Arial" w:cs="Arial"/>
          <w:i/>
          <w:iCs/>
          <w:sz w:val="24"/>
          <w:szCs w:val="24"/>
          <w:lang w:val="en-US"/>
        </w:rPr>
        <w:t>Political stability – Country rankings</w:t>
      </w:r>
      <w:r w:rsidRPr="004A0CFF">
        <w:rPr>
          <w:rFonts w:ascii="Arial" w:eastAsia="Calibri" w:hAnsi="Arial" w:cs="Arial"/>
          <w:sz w:val="24"/>
          <w:szCs w:val="24"/>
          <w:lang w:val="en-US"/>
        </w:rPr>
        <w:t xml:space="preserve">, [online] Available: </w:t>
      </w:r>
      <w:hyperlink r:id="rId22" w:history="1">
        <w:r w:rsidRPr="004A0CFF">
          <w:rPr>
            <w:rStyle w:val="af2"/>
            <w:rFonts w:ascii="Arial" w:eastAsia="Calibri" w:hAnsi="Arial" w:cs="Arial"/>
            <w:sz w:val="24"/>
            <w:szCs w:val="24"/>
            <w:lang w:val="en-US"/>
          </w:rPr>
          <w:t>https://www.theglobaleconomy.com/rankings/wb_political_stability/</w:t>
        </w:r>
      </w:hyperlink>
      <w:r w:rsidRPr="004A0CFF">
        <w:rPr>
          <w:rFonts w:ascii="Arial" w:eastAsia="Calibri" w:hAnsi="Arial" w:cs="Arial"/>
          <w:sz w:val="24"/>
          <w:szCs w:val="24"/>
          <w:lang w:val="en-US"/>
        </w:rPr>
        <w:t xml:space="preserve"> [Accessed: 21 August 2024]</w:t>
      </w:r>
    </w:p>
    <w:p w14:paraId="3AEEB5EF" w14:textId="77777777" w:rsidR="004A0CFF" w:rsidRPr="004A0CFF" w:rsidRDefault="004A0CFF" w:rsidP="006D0AA7">
      <w:pPr>
        <w:spacing w:line="360" w:lineRule="auto"/>
        <w:rPr>
          <w:rFonts w:ascii="Arial" w:eastAsia="Calibri" w:hAnsi="Arial" w:cs="Arial"/>
          <w:sz w:val="24"/>
          <w:szCs w:val="24"/>
        </w:rPr>
      </w:pPr>
      <w:r w:rsidRPr="004A0CFF">
        <w:rPr>
          <w:rFonts w:ascii="Arial" w:eastAsia="Calibri" w:hAnsi="Arial" w:cs="Arial"/>
          <w:sz w:val="24"/>
          <w:szCs w:val="24"/>
        </w:rPr>
        <w:t xml:space="preserve">Global Innovation Index (GII) (2023) </w:t>
      </w:r>
      <w:r w:rsidRPr="004A0CFF">
        <w:rPr>
          <w:rFonts w:ascii="Arial" w:eastAsia="Calibri" w:hAnsi="Arial" w:cs="Arial"/>
          <w:i/>
          <w:iCs/>
          <w:sz w:val="24"/>
          <w:szCs w:val="24"/>
        </w:rPr>
        <w:t>Global Innovation Index 2023 Innovation in the face of uncertainty</w:t>
      </w:r>
      <w:r w:rsidRPr="004A0CFF">
        <w:rPr>
          <w:rFonts w:ascii="Arial" w:eastAsia="Calibri" w:hAnsi="Arial" w:cs="Arial"/>
          <w:sz w:val="24"/>
          <w:szCs w:val="24"/>
        </w:rPr>
        <w:t xml:space="preserve">, [online] Available: </w:t>
      </w:r>
      <w:hyperlink r:id="rId23" w:history="1">
        <w:r w:rsidRPr="004A0CFF">
          <w:rPr>
            <w:rStyle w:val="af2"/>
            <w:rFonts w:ascii="Arial" w:eastAsia="Calibri" w:hAnsi="Arial" w:cs="Arial"/>
            <w:sz w:val="24"/>
            <w:szCs w:val="24"/>
          </w:rPr>
          <w:t>https://www.wipo.int/edocs/pubdocs/en/wipo-pub-2000-2023-en-main-report-global-innovation-index-2023-16th-edition.pdf</w:t>
        </w:r>
      </w:hyperlink>
      <w:r w:rsidRPr="004A0CFF">
        <w:rPr>
          <w:rFonts w:ascii="Arial" w:eastAsia="Calibri" w:hAnsi="Arial" w:cs="Arial"/>
          <w:sz w:val="24"/>
          <w:szCs w:val="24"/>
        </w:rPr>
        <w:t xml:space="preserve"> [Accessed: 22 August 2024]</w:t>
      </w:r>
    </w:p>
    <w:p w14:paraId="72C67327"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Harari, D. (2024) </w:t>
      </w:r>
      <w:r w:rsidRPr="004A0CFF">
        <w:rPr>
          <w:rFonts w:ascii="Arial" w:hAnsi="Arial" w:cs="Arial"/>
          <w:i/>
          <w:iCs/>
          <w:sz w:val="24"/>
          <w:szCs w:val="24"/>
          <w:lang w:val="en-US"/>
        </w:rPr>
        <w:t>GDP – International Comparisons: Key Economic Indicators</w:t>
      </w:r>
      <w:r w:rsidRPr="004A0CFF">
        <w:rPr>
          <w:rFonts w:ascii="Arial" w:hAnsi="Arial" w:cs="Arial"/>
          <w:sz w:val="24"/>
          <w:szCs w:val="24"/>
          <w:lang w:val="en-US"/>
        </w:rPr>
        <w:t xml:space="preserve">, [online] Available: </w:t>
      </w:r>
      <w:hyperlink r:id="rId24" w:history="1">
        <w:r w:rsidRPr="004A0CFF">
          <w:rPr>
            <w:rStyle w:val="af2"/>
            <w:rFonts w:ascii="Arial" w:hAnsi="Arial" w:cs="Arial"/>
            <w:sz w:val="24"/>
            <w:szCs w:val="24"/>
            <w:lang w:val="en-US"/>
          </w:rPr>
          <w:t>https://commonslibrary.parliament.uk/research-briefings/sn02784/</w:t>
        </w:r>
      </w:hyperlink>
      <w:r w:rsidRPr="004A0CFF">
        <w:rPr>
          <w:rFonts w:ascii="Arial" w:hAnsi="Arial" w:cs="Arial"/>
          <w:sz w:val="24"/>
          <w:szCs w:val="24"/>
          <w:lang w:val="en-US"/>
        </w:rPr>
        <w:t xml:space="preserve"> [Accessed: 21 August 2024]</w:t>
      </w:r>
    </w:p>
    <w:p w14:paraId="423C9D7F" w14:textId="77777777" w:rsidR="004A0CFF" w:rsidRPr="004A0CFF" w:rsidRDefault="004A0CFF" w:rsidP="006D0AA7">
      <w:pPr>
        <w:spacing w:line="360" w:lineRule="auto"/>
        <w:rPr>
          <w:rFonts w:ascii="Arial" w:hAnsi="Arial" w:cs="Arial"/>
          <w:bCs/>
          <w:iCs/>
          <w:sz w:val="24"/>
          <w:szCs w:val="24"/>
        </w:rPr>
      </w:pPr>
      <w:r w:rsidRPr="004A0CFF">
        <w:rPr>
          <w:rFonts w:ascii="Arial" w:hAnsi="Arial" w:cs="Arial"/>
          <w:bCs/>
          <w:iCs/>
          <w:sz w:val="24"/>
          <w:szCs w:val="24"/>
        </w:rPr>
        <w:t xml:space="preserve">Hook, C. and Jenkins, A. (2019) </w:t>
      </w:r>
      <w:r w:rsidRPr="004A0CFF">
        <w:rPr>
          <w:rFonts w:ascii="Arial" w:hAnsi="Arial" w:cs="Arial"/>
          <w:bCs/>
          <w:i/>
          <w:iCs/>
          <w:sz w:val="24"/>
          <w:szCs w:val="24"/>
        </w:rPr>
        <w:t>Introducing Human Resource Management</w:t>
      </w:r>
      <w:r w:rsidRPr="004A0CFF">
        <w:rPr>
          <w:rFonts w:ascii="Arial" w:hAnsi="Arial" w:cs="Arial"/>
          <w:bCs/>
          <w:iCs/>
          <w:sz w:val="24"/>
          <w:szCs w:val="24"/>
        </w:rPr>
        <w:t>. 8</w:t>
      </w:r>
      <w:r w:rsidRPr="004A0CFF">
        <w:rPr>
          <w:rFonts w:ascii="Arial" w:hAnsi="Arial" w:cs="Arial"/>
          <w:bCs/>
          <w:iCs/>
          <w:sz w:val="24"/>
          <w:szCs w:val="24"/>
          <w:vertAlign w:val="superscript"/>
        </w:rPr>
        <w:t>th</w:t>
      </w:r>
      <w:r w:rsidRPr="004A0CFF">
        <w:rPr>
          <w:rFonts w:ascii="Arial" w:hAnsi="Arial" w:cs="Arial"/>
          <w:bCs/>
          <w:iCs/>
          <w:sz w:val="24"/>
          <w:szCs w:val="24"/>
        </w:rPr>
        <w:t xml:space="preserve"> edition, Pearson: UK</w:t>
      </w:r>
    </w:p>
    <w:p w14:paraId="2A72F491" w14:textId="77777777" w:rsidR="004A0CFF" w:rsidRPr="004A0CFF" w:rsidRDefault="004A0CFF" w:rsidP="006D0AA7">
      <w:pPr>
        <w:spacing w:line="360" w:lineRule="auto"/>
        <w:rPr>
          <w:rFonts w:ascii="Arial" w:eastAsia="Calibri" w:hAnsi="Arial" w:cs="Arial"/>
          <w:bCs/>
          <w:iCs/>
          <w:sz w:val="24"/>
          <w:szCs w:val="24"/>
          <w:lang w:val="en-US"/>
        </w:rPr>
      </w:pPr>
      <w:r w:rsidRPr="004A0CFF">
        <w:rPr>
          <w:rFonts w:ascii="Arial" w:eastAsia="Calibri" w:hAnsi="Arial" w:cs="Arial"/>
          <w:bCs/>
          <w:iCs/>
          <w:sz w:val="24"/>
          <w:szCs w:val="24"/>
          <w:lang w:val="en-US"/>
        </w:rPr>
        <w:t xml:space="preserve">Iglesias, J. (2015) </w:t>
      </w:r>
      <w:r w:rsidRPr="004A0CFF">
        <w:rPr>
          <w:rFonts w:ascii="Arial" w:eastAsia="Calibri" w:hAnsi="Arial" w:cs="Arial"/>
          <w:bCs/>
          <w:i/>
          <w:sz w:val="24"/>
          <w:szCs w:val="24"/>
          <w:lang w:val="en-US"/>
        </w:rPr>
        <w:t>Porter's Five Forces Analysis for the Pharmaceutical Industry</w:t>
      </w:r>
      <w:r w:rsidRPr="004A0CFF">
        <w:rPr>
          <w:rFonts w:ascii="Arial" w:eastAsia="Calibri" w:hAnsi="Arial" w:cs="Arial"/>
          <w:bCs/>
          <w:iCs/>
          <w:sz w:val="24"/>
          <w:szCs w:val="24"/>
          <w:lang w:val="en-US"/>
        </w:rPr>
        <w:t xml:space="preserve">, [online] Available: </w:t>
      </w:r>
      <w:hyperlink r:id="rId25" w:history="1">
        <w:r w:rsidRPr="004A0CFF">
          <w:rPr>
            <w:rStyle w:val="af2"/>
            <w:rFonts w:ascii="Arial" w:eastAsia="Calibri" w:hAnsi="Arial" w:cs="Arial"/>
            <w:bCs/>
            <w:iCs/>
            <w:sz w:val="24"/>
            <w:szCs w:val="24"/>
            <w:lang w:val="en-US"/>
          </w:rPr>
          <w:t>https://prezi.com/lzm1r_fkq7lf/porters-five-forces-analysis-for-the-pharmaceutical-industr/</w:t>
        </w:r>
      </w:hyperlink>
      <w:r w:rsidRPr="004A0CFF">
        <w:rPr>
          <w:rFonts w:ascii="Arial" w:eastAsia="Calibri" w:hAnsi="Arial" w:cs="Arial"/>
          <w:bCs/>
          <w:iCs/>
          <w:sz w:val="24"/>
          <w:szCs w:val="24"/>
          <w:lang w:val="en-US"/>
        </w:rPr>
        <w:t xml:space="preserve"> [Accessed: 22 August 2024]</w:t>
      </w:r>
    </w:p>
    <w:p w14:paraId="171D39F1"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Indeed (2024) </w:t>
      </w:r>
      <w:r w:rsidRPr="004A0CFF">
        <w:rPr>
          <w:rFonts w:ascii="Arial" w:hAnsi="Arial" w:cs="Arial"/>
          <w:i/>
          <w:iCs/>
          <w:sz w:val="24"/>
          <w:szCs w:val="24"/>
          <w:lang w:val="en-US"/>
        </w:rPr>
        <w:t>Business Strategy vs. Corporate Strategy: What's the Difference?</w:t>
      </w:r>
      <w:r w:rsidRPr="004A0CFF">
        <w:rPr>
          <w:rFonts w:ascii="Arial" w:hAnsi="Arial" w:cs="Arial"/>
          <w:sz w:val="24"/>
          <w:szCs w:val="24"/>
          <w:lang w:val="en-US"/>
        </w:rPr>
        <w:t xml:space="preserve"> [online] Available: </w:t>
      </w:r>
      <w:hyperlink r:id="rId26" w:history="1">
        <w:r w:rsidRPr="004A0CFF">
          <w:rPr>
            <w:rStyle w:val="af2"/>
            <w:rFonts w:ascii="Arial" w:hAnsi="Arial" w:cs="Arial"/>
            <w:sz w:val="24"/>
            <w:szCs w:val="24"/>
            <w:lang w:val="en-US"/>
          </w:rPr>
          <w:t>https://www.indeed.com/career-advice/career-development/business-strategy-vs-corporate-strategy</w:t>
        </w:r>
      </w:hyperlink>
      <w:r w:rsidRPr="004A0CFF">
        <w:rPr>
          <w:rFonts w:ascii="Arial" w:hAnsi="Arial" w:cs="Arial"/>
          <w:sz w:val="24"/>
          <w:szCs w:val="24"/>
          <w:lang w:val="en-US"/>
        </w:rPr>
        <w:t xml:space="preserve"> [Accessed: 21 August 2024]</w:t>
      </w:r>
    </w:p>
    <w:p w14:paraId="57448F2B"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Jones, L., Patel, A. and Phipps, K. (2024) </w:t>
      </w:r>
      <w:r w:rsidRPr="004A0CFF">
        <w:rPr>
          <w:rFonts w:ascii="Arial" w:hAnsi="Arial" w:cs="Arial"/>
          <w:i/>
          <w:iCs/>
          <w:sz w:val="24"/>
          <w:szCs w:val="24"/>
          <w:lang w:val="en-US"/>
        </w:rPr>
        <w:t>Sustainability reporting: recent developments in the UK and the EU</w:t>
      </w:r>
      <w:r w:rsidRPr="004A0CFF">
        <w:rPr>
          <w:rFonts w:ascii="Arial" w:hAnsi="Arial" w:cs="Arial"/>
          <w:sz w:val="24"/>
          <w:szCs w:val="24"/>
          <w:lang w:val="en-US"/>
        </w:rPr>
        <w:t xml:space="preserve">, [online] Available: </w:t>
      </w:r>
      <w:hyperlink r:id="rId27" w:anchor=":~:text=Listed%20companies%2C%20large%20private%20companies,the%20Task%20Force%20on%20Climate" w:history="1">
        <w:r w:rsidRPr="004A0CFF">
          <w:rPr>
            <w:rStyle w:val="af2"/>
            <w:rFonts w:ascii="Arial" w:hAnsi="Arial" w:cs="Arial"/>
            <w:sz w:val="24"/>
            <w:szCs w:val="24"/>
            <w:lang w:val="en-US"/>
          </w:rPr>
          <w:t>https://uk.practicallaw.thomsonreuters.com/w-043-6860?transitionType=Default&amp;contextData=(sc.Default)&amp;firstPage=true#:~:text=Listed%20companies%2C%20large%20private%20companies,the%20Task%20Force%20on%20Climate</w:t>
        </w:r>
      </w:hyperlink>
      <w:r w:rsidRPr="004A0CFF">
        <w:rPr>
          <w:rFonts w:ascii="Arial" w:hAnsi="Arial" w:cs="Arial"/>
          <w:sz w:val="24"/>
          <w:szCs w:val="24"/>
          <w:lang w:val="en-US"/>
        </w:rPr>
        <w:t xml:space="preserve"> [Accessed: 24 August 2024]</w:t>
      </w:r>
    </w:p>
    <w:p w14:paraId="7C353C6F"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Kaplan (2020) </w:t>
      </w:r>
      <w:r w:rsidRPr="004A0CFF">
        <w:rPr>
          <w:rFonts w:ascii="Arial" w:hAnsi="Arial" w:cs="Arial"/>
          <w:i/>
          <w:iCs/>
          <w:sz w:val="24"/>
          <w:szCs w:val="24"/>
          <w:lang w:val="en-US"/>
        </w:rPr>
        <w:t>Chapter 3: Internal resources, capabilities and competences</w:t>
      </w:r>
      <w:r w:rsidRPr="004A0CFF">
        <w:rPr>
          <w:rFonts w:ascii="Arial" w:hAnsi="Arial" w:cs="Arial"/>
          <w:sz w:val="24"/>
          <w:szCs w:val="24"/>
          <w:lang w:val="en-US"/>
        </w:rPr>
        <w:t xml:space="preserve">, [online] Available: </w:t>
      </w:r>
      <w:hyperlink r:id="rId28" w:history="1">
        <w:r w:rsidRPr="004A0CFF">
          <w:rPr>
            <w:rStyle w:val="af2"/>
            <w:rFonts w:ascii="Arial" w:hAnsi="Arial" w:cs="Arial"/>
            <w:sz w:val="24"/>
            <w:szCs w:val="24"/>
            <w:lang w:val="en-US"/>
          </w:rPr>
          <w:t>https://kfknowledgebank.kaplan.co.uk/acca/chapter-3-internal-resources-capabilities-and-competences</w:t>
        </w:r>
      </w:hyperlink>
      <w:r w:rsidRPr="004A0CFF">
        <w:rPr>
          <w:rFonts w:ascii="Arial" w:hAnsi="Arial" w:cs="Arial"/>
          <w:sz w:val="24"/>
          <w:szCs w:val="24"/>
          <w:lang w:val="en-US"/>
        </w:rPr>
        <w:t xml:space="preserve"> [Accessed: 22 August 2024]</w:t>
      </w:r>
    </w:p>
    <w:p w14:paraId="215C6A08"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Kenton, W. (2024) </w:t>
      </w:r>
      <w:r w:rsidRPr="004A0CFF">
        <w:rPr>
          <w:rFonts w:ascii="Arial" w:hAnsi="Arial" w:cs="Arial"/>
          <w:i/>
          <w:iCs/>
          <w:sz w:val="24"/>
          <w:szCs w:val="24"/>
          <w:lang w:val="en-US"/>
        </w:rPr>
        <w:t>Economies of Scale: What Are They and How Are They Used?</w:t>
      </w:r>
      <w:r w:rsidRPr="004A0CFF">
        <w:rPr>
          <w:rFonts w:ascii="Arial" w:hAnsi="Arial" w:cs="Arial"/>
          <w:sz w:val="24"/>
          <w:szCs w:val="24"/>
          <w:lang w:val="en-US"/>
        </w:rPr>
        <w:t xml:space="preserve"> [online] Available: </w:t>
      </w:r>
      <w:hyperlink r:id="rId29" w:history="1">
        <w:r w:rsidRPr="004A0CFF">
          <w:rPr>
            <w:rStyle w:val="af2"/>
            <w:rFonts w:ascii="Arial" w:hAnsi="Arial" w:cs="Arial"/>
            <w:sz w:val="24"/>
            <w:szCs w:val="24"/>
            <w:lang w:val="en-US"/>
          </w:rPr>
          <w:t>https://www.investopedia.com/terms/e/economiesofscale.asp</w:t>
        </w:r>
      </w:hyperlink>
      <w:r w:rsidRPr="004A0CFF">
        <w:rPr>
          <w:rFonts w:ascii="Arial" w:hAnsi="Arial" w:cs="Arial"/>
          <w:sz w:val="24"/>
          <w:szCs w:val="24"/>
          <w:lang w:val="en-US"/>
        </w:rPr>
        <w:t xml:space="preserve"> [Accessed: 22 August 2024]</w:t>
      </w:r>
    </w:p>
    <w:p w14:paraId="715C8A8C" w14:textId="77777777" w:rsidR="004A0CFF" w:rsidRPr="004A0CFF" w:rsidRDefault="004A0CFF" w:rsidP="006D0AA7">
      <w:pPr>
        <w:spacing w:line="360" w:lineRule="auto"/>
        <w:rPr>
          <w:rFonts w:ascii="Arial" w:hAnsi="Arial" w:cs="Arial"/>
          <w:sz w:val="24"/>
          <w:szCs w:val="24"/>
        </w:rPr>
      </w:pPr>
      <w:r w:rsidRPr="004A0CFF">
        <w:rPr>
          <w:rFonts w:ascii="Arial" w:hAnsi="Arial" w:cs="Arial"/>
          <w:sz w:val="24"/>
          <w:szCs w:val="24"/>
        </w:rPr>
        <w:t xml:space="preserve">Kotler, P., Armstrong, G., Harris, L. and He, H. (2020) </w:t>
      </w:r>
      <w:r w:rsidRPr="004A0CFF">
        <w:rPr>
          <w:rFonts w:ascii="Arial" w:hAnsi="Arial" w:cs="Arial"/>
          <w:i/>
          <w:iCs/>
          <w:sz w:val="24"/>
          <w:szCs w:val="24"/>
        </w:rPr>
        <w:t>Principles of Marketing</w:t>
      </w:r>
      <w:r w:rsidRPr="004A0CFF">
        <w:rPr>
          <w:rFonts w:ascii="Arial" w:hAnsi="Arial" w:cs="Arial"/>
          <w:sz w:val="24"/>
          <w:szCs w:val="24"/>
        </w:rPr>
        <w:t>. 8</w:t>
      </w:r>
      <w:r w:rsidRPr="004A0CFF">
        <w:rPr>
          <w:rFonts w:ascii="Arial" w:hAnsi="Arial" w:cs="Arial"/>
          <w:sz w:val="24"/>
          <w:szCs w:val="24"/>
          <w:vertAlign w:val="superscript"/>
        </w:rPr>
        <w:t>th</w:t>
      </w:r>
      <w:r w:rsidRPr="004A0CFF">
        <w:rPr>
          <w:rFonts w:ascii="Arial" w:hAnsi="Arial" w:cs="Arial"/>
          <w:sz w:val="24"/>
          <w:szCs w:val="24"/>
        </w:rPr>
        <w:t xml:space="preserve"> edition, Pearson</w:t>
      </w:r>
    </w:p>
    <w:p w14:paraId="063C0E4E" w14:textId="77777777" w:rsidR="004A0CFF" w:rsidRPr="004A0CFF" w:rsidRDefault="004A0CFF" w:rsidP="006D0AA7">
      <w:pPr>
        <w:spacing w:line="360" w:lineRule="auto"/>
        <w:rPr>
          <w:rFonts w:ascii="Arial" w:hAnsi="Arial" w:cs="Arial"/>
          <w:sz w:val="24"/>
          <w:szCs w:val="24"/>
        </w:rPr>
      </w:pPr>
      <w:r w:rsidRPr="004A0CFF">
        <w:rPr>
          <w:rFonts w:ascii="Arial" w:hAnsi="Arial" w:cs="Arial"/>
          <w:sz w:val="24"/>
          <w:szCs w:val="24"/>
        </w:rPr>
        <w:t xml:space="preserve">Krugman, P. and Wells, R. (2020) </w:t>
      </w:r>
      <w:r w:rsidRPr="004A0CFF">
        <w:rPr>
          <w:rFonts w:ascii="Arial" w:hAnsi="Arial" w:cs="Arial"/>
          <w:i/>
          <w:sz w:val="24"/>
          <w:szCs w:val="24"/>
        </w:rPr>
        <w:t>Essentials of Economics</w:t>
      </w:r>
      <w:r w:rsidRPr="004A0CFF">
        <w:rPr>
          <w:rFonts w:ascii="Arial" w:hAnsi="Arial" w:cs="Arial"/>
          <w:sz w:val="24"/>
          <w:szCs w:val="24"/>
        </w:rPr>
        <w:t>. 5</w:t>
      </w:r>
      <w:r w:rsidRPr="004A0CFF">
        <w:rPr>
          <w:rFonts w:ascii="Arial" w:hAnsi="Arial" w:cs="Arial"/>
          <w:sz w:val="24"/>
          <w:szCs w:val="24"/>
          <w:vertAlign w:val="superscript"/>
        </w:rPr>
        <w:t>th</w:t>
      </w:r>
      <w:r w:rsidRPr="004A0CFF">
        <w:rPr>
          <w:rFonts w:ascii="Arial" w:hAnsi="Arial" w:cs="Arial"/>
          <w:sz w:val="24"/>
          <w:szCs w:val="24"/>
        </w:rPr>
        <w:t xml:space="preserve"> edition, New York Worth Publishers, Macmillan Learning</w:t>
      </w:r>
    </w:p>
    <w:p w14:paraId="48FD7A1C"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London Stock Exchange (LSE) (2024) Astrazeneca PLC, [online] Available: </w:t>
      </w:r>
      <w:hyperlink r:id="rId30" w:history="1">
        <w:r w:rsidRPr="004A0CFF">
          <w:rPr>
            <w:rStyle w:val="af2"/>
            <w:rFonts w:ascii="Arial" w:hAnsi="Arial" w:cs="Arial"/>
            <w:sz w:val="24"/>
            <w:szCs w:val="24"/>
            <w:lang w:val="en-US"/>
          </w:rPr>
          <w:t>https://www.londonstockexchange.com/stock/AZN/astrazeneca-plc/company-page</w:t>
        </w:r>
      </w:hyperlink>
      <w:r w:rsidRPr="004A0CFF">
        <w:rPr>
          <w:rFonts w:ascii="Arial" w:hAnsi="Arial" w:cs="Arial"/>
          <w:sz w:val="24"/>
          <w:szCs w:val="24"/>
          <w:lang w:val="en-US"/>
        </w:rPr>
        <w:t xml:space="preserve"> [Accessed: 20 August 2024]</w:t>
      </w:r>
    </w:p>
    <w:p w14:paraId="3F4271B8"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Macro Trends (2024) </w:t>
      </w:r>
      <w:r w:rsidRPr="004A0CFF">
        <w:rPr>
          <w:rFonts w:ascii="Arial" w:hAnsi="Arial" w:cs="Arial"/>
          <w:i/>
          <w:iCs/>
          <w:sz w:val="24"/>
          <w:szCs w:val="24"/>
          <w:lang w:val="en-US"/>
        </w:rPr>
        <w:t>AstraZeneca Revenue 2010-2024 | AZN</w:t>
      </w:r>
      <w:r w:rsidRPr="004A0CFF">
        <w:rPr>
          <w:rFonts w:ascii="Arial" w:hAnsi="Arial" w:cs="Arial"/>
          <w:sz w:val="24"/>
          <w:szCs w:val="24"/>
          <w:lang w:val="en-US"/>
        </w:rPr>
        <w:t xml:space="preserve">, [online] Available: </w:t>
      </w:r>
      <w:hyperlink r:id="rId31" w:anchor=":~:text=AstraZeneca%20revenue%20for%20the%20twelve,a%2018.53%25%20increase%20from%202021" w:history="1">
        <w:r w:rsidRPr="004A0CFF">
          <w:rPr>
            <w:rStyle w:val="af2"/>
            <w:rFonts w:ascii="Arial" w:hAnsi="Arial" w:cs="Arial"/>
            <w:sz w:val="24"/>
            <w:szCs w:val="24"/>
            <w:lang w:val="en-US"/>
          </w:rPr>
          <w:t>https://www.macrotrends.net/stocks/charts/AZN/astrazeneca/revenue#:~:text=AstraZeneca%20revenue%20for%20the%20twelve,a%2018.53%25%20increase%20from%202021</w:t>
        </w:r>
      </w:hyperlink>
      <w:r w:rsidRPr="004A0CFF">
        <w:rPr>
          <w:rFonts w:ascii="Arial" w:hAnsi="Arial" w:cs="Arial"/>
          <w:sz w:val="24"/>
          <w:szCs w:val="24"/>
          <w:lang w:val="en-US"/>
        </w:rPr>
        <w:t>. [Accessed: 25 August 2024]</w:t>
      </w:r>
    </w:p>
    <w:p w14:paraId="731168BF"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rPr>
        <w:t xml:space="preserve">Matovic, I. (2020) </w:t>
      </w:r>
      <w:r w:rsidRPr="004A0CFF">
        <w:rPr>
          <w:rFonts w:ascii="Arial" w:hAnsi="Arial" w:cs="Arial"/>
          <w:i/>
          <w:iCs/>
          <w:sz w:val="24"/>
          <w:szCs w:val="24"/>
        </w:rPr>
        <w:t>PESTEL Analysis of External Environment as a Success Factor for a Start-up Business</w:t>
      </w:r>
      <w:r w:rsidRPr="004A0CFF">
        <w:rPr>
          <w:rFonts w:ascii="Arial" w:hAnsi="Arial" w:cs="Arial"/>
          <w:sz w:val="24"/>
          <w:szCs w:val="24"/>
        </w:rPr>
        <w:t xml:space="preserve">, [online] Available: </w:t>
      </w:r>
      <w:hyperlink r:id="rId32" w:history="1">
        <w:r w:rsidRPr="004A0CFF">
          <w:rPr>
            <w:rStyle w:val="af2"/>
            <w:rFonts w:ascii="Arial" w:hAnsi="Arial" w:cs="Arial"/>
            <w:sz w:val="24"/>
            <w:szCs w:val="24"/>
          </w:rPr>
          <w:t>http://society.education/wp-content/uploads/2020/10/015IM.pdf</w:t>
        </w:r>
      </w:hyperlink>
      <w:r w:rsidRPr="004A0CFF">
        <w:rPr>
          <w:rFonts w:ascii="Arial" w:hAnsi="Arial" w:cs="Arial"/>
          <w:sz w:val="24"/>
          <w:szCs w:val="24"/>
        </w:rPr>
        <w:t xml:space="preserve"> </w:t>
      </w:r>
      <w:r w:rsidRPr="004A0CFF">
        <w:rPr>
          <w:rFonts w:ascii="Arial" w:hAnsi="Arial" w:cs="Arial"/>
          <w:sz w:val="24"/>
          <w:szCs w:val="24"/>
          <w:lang w:val="en-US"/>
        </w:rPr>
        <w:t>[Accessed: 23 August 2024]</w:t>
      </w:r>
    </w:p>
    <w:p w14:paraId="7DEC5D78"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MBA Skool (2023) </w:t>
      </w:r>
      <w:r w:rsidRPr="004A0CFF">
        <w:rPr>
          <w:rFonts w:ascii="Arial" w:eastAsia="Calibri" w:hAnsi="Arial" w:cs="Arial"/>
          <w:i/>
          <w:iCs/>
          <w:sz w:val="24"/>
          <w:szCs w:val="24"/>
          <w:lang w:val="en-US"/>
        </w:rPr>
        <w:t>AstraZeneca SWOT Analysis</w:t>
      </w:r>
      <w:r w:rsidRPr="004A0CFF">
        <w:rPr>
          <w:rFonts w:ascii="Arial" w:eastAsia="Calibri" w:hAnsi="Arial" w:cs="Arial"/>
          <w:sz w:val="24"/>
          <w:szCs w:val="24"/>
          <w:lang w:val="en-US"/>
        </w:rPr>
        <w:t xml:space="preserve">, [online] Available: </w:t>
      </w:r>
      <w:hyperlink r:id="rId33" w:history="1">
        <w:r w:rsidRPr="004A0CFF">
          <w:rPr>
            <w:rStyle w:val="af2"/>
            <w:rFonts w:ascii="Arial" w:eastAsia="Calibri" w:hAnsi="Arial" w:cs="Arial"/>
            <w:sz w:val="24"/>
            <w:szCs w:val="24"/>
            <w:lang w:val="en-US"/>
          </w:rPr>
          <w:t>https://www.mbaskool.com/swot-analysis/pharmaceuticals-and-healthcare/2721-astrazeneca.html</w:t>
        </w:r>
      </w:hyperlink>
      <w:r w:rsidRPr="004A0CFF">
        <w:rPr>
          <w:rFonts w:ascii="Arial" w:eastAsia="Calibri" w:hAnsi="Arial" w:cs="Arial"/>
          <w:sz w:val="24"/>
          <w:szCs w:val="24"/>
          <w:lang w:val="en-US"/>
        </w:rPr>
        <w:t xml:space="preserve"> [Accessed: 23 August 2024]</w:t>
      </w:r>
    </w:p>
    <w:p w14:paraId="6FCACEFC"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Mikulic, M. (2024a) </w:t>
      </w:r>
      <w:r w:rsidRPr="004A0CFF">
        <w:rPr>
          <w:rFonts w:ascii="Arial" w:eastAsia="Calibri" w:hAnsi="Arial" w:cs="Arial"/>
          <w:i/>
          <w:iCs/>
          <w:sz w:val="24"/>
          <w:szCs w:val="24"/>
          <w:lang w:val="en-US"/>
        </w:rPr>
        <w:t>AstraZeneca's expenditure on research and development 2006-2023</w:t>
      </w:r>
      <w:r w:rsidRPr="004A0CFF">
        <w:rPr>
          <w:rFonts w:ascii="Arial" w:eastAsia="Calibri" w:hAnsi="Arial" w:cs="Arial"/>
          <w:sz w:val="24"/>
          <w:szCs w:val="24"/>
          <w:lang w:val="en-US"/>
        </w:rPr>
        <w:t xml:space="preserve">, [online] Available: </w:t>
      </w:r>
      <w:hyperlink r:id="rId34" w:history="1">
        <w:r w:rsidRPr="004A0CFF">
          <w:rPr>
            <w:rStyle w:val="af2"/>
            <w:rFonts w:ascii="Arial" w:eastAsia="Calibri" w:hAnsi="Arial" w:cs="Arial"/>
            <w:sz w:val="24"/>
            <w:szCs w:val="24"/>
            <w:lang w:val="en-US"/>
          </w:rPr>
          <w:t>https://www.statista.com/statistics/266556/expenditure-on-research-and-development-of-astrazeneca-since-2006/</w:t>
        </w:r>
      </w:hyperlink>
      <w:r w:rsidRPr="004A0CFF">
        <w:rPr>
          <w:rFonts w:ascii="Arial" w:eastAsia="Calibri" w:hAnsi="Arial" w:cs="Arial"/>
          <w:sz w:val="24"/>
          <w:szCs w:val="24"/>
          <w:lang w:val="en-US"/>
        </w:rPr>
        <w:t xml:space="preserve"> [Accessed: 24 August 2024]</w:t>
      </w:r>
    </w:p>
    <w:p w14:paraId="52738644"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Mikulic, M. (2024b) </w:t>
      </w:r>
      <w:r w:rsidRPr="004A0CFF">
        <w:rPr>
          <w:rFonts w:ascii="Arial" w:hAnsi="Arial" w:cs="Arial"/>
          <w:i/>
          <w:iCs/>
          <w:sz w:val="24"/>
          <w:szCs w:val="24"/>
          <w:lang w:val="en-US"/>
        </w:rPr>
        <w:t>Pharmaceutical market: worldwide revenue 2001-2023</w:t>
      </w:r>
      <w:r w:rsidRPr="004A0CFF">
        <w:rPr>
          <w:rFonts w:ascii="Arial" w:hAnsi="Arial" w:cs="Arial"/>
          <w:sz w:val="24"/>
          <w:szCs w:val="24"/>
          <w:lang w:val="en-US"/>
        </w:rPr>
        <w:t xml:space="preserve">, [online] Available: </w:t>
      </w:r>
      <w:hyperlink r:id="rId35" w:history="1">
        <w:r w:rsidRPr="004A0CFF">
          <w:rPr>
            <w:rStyle w:val="af2"/>
            <w:rFonts w:ascii="Arial" w:hAnsi="Arial" w:cs="Arial"/>
            <w:sz w:val="24"/>
            <w:szCs w:val="24"/>
            <w:lang w:val="en-US"/>
          </w:rPr>
          <w:t>https://www.statista.com/statistics/263102/pharmaceutical-market-worldwide-revenue-since-2001/</w:t>
        </w:r>
      </w:hyperlink>
      <w:r w:rsidRPr="004A0CFF">
        <w:rPr>
          <w:rFonts w:ascii="Arial" w:hAnsi="Arial" w:cs="Arial"/>
          <w:sz w:val="24"/>
          <w:szCs w:val="24"/>
          <w:lang w:val="en-US"/>
        </w:rPr>
        <w:t xml:space="preserve"> [Accessed: 23 August 2024]</w:t>
      </w:r>
    </w:p>
    <w:p w14:paraId="34F2CE1F"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Office for National Statistics (ONS) (2024) </w:t>
      </w:r>
      <w:r w:rsidRPr="004A0CFF">
        <w:rPr>
          <w:rFonts w:ascii="Arial" w:eastAsia="Calibri" w:hAnsi="Arial" w:cs="Arial"/>
          <w:i/>
          <w:iCs/>
          <w:sz w:val="24"/>
          <w:szCs w:val="24"/>
          <w:lang w:val="en-US"/>
        </w:rPr>
        <w:t>National population projections: 2021-based interim,</w:t>
      </w:r>
      <w:r w:rsidRPr="004A0CFF">
        <w:rPr>
          <w:rFonts w:ascii="Arial" w:eastAsia="Calibri" w:hAnsi="Arial" w:cs="Arial"/>
          <w:sz w:val="24"/>
          <w:szCs w:val="24"/>
          <w:lang w:val="en-US"/>
        </w:rPr>
        <w:t xml:space="preserve"> [online] Available: </w:t>
      </w:r>
      <w:hyperlink r:id="rId36" w:anchor=":~:text=2.-,UK%20population,(a%2010.2%25%20increase)" w:history="1">
        <w:r w:rsidRPr="004A0CFF">
          <w:rPr>
            <w:rStyle w:val="af2"/>
            <w:rFonts w:ascii="Arial" w:eastAsia="Calibri" w:hAnsi="Arial" w:cs="Arial"/>
            <w:sz w:val="24"/>
            <w:szCs w:val="24"/>
            <w:lang w:val="en-US"/>
          </w:rPr>
          <w:t>https://www.ons.gov.uk/peoplepopulationandcommunity/populationandmigration/populationprojections/bulletins/nationalpopulationprojections/2021basedinterim#:~:text=2.-,UK%20population,(a%2010.2%25%20increase)</w:t>
        </w:r>
      </w:hyperlink>
      <w:r w:rsidRPr="004A0CFF">
        <w:rPr>
          <w:rFonts w:ascii="Arial" w:eastAsia="Calibri" w:hAnsi="Arial" w:cs="Arial"/>
          <w:sz w:val="24"/>
          <w:szCs w:val="24"/>
          <w:lang w:val="en-US"/>
        </w:rPr>
        <w:t xml:space="preserve"> [Accessed: 22 August 2024]</w:t>
      </w:r>
    </w:p>
    <w:p w14:paraId="61DA58EC" w14:textId="77777777" w:rsidR="004A0CFF" w:rsidRPr="004A0CFF" w:rsidRDefault="004A0CFF" w:rsidP="006D0AA7">
      <w:pPr>
        <w:spacing w:line="360" w:lineRule="auto"/>
        <w:rPr>
          <w:rFonts w:ascii="Arial" w:eastAsia="Calibri" w:hAnsi="Arial" w:cs="Arial"/>
          <w:bCs/>
          <w:iCs/>
          <w:sz w:val="24"/>
          <w:szCs w:val="24"/>
          <w:lang w:val="en-US"/>
        </w:rPr>
      </w:pPr>
      <w:r w:rsidRPr="004A0CFF">
        <w:rPr>
          <w:rFonts w:ascii="Arial" w:eastAsia="Calibri" w:hAnsi="Arial" w:cs="Arial"/>
          <w:bCs/>
          <w:iCs/>
          <w:sz w:val="24"/>
          <w:szCs w:val="24"/>
          <w:lang w:val="en-US"/>
        </w:rPr>
        <w:t xml:space="preserve">Olatoye, F. (2024) </w:t>
      </w:r>
      <w:r w:rsidRPr="004A0CFF">
        <w:rPr>
          <w:rFonts w:ascii="Arial" w:eastAsia="Calibri" w:hAnsi="Arial" w:cs="Arial"/>
          <w:bCs/>
          <w:i/>
          <w:sz w:val="24"/>
          <w:szCs w:val="24"/>
          <w:lang w:val="en-US"/>
        </w:rPr>
        <w:t>Porter’s Five Forces Analysis of the Pharmaceutical Industry 1.0</w:t>
      </w:r>
      <w:r w:rsidRPr="004A0CFF">
        <w:rPr>
          <w:rFonts w:ascii="Arial" w:eastAsia="Calibri" w:hAnsi="Arial" w:cs="Arial"/>
          <w:bCs/>
          <w:iCs/>
          <w:sz w:val="24"/>
          <w:szCs w:val="24"/>
          <w:lang w:val="en-US"/>
        </w:rPr>
        <w:t xml:space="preserve">, [online] Available: </w:t>
      </w:r>
      <w:hyperlink r:id="rId37" w:anchor=":~:text=This%20paper%20examines%20the%20five,existing%20ones%2C%20and%20the%20intensity" w:history="1">
        <w:r w:rsidRPr="004A0CFF">
          <w:rPr>
            <w:rStyle w:val="af2"/>
            <w:rFonts w:ascii="Arial" w:eastAsia="Calibri" w:hAnsi="Arial" w:cs="Arial"/>
            <w:bCs/>
            <w:iCs/>
            <w:sz w:val="24"/>
            <w:szCs w:val="24"/>
            <w:lang w:val="en-US"/>
          </w:rPr>
          <w:t>https://www.researchgate.net/publication/382105615_Porter's_Five_Forces_Analysis_of_the_Pharmaceutical_Industry_10#:~:text=This%20paper%20examines%20the%20five,existing%20ones%2C%20and%20the%20intensity</w:t>
        </w:r>
      </w:hyperlink>
      <w:r w:rsidRPr="004A0CFF">
        <w:rPr>
          <w:rFonts w:ascii="Arial" w:eastAsia="Calibri" w:hAnsi="Arial" w:cs="Arial"/>
          <w:bCs/>
          <w:iCs/>
          <w:sz w:val="24"/>
          <w:szCs w:val="24"/>
          <w:lang w:val="en-US"/>
        </w:rPr>
        <w:t xml:space="preserve"> [Accessed: 22 August 2024]</w:t>
      </w:r>
    </w:p>
    <w:p w14:paraId="10923186"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rPr>
        <w:t xml:space="preserve">Peterdy, K. (2024) </w:t>
      </w:r>
      <w:r w:rsidRPr="004A0CFF">
        <w:rPr>
          <w:rFonts w:ascii="Arial" w:hAnsi="Arial" w:cs="Arial"/>
          <w:i/>
          <w:iCs/>
          <w:sz w:val="24"/>
          <w:szCs w:val="24"/>
        </w:rPr>
        <w:t>Ansoff Matrix</w:t>
      </w:r>
      <w:r w:rsidRPr="004A0CFF">
        <w:rPr>
          <w:rFonts w:ascii="Arial" w:hAnsi="Arial" w:cs="Arial"/>
          <w:sz w:val="24"/>
          <w:szCs w:val="24"/>
        </w:rPr>
        <w:t xml:space="preserve">, [online] Available: </w:t>
      </w:r>
      <w:hyperlink r:id="rId38" w:history="1">
        <w:r w:rsidRPr="004A0CFF">
          <w:rPr>
            <w:rStyle w:val="af2"/>
            <w:rFonts w:ascii="Arial" w:hAnsi="Arial" w:cs="Arial"/>
            <w:sz w:val="24"/>
            <w:szCs w:val="24"/>
          </w:rPr>
          <w:t>https://corporatefinanceinstitute.com/resources/management/ansoff-matrix/</w:t>
        </w:r>
      </w:hyperlink>
      <w:r w:rsidRPr="004A0CFF">
        <w:rPr>
          <w:rFonts w:ascii="Arial" w:hAnsi="Arial" w:cs="Arial"/>
          <w:sz w:val="24"/>
          <w:szCs w:val="24"/>
        </w:rPr>
        <w:t xml:space="preserve"> [Accessed: 25 August 2024]</w:t>
      </w:r>
    </w:p>
    <w:p w14:paraId="5382A8B6"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rPr>
        <w:t xml:space="preserve">Pharmaceutical Technology (2024) </w:t>
      </w:r>
      <w:r w:rsidRPr="004A0CFF">
        <w:rPr>
          <w:rFonts w:ascii="Arial" w:eastAsia="Calibri" w:hAnsi="Arial" w:cs="Arial"/>
          <w:i/>
          <w:iCs/>
          <w:sz w:val="24"/>
          <w:szCs w:val="24"/>
          <w:lang w:val="bg-BG"/>
        </w:rPr>
        <w:t>AstraZeneca sees highest patent filings and grants during April in Q2 2024</w:t>
      </w:r>
      <w:r w:rsidRPr="004A0CFF">
        <w:rPr>
          <w:rFonts w:ascii="Arial" w:eastAsia="Calibri" w:hAnsi="Arial" w:cs="Arial"/>
          <w:sz w:val="24"/>
          <w:szCs w:val="24"/>
          <w:lang w:val="en-US"/>
        </w:rPr>
        <w:t xml:space="preserve">, [online] Available: </w:t>
      </w:r>
      <w:hyperlink r:id="rId39" w:history="1">
        <w:r w:rsidRPr="004A0CFF">
          <w:rPr>
            <w:rStyle w:val="af2"/>
            <w:rFonts w:ascii="Arial" w:eastAsia="Calibri" w:hAnsi="Arial" w:cs="Arial"/>
            <w:sz w:val="24"/>
            <w:szCs w:val="24"/>
            <w:lang w:val="en-US"/>
          </w:rPr>
          <w:t>https://www.pharmaceutical-technology.com/data-insights/astrazeneca-patent-activity/?cf-view</w:t>
        </w:r>
      </w:hyperlink>
      <w:r w:rsidRPr="004A0CFF">
        <w:rPr>
          <w:rFonts w:ascii="Arial" w:eastAsia="Calibri" w:hAnsi="Arial" w:cs="Arial"/>
          <w:sz w:val="24"/>
          <w:szCs w:val="24"/>
          <w:lang w:val="en-US"/>
        </w:rPr>
        <w:t xml:space="preserve"> [Accessed: 25 August 2024]</w:t>
      </w:r>
    </w:p>
    <w:p w14:paraId="568F2F73"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Porter, M. (1985) </w:t>
      </w:r>
      <w:r w:rsidRPr="004A0CFF">
        <w:rPr>
          <w:rFonts w:ascii="Arial" w:hAnsi="Arial" w:cs="Arial"/>
          <w:i/>
          <w:iCs/>
          <w:sz w:val="24"/>
          <w:szCs w:val="24"/>
          <w:lang w:val="en-US"/>
        </w:rPr>
        <w:t>Competitive Advantage. Creating and Sustaining Superior Performance</w:t>
      </w:r>
      <w:r w:rsidRPr="004A0CFF">
        <w:rPr>
          <w:rFonts w:ascii="Arial" w:hAnsi="Arial" w:cs="Arial"/>
          <w:sz w:val="24"/>
          <w:szCs w:val="24"/>
          <w:lang w:val="en-US"/>
        </w:rPr>
        <w:t>. Free Press: New York</w:t>
      </w:r>
    </w:p>
    <w:p w14:paraId="4E1C26BE"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bg-BG"/>
        </w:rPr>
        <w:t>Porter</w:t>
      </w:r>
      <w:r w:rsidRPr="004A0CFF">
        <w:rPr>
          <w:rFonts w:ascii="Arial" w:hAnsi="Arial" w:cs="Arial"/>
          <w:sz w:val="24"/>
          <w:szCs w:val="24"/>
          <w:lang w:val="en-US"/>
        </w:rPr>
        <w:t xml:space="preserve">, M. </w:t>
      </w:r>
      <w:r w:rsidRPr="004A0CFF">
        <w:rPr>
          <w:rFonts w:ascii="Arial" w:hAnsi="Arial" w:cs="Arial"/>
          <w:sz w:val="24"/>
          <w:szCs w:val="24"/>
          <w:lang w:val="bg-BG"/>
        </w:rPr>
        <w:t>(2008</w:t>
      </w:r>
      <w:r w:rsidRPr="004A0CFF">
        <w:rPr>
          <w:rFonts w:ascii="Arial" w:hAnsi="Arial" w:cs="Arial"/>
          <w:sz w:val="24"/>
          <w:szCs w:val="24"/>
          <w:lang w:val="en-US"/>
        </w:rPr>
        <w:t>a</w:t>
      </w:r>
      <w:r w:rsidRPr="004A0CFF">
        <w:rPr>
          <w:rFonts w:ascii="Arial" w:hAnsi="Arial" w:cs="Arial"/>
          <w:sz w:val="24"/>
          <w:szCs w:val="24"/>
          <w:lang w:val="bg-BG"/>
        </w:rPr>
        <w:t>)</w:t>
      </w:r>
      <w:r w:rsidRPr="004A0CFF">
        <w:rPr>
          <w:rFonts w:ascii="Arial" w:hAnsi="Arial" w:cs="Arial"/>
          <w:sz w:val="24"/>
          <w:szCs w:val="24"/>
          <w:lang w:val="en-US"/>
        </w:rPr>
        <w:t xml:space="preserve"> </w:t>
      </w:r>
      <w:r w:rsidRPr="004A0CFF">
        <w:rPr>
          <w:rFonts w:ascii="Arial" w:hAnsi="Arial" w:cs="Arial"/>
          <w:sz w:val="24"/>
          <w:szCs w:val="24"/>
          <w:lang w:val="bg-BG"/>
        </w:rPr>
        <w:t>Competitive Strategy: Techniques for Analyzing Industries and Competitors. In M. E. Porter, </w:t>
      </w:r>
      <w:r w:rsidRPr="004A0CFF">
        <w:rPr>
          <w:rFonts w:ascii="Arial" w:hAnsi="Arial" w:cs="Arial"/>
          <w:i/>
          <w:iCs/>
          <w:sz w:val="24"/>
          <w:szCs w:val="24"/>
          <w:lang w:val="bg-BG"/>
        </w:rPr>
        <w:t>Competitive Strategy: Techniques for Analyzing Industries and Competitors.</w:t>
      </w:r>
      <w:r w:rsidRPr="004A0CFF">
        <w:rPr>
          <w:rFonts w:ascii="Arial" w:hAnsi="Arial" w:cs="Arial"/>
          <w:sz w:val="24"/>
          <w:szCs w:val="24"/>
          <w:lang w:val="bg-BG"/>
        </w:rPr>
        <w:t> New York: Simon and Schuster Inc.</w:t>
      </w:r>
    </w:p>
    <w:p w14:paraId="29072A4E" w14:textId="77777777" w:rsidR="004A0CFF" w:rsidRPr="004A0CFF" w:rsidRDefault="004A0CFF" w:rsidP="006D0AA7">
      <w:pPr>
        <w:spacing w:line="360" w:lineRule="auto"/>
        <w:rPr>
          <w:rFonts w:ascii="Arial" w:hAnsi="Arial" w:cs="Arial"/>
          <w:sz w:val="24"/>
          <w:szCs w:val="24"/>
        </w:rPr>
      </w:pPr>
      <w:r w:rsidRPr="004A0CFF">
        <w:rPr>
          <w:rFonts w:ascii="Arial" w:hAnsi="Arial" w:cs="Arial"/>
          <w:sz w:val="24"/>
          <w:szCs w:val="24"/>
        </w:rPr>
        <w:t xml:space="preserve">Porter, M. (2008b) The Five Competitive Forces that Shape Strategy, </w:t>
      </w:r>
      <w:r w:rsidRPr="004A0CFF">
        <w:rPr>
          <w:rFonts w:ascii="Arial" w:hAnsi="Arial" w:cs="Arial"/>
          <w:i/>
          <w:iCs/>
          <w:sz w:val="24"/>
          <w:szCs w:val="24"/>
        </w:rPr>
        <w:t>Harvard Business Review</w:t>
      </w:r>
      <w:r w:rsidRPr="004A0CFF">
        <w:rPr>
          <w:rFonts w:ascii="Arial" w:hAnsi="Arial" w:cs="Arial"/>
          <w:sz w:val="24"/>
          <w:szCs w:val="24"/>
        </w:rPr>
        <w:t>, Vol. 86, pp. 79-93.</w:t>
      </w:r>
    </w:p>
    <w:p w14:paraId="12EEBFAA"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Reuters (2024) </w:t>
      </w:r>
      <w:r w:rsidRPr="004A0CFF">
        <w:rPr>
          <w:rFonts w:ascii="Arial" w:hAnsi="Arial" w:cs="Arial"/>
          <w:i/>
          <w:iCs/>
          <w:sz w:val="24"/>
          <w:szCs w:val="24"/>
          <w:lang w:val="en-US"/>
        </w:rPr>
        <w:t>Astra Zeneca PLC</w:t>
      </w:r>
      <w:r w:rsidRPr="004A0CFF">
        <w:rPr>
          <w:rFonts w:ascii="Arial" w:hAnsi="Arial" w:cs="Arial"/>
          <w:sz w:val="24"/>
          <w:szCs w:val="24"/>
          <w:lang w:val="en-US"/>
        </w:rPr>
        <w:t xml:space="preserve">, [online] Available: </w:t>
      </w:r>
      <w:hyperlink r:id="rId40" w:anchor=":~:text=Company%20Information,metabolism%2C%20and%20respiratory%20and%20immunology" w:history="1">
        <w:r w:rsidRPr="004A0CFF">
          <w:rPr>
            <w:rStyle w:val="af2"/>
            <w:rFonts w:ascii="Arial" w:hAnsi="Arial" w:cs="Arial"/>
            <w:sz w:val="24"/>
            <w:szCs w:val="24"/>
            <w:lang w:val="en-US"/>
          </w:rPr>
          <w:t>https://www.reuters.com/markets/companies/AZN.L/#:~:text=Company%20Information,metabolism%2C%20and%20respiratory%20and%20immunology</w:t>
        </w:r>
      </w:hyperlink>
      <w:r w:rsidRPr="004A0CFF">
        <w:rPr>
          <w:rFonts w:ascii="Arial" w:hAnsi="Arial" w:cs="Arial"/>
          <w:sz w:val="24"/>
          <w:szCs w:val="24"/>
          <w:lang w:val="en-US"/>
        </w:rPr>
        <w:t xml:space="preserve"> [Accessed: 20 August 2024]</w:t>
      </w:r>
    </w:p>
    <w:p w14:paraId="6C3BA19D" w14:textId="77777777" w:rsidR="004A0CFF" w:rsidRPr="004A0CFF" w:rsidRDefault="004A0CFF" w:rsidP="006D0AA7">
      <w:pPr>
        <w:spacing w:line="360" w:lineRule="auto"/>
        <w:rPr>
          <w:rFonts w:ascii="Arial" w:hAnsi="Arial" w:cs="Arial"/>
          <w:bCs/>
          <w:iCs/>
          <w:sz w:val="24"/>
          <w:szCs w:val="24"/>
          <w:lang w:val="en-US"/>
        </w:rPr>
      </w:pPr>
      <w:r w:rsidRPr="004A0CFF">
        <w:rPr>
          <w:rFonts w:ascii="Arial" w:hAnsi="Arial" w:cs="Arial"/>
          <w:bCs/>
          <w:iCs/>
          <w:sz w:val="24"/>
          <w:szCs w:val="24"/>
          <w:lang w:val="en-US"/>
        </w:rPr>
        <w:t xml:space="preserve">Rollinson, D. (2019) </w:t>
      </w:r>
      <w:r w:rsidRPr="004A0CFF">
        <w:rPr>
          <w:rFonts w:ascii="Arial" w:hAnsi="Arial" w:cs="Arial"/>
          <w:bCs/>
          <w:i/>
          <w:iCs/>
          <w:sz w:val="24"/>
          <w:szCs w:val="24"/>
          <w:lang w:val="en-US"/>
        </w:rPr>
        <w:t xml:space="preserve">Organisational Behaviour and Analysis: An Integrated Approach. </w:t>
      </w:r>
      <w:r w:rsidRPr="004A0CFF">
        <w:rPr>
          <w:rFonts w:ascii="Arial" w:hAnsi="Arial" w:cs="Arial"/>
          <w:bCs/>
          <w:iCs/>
          <w:sz w:val="24"/>
          <w:szCs w:val="24"/>
          <w:lang w:val="en-US"/>
        </w:rPr>
        <w:t>7</w:t>
      </w:r>
      <w:r w:rsidRPr="004A0CFF">
        <w:rPr>
          <w:rFonts w:ascii="Arial" w:hAnsi="Arial" w:cs="Arial"/>
          <w:bCs/>
          <w:iCs/>
          <w:sz w:val="24"/>
          <w:szCs w:val="24"/>
          <w:vertAlign w:val="superscript"/>
          <w:lang w:val="en-US"/>
        </w:rPr>
        <w:t>th</w:t>
      </w:r>
      <w:r w:rsidRPr="004A0CFF">
        <w:rPr>
          <w:rFonts w:ascii="Arial" w:hAnsi="Arial" w:cs="Arial"/>
          <w:bCs/>
          <w:iCs/>
          <w:sz w:val="24"/>
          <w:szCs w:val="24"/>
          <w:lang w:val="en-US"/>
        </w:rPr>
        <w:t xml:space="preserve"> edition, London: Pearson</w:t>
      </w:r>
    </w:p>
    <w:p w14:paraId="46B40177"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Statista (2023) </w:t>
      </w:r>
      <w:r w:rsidRPr="004A0CFF">
        <w:rPr>
          <w:rFonts w:ascii="Arial" w:hAnsi="Arial" w:cs="Arial"/>
          <w:i/>
          <w:iCs/>
          <w:sz w:val="24"/>
          <w:szCs w:val="24"/>
          <w:lang w:val="en-US"/>
        </w:rPr>
        <w:t>Astra Zeneca: brand value worldwide 2021-2023</w:t>
      </w:r>
      <w:r w:rsidRPr="004A0CFF">
        <w:rPr>
          <w:rFonts w:ascii="Arial" w:hAnsi="Arial" w:cs="Arial"/>
          <w:sz w:val="24"/>
          <w:szCs w:val="24"/>
          <w:lang w:val="en-US"/>
        </w:rPr>
        <w:t xml:space="preserve">, [online] Available: </w:t>
      </w:r>
      <w:hyperlink r:id="rId41" w:history="1">
        <w:r w:rsidRPr="004A0CFF">
          <w:rPr>
            <w:rStyle w:val="af2"/>
            <w:rFonts w:ascii="Arial" w:hAnsi="Arial" w:cs="Arial"/>
            <w:sz w:val="24"/>
            <w:szCs w:val="24"/>
            <w:lang w:val="en-US"/>
          </w:rPr>
          <w:t>https://www.statista.com/statistics/1246100/covid-vaccine-brand-value/</w:t>
        </w:r>
      </w:hyperlink>
      <w:r w:rsidRPr="004A0CFF">
        <w:rPr>
          <w:rFonts w:ascii="Arial" w:hAnsi="Arial" w:cs="Arial"/>
          <w:sz w:val="24"/>
          <w:szCs w:val="24"/>
          <w:lang w:val="en-US"/>
        </w:rPr>
        <w:t xml:space="preserve"> [Accessed: 22 August 2024]</w:t>
      </w:r>
    </w:p>
    <w:p w14:paraId="02A90EC5"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Strategy Story (2024) </w:t>
      </w:r>
      <w:r w:rsidRPr="004A0CFF">
        <w:rPr>
          <w:rFonts w:ascii="Arial" w:eastAsia="Calibri" w:hAnsi="Arial" w:cs="Arial"/>
          <w:i/>
          <w:iCs/>
          <w:sz w:val="24"/>
          <w:szCs w:val="24"/>
          <w:lang w:val="en-US"/>
        </w:rPr>
        <w:t>AstraZeneca SWOT Analysis</w:t>
      </w:r>
      <w:r w:rsidRPr="004A0CFF">
        <w:rPr>
          <w:rFonts w:ascii="Arial" w:eastAsia="Calibri" w:hAnsi="Arial" w:cs="Arial"/>
          <w:sz w:val="24"/>
          <w:szCs w:val="24"/>
          <w:lang w:val="en-US"/>
        </w:rPr>
        <w:t xml:space="preserve">, [online] Available: </w:t>
      </w:r>
      <w:hyperlink r:id="rId42" w:history="1">
        <w:r w:rsidRPr="004A0CFF">
          <w:rPr>
            <w:rStyle w:val="af2"/>
            <w:rFonts w:ascii="Arial" w:eastAsia="Calibri" w:hAnsi="Arial" w:cs="Arial"/>
            <w:sz w:val="24"/>
            <w:szCs w:val="24"/>
            <w:lang w:val="en-US"/>
          </w:rPr>
          <w:t>https://thestrategystory.com/blog/astrazeneca-swot-analysis/</w:t>
        </w:r>
      </w:hyperlink>
      <w:r w:rsidRPr="004A0CFF">
        <w:rPr>
          <w:rFonts w:ascii="Arial" w:eastAsia="Calibri" w:hAnsi="Arial" w:cs="Arial"/>
          <w:sz w:val="24"/>
          <w:szCs w:val="24"/>
          <w:lang w:val="en-US"/>
        </w:rPr>
        <w:t xml:space="preserve"> [Accessed: 25 August 2024]</w:t>
      </w:r>
    </w:p>
    <w:p w14:paraId="2AA85B8F"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SWOT and PESTLE (S&amp;P) (2023) </w:t>
      </w:r>
      <w:r w:rsidRPr="004A0CFF">
        <w:rPr>
          <w:rFonts w:ascii="Arial" w:eastAsia="Calibri" w:hAnsi="Arial" w:cs="Arial"/>
          <w:i/>
          <w:iCs/>
          <w:sz w:val="24"/>
          <w:szCs w:val="24"/>
          <w:lang w:val="en-US"/>
        </w:rPr>
        <w:t>AstraZeneca SWOT and PESTLE Analysis</w:t>
      </w:r>
      <w:r w:rsidRPr="004A0CFF">
        <w:rPr>
          <w:rFonts w:ascii="Arial" w:eastAsia="Calibri" w:hAnsi="Arial" w:cs="Arial"/>
          <w:sz w:val="24"/>
          <w:szCs w:val="24"/>
          <w:lang w:val="en-US"/>
        </w:rPr>
        <w:t xml:space="preserve">, [online] Available: </w:t>
      </w:r>
      <w:hyperlink r:id="rId43" w:history="1">
        <w:r w:rsidRPr="004A0CFF">
          <w:rPr>
            <w:rStyle w:val="af2"/>
            <w:rFonts w:ascii="Arial" w:eastAsia="Calibri" w:hAnsi="Arial" w:cs="Arial"/>
            <w:sz w:val="24"/>
            <w:szCs w:val="24"/>
            <w:lang w:val="en-US"/>
          </w:rPr>
          <w:t>https://www.swotandpestle.com/astrazeneca/</w:t>
        </w:r>
      </w:hyperlink>
      <w:r w:rsidRPr="004A0CFF">
        <w:rPr>
          <w:rFonts w:ascii="Arial" w:eastAsia="Calibri" w:hAnsi="Arial" w:cs="Arial"/>
          <w:sz w:val="24"/>
          <w:szCs w:val="24"/>
          <w:lang w:val="en-US"/>
        </w:rPr>
        <w:t xml:space="preserve"> [Accessed: 25 August 2024]</w:t>
      </w:r>
    </w:p>
    <w:p w14:paraId="17CD3513" w14:textId="77777777" w:rsidR="004A0CFF" w:rsidRPr="004A0CFF" w:rsidRDefault="004A0CFF" w:rsidP="006D0AA7">
      <w:pPr>
        <w:spacing w:line="360" w:lineRule="auto"/>
        <w:rPr>
          <w:rFonts w:ascii="Arial" w:eastAsia="Calibri" w:hAnsi="Arial" w:cs="Arial"/>
          <w:sz w:val="24"/>
          <w:szCs w:val="24"/>
        </w:rPr>
      </w:pPr>
      <w:r w:rsidRPr="004A0CFF">
        <w:rPr>
          <w:rFonts w:ascii="Arial" w:eastAsia="Calibri" w:hAnsi="Arial" w:cs="Arial"/>
          <w:sz w:val="24"/>
          <w:szCs w:val="24"/>
        </w:rPr>
        <w:t xml:space="preserve">Trading Economics (2024) </w:t>
      </w:r>
      <w:r w:rsidRPr="004A0CFF">
        <w:rPr>
          <w:rFonts w:ascii="Arial" w:eastAsia="Calibri" w:hAnsi="Arial" w:cs="Arial"/>
          <w:i/>
          <w:iCs/>
          <w:sz w:val="24"/>
          <w:szCs w:val="24"/>
        </w:rPr>
        <w:t>United Kingdom Inflation Rate</w:t>
      </w:r>
      <w:r w:rsidRPr="004A0CFF">
        <w:rPr>
          <w:rFonts w:ascii="Arial" w:eastAsia="Calibri" w:hAnsi="Arial" w:cs="Arial"/>
          <w:sz w:val="24"/>
          <w:szCs w:val="24"/>
        </w:rPr>
        <w:t xml:space="preserve">, [online] Available: </w:t>
      </w:r>
      <w:hyperlink r:id="rId44" w:history="1">
        <w:r w:rsidRPr="004A0CFF">
          <w:rPr>
            <w:rStyle w:val="af2"/>
            <w:rFonts w:ascii="Arial" w:eastAsia="Calibri" w:hAnsi="Arial" w:cs="Arial"/>
            <w:sz w:val="24"/>
            <w:szCs w:val="24"/>
          </w:rPr>
          <w:t>https://tradingeconomics.com/united-kingdom/inflation-cpi</w:t>
        </w:r>
      </w:hyperlink>
      <w:r w:rsidRPr="004A0CFF">
        <w:rPr>
          <w:rFonts w:ascii="Arial" w:eastAsia="Calibri" w:hAnsi="Arial" w:cs="Arial"/>
          <w:sz w:val="24"/>
          <w:szCs w:val="24"/>
        </w:rPr>
        <w:t xml:space="preserve"> [Accessed: 22 August 2024]</w:t>
      </w:r>
    </w:p>
    <w:p w14:paraId="3679E641"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Whittington, R, Regner, P, Angwin, D, Johnson, G, and Scholes, K. (2023) </w:t>
      </w:r>
      <w:r w:rsidRPr="004A0CFF">
        <w:rPr>
          <w:rFonts w:ascii="Arial" w:eastAsia="Calibri" w:hAnsi="Arial" w:cs="Arial"/>
          <w:i/>
          <w:iCs/>
          <w:sz w:val="24"/>
          <w:szCs w:val="24"/>
          <w:lang w:val="en-US"/>
        </w:rPr>
        <w:t>Exploring Strategy – Text and Cases</w:t>
      </w:r>
      <w:r w:rsidRPr="004A0CFF">
        <w:rPr>
          <w:rFonts w:ascii="Arial" w:eastAsia="Calibri" w:hAnsi="Arial" w:cs="Arial"/>
          <w:sz w:val="24"/>
          <w:szCs w:val="24"/>
          <w:lang w:val="en-US"/>
        </w:rPr>
        <w:t>. 13</w:t>
      </w:r>
      <w:r w:rsidRPr="004A0CFF">
        <w:rPr>
          <w:rFonts w:ascii="Arial" w:eastAsia="Calibri" w:hAnsi="Arial" w:cs="Arial"/>
          <w:sz w:val="24"/>
          <w:szCs w:val="24"/>
          <w:vertAlign w:val="superscript"/>
          <w:lang w:val="en-US"/>
        </w:rPr>
        <w:t>th</w:t>
      </w:r>
      <w:r w:rsidRPr="004A0CFF">
        <w:rPr>
          <w:rFonts w:ascii="Arial" w:eastAsia="Calibri" w:hAnsi="Arial" w:cs="Arial"/>
          <w:sz w:val="24"/>
          <w:szCs w:val="24"/>
          <w:lang w:val="en-US"/>
        </w:rPr>
        <w:t xml:space="preserve"> edition, Pearson: Harlow</w:t>
      </w:r>
    </w:p>
    <w:p w14:paraId="7D8328F8" w14:textId="77777777" w:rsidR="004A0CFF" w:rsidRPr="004A0CFF" w:rsidRDefault="004A0CFF" w:rsidP="006D0AA7">
      <w:pPr>
        <w:spacing w:line="360" w:lineRule="auto"/>
        <w:rPr>
          <w:rFonts w:ascii="Arial" w:eastAsia="Calibri" w:hAnsi="Arial" w:cs="Arial"/>
          <w:sz w:val="24"/>
          <w:szCs w:val="24"/>
          <w:lang w:val="en-US"/>
        </w:rPr>
      </w:pPr>
      <w:r w:rsidRPr="004A0CFF">
        <w:rPr>
          <w:rFonts w:ascii="Arial" w:eastAsia="Calibri" w:hAnsi="Arial" w:cs="Arial"/>
          <w:sz w:val="24"/>
          <w:szCs w:val="24"/>
          <w:lang w:val="en-US"/>
        </w:rPr>
        <w:t xml:space="preserve">Whittington, R., Regner, P., Angwin, D., Johnson, G., Scholes, K. (2021) </w:t>
      </w:r>
      <w:r w:rsidRPr="004A0CFF">
        <w:rPr>
          <w:rFonts w:ascii="Arial" w:eastAsia="Calibri" w:hAnsi="Arial" w:cs="Arial"/>
          <w:i/>
          <w:iCs/>
          <w:sz w:val="24"/>
          <w:szCs w:val="24"/>
          <w:lang w:val="en-US"/>
        </w:rPr>
        <w:t>Fundamentals of Strategy</w:t>
      </w:r>
      <w:r w:rsidRPr="004A0CFF">
        <w:rPr>
          <w:rFonts w:ascii="Arial" w:eastAsia="Calibri" w:hAnsi="Arial" w:cs="Arial"/>
          <w:sz w:val="24"/>
          <w:szCs w:val="24"/>
          <w:lang w:val="en-US"/>
        </w:rPr>
        <w:t>. 5</w:t>
      </w:r>
      <w:r w:rsidRPr="004A0CFF">
        <w:rPr>
          <w:rFonts w:ascii="Arial" w:eastAsia="Calibri" w:hAnsi="Arial" w:cs="Arial"/>
          <w:sz w:val="24"/>
          <w:szCs w:val="24"/>
          <w:vertAlign w:val="superscript"/>
          <w:lang w:val="en-US"/>
        </w:rPr>
        <w:t>th</w:t>
      </w:r>
      <w:r w:rsidRPr="004A0CFF">
        <w:rPr>
          <w:rFonts w:ascii="Arial" w:eastAsia="Calibri" w:hAnsi="Arial" w:cs="Arial"/>
          <w:sz w:val="24"/>
          <w:szCs w:val="24"/>
          <w:lang w:val="en-US"/>
        </w:rPr>
        <w:t xml:space="preserve"> edition, Pearson: Harlow </w:t>
      </w:r>
    </w:p>
    <w:p w14:paraId="2BC7BEBC"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World Benchmarking Alliance (WBA) (2023) </w:t>
      </w:r>
      <w:r w:rsidRPr="004A0CFF">
        <w:rPr>
          <w:rFonts w:ascii="Arial" w:hAnsi="Arial" w:cs="Arial"/>
          <w:i/>
          <w:iCs/>
          <w:sz w:val="24"/>
          <w:szCs w:val="24"/>
          <w:lang w:val="en-US"/>
        </w:rPr>
        <w:t>AstraZeneca</w:t>
      </w:r>
      <w:r w:rsidRPr="004A0CFF">
        <w:rPr>
          <w:rFonts w:ascii="Arial" w:hAnsi="Arial" w:cs="Arial"/>
          <w:sz w:val="24"/>
          <w:szCs w:val="24"/>
          <w:lang w:val="en-US"/>
        </w:rPr>
        <w:t xml:space="preserve">, [online] Available: </w:t>
      </w:r>
      <w:hyperlink r:id="rId45" w:anchor=":~:text=Summary,ranks%207%20out%20of%2028" w:history="1">
        <w:r w:rsidRPr="004A0CFF">
          <w:rPr>
            <w:rStyle w:val="af2"/>
            <w:rFonts w:ascii="Arial" w:hAnsi="Arial" w:cs="Arial"/>
            <w:sz w:val="24"/>
            <w:szCs w:val="24"/>
            <w:lang w:val="en-US"/>
          </w:rPr>
          <w:t>https://www.worldbenchmarkingalliance.org/publication/nature/companies/astrazeneca/#:~:text=Summary,ranks%207%20out%20of%2028</w:t>
        </w:r>
      </w:hyperlink>
      <w:r w:rsidRPr="004A0CFF">
        <w:rPr>
          <w:rFonts w:ascii="Arial" w:hAnsi="Arial" w:cs="Arial"/>
          <w:sz w:val="24"/>
          <w:szCs w:val="24"/>
          <w:lang w:val="en-US"/>
        </w:rPr>
        <w:t xml:space="preserve"> [Accessed: 25 August 2024]</w:t>
      </w:r>
    </w:p>
    <w:p w14:paraId="28ED09E4" w14:textId="77777777" w:rsidR="004A0CFF" w:rsidRPr="004A0CFF" w:rsidRDefault="004A0CFF" w:rsidP="006D0AA7">
      <w:pPr>
        <w:spacing w:line="360" w:lineRule="auto"/>
        <w:rPr>
          <w:rFonts w:ascii="Arial" w:hAnsi="Arial" w:cs="Arial"/>
          <w:sz w:val="24"/>
          <w:szCs w:val="24"/>
          <w:lang w:val="en-US"/>
        </w:rPr>
      </w:pPr>
      <w:r w:rsidRPr="004A0CFF">
        <w:rPr>
          <w:rFonts w:ascii="Arial" w:hAnsi="Arial" w:cs="Arial"/>
          <w:sz w:val="24"/>
          <w:szCs w:val="24"/>
          <w:lang w:val="en-US"/>
        </w:rPr>
        <w:t xml:space="preserve">Zippia (2024) </w:t>
      </w:r>
      <w:r w:rsidRPr="004A0CFF">
        <w:rPr>
          <w:rFonts w:ascii="Arial" w:hAnsi="Arial" w:cs="Arial"/>
          <w:i/>
          <w:iCs/>
          <w:sz w:val="24"/>
          <w:szCs w:val="24"/>
          <w:lang w:val="en-US"/>
        </w:rPr>
        <w:t>AstraZeneca demographics and statistics</w:t>
      </w:r>
      <w:r w:rsidRPr="004A0CFF">
        <w:rPr>
          <w:rFonts w:ascii="Arial" w:hAnsi="Arial" w:cs="Arial"/>
          <w:sz w:val="24"/>
          <w:szCs w:val="24"/>
          <w:lang w:val="en-US"/>
        </w:rPr>
        <w:t xml:space="preserve">, [online] Available: </w:t>
      </w:r>
      <w:hyperlink r:id="rId46" w:history="1">
        <w:r w:rsidRPr="004A0CFF">
          <w:rPr>
            <w:rStyle w:val="af2"/>
            <w:rFonts w:ascii="Arial" w:hAnsi="Arial" w:cs="Arial"/>
            <w:sz w:val="24"/>
            <w:szCs w:val="24"/>
            <w:lang w:val="en-US"/>
          </w:rPr>
          <w:t>https://www.zippia.com/astrazeneca-careers-15609/demographics/</w:t>
        </w:r>
      </w:hyperlink>
      <w:r w:rsidRPr="004A0CFF">
        <w:rPr>
          <w:rFonts w:ascii="Arial" w:hAnsi="Arial" w:cs="Arial"/>
          <w:sz w:val="24"/>
          <w:szCs w:val="24"/>
          <w:lang w:val="en-US"/>
        </w:rPr>
        <w:t xml:space="preserve"> [Accessed: 21 August 2024] </w:t>
      </w:r>
    </w:p>
    <w:p w14:paraId="16EB99EE" w14:textId="77777777" w:rsidR="0005431C" w:rsidRPr="0005431C" w:rsidRDefault="0005431C" w:rsidP="0005431C">
      <w:pPr>
        <w:spacing w:line="360" w:lineRule="auto"/>
        <w:rPr>
          <w:rFonts w:ascii="Arial" w:hAnsi="Arial" w:cs="Arial"/>
          <w:sz w:val="24"/>
          <w:szCs w:val="24"/>
          <w:lang w:val="en-US"/>
        </w:rPr>
      </w:pPr>
    </w:p>
    <w:p w14:paraId="57F55C09" w14:textId="77777777" w:rsidR="0005431C" w:rsidRPr="0005431C" w:rsidRDefault="0005431C" w:rsidP="0005431C">
      <w:pPr>
        <w:spacing w:line="360" w:lineRule="auto"/>
        <w:rPr>
          <w:rFonts w:ascii="Arial" w:hAnsi="Arial" w:cs="Arial"/>
          <w:sz w:val="24"/>
          <w:szCs w:val="24"/>
          <w:lang w:val="en-US"/>
        </w:rPr>
      </w:pPr>
    </w:p>
    <w:p w14:paraId="400C2D8D" w14:textId="77777777" w:rsidR="0005431C" w:rsidRPr="0005431C" w:rsidRDefault="0005431C" w:rsidP="0005431C">
      <w:pPr>
        <w:spacing w:line="360" w:lineRule="auto"/>
        <w:rPr>
          <w:rFonts w:ascii="Arial" w:hAnsi="Arial" w:cs="Arial"/>
          <w:sz w:val="24"/>
          <w:szCs w:val="24"/>
          <w:lang w:val="en-US"/>
        </w:rPr>
      </w:pPr>
    </w:p>
    <w:p w14:paraId="0235F0CC" w14:textId="77777777" w:rsidR="00A0377C" w:rsidRPr="004A0CFF" w:rsidRDefault="00A0377C" w:rsidP="00CD21A1">
      <w:pPr>
        <w:spacing w:line="360" w:lineRule="auto"/>
        <w:rPr>
          <w:rFonts w:ascii="Arial" w:hAnsi="Arial" w:cs="Arial"/>
          <w:sz w:val="24"/>
          <w:szCs w:val="24"/>
          <w:lang w:val="en-US"/>
        </w:rPr>
      </w:pPr>
    </w:p>
    <w:p w14:paraId="3A51AF0B" w14:textId="0E394FFF" w:rsidR="00C74555" w:rsidRPr="004A0CFF" w:rsidRDefault="00C74555" w:rsidP="00DD3368">
      <w:pPr>
        <w:spacing w:line="360" w:lineRule="auto"/>
        <w:rPr>
          <w:rFonts w:ascii="Arial" w:eastAsia="Calibri" w:hAnsi="Arial" w:cs="Arial"/>
          <w:bCs/>
          <w:iCs/>
          <w:sz w:val="24"/>
          <w:szCs w:val="24"/>
          <w:lang w:val="en-US"/>
        </w:rPr>
      </w:pPr>
    </w:p>
    <w:p w14:paraId="458ACBBC" w14:textId="77777777" w:rsidR="00FA0748" w:rsidRPr="004A0CFF" w:rsidRDefault="00FA0748" w:rsidP="00CE4CC0">
      <w:pPr>
        <w:spacing w:line="360" w:lineRule="auto"/>
        <w:jc w:val="both"/>
        <w:rPr>
          <w:rFonts w:ascii="Arial" w:hAnsi="Arial" w:cs="Arial"/>
          <w:sz w:val="24"/>
          <w:szCs w:val="24"/>
          <w:lang w:val="en-US"/>
        </w:rPr>
      </w:pPr>
    </w:p>
    <w:p w14:paraId="02FBF546" w14:textId="77777777" w:rsidR="00CD21A1" w:rsidRPr="004A0CFF" w:rsidRDefault="00CD21A1" w:rsidP="00CE4CC0">
      <w:pPr>
        <w:spacing w:line="360" w:lineRule="auto"/>
        <w:jc w:val="both"/>
        <w:rPr>
          <w:rFonts w:ascii="Arial" w:hAnsi="Arial" w:cs="Arial"/>
          <w:sz w:val="24"/>
          <w:szCs w:val="24"/>
          <w:lang w:val="en-US"/>
        </w:rPr>
      </w:pPr>
    </w:p>
    <w:p w14:paraId="07BE81FF" w14:textId="77777777" w:rsidR="00CD21A1" w:rsidRPr="004A0CFF" w:rsidRDefault="00CD21A1" w:rsidP="00CE4CC0">
      <w:pPr>
        <w:spacing w:line="360" w:lineRule="auto"/>
        <w:jc w:val="both"/>
        <w:rPr>
          <w:rFonts w:ascii="Arial" w:hAnsi="Arial" w:cs="Arial"/>
          <w:sz w:val="24"/>
          <w:szCs w:val="24"/>
          <w:lang w:val="en-US"/>
        </w:rPr>
      </w:pPr>
    </w:p>
    <w:p w14:paraId="063BBCC5" w14:textId="77777777" w:rsidR="00CD21A1" w:rsidRPr="004A0CFF" w:rsidRDefault="00CD21A1" w:rsidP="00CE4CC0">
      <w:pPr>
        <w:spacing w:line="360" w:lineRule="auto"/>
        <w:jc w:val="both"/>
        <w:rPr>
          <w:rFonts w:ascii="Arial" w:hAnsi="Arial" w:cs="Arial"/>
          <w:sz w:val="24"/>
          <w:szCs w:val="24"/>
          <w:lang w:val="en-US"/>
        </w:rPr>
      </w:pPr>
    </w:p>
    <w:p w14:paraId="7EBEFD7C" w14:textId="77777777" w:rsidR="00CD21A1" w:rsidRPr="004A0CFF" w:rsidRDefault="00CD21A1" w:rsidP="00CE4CC0">
      <w:pPr>
        <w:spacing w:line="360" w:lineRule="auto"/>
        <w:jc w:val="both"/>
        <w:rPr>
          <w:rFonts w:ascii="Arial" w:hAnsi="Arial" w:cs="Arial"/>
          <w:sz w:val="24"/>
          <w:szCs w:val="24"/>
          <w:lang w:val="en-US"/>
        </w:rPr>
      </w:pPr>
    </w:p>
    <w:p w14:paraId="336E4056" w14:textId="77777777" w:rsidR="006E08BB" w:rsidRPr="004A0CFF" w:rsidRDefault="006E08BB" w:rsidP="00CE4CC0">
      <w:pPr>
        <w:spacing w:line="360" w:lineRule="auto"/>
        <w:jc w:val="both"/>
        <w:rPr>
          <w:rFonts w:ascii="Arial" w:hAnsi="Arial" w:cs="Arial"/>
          <w:sz w:val="24"/>
          <w:szCs w:val="24"/>
          <w:lang w:val="en-US"/>
        </w:rPr>
      </w:pPr>
    </w:p>
    <w:p w14:paraId="13E421DA" w14:textId="64B8905C" w:rsidR="00FA0748" w:rsidRPr="004A0CFF" w:rsidRDefault="00FA0748" w:rsidP="00FA0748">
      <w:pPr>
        <w:pStyle w:val="1"/>
        <w:spacing w:before="0" w:after="240"/>
        <w:rPr>
          <w:rFonts w:ascii="Arial" w:hAnsi="Arial" w:cs="Arial"/>
          <w:lang w:val="en-US"/>
        </w:rPr>
      </w:pPr>
      <w:bookmarkStart w:id="8" w:name="_Toc175582861"/>
      <w:r w:rsidRPr="004A0CFF">
        <w:rPr>
          <w:rFonts w:ascii="Arial" w:hAnsi="Arial" w:cs="Arial"/>
          <w:lang w:val="en-US"/>
        </w:rPr>
        <w:t>Appendix</w:t>
      </w:r>
      <w:bookmarkEnd w:id="8"/>
    </w:p>
    <w:p w14:paraId="31290C40" w14:textId="5F586729" w:rsidR="00FA0748" w:rsidRPr="004A0CFF" w:rsidRDefault="00FA0748" w:rsidP="00FA0748">
      <w:pPr>
        <w:pStyle w:val="2"/>
        <w:spacing w:before="0"/>
        <w:rPr>
          <w:rFonts w:ascii="Arial" w:hAnsi="Arial" w:cs="Arial"/>
          <w:lang w:val="en-US"/>
        </w:rPr>
      </w:pPr>
      <w:bookmarkStart w:id="9" w:name="_Toc175582862"/>
      <w:r w:rsidRPr="004A0CFF">
        <w:rPr>
          <w:rFonts w:ascii="Arial" w:hAnsi="Arial" w:cs="Arial"/>
          <w:lang w:val="en-US"/>
        </w:rPr>
        <w:t>PESTEL analysis</w:t>
      </w:r>
      <w:bookmarkEnd w:id="9"/>
    </w:p>
    <w:p w14:paraId="40CECE13" w14:textId="1DF53005" w:rsidR="00FA0748" w:rsidRPr="004A0CFF" w:rsidRDefault="00FA0748"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PESTEL model is acronym of political, economic, social, technological, environmental and legal </w:t>
      </w:r>
      <w:r w:rsidRPr="004A0CFF">
        <w:rPr>
          <w:rFonts w:ascii="Arial" w:hAnsi="Arial" w:cs="Arial"/>
          <w:color w:val="000000" w:themeColor="text1"/>
          <w:sz w:val="24"/>
          <w:szCs w:val="24"/>
          <w:lang w:val="bg-BG"/>
        </w:rPr>
        <w:t>(Whittington et al., 2021).</w:t>
      </w:r>
      <w:r w:rsidRPr="004A0CFF">
        <w:rPr>
          <w:rFonts w:ascii="Arial" w:hAnsi="Arial" w:cs="Arial"/>
          <w:color w:val="000000" w:themeColor="text1"/>
          <w:sz w:val="24"/>
          <w:szCs w:val="24"/>
          <w:lang w:val="en-US"/>
        </w:rPr>
        <w:t xml:space="preserve"> These six groups of factors largely define the characteristics of the external environment and deliver important opportunities and threats to business organisations </w:t>
      </w:r>
      <w:r w:rsidRPr="004A0CFF">
        <w:rPr>
          <w:rFonts w:ascii="Arial" w:hAnsi="Arial" w:cs="Arial"/>
          <w:color w:val="000000" w:themeColor="text1"/>
          <w:sz w:val="24"/>
          <w:szCs w:val="24"/>
          <w:lang w:val="bg-BG"/>
        </w:rPr>
        <w:t>(Whittington et al., 2021).</w:t>
      </w:r>
      <w:r w:rsidRPr="004A0CFF">
        <w:rPr>
          <w:rFonts w:ascii="Arial" w:hAnsi="Arial" w:cs="Arial"/>
          <w:color w:val="000000" w:themeColor="text1"/>
          <w:sz w:val="24"/>
          <w:szCs w:val="24"/>
          <w:lang w:val="en-US"/>
        </w:rPr>
        <w:t xml:space="preserve"> In the current analysis, the PESTEL model is applied in the specific case of the UK, as this is the home country of AZ and one of its most important markets defining the performance of the organisation.</w:t>
      </w:r>
    </w:p>
    <w:p w14:paraId="475BAD4A" w14:textId="702FB7B7" w:rsidR="00FA0748" w:rsidRPr="004A0CFF" w:rsidRDefault="003E7FEB"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The analysis begins with political factors since they largely shape the business environment (Worthington et al., 2023). The UK is an established democracy with a stable political system (</w:t>
      </w:r>
      <w:r w:rsidR="00DD3368" w:rsidRPr="004A0CFF">
        <w:rPr>
          <w:rFonts w:ascii="Arial" w:hAnsi="Arial" w:cs="Arial"/>
          <w:color w:val="000000" w:themeColor="text1"/>
          <w:sz w:val="24"/>
          <w:szCs w:val="24"/>
          <w:lang w:val="en-US"/>
        </w:rPr>
        <w:t>Global Economy</w:t>
      </w:r>
      <w:r w:rsidRPr="004A0CFF">
        <w:rPr>
          <w:rFonts w:ascii="Arial" w:hAnsi="Arial" w:cs="Arial"/>
          <w:color w:val="000000" w:themeColor="text1"/>
          <w:sz w:val="24"/>
          <w:szCs w:val="24"/>
          <w:lang w:val="en-US"/>
        </w:rPr>
        <w:t xml:space="preserve">, 2024). In addition, the UK has </w:t>
      </w:r>
      <w:r w:rsidR="009476E0" w:rsidRPr="004A0CFF">
        <w:rPr>
          <w:rFonts w:ascii="Arial" w:hAnsi="Arial" w:cs="Arial"/>
          <w:color w:val="000000" w:themeColor="text1"/>
          <w:sz w:val="24"/>
          <w:szCs w:val="24"/>
          <w:lang w:val="en-US"/>
        </w:rPr>
        <w:t xml:space="preserve">transparent and efficient public institutions and a high level of business sophistication – key factors for supportive business environment (GII, 2023). Brexit can be seen as a generally unfavourable political development due to the need for adapting to new rules and requirements; however, these effects have been largely absorbed over the previous several years. </w:t>
      </w:r>
    </w:p>
    <w:p w14:paraId="6E84D3D5" w14:textId="27C97E41" w:rsidR="009476E0" w:rsidRDefault="009476E0" w:rsidP="00FA0748">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economic situation is important given its significant impact on demand and business development conditions (Worthington et al., 2023). It is important to note that the UK is a high-income country with a gross domestic product (GDP) per capita of </w:t>
      </w:r>
      <w:r w:rsidR="00517C31" w:rsidRPr="004A0CFF">
        <w:rPr>
          <w:rFonts w:ascii="Arial" w:hAnsi="Arial" w:cs="Arial"/>
          <w:color w:val="000000" w:themeColor="text1"/>
          <w:sz w:val="24"/>
          <w:szCs w:val="24"/>
          <w:lang w:val="en-US"/>
        </w:rPr>
        <w:t>more than $49,000</w:t>
      </w:r>
      <w:r w:rsidRPr="004A0CFF">
        <w:rPr>
          <w:rFonts w:ascii="Arial" w:hAnsi="Arial" w:cs="Arial"/>
          <w:color w:val="000000" w:themeColor="text1"/>
          <w:sz w:val="24"/>
          <w:szCs w:val="24"/>
          <w:lang w:val="en-US"/>
        </w:rPr>
        <w:t xml:space="preserve"> (Focus Economics, 2024). The high income predisposes for high purchasing power of consumers and high demand. Nevertheless, the economic growth in the UK has been quite disappointing in the last several years (Harari, 2024). As shown below, the </w:t>
      </w:r>
      <w:r w:rsidR="00876B39" w:rsidRPr="004A0CFF">
        <w:rPr>
          <w:rFonts w:ascii="Arial" w:hAnsi="Arial" w:cs="Arial"/>
          <w:color w:val="000000" w:themeColor="text1"/>
          <w:sz w:val="24"/>
          <w:szCs w:val="24"/>
          <w:lang w:val="en-US"/>
        </w:rPr>
        <w:t xml:space="preserve">UK economy grew by only 2.3% in the last almost five years, </w:t>
      </w:r>
      <w:r w:rsidRPr="004A0CFF">
        <w:rPr>
          <w:rFonts w:ascii="Arial" w:hAnsi="Arial" w:cs="Arial"/>
          <w:color w:val="000000" w:themeColor="text1"/>
          <w:sz w:val="24"/>
          <w:szCs w:val="24"/>
          <w:lang w:val="en-US"/>
        </w:rPr>
        <w:t xml:space="preserve">thereby situating the UK among the worst performing countries </w:t>
      </w:r>
      <w:r w:rsidR="00876B39" w:rsidRPr="004A0CFF">
        <w:rPr>
          <w:rFonts w:ascii="Arial" w:hAnsi="Arial" w:cs="Arial"/>
          <w:color w:val="000000" w:themeColor="text1"/>
          <w:sz w:val="24"/>
          <w:szCs w:val="24"/>
          <w:lang w:val="en-US"/>
        </w:rPr>
        <w:t xml:space="preserve">among the G&amp; members </w:t>
      </w:r>
      <w:r w:rsidRPr="004A0CFF">
        <w:rPr>
          <w:rFonts w:ascii="Arial" w:hAnsi="Arial" w:cs="Arial"/>
          <w:color w:val="000000" w:themeColor="text1"/>
          <w:sz w:val="24"/>
          <w:szCs w:val="24"/>
          <w:lang w:val="en-US"/>
        </w:rPr>
        <w:t xml:space="preserve">(Harari, 2024). </w:t>
      </w:r>
    </w:p>
    <w:p w14:paraId="4AC582A2" w14:textId="77777777" w:rsidR="004A0CFF" w:rsidRDefault="004A0CFF" w:rsidP="00FA0748">
      <w:pPr>
        <w:spacing w:line="360" w:lineRule="auto"/>
        <w:jc w:val="both"/>
        <w:rPr>
          <w:rFonts w:ascii="Arial" w:hAnsi="Arial" w:cs="Arial"/>
          <w:color w:val="000000" w:themeColor="text1"/>
          <w:sz w:val="24"/>
          <w:szCs w:val="24"/>
          <w:lang w:val="en-US"/>
        </w:rPr>
      </w:pPr>
    </w:p>
    <w:p w14:paraId="00C40F35" w14:textId="77777777" w:rsidR="004A0CFF" w:rsidRDefault="004A0CFF" w:rsidP="00FA0748">
      <w:pPr>
        <w:spacing w:line="360" w:lineRule="auto"/>
        <w:jc w:val="both"/>
        <w:rPr>
          <w:rFonts w:ascii="Arial" w:hAnsi="Arial" w:cs="Arial"/>
          <w:color w:val="000000" w:themeColor="text1"/>
          <w:sz w:val="24"/>
          <w:szCs w:val="24"/>
          <w:lang w:val="en-US"/>
        </w:rPr>
      </w:pPr>
    </w:p>
    <w:p w14:paraId="64B3308E" w14:textId="77777777" w:rsidR="004A0CFF" w:rsidRPr="004A0CFF" w:rsidRDefault="004A0CFF" w:rsidP="00FA0748">
      <w:pPr>
        <w:spacing w:line="360" w:lineRule="auto"/>
        <w:jc w:val="both"/>
        <w:rPr>
          <w:rFonts w:ascii="Arial" w:hAnsi="Arial" w:cs="Arial"/>
          <w:color w:val="000000" w:themeColor="text1"/>
          <w:sz w:val="24"/>
          <w:szCs w:val="24"/>
          <w:lang w:val="en-US"/>
        </w:rPr>
      </w:pPr>
    </w:p>
    <w:p w14:paraId="5D239872" w14:textId="1F19EAF7" w:rsidR="00FA0748" w:rsidRPr="004A0CFF" w:rsidRDefault="00FA0748" w:rsidP="00FA0748">
      <w:pPr>
        <w:spacing w:line="360" w:lineRule="auto"/>
        <w:jc w:val="both"/>
        <w:rPr>
          <w:rFonts w:ascii="Arial" w:hAnsi="Arial" w:cs="Arial"/>
          <w:b/>
          <w:bCs/>
          <w:color w:val="000000" w:themeColor="text1"/>
          <w:sz w:val="24"/>
          <w:szCs w:val="24"/>
          <w:lang w:val="en-US"/>
        </w:rPr>
      </w:pPr>
      <w:bookmarkStart w:id="10" w:name="_Toc164413959"/>
      <w:r w:rsidRPr="004A0CFF">
        <w:rPr>
          <w:rFonts w:ascii="Arial" w:hAnsi="Arial" w:cs="Arial"/>
          <w:b/>
          <w:bCs/>
          <w:color w:val="000000" w:themeColor="text1"/>
          <w:sz w:val="24"/>
          <w:szCs w:val="24"/>
          <w:lang w:val="en-US"/>
        </w:rPr>
        <w:t xml:space="preserve">Figure </w:t>
      </w:r>
      <w:r w:rsidR="00110CA1" w:rsidRPr="004A0CFF">
        <w:rPr>
          <w:rFonts w:ascii="Arial" w:hAnsi="Arial" w:cs="Arial"/>
          <w:b/>
          <w:bCs/>
          <w:color w:val="000000" w:themeColor="text1"/>
          <w:sz w:val="24"/>
          <w:szCs w:val="24"/>
          <w:lang w:val="en-US"/>
        </w:rPr>
        <w:t>6</w:t>
      </w:r>
      <w:r w:rsidRPr="004A0CFF">
        <w:rPr>
          <w:rFonts w:ascii="Arial" w:hAnsi="Arial" w:cs="Arial"/>
          <w:b/>
          <w:bCs/>
          <w:color w:val="000000" w:themeColor="text1"/>
          <w:sz w:val="24"/>
          <w:szCs w:val="24"/>
          <w:lang w:val="en-US"/>
        </w:rPr>
        <w:t xml:space="preserve"> – </w:t>
      </w:r>
      <w:r w:rsidR="00BE2F9F" w:rsidRPr="004A0CFF">
        <w:rPr>
          <w:rFonts w:ascii="Arial" w:hAnsi="Arial" w:cs="Arial"/>
          <w:b/>
          <w:bCs/>
          <w:color w:val="000000" w:themeColor="text1"/>
          <w:sz w:val="24"/>
          <w:szCs w:val="24"/>
          <w:lang w:val="en-US"/>
        </w:rPr>
        <w:t>GDP comparison between Q2 2024 and the pre-pandemic levels in late 2019</w:t>
      </w:r>
      <w:r w:rsidRPr="004A0CFF">
        <w:rPr>
          <w:rFonts w:ascii="Arial" w:hAnsi="Arial" w:cs="Arial"/>
          <w:b/>
          <w:bCs/>
          <w:color w:val="000000" w:themeColor="text1"/>
          <w:sz w:val="24"/>
          <w:szCs w:val="24"/>
          <w:lang w:val="en-US"/>
        </w:rPr>
        <w:t xml:space="preserve"> (%)</w:t>
      </w:r>
      <w:bookmarkEnd w:id="10"/>
    </w:p>
    <w:p w14:paraId="399C2CA6" w14:textId="6EAFB1EE" w:rsidR="00FA0748" w:rsidRPr="004A0CFF" w:rsidRDefault="00876B39" w:rsidP="004A0CFF">
      <w:pPr>
        <w:spacing w:after="0" w:line="360" w:lineRule="auto"/>
        <w:jc w:val="both"/>
        <w:rPr>
          <w:rFonts w:ascii="Arial" w:hAnsi="Arial" w:cs="Arial"/>
          <w:b/>
          <w:bCs/>
          <w:color w:val="000000" w:themeColor="text1"/>
          <w:sz w:val="24"/>
          <w:szCs w:val="24"/>
          <w:lang w:val="en-US"/>
        </w:rPr>
      </w:pPr>
      <w:r w:rsidRPr="004A0CFF">
        <w:rPr>
          <w:rFonts w:ascii="Arial" w:hAnsi="Arial" w:cs="Arial"/>
          <w:b/>
          <w:bCs/>
          <w:noProof/>
          <w:color w:val="000000" w:themeColor="text1"/>
          <w:sz w:val="24"/>
          <w:szCs w:val="24"/>
          <w:lang w:val="en-US"/>
        </w:rPr>
        <w:drawing>
          <wp:inline distT="0" distB="0" distL="0" distR="0" wp14:anchorId="4812568B" wp14:editId="59661120">
            <wp:extent cx="5760720" cy="2184400"/>
            <wp:effectExtent l="0" t="0" r="0" b="6350"/>
            <wp:docPr id="1508817313" name="Picture 1" descr="A graph of the number of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17313" name="Picture 1" descr="A graph of the number of countries/regions&#10;&#10;Description automatically generated"/>
                    <pic:cNvPicPr/>
                  </pic:nvPicPr>
                  <pic:blipFill>
                    <a:blip r:embed="rId47"/>
                    <a:stretch>
                      <a:fillRect/>
                    </a:stretch>
                  </pic:blipFill>
                  <pic:spPr>
                    <a:xfrm>
                      <a:off x="0" y="0"/>
                      <a:ext cx="5760720" cy="2184400"/>
                    </a:xfrm>
                    <a:prstGeom prst="rect">
                      <a:avLst/>
                    </a:prstGeom>
                  </pic:spPr>
                </pic:pic>
              </a:graphicData>
            </a:graphic>
          </wp:inline>
        </w:drawing>
      </w:r>
    </w:p>
    <w:p w14:paraId="3769B0F9" w14:textId="77777777" w:rsidR="00FA0748" w:rsidRPr="004A0CFF" w:rsidRDefault="00FA0748" w:rsidP="00FA0748">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Source: Harari (2024)</w:t>
      </w:r>
    </w:p>
    <w:p w14:paraId="48BAB9F9" w14:textId="5148D4F5" w:rsidR="009476E0" w:rsidRPr="004A0CFF" w:rsidRDefault="004E5D0F" w:rsidP="00FA0748">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recent cost-of-living crisis has been another economic challenge driven by high inflation. In late 2022, the annual inflation rate exceeded 11% - much higher than the official target of 2% per annum (Trading Economics, 2024). Recently, price stability has been restored, as shown below, however the uncertainty of the cost-of-living crisis has had a negative impact on consumer confidence and purchasing power (Trading Economics, 2024). </w:t>
      </w:r>
    </w:p>
    <w:p w14:paraId="69CAD704" w14:textId="71BA6B0D" w:rsidR="00FA0748" w:rsidRPr="004A0CFF" w:rsidRDefault="00FA0748" w:rsidP="00FA0748">
      <w:pPr>
        <w:spacing w:line="360" w:lineRule="auto"/>
        <w:jc w:val="both"/>
        <w:rPr>
          <w:rFonts w:ascii="Arial" w:hAnsi="Arial" w:cs="Arial"/>
          <w:b/>
          <w:bCs/>
          <w:color w:val="000000" w:themeColor="text1"/>
          <w:sz w:val="24"/>
          <w:szCs w:val="24"/>
          <w:lang w:val="en-US"/>
        </w:rPr>
      </w:pPr>
      <w:r w:rsidRPr="004A0CFF">
        <w:rPr>
          <w:rFonts w:ascii="Arial" w:hAnsi="Arial" w:cs="Arial"/>
          <w:b/>
          <w:bCs/>
          <w:color w:val="000000" w:themeColor="text1"/>
          <w:sz w:val="24"/>
          <w:szCs w:val="24"/>
          <w:lang w:val="en-US"/>
        </w:rPr>
        <w:t xml:space="preserve">Figure </w:t>
      </w:r>
      <w:r w:rsidR="00110CA1" w:rsidRPr="004A0CFF">
        <w:rPr>
          <w:rFonts w:ascii="Arial" w:hAnsi="Arial" w:cs="Arial"/>
          <w:b/>
          <w:bCs/>
          <w:color w:val="000000" w:themeColor="text1"/>
          <w:sz w:val="24"/>
          <w:szCs w:val="24"/>
          <w:lang w:val="en-US"/>
        </w:rPr>
        <w:t>7</w:t>
      </w:r>
      <w:r w:rsidR="004E5D0F" w:rsidRPr="004A0CFF">
        <w:rPr>
          <w:rFonts w:ascii="Arial" w:hAnsi="Arial" w:cs="Arial"/>
          <w:b/>
          <w:bCs/>
          <w:color w:val="000000" w:themeColor="text1"/>
          <w:sz w:val="24"/>
          <w:szCs w:val="24"/>
          <w:lang w:val="en-US"/>
        </w:rPr>
        <w:t xml:space="preserve"> – Change in the annual inflation rate (%)</w:t>
      </w:r>
    </w:p>
    <w:p w14:paraId="25A7A17A" w14:textId="1EEBA803" w:rsidR="00FA0748" w:rsidRPr="004A0CFF" w:rsidRDefault="00876B39" w:rsidP="004A0CFF">
      <w:pPr>
        <w:spacing w:after="0" w:line="360" w:lineRule="auto"/>
        <w:jc w:val="both"/>
        <w:rPr>
          <w:rFonts w:ascii="Arial" w:hAnsi="Arial" w:cs="Arial"/>
          <w:b/>
          <w:bCs/>
          <w:color w:val="000000" w:themeColor="text1"/>
          <w:sz w:val="24"/>
          <w:szCs w:val="24"/>
          <w:lang w:val="en-US"/>
        </w:rPr>
      </w:pPr>
      <w:r w:rsidRPr="004A0CFF">
        <w:rPr>
          <w:rFonts w:ascii="Arial" w:hAnsi="Arial" w:cs="Arial"/>
          <w:b/>
          <w:bCs/>
          <w:noProof/>
          <w:color w:val="000000" w:themeColor="text1"/>
          <w:sz w:val="24"/>
          <w:szCs w:val="24"/>
          <w:lang w:val="en-US"/>
        </w:rPr>
        <w:drawing>
          <wp:inline distT="0" distB="0" distL="0" distR="0" wp14:anchorId="413FED2C" wp14:editId="7FEC1045">
            <wp:extent cx="5918835" cy="3289300"/>
            <wp:effectExtent l="0" t="0" r="5715" b="6350"/>
            <wp:docPr id="785357799" name="Picture 1" descr="A graph showing the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57799" name="Picture 1" descr="A graph showing the number of bars&#10;&#10;Description automatically generated with medium confidence"/>
                    <pic:cNvPicPr/>
                  </pic:nvPicPr>
                  <pic:blipFill>
                    <a:blip r:embed="rId48"/>
                    <a:stretch>
                      <a:fillRect/>
                    </a:stretch>
                  </pic:blipFill>
                  <pic:spPr>
                    <a:xfrm>
                      <a:off x="0" y="0"/>
                      <a:ext cx="5919864" cy="3289872"/>
                    </a:xfrm>
                    <a:prstGeom prst="rect">
                      <a:avLst/>
                    </a:prstGeom>
                  </pic:spPr>
                </pic:pic>
              </a:graphicData>
            </a:graphic>
          </wp:inline>
        </w:drawing>
      </w:r>
    </w:p>
    <w:p w14:paraId="2AEA83D0" w14:textId="77777777" w:rsidR="00FA0748" w:rsidRPr="004A0CFF" w:rsidRDefault="00FA0748" w:rsidP="00FA0748">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Source: Trading Economics (2024)</w:t>
      </w:r>
    </w:p>
    <w:p w14:paraId="7B43CD24" w14:textId="6848EFE6" w:rsidR="004E5D0F" w:rsidRPr="004A0CFF" w:rsidRDefault="004E5D0F" w:rsidP="00FA0748">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To tackle the high inflation, the Bank of England (BoE) sharply increased the level of interest rates up to 5.25% (BoE, 2024). This decision has made lending more costly and imposed a higher cost of capital for investment purposes. Thus, the restricting monetary policy in the UK can be considered as a necessary decision to restore price stability, but also led to tighter investment decisions and </w:t>
      </w:r>
      <w:r w:rsidR="00467F1D" w:rsidRPr="004A0CFF">
        <w:rPr>
          <w:rFonts w:ascii="Arial" w:hAnsi="Arial" w:cs="Arial"/>
          <w:color w:val="000000" w:themeColor="text1"/>
          <w:sz w:val="24"/>
          <w:szCs w:val="24"/>
          <w:lang w:val="en-US"/>
        </w:rPr>
        <w:t>restricted</w:t>
      </w:r>
      <w:r w:rsidRPr="004A0CFF">
        <w:rPr>
          <w:rFonts w:ascii="Arial" w:hAnsi="Arial" w:cs="Arial"/>
          <w:color w:val="000000" w:themeColor="text1"/>
          <w:sz w:val="24"/>
          <w:szCs w:val="24"/>
          <w:lang w:val="en-US"/>
        </w:rPr>
        <w:t xml:space="preserve"> consumption. </w:t>
      </w:r>
    </w:p>
    <w:p w14:paraId="4126008A" w14:textId="169A1FB0" w:rsidR="00393E5F" w:rsidRPr="004A0CFF" w:rsidRDefault="00393E5F" w:rsidP="00FA0748">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bg-BG"/>
        </w:rPr>
        <w:t xml:space="preserve">Social trends influence demand by analysing the </w:t>
      </w:r>
      <w:r w:rsidRPr="004A0CFF">
        <w:rPr>
          <w:rFonts w:ascii="Arial" w:hAnsi="Arial" w:cs="Arial"/>
          <w:color w:val="000000" w:themeColor="text1"/>
          <w:sz w:val="24"/>
          <w:szCs w:val="24"/>
          <w:lang w:val="en-US"/>
        </w:rPr>
        <w:t>trends in consumer preferences affecting demand</w:t>
      </w:r>
      <w:r w:rsidRPr="004A0CFF">
        <w:rPr>
          <w:rFonts w:ascii="Arial" w:hAnsi="Arial" w:cs="Arial"/>
          <w:color w:val="000000" w:themeColor="text1"/>
          <w:sz w:val="24"/>
          <w:szCs w:val="24"/>
          <w:lang w:val="bg-BG"/>
        </w:rPr>
        <w:t xml:space="preserve"> (Whittington et al., 2023). Consumer demand for environmental sustainability is growing in the UK (</w:t>
      </w:r>
      <w:r w:rsidRPr="004A0CFF">
        <w:rPr>
          <w:rFonts w:ascii="Arial" w:hAnsi="Arial" w:cs="Arial"/>
          <w:color w:val="000000" w:themeColor="text1"/>
          <w:sz w:val="24"/>
          <w:szCs w:val="24"/>
          <w:lang w:val="en-US"/>
        </w:rPr>
        <w:t>Consultancy UK, 2022</w:t>
      </w:r>
      <w:r w:rsidRPr="004A0CFF">
        <w:rPr>
          <w:rFonts w:ascii="Arial" w:hAnsi="Arial" w:cs="Arial"/>
          <w:color w:val="000000" w:themeColor="text1"/>
          <w:sz w:val="24"/>
          <w:szCs w:val="24"/>
          <w:lang w:val="bg-BG"/>
        </w:rPr>
        <w:t xml:space="preserve">). </w:t>
      </w:r>
      <w:r w:rsidRPr="004A0CFF">
        <w:rPr>
          <w:rFonts w:ascii="Arial" w:hAnsi="Arial" w:cs="Arial"/>
          <w:color w:val="000000" w:themeColor="text1"/>
          <w:sz w:val="24"/>
          <w:szCs w:val="24"/>
          <w:lang w:val="en-US"/>
        </w:rPr>
        <w:t>More specifically, a</w:t>
      </w:r>
      <w:r w:rsidRPr="004A0CFF">
        <w:rPr>
          <w:rFonts w:ascii="Arial" w:hAnsi="Arial" w:cs="Arial"/>
          <w:color w:val="000000" w:themeColor="text1"/>
          <w:sz w:val="24"/>
          <w:szCs w:val="24"/>
          <w:lang w:val="bg-BG"/>
        </w:rPr>
        <w:t>n increasing proportion of buyers demonstrate intentions to select firms and products that are in accordance with their sustainability values and principles (</w:t>
      </w:r>
      <w:r w:rsidRPr="004A0CFF">
        <w:rPr>
          <w:rFonts w:ascii="Arial" w:hAnsi="Arial" w:cs="Arial"/>
          <w:color w:val="000000" w:themeColor="text1"/>
          <w:sz w:val="24"/>
          <w:szCs w:val="24"/>
          <w:lang w:val="en-US"/>
        </w:rPr>
        <w:t>Consultancy UK, 2022</w:t>
      </w:r>
      <w:r w:rsidRPr="004A0CFF">
        <w:rPr>
          <w:rFonts w:ascii="Arial" w:hAnsi="Arial" w:cs="Arial"/>
          <w:color w:val="000000" w:themeColor="text1"/>
          <w:sz w:val="24"/>
          <w:szCs w:val="24"/>
          <w:lang w:val="bg-BG"/>
        </w:rPr>
        <w:t xml:space="preserve">). Therefore, demonstrating corporate responsibility may be a vital factor for competitive advantage in the marketplace. Demographic considerations </w:t>
      </w:r>
      <w:r w:rsidRPr="004A0CFF">
        <w:rPr>
          <w:rFonts w:ascii="Arial" w:hAnsi="Arial" w:cs="Arial"/>
          <w:color w:val="000000" w:themeColor="text1"/>
          <w:sz w:val="24"/>
          <w:szCs w:val="24"/>
          <w:lang w:val="en-US"/>
        </w:rPr>
        <w:t xml:space="preserve">also </w:t>
      </w:r>
      <w:r w:rsidRPr="004A0CFF">
        <w:rPr>
          <w:rFonts w:ascii="Arial" w:hAnsi="Arial" w:cs="Arial"/>
          <w:color w:val="000000" w:themeColor="text1"/>
          <w:sz w:val="24"/>
          <w:szCs w:val="24"/>
          <w:lang w:val="bg-BG"/>
        </w:rPr>
        <w:t xml:space="preserve">have a significant part in the examination of social issues. In terms of population size, the UK constitutes a significant market due to its population of 67 million in 2021 (ONS, 2024). This factor </w:t>
      </w:r>
      <w:r w:rsidR="00913447" w:rsidRPr="004A0CFF">
        <w:rPr>
          <w:rFonts w:ascii="Arial" w:hAnsi="Arial" w:cs="Arial"/>
          <w:color w:val="000000" w:themeColor="text1"/>
          <w:sz w:val="24"/>
          <w:szCs w:val="24"/>
          <w:lang w:val="en-US"/>
        </w:rPr>
        <w:t>can significantly influence future</w:t>
      </w:r>
      <w:r w:rsidRPr="004A0CFF">
        <w:rPr>
          <w:rFonts w:ascii="Arial" w:hAnsi="Arial" w:cs="Arial"/>
          <w:color w:val="000000" w:themeColor="text1"/>
          <w:sz w:val="24"/>
          <w:szCs w:val="24"/>
          <w:lang w:val="bg-BG"/>
        </w:rPr>
        <w:t xml:space="preserve"> demand, particularly when considering the estimated projected population expansion up to 76.6 million by 2046 (ONS, 2024). </w:t>
      </w:r>
    </w:p>
    <w:p w14:paraId="5AF78416" w14:textId="18CA9CD8" w:rsidR="00FA0748" w:rsidRPr="004A0CFF" w:rsidRDefault="00FA0748" w:rsidP="003A64B6">
      <w:pPr>
        <w:spacing w:after="0" w:line="360" w:lineRule="auto"/>
        <w:jc w:val="both"/>
        <w:rPr>
          <w:rFonts w:ascii="Arial" w:hAnsi="Arial" w:cs="Arial"/>
          <w:b/>
          <w:bCs/>
          <w:color w:val="000000" w:themeColor="text1"/>
          <w:sz w:val="24"/>
          <w:szCs w:val="24"/>
          <w:lang w:val="en-US"/>
        </w:rPr>
      </w:pPr>
      <w:r w:rsidRPr="004A0CFF">
        <w:rPr>
          <w:rFonts w:ascii="Arial" w:hAnsi="Arial" w:cs="Arial"/>
          <w:b/>
          <w:bCs/>
          <w:color w:val="000000" w:themeColor="text1"/>
          <w:sz w:val="24"/>
          <w:szCs w:val="24"/>
          <w:lang w:val="en-US"/>
        </w:rPr>
        <w:t xml:space="preserve">Figure </w:t>
      </w:r>
      <w:r w:rsidR="00110CA1" w:rsidRPr="004A0CFF">
        <w:rPr>
          <w:rFonts w:ascii="Arial" w:hAnsi="Arial" w:cs="Arial"/>
          <w:b/>
          <w:bCs/>
          <w:color w:val="000000" w:themeColor="text1"/>
          <w:sz w:val="24"/>
          <w:szCs w:val="24"/>
          <w:lang w:val="en-US"/>
        </w:rPr>
        <w:t>8</w:t>
      </w:r>
      <w:r w:rsidRPr="004A0CFF">
        <w:rPr>
          <w:rFonts w:ascii="Arial" w:hAnsi="Arial" w:cs="Arial"/>
          <w:b/>
          <w:bCs/>
          <w:color w:val="000000" w:themeColor="text1"/>
          <w:sz w:val="24"/>
          <w:szCs w:val="24"/>
          <w:lang w:val="en-US"/>
        </w:rPr>
        <w:t xml:space="preserve"> – Population </w:t>
      </w:r>
      <w:r w:rsidR="003A64B6" w:rsidRPr="004A0CFF">
        <w:rPr>
          <w:rFonts w:ascii="Arial" w:hAnsi="Arial" w:cs="Arial"/>
          <w:b/>
          <w:bCs/>
          <w:color w:val="000000" w:themeColor="text1"/>
          <w:sz w:val="24"/>
          <w:szCs w:val="24"/>
          <w:lang w:val="en-US"/>
        </w:rPr>
        <w:t>size changes and future projections in the UK (million)</w:t>
      </w:r>
    </w:p>
    <w:p w14:paraId="64931748" w14:textId="77777777" w:rsidR="00FA0748" w:rsidRPr="004A0CFF" w:rsidRDefault="00FA0748" w:rsidP="00FA0748">
      <w:pPr>
        <w:spacing w:line="360" w:lineRule="auto"/>
        <w:jc w:val="both"/>
        <w:rPr>
          <w:rFonts w:ascii="Arial" w:hAnsi="Arial" w:cs="Arial"/>
          <w:color w:val="000000" w:themeColor="text1"/>
          <w:sz w:val="24"/>
          <w:szCs w:val="24"/>
          <w:lang w:val="en-US"/>
        </w:rPr>
      </w:pPr>
      <w:r w:rsidRPr="004A0CFF">
        <w:rPr>
          <w:rFonts w:ascii="Arial" w:hAnsi="Arial" w:cs="Arial"/>
          <w:noProof/>
          <w:color w:val="000000" w:themeColor="text1"/>
          <w:sz w:val="24"/>
          <w:szCs w:val="24"/>
          <w:lang w:val="en-US"/>
        </w:rPr>
        <w:drawing>
          <wp:inline distT="0" distB="0" distL="0" distR="0" wp14:anchorId="5C63E661" wp14:editId="40D4BA84">
            <wp:extent cx="5753100" cy="3378200"/>
            <wp:effectExtent l="0" t="0" r="0" b="0"/>
            <wp:docPr id="2077735117"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735117" name="Picture 1" descr="A graph with a line going up&#10;&#10;Description automatically generated"/>
                    <pic:cNvPicPr/>
                  </pic:nvPicPr>
                  <pic:blipFill>
                    <a:blip r:embed="rId49"/>
                    <a:stretch>
                      <a:fillRect/>
                    </a:stretch>
                  </pic:blipFill>
                  <pic:spPr>
                    <a:xfrm>
                      <a:off x="0" y="0"/>
                      <a:ext cx="5753599" cy="3378493"/>
                    </a:xfrm>
                    <a:prstGeom prst="rect">
                      <a:avLst/>
                    </a:prstGeom>
                  </pic:spPr>
                </pic:pic>
              </a:graphicData>
            </a:graphic>
          </wp:inline>
        </w:drawing>
      </w:r>
    </w:p>
    <w:p w14:paraId="79F11672" w14:textId="1A571A92" w:rsidR="00FA0748" w:rsidRPr="004A0CFF" w:rsidRDefault="00FA0748" w:rsidP="00FA0748">
      <w:pPr>
        <w:spacing w:line="360" w:lineRule="auto"/>
        <w:jc w:val="both"/>
        <w:rPr>
          <w:rFonts w:ascii="Arial" w:hAnsi="Arial" w:cs="Arial"/>
          <w:i/>
          <w:iCs/>
          <w:color w:val="000000" w:themeColor="text1"/>
          <w:sz w:val="24"/>
          <w:szCs w:val="24"/>
          <w:lang w:val="en-US"/>
        </w:rPr>
      </w:pPr>
      <w:r w:rsidRPr="004A0CFF">
        <w:rPr>
          <w:rFonts w:ascii="Arial" w:hAnsi="Arial" w:cs="Arial"/>
          <w:i/>
          <w:iCs/>
          <w:color w:val="000000" w:themeColor="text1"/>
          <w:sz w:val="24"/>
          <w:szCs w:val="24"/>
          <w:lang w:val="en-US"/>
        </w:rPr>
        <w:t>Source: ONS (2024)</w:t>
      </w:r>
    </w:p>
    <w:p w14:paraId="5668CC11" w14:textId="3009F574" w:rsidR="00393E5F" w:rsidRPr="004A0CFF" w:rsidRDefault="00393E5F" w:rsidP="00FA0748">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Technological factors tend to have a considerable impact on pharmaceutical companies since the latter rely on innovation, advanced technologies and qualified workforce. The UK is one of the most advanced countries in the world in terms of </w:t>
      </w:r>
      <w:r w:rsidR="00913447" w:rsidRPr="004A0CFF">
        <w:rPr>
          <w:rFonts w:ascii="Arial" w:hAnsi="Arial" w:cs="Arial"/>
          <w:color w:val="000000" w:themeColor="text1"/>
          <w:sz w:val="24"/>
          <w:szCs w:val="24"/>
          <w:lang w:val="en-US"/>
        </w:rPr>
        <w:t xml:space="preserve">overall </w:t>
      </w:r>
      <w:r w:rsidRPr="004A0CFF">
        <w:rPr>
          <w:rFonts w:ascii="Arial" w:hAnsi="Arial" w:cs="Arial"/>
          <w:color w:val="000000" w:themeColor="text1"/>
          <w:sz w:val="24"/>
          <w:szCs w:val="24"/>
          <w:lang w:val="en-US"/>
        </w:rPr>
        <w:t>technological development</w:t>
      </w:r>
      <w:r w:rsidR="00913447" w:rsidRPr="004A0CFF">
        <w:rPr>
          <w:rFonts w:ascii="Arial" w:hAnsi="Arial" w:cs="Arial"/>
          <w:color w:val="000000" w:themeColor="text1"/>
          <w:sz w:val="24"/>
          <w:szCs w:val="24"/>
          <w:lang w:val="en-US"/>
        </w:rPr>
        <w:t>, as suggested by the 4</w:t>
      </w:r>
      <w:r w:rsidR="00913447" w:rsidRPr="004A0CFF">
        <w:rPr>
          <w:rFonts w:ascii="Arial" w:hAnsi="Arial" w:cs="Arial"/>
          <w:color w:val="000000" w:themeColor="text1"/>
          <w:sz w:val="24"/>
          <w:szCs w:val="24"/>
          <w:vertAlign w:val="superscript"/>
          <w:lang w:val="en-US"/>
        </w:rPr>
        <w:t>th</w:t>
      </w:r>
      <w:r w:rsidR="00913447" w:rsidRPr="004A0CFF">
        <w:rPr>
          <w:rFonts w:ascii="Arial" w:hAnsi="Arial" w:cs="Arial"/>
          <w:color w:val="000000" w:themeColor="text1"/>
          <w:sz w:val="24"/>
          <w:szCs w:val="24"/>
          <w:lang w:val="en-US"/>
        </w:rPr>
        <w:t xml:space="preserve"> position in the ranking of Global Innovation Index</w:t>
      </w:r>
      <w:r w:rsidRPr="004A0CFF">
        <w:rPr>
          <w:rFonts w:ascii="Arial" w:hAnsi="Arial" w:cs="Arial"/>
          <w:color w:val="000000" w:themeColor="text1"/>
          <w:sz w:val="24"/>
          <w:szCs w:val="24"/>
          <w:lang w:val="en-US"/>
        </w:rPr>
        <w:t xml:space="preserve"> (GII, 2023). </w:t>
      </w:r>
      <w:r w:rsidR="00913447" w:rsidRPr="004A0CFF">
        <w:rPr>
          <w:rFonts w:ascii="Arial" w:hAnsi="Arial" w:cs="Arial"/>
          <w:color w:val="000000" w:themeColor="text1"/>
          <w:sz w:val="24"/>
          <w:szCs w:val="24"/>
          <w:lang w:val="en-US"/>
        </w:rPr>
        <w:t>The country is particularly attractive in the specific areas of creative outputs, availability of human capital, access to advanced technologies and market sophistication (GII, 2023). Considering this, the UK’s status as a technologically advanced country can support the performance of AZ</w:t>
      </w:r>
      <w:r w:rsidR="003A64B6" w:rsidRPr="004A0CFF">
        <w:rPr>
          <w:rFonts w:ascii="Arial" w:hAnsi="Arial" w:cs="Arial"/>
          <w:color w:val="000000" w:themeColor="text1"/>
          <w:sz w:val="24"/>
          <w:szCs w:val="24"/>
          <w:lang w:val="en-US"/>
        </w:rPr>
        <w:t xml:space="preserve"> by providing essential technologies, qualified workforce and other factors of production</w:t>
      </w:r>
      <w:r w:rsidR="00913447" w:rsidRPr="004A0CFF">
        <w:rPr>
          <w:rFonts w:ascii="Arial" w:hAnsi="Arial" w:cs="Arial"/>
          <w:color w:val="000000" w:themeColor="text1"/>
          <w:sz w:val="24"/>
          <w:szCs w:val="24"/>
          <w:lang w:val="en-US"/>
        </w:rPr>
        <w:t xml:space="preserve">. </w:t>
      </w:r>
    </w:p>
    <w:p w14:paraId="25D3EA18" w14:textId="77777777" w:rsidR="007929AC" w:rsidRPr="004A0CFF" w:rsidRDefault="007929AC" w:rsidP="007929AC">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bg-BG"/>
        </w:rPr>
        <w:t xml:space="preserve">Regarding environmental factors, it is worth mentioning that multinational corporations are required to adhere to specific criteria as part of their business practices (Matovic, 2020). In addition to the legal requirements, there is an increased expectation from society for businesses to demonstrate sustainable performance (Consultancy UK, 2022). Therefore, AZ may have a substantial challenge in achieving the environmental regulations and expectations in the UK. </w:t>
      </w:r>
    </w:p>
    <w:p w14:paraId="577B2E30" w14:textId="77777777" w:rsidR="007929AC" w:rsidRPr="004A0CFF" w:rsidRDefault="007929AC" w:rsidP="007929AC">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The final factor under consideration refers to the legal framework. </w:t>
      </w:r>
      <w:r w:rsidRPr="004A0CFF">
        <w:rPr>
          <w:rFonts w:ascii="Arial" w:hAnsi="Arial" w:cs="Arial"/>
          <w:color w:val="000000" w:themeColor="text1"/>
          <w:sz w:val="24"/>
          <w:szCs w:val="24"/>
          <w:lang w:val="bg-BG"/>
        </w:rPr>
        <w:t xml:space="preserve">Adherence to the existing norms and regulations in each country is necessary to address legal issues (Matovic, 2020). Ensuring legal compliance for a global brand operating in several countries with different legal frameworks is not only costly and requires adaptation, but also extremely challenging (Matovic, 2020). </w:t>
      </w:r>
    </w:p>
    <w:p w14:paraId="127ECCCA" w14:textId="19086725" w:rsidR="00FA0748" w:rsidRPr="004A0CFF" w:rsidRDefault="00467F1D" w:rsidP="00CE4CC0">
      <w:pPr>
        <w:spacing w:line="360" w:lineRule="auto"/>
        <w:jc w:val="both"/>
        <w:rPr>
          <w:rFonts w:ascii="Arial" w:hAnsi="Arial" w:cs="Arial"/>
          <w:color w:val="000000" w:themeColor="text1"/>
          <w:sz w:val="24"/>
          <w:szCs w:val="24"/>
          <w:lang w:val="en-US"/>
        </w:rPr>
      </w:pPr>
      <w:r w:rsidRPr="004A0CFF">
        <w:rPr>
          <w:rFonts w:ascii="Arial" w:hAnsi="Arial" w:cs="Arial"/>
          <w:color w:val="000000" w:themeColor="text1"/>
          <w:sz w:val="24"/>
          <w:szCs w:val="24"/>
          <w:lang w:val="en-US"/>
        </w:rPr>
        <w:t xml:space="preserve">To conclude with, the external environment in the UK is quite mixed. While political stability, positive demographic trends and technological progress are supportive factors, economic uncertainty, the changing consumer trends and stricter environmental and legal regulations appear to be challenging for business organisations. </w:t>
      </w:r>
    </w:p>
    <w:p w14:paraId="31AA0340" w14:textId="77777777" w:rsidR="00FA0748" w:rsidRPr="004A0CFF" w:rsidRDefault="00FA0748" w:rsidP="00CE4CC0">
      <w:pPr>
        <w:spacing w:line="360" w:lineRule="auto"/>
        <w:jc w:val="both"/>
        <w:rPr>
          <w:rFonts w:ascii="Arial" w:hAnsi="Arial" w:cs="Arial"/>
          <w:color w:val="000000" w:themeColor="text1"/>
          <w:sz w:val="24"/>
          <w:szCs w:val="24"/>
          <w:lang w:val="en-US"/>
        </w:rPr>
      </w:pPr>
    </w:p>
    <w:p w14:paraId="0335941F" w14:textId="77777777" w:rsidR="00FA0748" w:rsidRPr="004A0CFF" w:rsidRDefault="00FA0748" w:rsidP="00CE4CC0">
      <w:pPr>
        <w:spacing w:line="360" w:lineRule="auto"/>
        <w:jc w:val="both"/>
        <w:rPr>
          <w:rFonts w:ascii="Arial" w:hAnsi="Arial" w:cs="Arial"/>
          <w:sz w:val="24"/>
          <w:szCs w:val="24"/>
          <w:lang w:val="en-US"/>
        </w:rPr>
      </w:pPr>
    </w:p>
    <w:p w14:paraId="5C2BADDC" w14:textId="77777777" w:rsidR="00393E5F" w:rsidRPr="004A0CFF" w:rsidRDefault="00393E5F" w:rsidP="00CE4CC0">
      <w:pPr>
        <w:spacing w:line="360" w:lineRule="auto"/>
        <w:jc w:val="both"/>
        <w:rPr>
          <w:rFonts w:ascii="Arial" w:hAnsi="Arial" w:cs="Arial"/>
          <w:sz w:val="24"/>
          <w:szCs w:val="24"/>
          <w:lang w:val="en-US"/>
        </w:rPr>
      </w:pPr>
    </w:p>
    <w:p w14:paraId="78F83F93" w14:textId="77777777" w:rsidR="00393E5F" w:rsidRPr="004A0CFF" w:rsidRDefault="00393E5F" w:rsidP="00CE4CC0">
      <w:pPr>
        <w:spacing w:line="360" w:lineRule="auto"/>
        <w:jc w:val="both"/>
        <w:rPr>
          <w:rFonts w:ascii="Arial" w:hAnsi="Arial" w:cs="Arial"/>
          <w:sz w:val="24"/>
          <w:szCs w:val="24"/>
          <w:lang w:val="en-US"/>
        </w:rPr>
      </w:pPr>
    </w:p>
    <w:p w14:paraId="6DBE3DC2" w14:textId="77777777" w:rsidR="00393E5F" w:rsidRPr="004A0CFF" w:rsidRDefault="00393E5F" w:rsidP="00CE4CC0">
      <w:pPr>
        <w:spacing w:line="360" w:lineRule="auto"/>
        <w:jc w:val="both"/>
        <w:rPr>
          <w:rFonts w:ascii="Arial" w:hAnsi="Arial" w:cs="Arial"/>
          <w:sz w:val="24"/>
          <w:szCs w:val="24"/>
          <w:lang w:val="en-US"/>
        </w:rPr>
      </w:pPr>
    </w:p>
    <w:p w14:paraId="0484BD33" w14:textId="3D121C23" w:rsidR="00FA0748" w:rsidRPr="004A0CFF" w:rsidRDefault="00FA0748" w:rsidP="00FA0748">
      <w:pPr>
        <w:pStyle w:val="2"/>
        <w:spacing w:before="0"/>
        <w:rPr>
          <w:rFonts w:ascii="Arial" w:hAnsi="Arial" w:cs="Arial"/>
          <w:lang w:val="en-US"/>
        </w:rPr>
      </w:pPr>
      <w:bookmarkStart w:id="11" w:name="_Toc175582863"/>
      <w:r w:rsidRPr="004A0CFF">
        <w:rPr>
          <w:rFonts w:ascii="Arial" w:hAnsi="Arial" w:cs="Arial"/>
          <w:lang w:val="en-US"/>
        </w:rPr>
        <w:t>Porter’s Five Forces</w:t>
      </w:r>
      <w:bookmarkEnd w:id="11"/>
    </w:p>
    <w:p w14:paraId="580317EB" w14:textId="4A5C566A" w:rsidR="00FA0748" w:rsidRPr="004A0CFF" w:rsidRDefault="001C60CA" w:rsidP="00CE4CC0">
      <w:pPr>
        <w:spacing w:line="360" w:lineRule="auto"/>
        <w:jc w:val="both"/>
        <w:rPr>
          <w:rFonts w:ascii="Arial" w:hAnsi="Arial" w:cs="Arial"/>
          <w:sz w:val="24"/>
          <w:szCs w:val="24"/>
          <w:lang w:val="en-US"/>
        </w:rPr>
      </w:pPr>
      <w:r w:rsidRPr="004A0CFF">
        <w:rPr>
          <w:rFonts w:ascii="Arial" w:hAnsi="Arial" w:cs="Arial"/>
          <w:sz w:val="24"/>
          <w:szCs w:val="24"/>
          <w:lang w:val="en-US"/>
        </w:rPr>
        <w:t>The pharmaceutical industry is analysed with the Porter’s Five Forces model. The theory explores the bargaining power of suppliers and buyers, the potential threats of new entrants and substitutes, as well as the degree of existing rivalry (Porter, 2008</w:t>
      </w:r>
      <w:r w:rsidR="006E08BB" w:rsidRPr="004A0CFF">
        <w:rPr>
          <w:rFonts w:ascii="Arial" w:hAnsi="Arial" w:cs="Arial"/>
          <w:sz w:val="24"/>
          <w:szCs w:val="24"/>
          <w:lang w:val="en-US"/>
        </w:rPr>
        <w:t>b</w:t>
      </w:r>
      <w:r w:rsidRPr="004A0CFF">
        <w:rPr>
          <w:rFonts w:ascii="Arial" w:hAnsi="Arial" w:cs="Arial"/>
          <w:sz w:val="24"/>
          <w:szCs w:val="24"/>
          <w:lang w:val="en-US"/>
        </w:rPr>
        <w:t>). The five factors under consideration are important because they determine the degree of profitability and attractiveness of any industry (Porter, 2008</w:t>
      </w:r>
      <w:r w:rsidR="006E08BB" w:rsidRPr="004A0CFF">
        <w:rPr>
          <w:rFonts w:ascii="Arial" w:hAnsi="Arial" w:cs="Arial"/>
          <w:sz w:val="24"/>
          <w:szCs w:val="24"/>
          <w:lang w:val="en-US"/>
        </w:rPr>
        <w:t>b</w:t>
      </w:r>
      <w:r w:rsidRPr="004A0CFF">
        <w:rPr>
          <w:rFonts w:ascii="Arial" w:hAnsi="Arial" w:cs="Arial"/>
          <w:sz w:val="24"/>
          <w:szCs w:val="24"/>
          <w:lang w:val="en-US"/>
        </w:rPr>
        <w:t xml:space="preserve">). </w:t>
      </w:r>
    </w:p>
    <w:p w14:paraId="2611B3F4" w14:textId="536C080F" w:rsidR="00EA1542" w:rsidRPr="004A0CFF" w:rsidRDefault="00C81241" w:rsidP="00CE4CC0">
      <w:pPr>
        <w:spacing w:line="360" w:lineRule="auto"/>
        <w:jc w:val="both"/>
        <w:rPr>
          <w:rFonts w:ascii="Arial" w:hAnsi="Arial" w:cs="Arial"/>
          <w:sz w:val="24"/>
          <w:szCs w:val="24"/>
          <w:lang w:val="en-US"/>
        </w:rPr>
      </w:pPr>
      <w:r w:rsidRPr="004A0CFF">
        <w:rPr>
          <w:rFonts w:ascii="Arial" w:hAnsi="Arial" w:cs="Arial"/>
          <w:sz w:val="24"/>
          <w:szCs w:val="24"/>
          <w:lang w:val="en-US"/>
        </w:rPr>
        <w:t>The bargaining power of suppliers is high. In many instances, pharmaceutical companies depend on specialised suppliers of equipment, technologies and substances to produce drugs (</w:t>
      </w:r>
      <w:r w:rsidRPr="004A0CFF">
        <w:rPr>
          <w:rFonts w:ascii="Arial" w:eastAsia="Calibri" w:hAnsi="Arial" w:cs="Arial"/>
          <w:bCs/>
          <w:iCs/>
          <w:sz w:val="24"/>
          <w:szCs w:val="24"/>
          <w:lang w:val="en-US"/>
        </w:rPr>
        <w:t>Olatoye, 2024</w:t>
      </w:r>
      <w:r w:rsidRPr="004A0CFF">
        <w:rPr>
          <w:rFonts w:ascii="Arial" w:hAnsi="Arial" w:cs="Arial"/>
          <w:sz w:val="24"/>
          <w:szCs w:val="24"/>
          <w:lang w:val="en-US"/>
        </w:rPr>
        <w:t>). As a result, it is costly and difficult to replace a supplier of highly differentiated inputs (Porter, 2008</w:t>
      </w:r>
      <w:r w:rsidR="006E08BB" w:rsidRPr="004A0CFF">
        <w:rPr>
          <w:rFonts w:ascii="Arial" w:hAnsi="Arial" w:cs="Arial"/>
          <w:sz w:val="24"/>
          <w:szCs w:val="24"/>
          <w:lang w:val="en-US"/>
        </w:rPr>
        <w:t>b</w:t>
      </w:r>
      <w:r w:rsidRPr="004A0CFF">
        <w:rPr>
          <w:rFonts w:ascii="Arial" w:hAnsi="Arial" w:cs="Arial"/>
          <w:sz w:val="24"/>
          <w:szCs w:val="24"/>
          <w:lang w:val="en-US"/>
        </w:rPr>
        <w:t xml:space="preserve">). Moreover, the supply of highly qualified professionals is generally </w:t>
      </w:r>
      <w:r w:rsidR="00F75E2F" w:rsidRPr="004A0CFF">
        <w:rPr>
          <w:rFonts w:ascii="Arial" w:hAnsi="Arial" w:cs="Arial"/>
          <w:sz w:val="24"/>
          <w:szCs w:val="24"/>
          <w:lang w:val="en-US"/>
        </w:rPr>
        <w:t>restricted,</w:t>
      </w:r>
      <w:r w:rsidRPr="004A0CFF">
        <w:rPr>
          <w:rFonts w:ascii="Arial" w:hAnsi="Arial" w:cs="Arial"/>
          <w:sz w:val="24"/>
          <w:szCs w:val="24"/>
          <w:lang w:val="en-US"/>
        </w:rPr>
        <w:t xml:space="preserve"> which additionally increases the costs of acquiring labour. </w:t>
      </w:r>
    </w:p>
    <w:p w14:paraId="66851AB7" w14:textId="2C4D21AD" w:rsidR="00EA1542" w:rsidRPr="004A0CFF" w:rsidRDefault="00EA1542" w:rsidP="00CE4CC0">
      <w:pPr>
        <w:spacing w:line="360" w:lineRule="auto"/>
        <w:jc w:val="both"/>
        <w:rPr>
          <w:rFonts w:ascii="Arial" w:hAnsi="Arial" w:cs="Arial"/>
          <w:sz w:val="24"/>
          <w:szCs w:val="24"/>
          <w:lang w:val="en-US"/>
        </w:rPr>
      </w:pPr>
      <w:r w:rsidRPr="004A0CFF">
        <w:rPr>
          <w:rFonts w:ascii="Arial" w:hAnsi="Arial" w:cs="Arial"/>
          <w:sz w:val="24"/>
          <w:szCs w:val="24"/>
          <w:lang w:val="en-US"/>
        </w:rPr>
        <w:t>The bargaining power of buyers is relatively low. This is explained by the fact that buyers are many individual buyers who cannot execute a considerable market power (</w:t>
      </w:r>
      <w:r w:rsidRPr="004A0CFF">
        <w:rPr>
          <w:rFonts w:ascii="Arial" w:eastAsia="Calibri" w:hAnsi="Arial" w:cs="Arial"/>
          <w:bCs/>
          <w:iCs/>
          <w:sz w:val="24"/>
          <w:szCs w:val="24"/>
          <w:lang w:val="en-US"/>
        </w:rPr>
        <w:t>Olatoye, 2024</w:t>
      </w:r>
      <w:r w:rsidRPr="004A0CFF">
        <w:rPr>
          <w:rFonts w:ascii="Arial" w:hAnsi="Arial" w:cs="Arial"/>
          <w:sz w:val="24"/>
          <w:szCs w:val="24"/>
          <w:lang w:val="en-US"/>
        </w:rPr>
        <w:t>). Moreover, buyers face considerable problems switching to alternative products (</w:t>
      </w:r>
      <w:r w:rsidRPr="004A0CFF">
        <w:rPr>
          <w:rFonts w:ascii="Arial" w:eastAsia="Calibri" w:hAnsi="Arial" w:cs="Arial"/>
          <w:bCs/>
          <w:iCs/>
          <w:sz w:val="24"/>
          <w:szCs w:val="24"/>
          <w:lang w:val="en-US"/>
        </w:rPr>
        <w:t>Olatoye, 2024</w:t>
      </w:r>
      <w:r w:rsidRPr="004A0CFF">
        <w:rPr>
          <w:rFonts w:ascii="Arial" w:hAnsi="Arial" w:cs="Arial"/>
          <w:sz w:val="24"/>
          <w:szCs w:val="24"/>
          <w:lang w:val="en-US"/>
        </w:rPr>
        <w:t>). Therefore, buyers are largely required to accept prices, especially when considering the case with highly specialised and unique drugs.</w:t>
      </w:r>
    </w:p>
    <w:p w14:paraId="02DBABC1" w14:textId="500DF5C2" w:rsidR="00EA1542" w:rsidRPr="004A0CFF" w:rsidRDefault="00EA1542" w:rsidP="00CE4CC0">
      <w:pPr>
        <w:spacing w:line="360" w:lineRule="auto"/>
        <w:jc w:val="both"/>
        <w:rPr>
          <w:rFonts w:ascii="Arial" w:hAnsi="Arial" w:cs="Arial"/>
          <w:sz w:val="24"/>
          <w:szCs w:val="24"/>
          <w:lang w:val="en-US"/>
        </w:rPr>
      </w:pPr>
      <w:r w:rsidRPr="004A0CFF">
        <w:rPr>
          <w:rFonts w:ascii="Arial" w:hAnsi="Arial" w:cs="Arial"/>
          <w:sz w:val="24"/>
          <w:szCs w:val="24"/>
          <w:lang w:val="en-US"/>
        </w:rPr>
        <w:t>The threat of substitutes is also quite low. There are alternative products in the market, such as herbal-based drugs and other non-traditional treatments (</w:t>
      </w:r>
      <w:r w:rsidRPr="004A0CFF">
        <w:rPr>
          <w:rFonts w:ascii="Arial" w:eastAsia="Calibri" w:hAnsi="Arial" w:cs="Arial"/>
          <w:bCs/>
          <w:iCs/>
          <w:sz w:val="24"/>
          <w:szCs w:val="24"/>
          <w:lang w:val="en-US"/>
        </w:rPr>
        <w:t>Olatoye, 2024</w:t>
      </w:r>
      <w:r w:rsidRPr="004A0CFF">
        <w:rPr>
          <w:rFonts w:ascii="Arial" w:hAnsi="Arial" w:cs="Arial"/>
          <w:sz w:val="24"/>
          <w:szCs w:val="24"/>
          <w:lang w:val="en-US"/>
        </w:rPr>
        <w:t xml:space="preserve">). Nevertheless, these alternatives cannot replace the existing modern drugs offered by pharmaceutical companies. </w:t>
      </w:r>
    </w:p>
    <w:p w14:paraId="31A543E3" w14:textId="65E8A569" w:rsidR="001C60CA" w:rsidRPr="004A0CFF" w:rsidRDefault="001C60CA" w:rsidP="00CE4CC0">
      <w:pPr>
        <w:spacing w:line="360" w:lineRule="auto"/>
        <w:jc w:val="both"/>
        <w:rPr>
          <w:rFonts w:ascii="Arial" w:hAnsi="Arial" w:cs="Arial"/>
          <w:sz w:val="24"/>
          <w:szCs w:val="24"/>
          <w:lang w:val="en-US"/>
        </w:rPr>
      </w:pPr>
      <w:r w:rsidRPr="004A0CFF">
        <w:rPr>
          <w:rFonts w:ascii="Arial" w:hAnsi="Arial" w:cs="Arial"/>
          <w:sz w:val="24"/>
          <w:szCs w:val="24"/>
          <w:lang w:val="en-US"/>
        </w:rPr>
        <w:t xml:space="preserve">The threat of new entrants is low. There are solid capital requirements to establish a global pharmaceutical company which discourages new competitors (Iglesias, 2015). The existing companies like AZ are established brands with considerable size and distribution networks – a condition leading to economies of scale (Iglesias, 2015). As a result, potential new entrants are not competitive. It is also worth mentioning that the pharmaceutical industry is highly regulated with many licensing regimes (Iglesias, 2015). This fact alone may slow down or completely discourage the emergence of new competitors. </w:t>
      </w:r>
    </w:p>
    <w:p w14:paraId="17439426" w14:textId="3E1F04E9" w:rsidR="001C60CA" w:rsidRPr="004A0CFF" w:rsidRDefault="000C1732" w:rsidP="00CE4CC0">
      <w:pPr>
        <w:spacing w:line="360" w:lineRule="auto"/>
        <w:jc w:val="both"/>
        <w:rPr>
          <w:rFonts w:ascii="Arial" w:hAnsi="Arial" w:cs="Arial"/>
          <w:sz w:val="24"/>
          <w:szCs w:val="24"/>
          <w:lang w:val="en-US"/>
        </w:rPr>
      </w:pPr>
      <w:r w:rsidRPr="004A0CFF">
        <w:rPr>
          <w:rFonts w:ascii="Arial" w:hAnsi="Arial" w:cs="Arial"/>
          <w:sz w:val="24"/>
          <w:szCs w:val="24"/>
          <w:lang w:val="en-US"/>
        </w:rPr>
        <w:t>The existing rivalry is mixed. On the one hand, there are many large pharmaceutical companies which compete for market share (</w:t>
      </w:r>
      <w:r w:rsidRPr="004A0CFF">
        <w:rPr>
          <w:rFonts w:ascii="Arial" w:eastAsia="Calibri" w:hAnsi="Arial" w:cs="Arial"/>
          <w:bCs/>
          <w:iCs/>
          <w:sz w:val="24"/>
          <w:szCs w:val="24"/>
          <w:lang w:val="en-US"/>
        </w:rPr>
        <w:t>Olatoye, 2024</w:t>
      </w:r>
      <w:r w:rsidRPr="004A0CFF">
        <w:rPr>
          <w:rFonts w:ascii="Arial" w:hAnsi="Arial" w:cs="Arial"/>
          <w:sz w:val="24"/>
          <w:szCs w:val="24"/>
          <w:lang w:val="en-US"/>
        </w:rPr>
        <w:t>). On the other hand, having unique products, which are effectively protected by patents, restricts the intensity of rivalry in specific areas (</w:t>
      </w:r>
      <w:r w:rsidRPr="004A0CFF">
        <w:rPr>
          <w:rFonts w:ascii="Arial" w:eastAsia="Calibri" w:hAnsi="Arial" w:cs="Arial"/>
          <w:bCs/>
          <w:iCs/>
          <w:sz w:val="24"/>
          <w:szCs w:val="24"/>
          <w:lang w:val="en-US"/>
        </w:rPr>
        <w:t>Olatoye, 2024</w:t>
      </w:r>
      <w:r w:rsidRPr="004A0CFF">
        <w:rPr>
          <w:rFonts w:ascii="Arial" w:hAnsi="Arial" w:cs="Arial"/>
          <w:sz w:val="24"/>
          <w:szCs w:val="24"/>
          <w:lang w:val="en-US"/>
        </w:rPr>
        <w:t>). Moreover, the high growth of the pharmaceutical industry</w:t>
      </w:r>
      <w:r w:rsidR="00CD21A1" w:rsidRPr="004A0CFF">
        <w:rPr>
          <w:rFonts w:ascii="Arial" w:hAnsi="Arial" w:cs="Arial"/>
          <w:sz w:val="24"/>
          <w:szCs w:val="24"/>
          <w:lang w:val="en-US"/>
        </w:rPr>
        <w:t xml:space="preserve"> over the years</w:t>
      </w:r>
      <w:r w:rsidRPr="004A0CFF">
        <w:rPr>
          <w:rFonts w:ascii="Arial" w:hAnsi="Arial" w:cs="Arial"/>
          <w:sz w:val="24"/>
          <w:szCs w:val="24"/>
          <w:lang w:val="en-US"/>
        </w:rPr>
        <w:t xml:space="preserve">, as shown below, </w:t>
      </w:r>
      <w:r w:rsidR="00CD21A1" w:rsidRPr="004A0CFF">
        <w:rPr>
          <w:rFonts w:ascii="Arial" w:hAnsi="Arial" w:cs="Arial"/>
          <w:sz w:val="24"/>
          <w:szCs w:val="24"/>
          <w:lang w:val="en-US"/>
        </w:rPr>
        <w:t>has provided</w:t>
      </w:r>
      <w:r w:rsidRPr="004A0CFF">
        <w:rPr>
          <w:rFonts w:ascii="Arial" w:hAnsi="Arial" w:cs="Arial"/>
          <w:sz w:val="24"/>
          <w:szCs w:val="24"/>
          <w:lang w:val="en-US"/>
        </w:rPr>
        <w:t xml:space="preserve"> more opportunities for revenue, thereby reducing the competitive pressure (</w:t>
      </w:r>
      <w:r w:rsidR="00CD21A1" w:rsidRPr="004A0CFF">
        <w:rPr>
          <w:rFonts w:ascii="Arial" w:hAnsi="Arial" w:cs="Arial"/>
          <w:sz w:val="24"/>
          <w:szCs w:val="24"/>
          <w:lang w:val="en-US"/>
        </w:rPr>
        <w:t>Mikulic, 2024</w:t>
      </w:r>
      <w:r w:rsidR="00352766" w:rsidRPr="004A0CFF">
        <w:rPr>
          <w:rFonts w:ascii="Arial" w:hAnsi="Arial" w:cs="Arial"/>
          <w:sz w:val="24"/>
          <w:szCs w:val="24"/>
          <w:lang w:val="en-US"/>
        </w:rPr>
        <w:t>b</w:t>
      </w:r>
      <w:r w:rsidRPr="004A0CFF">
        <w:rPr>
          <w:rFonts w:ascii="Arial" w:hAnsi="Arial" w:cs="Arial"/>
          <w:sz w:val="24"/>
          <w:szCs w:val="24"/>
          <w:lang w:val="en-US"/>
        </w:rPr>
        <w:t xml:space="preserve">). </w:t>
      </w:r>
      <w:r w:rsidR="00CD21A1" w:rsidRPr="004A0CFF">
        <w:rPr>
          <w:rFonts w:ascii="Arial" w:hAnsi="Arial" w:cs="Arial"/>
          <w:sz w:val="24"/>
          <w:szCs w:val="24"/>
          <w:lang w:val="en-US"/>
        </w:rPr>
        <w:t>The sector already has a considerable size of more than $1.6 trillion and there has been uninterrupted growth over a period of two decades (Mikulic, 2024</w:t>
      </w:r>
      <w:r w:rsidR="00352766" w:rsidRPr="004A0CFF">
        <w:rPr>
          <w:rFonts w:ascii="Arial" w:hAnsi="Arial" w:cs="Arial"/>
          <w:sz w:val="24"/>
          <w:szCs w:val="24"/>
          <w:lang w:val="en-US"/>
        </w:rPr>
        <w:t>b</w:t>
      </w:r>
      <w:r w:rsidR="00CD21A1" w:rsidRPr="004A0CFF">
        <w:rPr>
          <w:rFonts w:ascii="Arial" w:hAnsi="Arial" w:cs="Arial"/>
          <w:sz w:val="24"/>
          <w:szCs w:val="24"/>
          <w:lang w:val="en-US"/>
        </w:rPr>
        <w:t xml:space="preserve">). </w:t>
      </w:r>
    </w:p>
    <w:p w14:paraId="52F90391" w14:textId="31DD8BED" w:rsidR="00BA5DAE" w:rsidRPr="004A0CFF" w:rsidRDefault="000C1732" w:rsidP="00CE4CC0">
      <w:pPr>
        <w:spacing w:line="360" w:lineRule="auto"/>
        <w:jc w:val="both"/>
        <w:rPr>
          <w:rFonts w:ascii="Arial" w:hAnsi="Arial" w:cs="Arial"/>
          <w:b/>
          <w:bCs/>
          <w:sz w:val="24"/>
          <w:szCs w:val="24"/>
          <w:lang w:val="en-US"/>
        </w:rPr>
      </w:pPr>
      <w:r w:rsidRPr="004A0CFF">
        <w:rPr>
          <w:rFonts w:ascii="Arial" w:hAnsi="Arial" w:cs="Arial"/>
          <w:b/>
          <w:bCs/>
          <w:sz w:val="24"/>
          <w:szCs w:val="24"/>
          <w:lang w:val="en-US"/>
        </w:rPr>
        <w:t xml:space="preserve">Figure </w:t>
      </w:r>
      <w:r w:rsidR="00110CA1" w:rsidRPr="004A0CFF">
        <w:rPr>
          <w:rFonts w:ascii="Arial" w:hAnsi="Arial" w:cs="Arial"/>
          <w:b/>
          <w:bCs/>
          <w:sz w:val="24"/>
          <w:szCs w:val="24"/>
          <w:lang w:val="en-US"/>
        </w:rPr>
        <w:t>9</w:t>
      </w:r>
      <w:r w:rsidRPr="004A0CFF">
        <w:rPr>
          <w:rFonts w:ascii="Arial" w:hAnsi="Arial" w:cs="Arial"/>
          <w:b/>
          <w:bCs/>
          <w:sz w:val="24"/>
          <w:szCs w:val="24"/>
          <w:lang w:val="en-US"/>
        </w:rPr>
        <w:t xml:space="preserve"> – </w:t>
      </w:r>
      <w:r w:rsidR="00CD21A1" w:rsidRPr="004A0CFF">
        <w:rPr>
          <w:rFonts w:ascii="Arial" w:hAnsi="Arial" w:cs="Arial"/>
          <w:b/>
          <w:bCs/>
          <w:sz w:val="24"/>
          <w:szCs w:val="24"/>
          <w:lang w:val="en-US"/>
        </w:rPr>
        <w:t>Total size of the global pharmaceutical industry ($, billion)</w:t>
      </w:r>
    </w:p>
    <w:p w14:paraId="76601D4A" w14:textId="095AEF6B" w:rsidR="000C1732" w:rsidRPr="004A0CFF" w:rsidRDefault="00CD21A1" w:rsidP="00CE4CC0">
      <w:pPr>
        <w:spacing w:line="360" w:lineRule="auto"/>
        <w:jc w:val="both"/>
        <w:rPr>
          <w:rFonts w:ascii="Arial" w:hAnsi="Arial" w:cs="Arial"/>
          <w:sz w:val="24"/>
          <w:szCs w:val="24"/>
          <w:lang w:val="en-US"/>
        </w:rPr>
      </w:pPr>
      <w:r w:rsidRPr="004A0CFF">
        <w:rPr>
          <w:rFonts w:ascii="Arial" w:hAnsi="Arial" w:cs="Arial"/>
          <w:noProof/>
          <w:sz w:val="24"/>
          <w:szCs w:val="24"/>
          <w:lang w:val="en-US"/>
        </w:rPr>
        <w:drawing>
          <wp:inline distT="0" distB="0" distL="0" distR="0" wp14:anchorId="009F9259" wp14:editId="53BA7446">
            <wp:extent cx="5707390" cy="3305175"/>
            <wp:effectExtent l="0" t="0" r="7620" b="0"/>
            <wp:docPr id="425395547" name="Picture 1" descr="A graph of growth in blue and wh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395547" name="Picture 1" descr="A graph of growth in blue and white&#10;&#10;Description automatically generated with medium confidence"/>
                    <pic:cNvPicPr/>
                  </pic:nvPicPr>
                  <pic:blipFill>
                    <a:blip r:embed="rId50"/>
                    <a:stretch>
                      <a:fillRect/>
                    </a:stretch>
                  </pic:blipFill>
                  <pic:spPr>
                    <a:xfrm>
                      <a:off x="0" y="0"/>
                      <a:ext cx="5712308" cy="3308023"/>
                    </a:xfrm>
                    <a:prstGeom prst="rect">
                      <a:avLst/>
                    </a:prstGeom>
                  </pic:spPr>
                </pic:pic>
              </a:graphicData>
            </a:graphic>
          </wp:inline>
        </w:drawing>
      </w:r>
    </w:p>
    <w:p w14:paraId="61D22409" w14:textId="2EE121D5" w:rsidR="000C1732" w:rsidRPr="004A0CFF" w:rsidRDefault="000C1732" w:rsidP="00CE4CC0">
      <w:pPr>
        <w:spacing w:line="360" w:lineRule="auto"/>
        <w:jc w:val="both"/>
        <w:rPr>
          <w:rFonts w:ascii="Arial" w:hAnsi="Arial" w:cs="Arial"/>
          <w:i/>
          <w:iCs/>
          <w:sz w:val="24"/>
          <w:szCs w:val="24"/>
          <w:lang w:val="en-US"/>
        </w:rPr>
      </w:pPr>
      <w:r w:rsidRPr="004A0CFF">
        <w:rPr>
          <w:rFonts w:ascii="Arial" w:hAnsi="Arial" w:cs="Arial"/>
          <w:i/>
          <w:iCs/>
          <w:sz w:val="24"/>
          <w:szCs w:val="24"/>
          <w:lang w:val="en-US"/>
        </w:rPr>
        <w:t>Source:</w:t>
      </w:r>
      <w:r w:rsidR="00CD21A1" w:rsidRPr="004A0CFF">
        <w:rPr>
          <w:rFonts w:ascii="Arial" w:hAnsi="Arial" w:cs="Arial"/>
          <w:i/>
          <w:iCs/>
          <w:sz w:val="24"/>
          <w:szCs w:val="24"/>
          <w:lang w:val="en-US"/>
        </w:rPr>
        <w:t xml:space="preserve"> Mikulic (2024</w:t>
      </w:r>
      <w:r w:rsidR="00352766" w:rsidRPr="004A0CFF">
        <w:rPr>
          <w:rFonts w:ascii="Arial" w:hAnsi="Arial" w:cs="Arial"/>
          <w:i/>
          <w:iCs/>
          <w:sz w:val="24"/>
          <w:szCs w:val="24"/>
          <w:lang w:val="en-US"/>
        </w:rPr>
        <w:t>b</w:t>
      </w:r>
      <w:r w:rsidR="00CD21A1" w:rsidRPr="004A0CFF">
        <w:rPr>
          <w:rFonts w:ascii="Arial" w:hAnsi="Arial" w:cs="Arial"/>
          <w:i/>
          <w:iCs/>
          <w:sz w:val="24"/>
          <w:szCs w:val="24"/>
          <w:lang w:val="en-US"/>
        </w:rPr>
        <w:t>)</w:t>
      </w:r>
    </w:p>
    <w:p w14:paraId="54671FF2" w14:textId="52DC950A" w:rsidR="000C1732" w:rsidRPr="004A0CFF" w:rsidRDefault="000C1732" w:rsidP="00CE4CC0">
      <w:pPr>
        <w:spacing w:line="360" w:lineRule="auto"/>
        <w:jc w:val="both"/>
        <w:rPr>
          <w:rFonts w:ascii="Arial" w:hAnsi="Arial" w:cs="Arial"/>
          <w:sz w:val="24"/>
          <w:szCs w:val="24"/>
          <w:lang w:val="en-US"/>
        </w:rPr>
      </w:pPr>
      <w:r w:rsidRPr="004A0CFF">
        <w:rPr>
          <w:rFonts w:ascii="Arial" w:hAnsi="Arial" w:cs="Arial"/>
          <w:sz w:val="24"/>
          <w:szCs w:val="24"/>
          <w:lang w:val="en-US"/>
        </w:rPr>
        <w:t xml:space="preserve">To sum up, the pharmaceutical sector is quite attractive based on the low threats of substitutes and new entrants and the reduced bargaining power of customers. The dependence on suppliers and existing rivalry restrict to some extent the opportunities to achieve higher profitability. </w:t>
      </w:r>
    </w:p>
    <w:p w14:paraId="5268785E" w14:textId="77777777" w:rsidR="00BA5DAE" w:rsidRPr="004A0CFF" w:rsidRDefault="00BA5DAE" w:rsidP="00CE4CC0">
      <w:pPr>
        <w:spacing w:line="360" w:lineRule="auto"/>
        <w:jc w:val="both"/>
        <w:rPr>
          <w:rFonts w:ascii="Arial" w:hAnsi="Arial" w:cs="Arial"/>
          <w:sz w:val="24"/>
          <w:szCs w:val="24"/>
          <w:lang w:val="en-US"/>
        </w:rPr>
      </w:pPr>
    </w:p>
    <w:p w14:paraId="4EC65595" w14:textId="77777777" w:rsidR="00BA5DAE" w:rsidRPr="004A0CFF" w:rsidRDefault="00BA5DAE" w:rsidP="00CE4CC0">
      <w:pPr>
        <w:spacing w:line="360" w:lineRule="auto"/>
        <w:jc w:val="both"/>
        <w:rPr>
          <w:rFonts w:ascii="Arial" w:hAnsi="Arial" w:cs="Arial"/>
          <w:sz w:val="24"/>
          <w:szCs w:val="24"/>
          <w:lang w:val="en-US"/>
        </w:rPr>
      </w:pPr>
    </w:p>
    <w:p w14:paraId="5C63243B" w14:textId="77777777" w:rsidR="00FA0748" w:rsidRDefault="00FA0748" w:rsidP="00CE4CC0">
      <w:pPr>
        <w:spacing w:line="360" w:lineRule="auto"/>
        <w:jc w:val="both"/>
        <w:rPr>
          <w:rFonts w:ascii="Arial" w:hAnsi="Arial" w:cs="Arial"/>
          <w:sz w:val="24"/>
          <w:szCs w:val="24"/>
          <w:lang w:val="en-US"/>
        </w:rPr>
      </w:pPr>
    </w:p>
    <w:p w14:paraId="097A3674" w14:textId="77777777" w:rsidR="004A0CFF" w:rsidRPr="004A0CFF" w:rsidRDefault="004A0CFF" w:rsidP="00CE4CC0">
      <w:pPr>
        <w:spacing w:line="360" w:lineRule="auto"/>
        <w:jc w:val="both"/>
        <w:rPr>
          <w:rFonts w:ascii="Arial" w:hAnsi="Arial" w:cs="Arial"/>
          <w:sz w:val="24"/>
          <w:szCs w:val="24"/>
          <w:lang w:val="en-US"/>
        </w:rPr>
      </w:pPr>
    </w:p>
    <w:p w14:paraId="42845646" w14:textId="0A2C4626" w:rsidR="00FA0748" w:rsidRPr="004A0CFF" w:rsidRDefault="00FA0748" w:rsidP="00FA0748">
      <w:pPr>
        <w:pStyle w:val="2"/>
        <w:spacing w:before="0"/>
        <w:rPr>
          <w:rFonts w:ascii="Arial" w:hAnsi="Arial" w:cs="Arial"/>
          <w:lang w:val="en-US"/>
        </w:rPr>
      </w:pPr>
      <w:bookmarkStart w:id="12" w:name="_Toc175582864"/>
      <w:r w:rsidRPr="004A0CFF">
        <w:rPr>
          <w:rFonts w:ascii="Arial" w:hAnsi="Arial" w:cs="Arial"/>
          <w:lang w:val="en-US"/>
        </w:rPr>
        <w:t>SWOT analysis</w:t>
      </w:r>
      <w:bookmarkEnd w:id="12"/>
      <w:r w:rsidRPr="004A0CFF">
        <w:rPr>
          <w:rFonts w:ascii="Arial" w:hAnsi="Arial" w:cs="Arial"/>
          <w:lang w:val="en-US"/>
        </w:rPr>
        <w:t xml:space="preserve"> </w:t>
      </w:r>
    </w:p>
    <w:p w14:paraId="14AADD81" w14:textId="08725A71" w:rsidR="00FA0748" w:rsidRPr="004A0CFF" w:rsidRDefault="00AB7FCA" w:rsidP="00CE4CC0">
      <w:pPr>
        <w:spacing w:line="360" w:lineRule="auto"/>
        <w:jc w:val="both"/>
        <w:rPr>
          <w:rFonts w:ascii="Arial" w:hAnsi="Arial" w:cs="Arial"/>
          <w:sz w:val="24"/>
          <w:szCs w:val="24"/>
          <w:lang w:val="en-US"/>
        </w:rPr>
      </w:pPr>
      <w:r w:rsidRPr="004A0CFF">
        <w:rPr>
          <w:rFonts w:ascii="Arial" w:hAnsi="Arial" w:cs="Arial"/>
          <w:sz w:val="24"/>
          <w:szCs w:val="24"/>
          <w:lang w:val="en-US"/>
        </w:rPr>
        <w:t xml:space="preserve">The SWOT analysis combines the most important internal strengths and weaknesses, which are unique for an organisation, as well as the key opportunities and threats stemming from the external environment (Worthington et al., 2021). The following table provides a summary of the internal strengths and weaknesses of AZ and the key findings from the PESTEL and Porter’s Five Forces analyses, identifying critically important external opportunities and threats. </w:t>
      </w:r>
    </w:p>
    <w:p w14:paraId="0D6B24E5" w14:textId="3BEAA709" w:rsidR="00AB7FCA" w:rsidRPr="004A0CFF" w:rsidRDefault="00AB7FCA" w:rsidP="00CE4CC0">
      <w:pPr>
        <w:spacing w:line="360" w:lineRule="auto"/>
        <w:jc w:val="both"/>
        <w:rPr>
          <w:rFonts w:ascii="Arial" w:hAnsi="Arial" w:cs="Arial"/>
          <w:b/>
          <w:bCs/>
          <w:sz w:val="24"/>
          <w:szCs w:val="24"/>
          <w:lang w:val="en-US"/>
        </w:rPr>
      </w:pPr>
      <w:r w:rsidRPr="004A0CFF">
        <w:rPr>
          <w:rFonts w:ascii="Arial" w:hAnsi="Arial" w:cs="Arial"/>
          <w:b/>
          <w:bCs/>
          <w:sz w:val="24"/>
          <w:szCs w:val="24"/>
          <w:lang w:val="en-US"/>
        </w:rPr>
        <w:t xml:space="preserve">Table </w:t>
      </w:r>
      <w:r w:rsidR="00110CA1" w:rsidRPr="004A0CFF">
        <w:rPr>
          <w:rFonts w:ascii="Arial" w:hAnsi="Arial" w:cs="Arial"/>
          <w:b/>
          <w:bCs/>
          <w:sz w:val="24"/>
          <w:szCs w:val="24"/>
          <w:lang w:val="en-US"/>
        </w:rPr>
        <w:t>2</w:t>
      </w:r>
      <w:r w:rsidRPr="004A0CFF">
        <w:rPr>
          <w:rFonts w:ascii="Arial" w:hAnsi="Arial" w:cs="Arial"/>
          <w:b/>
          <w:bCs/>
          <w:sz w:val="24"/>
          <w:szCs w:val="24"/>
          <w:lang w:val="en-US"/>
        </w:rPr>
        <w:t xml:space="preserve"> – SWOT analysis </w:t>
      </w:r>
    </w:p>
    <w:tbl>
      <w:tblPr>
        <w:tblStyle w:val="af4"/>
        <w:tblW w:w="11058" w:type="dxa"/>
        <w:tblInd w:w="-998" w:type="dxa"/>
        <w:tblLook w:val="04A0" w:firstRow="1" w:lastRow="0" w:firstColumn="1" w:lastColumn="0" w:noHBand="0" w:noVBand="1"/>
      </w:tblPr>
      <w:tblGrid>
        <w:gridCol w:w="5813"/>
        <w:gridCol w:w="5245"/>
      </w:tblGrid>
      <w:tr w:rsidR="00CE1A86" w:rsidRPr="004A0CFF" w14:paraId="5CE6B222" w14:textId="77777777" w:rsidTr="00277E37">
        <w:tc>
          <w:tcPr>
            <w:tcW w:w="5813" w:type="dxa"/>
          </w:tcPr>
          <w:p w14:paraId="0CD8553B" w14:textId="0A0EFF0A" w:rsidR="00CE1A86" w:rsidRPr="004A0CFF" w:rsidRDefault="00CE1A86" w:rsidP="00CE1A86">
            <w:pPr>
              <w:spacing w:line="360" w:lineRule="auto"/>
              <w:jc w:val="center"/>
              <w:rPr>
                <w:rFonts w:ascii="Arial" w:hAnsi="Arial" w:cs="Arial"/>
                <w:b/>
                <w:bCs/>
                <w:sz w:val="24"/>
                <w:szCs w:val="24"/>
                <w:lang w:val="en-US"/>
              </w:rPr>
            </w:pPr>
            <w:r w:rsidRPr="004A0CFF">
              <w:rPr>
                <w:rFonts w:ascii="Arial" w:hAnsi="Arial" w:cs="Arial"/>
                <w:b/>
                <w:bCs/>
                <w:noProof/>
                <w:sz w:val="24"/>
                <w:szCs w:val="24"/>
                <w:highlight w:val="green"/>
                <w:lang w:val="en-US"/>
              </w:rPr>
              <mc:AlternateContent>
                <mc:Choice Requires="wps">
                  <w:drawing>
                    <wp:anchor distT="0" distB="0" distL="114300" distR="114300" simplePos="0" relativeHeight="251659264" behindDoc="0" locked="0" layoutInCell="1" allowOverlap="1" wp14:anchorId="1E8ED1A0" wp14:editId="7FA14CEE">
                      <wp:simplePos x="0" y="0"/>
                      <wp:positionH relativeFrom="column">
                        <wp:posOffset>2195830</wp:posOffset>
                      </wp:positionH>
                      <wp:positionV relativeFrom="paragraph">
                        <wp:posOffset>10795</wp:posOffset>
                      </wp:positionV>
                      <wp:extent cx="196850" cy="215900"/>
                      <wp:effectExtent l="19050" t="0" r="12700" b="31750"/>
                      <wp:wrapNone/>
                      <wp:docPr id="1578036867" name="Arrow: Down 1"/>
                      <wp:cNvGraphicFramePr/>
                      <a:graphic xmlns:a="http://schemas.openxmlformats.org/drawingml/2006/main">
                        <a:graphicData uri="http://schemas.microsoft.com/office/word/2010/wordprocessingShape">
                          <wps:wsp>
                            <wps:cNvSpPr/>
                            <wps:spPr>
                              <a:xfrm>
                                <a:off x="0" y="0"/>
                                <a:ext cx="196850" cy="2159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A6F52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72.9pt;margin-top:.85pt;width:15.5pt;height: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" adj="11753" fillcolor="#156082 [3204]" strokecolor="#030e13 [484]" strokeweight="1pt"/>
                  </w:pict>
                </mc:Fallback>
              </mc:AlternateContent>
            </w:r>
            <w:r w:rsidRPr="004A0CFF">
              <w:rPr>
                <w:rFonts w:ascii="Arial" w:hAnsi="Arial" w:cs="Arial"/>
                <w:b/>
                <w:bCs/>
                <w:sz w:val="24"/>
                <w:szCs w:val="24"/>
                <w:highlight w:val="green"/>
                <w:lang w:val="en-US"/>
              </w:rPr>
              <w:t>INTERNAL</w:t>
            </w:r>
          </w:p>
        </w:tc>
        <w:tc>
          <w:tcPr>
            <w:tcW w:w="5245" w:type="dxa"/>
          </w:tcPr>
          <w:p w14:paraId="624A713A" w14:textId="38D524DB" w:rsidR="00CE1A86" w:rsidRPr="004A0CFF" w:rsidRDefault="00CE1A86" w:rsidP="00CE1A86">
            <w:pPr>
              <w:spacing w:line="360" w:lineRule="auto"/>
              <w:jc w:val="center"/>
              <w:rPr>
                <w:rFonts w:ascii="Arial" w:hAnsi="Arial" w:cs="Arial"/>
                <w:b/>
                <w:bCs/>
                <w:sz w:val="24"/>
                <w:szCs w:val="24"/>
                <w:lang w:val="en-US"/>
              </w:rPr>
            </w:pPr>
            <w:r w:rsidRPr="004A0CFF">
              <w:rPr>
                <w:rFonts w:ascii="Arial" w:hAnsi="Arial" w:cs="Arial"/>
                <w:b/>
                <w:bCs/>
                <w:noProof/>
                <w:sz w:val="24"/>
                <w:szCs w:val="24"/>
                <w:highlight w:val="red"/>
                <w:lang w:val="en-US"/>
              </w:rPr>
              <mc:AlternateContent>
                <mc:Choice Requires="wps">
                  <w:drawing>
                    <wp:anchor distT="0" distB="0" distL="114300" distR="114300" simplePos="0" relativeHeight="251661312" behindDoc="0" locked="0" layoutInCell="1" allowOverlap="1" wp14:anchorId="2D441201" wp14:editId="1FBB56E8">
                      <wp:simplePos x="0" y="0"/>
                      <wp:positionH relativeFrom="column">
                        <wp:posOffset>2008505</wp:posOffset>
                      </wp:positionH>
                      <wp:positionV relativeFrom="paragraph">
                        <wp:posOffset>10795</wp:posOffset>
                      </wp:positionV>
                      <wp:extent cx="222250" cy="215900"/>
                      <wp:effectExtent l="19050" t="0" r="25400" b="31750"/>
                      <wp:wrapNone/>
                      <wp:docPr id="226134451" name="Arrow: Down 1"/>
                      <wp:cNvGraphicFramePr/>
                      <a:graphic xmlns:a="http://schemas.openxmlformats.org/drawingml/2006/main">
                        <a:graphicData uri="http://schemas.microsoft.com/office/word/2010/wordprocessingShape">
                          <wps:wsp>
                            <wps:cNvSpPr/>
                            <wps:spPr>
                              <a:xfrm>
                                <a:off x="0" y="0"/>
                                <a:ext cx="222250" cy="215900"/>
                              </a:xfrm>
                              <a:prstGeom prst="down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1E47A" id="Arrow: Down 1" o:spid="_x0000_s1026" type="#_x0000_t67" style="position:absolute;margin-left:158.15pt;margin-top:.85pt;width:17.5pt;height: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" adj="10800" fillcolor="#156082" strokecolor="#042433" strokeweight="1pt"/>
                  </w:pict>
                </mc:Fallback>
              </mc:AlternateContent>
            </w:r>
            <w:r w:rsidRPr="004A0CFF">
              <w:rPr>
                <w:rFonts w:ascii="Arial" w:hAnsi="Arial" w:cs="Arial"/>
                <w:b/>
                <w:bCs/>
                <w:sz w:val="24"/>
                <w:szCs w:val="24"/>
                <w:highlight w:val="red"/>
                <w:lang w:val="en-US"/>
              </w:rPr>
              <w:t>EXTERNAL</w:t>
            </w:r>
            <w:r w:rsidRPr="004A0CFF">
              <w:rPr>
                <w:rFonts w:ascii="Arial" w:hAnsi="Arial" w:cs="Arial"/>
                <w:b/>
                <w:bCs/>
                <w:sz w:val="24"/>
                <w:szCs w:val="24"/>
                <w:lang w:val="en-US"/>
              </w:rPr>
              <w:t xml:space="preserve"> </w:t>
            </w:r>
          </w:p>
        </w:tc>
      </w:tr>
      <w:tr w:rsidR="00AB7FCA" w:rsidRPr="004A0CFF" w14:paraId="050F92A0" w14:textId="77777777" w:rsidTr="00277E37">
        <w:tc>
          <w:tcPr>
            <w:tcW w:w="5813" w:type="dxa"/>
          </w:tcPr>
          <w:p w14:paraId="50673CA9" w14:textId="77777777" w:rsidR="00AB7FCA" w:rsidRPr="004A0CFF" w:rsidRDefault="00AB7FCA" w:rsidP="00CE1A86">
            <w:pPr>
              <w:spacing w:line="276" w:lineRule="auto"/>
              <w:jc w:val="both"/>
              <w:rPr>
                <w:rFonts w:ascii="Arial" w:hAnsi="Arial" w:cs="Arial"/>
                <w:b/>
                <w:bCs/>
                <w:sz w:val="24"/>
                <w:szCs w:val="24"/>
                <w:lang w:val="en-US"/>
              </w:rPr>
            </w:pPr>
            <w:r w:rsidRPr="004A0CFF">
              <w:rPr>
                <w:rFonts w:ascii="Arial" w:hAnsi="Arial" w:cs="Arial"/>
                <w:b/>
                <w:bCs/>
                <w:sz w:val="24"/>
                <w:szCs w:val="24"/>
                <w:lang w:val="en-US"/>
              </w:rPr>
              <w:t xml:space="preserve">Strengths </w:t>
            </w:r>
          </w:p>
          <w:p w14:paraId="68A30C8C" w14:textId="33CE145A" w:rsidR="00AB7FCA" w:rsidRPr="004A0CFF" w:rsidRDefault="0014089F" w:rsidP="00CE1A86">
            <w:pPr>
              <w:pStyle w:val="a9"/>
              <w:numPr>
                <w:ilvl w:val="0"/>
                <w:numId w:val="5"/>
              </w:numPr>
              <w:spacing w:line="276" w:lineRule="auto"/>
              <w:ind w:left="303"/>
              <w:jc w:val="both"/>
              <w:rPr>
                <w:rFonts w:ascii="Arial" w:hAnsi="Arial" w:cs="Arial"/>
                <w:sz w:val="24"/>
                <w:szCs w:val="24"/>
                <w:lang w:val="en-US"/>
              </w:rPr>
            </w:pPr>
            <w:r w:rsidRPr="004A0CFF">
              <w:rPr>
                <w:rFonts w:ascii="Arial" w:hAnsi="Arial" w:cs="Arial"/>
                <w:sz w:val="24"/>
                <w:szCs w:val="24"/>
                <w:lang w:val="en-US"/>
              </w:rPr>
              <w:t>Economies of scale stemming from the large size, global presence and extensive distribution network</w:t>
            </w:r>
            <w:r w:rsidR="00110CA1" w:rsidRPr="004A0CFF">
              <w:rPr>
                <w:rFonts w:ascii="Arial" w:hAnsi="Arial" w:cs="Arial"/>
                <w:sz w:val="24"/>
                <w:szCs w:val="24"/>
                <w:lang w:val="en-US"/>
              </w:rPr>
              <w:t xml:space="preserve"> (ATMF, 2024).</w:t>
            </w:r>
          </w:p>
          <w:p w14:paraId="64092DC1" w14:textId="53204158" w:rsidR="0014089F" w:rsidRPr="004A0CFF" w:rsidRDefault="0014089F" w:rsidP="00CE1A86">
            <w:pPr>
              <w:pStyle w:val="a9"/>
              <w:numPr>
                <w:ilvl w:val="0"/>
                <w:numId w:val="5"/>
              </w:numPr>
              <w:spacing w:line="276" w:lineRule="auto"/>
              <w:ind w:left="303"/>
              <w:jc w:val="both"/>
              <w:rPr>
                <w:rFonts w:ascii="Arial" w:hAnsi="Arial" w:cs="Arial"/>
                <w:sz w:val="24"/>
                <w:szCs w:val="24"/>
                <w:lang w:val="en-US"/>
              </w:rPr>
            </w:pPr>
            <w:r w:rsidRPr="004A0CFF">
              <w:rPr>
                <w:rFonts w:ascii="Arial" w:hAnsi="Arial" w:cs="Arial"/>
                <w:sz w:val="24"/>
                <w:szCs w:val="24"/>
                <w:lang w:val="en-US"/>
              </w:rPr>
              <w:t>Considerable capital and asset</w:t>
            </w:r>
            <w:r w:rsidR="002112DB" w:rsidRPr="004A0CFF">
              <w:rPr>
                <w:rFonts w:ascii="Arial" w:hAnsi="Arial" w:cs="Arial"/>
                <w:sz w:val="24"/>
                <w:szCs w:val="24"/>
                <w:lang w:val="en-US"/>
              </w:rPr>
              <w:t>s</w:t>
            </w:r>
            <w:r w:rsidR="00110CA1" w:rsidRPr="004A0CFF">
              <w:rPr>
                <w:rFonts w:ascii="Arial" w:hAnsi="Arial" w:cs="Arial"/>
                <w:sz w:val="24"/>
                <w:szCs w:val="24"/>
                <w:lang w:val="en-US"/>
              </w:rPr>
              <w:t xml:space="preserve"> (Reuters, 2024)</w:t>
            </w:r>
            <w:r w:rsidRPr="004A0CFF">
              <w:rPr>
                <w:rFonts w:ascii="Arial" w:hAnsi="Arial" w:cs="Arial"/>
                <w:sz w:val="24"/>
                <w:szCs w:val="24"/>
                <w:lang w:val="en-US"/>
              </w:rPr>
              <w:t xml:space="preserve">. </w:t>
            </w:r>
          </w:p>
          <w:p w14:paraId="49887797" w14:textId="1EE55623" w:rsidR="0014089F" w:rsidRPr="004A0CFF" w:rsidRDefault="0014089F" w:rsidP="00CE1A86">
            <w:pPr>
              <w:pStyle w:val="a9"/>
              <w:numPr>
                <w:ilvl w:val="0"/>
                <w:numId w:val="5"/>
              </w:numPr>
              <w:spacing w:line="276" w:lineRule="auto"/>
              <w:ind w:left="303"/>
              <w:jc w:val="both"/>
              <w:rPr>
                <w:rFonts w:ascii="Arial" w:hAnsi="Arial" w:cs="Arial"/>
                <w:sz w:val="24"/>
                <w:szCs w:val="24"/>
                <w:lang w:val="en-US"/>
              </w:rPr>
            </w:pPr>
            <w:r w:rsidRPr="004A0CFF">
              <w:rPr>
                <w:rFonts w:ascii="Arial" w:hAnsi="Arial" w:cs="Arial"/>
                <w:sz w:val="24"/>
                <w:szCs w:val="24"/>
                <w:lang w:val="en-US"/>
              </w:rPr>
              <w:t>Extensive workforce of highly qualified professionals</w:t>
            </w:r>
            <w:r w:rsidR="00110CA1" w:rsidRPr="004A0CFF">
              <w:rPr>
                <w:rFonts w:ascii="Arial" w:hAnsi="Arial" w:cs="Arial"/>
                <w:sz w:val="24"/>
                <w:szCs w:val="24"/>
                <w:lang w:val="en-US"/>
              </w:rPr>
              <w:t xml:space="preserve"> (Zippia, 2024)</w:t>
            </w:r>
            <w:r w:rsidRPr="004A0CFF">
              <w:rPr>
                <w:rFonts w:ascii="Arial" w:hAnsi="Arial" w:cs="Arial"/>
                <w:sz w:val="24"/>
                <w:szCs w:val="24"/>
                <w:lang w:val="en-US"/>
              </w:rPr>
              <w:t xml:space="preserve">. </w:t>
            </w:r>
          </w:p>
          <w:p w14:paraId="65357EEA" w14:textId="424A1C8A" w:rsidR="0014089F" w:rsidRPr="004A0CFF" w:rsidRDefault="0014089F" w:rsidP="00CE1A86">
            <w:pPr>
              <w:pStyle w:val="a9"/>
              <w:numPr>
                <w:ilvl w:val="0"/>
                <w:numId w:val="5"/>
              </w:numPr>
              <w:spacing w:line="276" w:lineRule="auto"/>
              <w:ind w:left="303"/>
              <w:jc w:val="both"/>
              <w:rPr>
                <w:rFonts w:ascii="Arial" w:hAnsi="Arial" w:cs="Arial"/>
                <w:sz w:val="24"/>
                <w:szCs w:val="24"/>
                <w:lang w:val="en-US"/>
              </w:rPr>
            </w:pPr>
            <w:r w:rsidRPr="004A0CFF">
              <w:rPr>
                <w:rFonts w:ascii="Arial" w:hAnsi="Arial" w:cs="Arial"/>
                <w:sz w:val="24"/>
                <w:szCs w:val="24"/>
                <w:lang w:val="en-US"/>
              </w:rPr>
              <w:t xml:space="preserve">Considerable </w:t>
            </w:r>
            <w:r w:rsidR="005F5B08" w:rsidRPr="004A0CFF">
              <w:rPr>
                <w:rFonts w:ascii="Arial" w:hAnsi="Arial" w:cs="Arial"/>
                <w:sz w:val="24"/>
                <w:szCs w:val="24"/>
                <w:lang w:val="en-US"/>
              </w:rPr>
              <w:t>R&amp;D</w:t>
            </w:r>
            <w:r w:rsidRPr="004A0CFF">
              <w:rPr>
                <w:rFonts w:ascii="Arial" w:hAnsi="Arial" w:cs="Arial"/>
                <w:sz w:val="24"/>
                <w:szCs w:val="24"/>
                <w:lang w:val="en-US"/>
              </w:rPr>
              <w:t xml:space="preserve"> budget and activities (11,000 R&amp;D professionals)</w:t>
            </w:r>
            <w:r w:rsidR="00110CA1" w:rsidRPr="004A0CFF">
              <w:rPr>
                <w:rFonts w:ascii="Arial" w:hAnsi="Arial" w:cs="Arial"/>
                <w:sz w:val="24"/>
                <w:szCs w:val="24"/>
                <w:lang w:val="en-US"/>
              </w:rPr>
              <w:t xml:space="preserve"> (MBA Skool, 2023)</w:t>
            </w:r>
            <w:r w:rsidRPr="004A0CFF">
              <w:rPr>
                <w:rFonts w:ascii="Arial" w:hAnsi="Arial" w:cs="Arial"/>
                <w:sz w:val="24"/>
                <w:szCs w:val="24"/>
                <w:lang w:val="en-US"/>
              </w:rPr>
              <w:t>.</w:t>
            </w:r>
          </w:p>
          <w:p w14:paraId="629DBCD6" w14:textId="78D7865F" w:rsidR="0014089F" w:rsidRPr="004A0CFF" w:rsidRDefault="0014089F" w:rsidP="00CE1A86">
            <w:pPr>
              <w:pStyle w:val="a9"/>
              <w:numPr>
                <w:ilvl w:val="0"/>
                <w:numId w:val="5"/>
              </w:numPr>
              <w:spacing w:line="276" w:lineRule="auto"/>
              <w:ind w:left="303"/>
              <w:jc w:val="both"/>
              <w:rPr>
                <w:rFonts w:ascii="Arial" w:hAnsi="Arial" w:cs="Arial"/>
                <w:sz w:val="24"/>
                <w:szCs w:val="24"/>
                <w:lang w:val="en-US"/>
              </w:rPr>
            </w:pPr>
            <w:r w:rsidRPr="004A0CFF">
              <w:rPr>
                <w:rFonts w:ascii="Arial" w:hAnsi="Arial" w:cs="Arial"/>
                <w:sz w:val="24"/>
                <w:szCs w:val="24"/>
                <w:lang w:val="en-US"/>
              </w:rPr>
              <w:t>A portfolio of unique (niche) products in specific areas, supporting high market power</w:t>
            </w:r>
            <w:r w:rsidR="00110CA1" w:rsidRPr="004A0CFF">
              <w:rPr>
                <w:rFonts w:ascii="Arial" w:hAnsi="Arial" w:cs="Arial"/>
                <w:sz w:val="24"/>
                <w:szCs w:val="24"/>
                <w:lang w:val="en-US"/>
              </w:rPr>
              <w:t xml:space="preserve"> (MBA Skool, 2023).</w:t>
            </w:r>
          </w:p>
          <w:p w14:paraId="582D62E8" w14:textId="77777777" w:rsidR="0014089F" w:rsidRPr="004A0CFF" w:rsidRDefault="0014089F" w:rsidP="00CE1A86">
            <w:pPr>
              <w:pStyle w:val="a9"/>
              <w:numPr>
                <w:ilvl w:val="0"/>
                <w:numId w:val="5"/>
              </w:numPr>
              <w:spacing w:line="276" w:lineRule="auto"/>
              <w:ind w:left="303"/>
              <w:jc w:val="both"/>
              <w:rPr>
                <w:rFonts w:ascii="Arial" w:hAnsi="Arial" w:cs="Arial"/>
                <w:sz w:val="24"/>
                <w:szCs w:val="24"/>
                <w:lang w:val="en-US"/>
              </w:rPr>
            </w:pPr>
            <w:r w:rsidRPr="004A0CFF">
              <w:rPr>
                <w:rFonts w:ascii="Arial" w:hAnsi="Arial" w:cs="Arial"/>
                <w:sz w:val="24"/>
                <w:szCs w:val="24"/>
                <w:lang w:val="en-US"/>
              </w:rPr>
              <w:t xml:space="preserve">Fast decision-making process and adaptability to external changes. </w:t>
            </w:r>
          </w:p>
          <w:p w14:paraId="7850CA68" w14:textId="2D23833D" w:rsidR="004042EF" w:rsidRPr="004A0CFF" w:rsidRDefault="004042EF" w:rsidP="00CE1A86">
            <w:pPr>
              <w:pStyle w:val="a9"/>
              <w:numPr>
                <w:ilvl w:val="0"/>
                <w:numId w:val="5"/>
              </w:numPr>
              <w:spacing w:line="276" w:lineRule="auto"/>
              <w:ind w:left="303"/>
              <w:jc w:val="both"/>
              <w:rPr>
                <w:rFonts w:ascii="Arial" w:hAnsi="Arial" w:cs="Arial"/>
                <w:sz w:val="24"/>
                <w:szCs w:val="24"/>
                <w:lang w:val="en-US"/>
              </w:rPr>
            </w:pPr>
            <w:r w:rsidRPr="004A0CFF">
              <w:rPr>
                <w:rFonts w:ascii="Arial" w:hAnsi="Arial" w:cs="Arial"/>
                <w:sz w:val="24"/>
                <w:szCs w:val="24"/>
                <w:lang w:val="en-US"/>
              </w:rPr>
              <w:t>Inclusive organisational culture</w:t>
            </w:r>
            <w:r w:rsidR="00110CA1" w:rsidRPr="004A0CFF">
              <w:rPr>
                <w:rFonts w:ascii="Arial" w:hAnsi="Arial" w:cs="Arial"/>
                <w:sz w:val="24"/>
                <w:szCs w:val="24"/>
                <w:lang w:val="en-US"/>
              </w:rPr>
              <w:t xml:space="preserve"> (Zippia, 2024). </w:t>
            </w:r>
          </w:p>
        </w:tc>
        <w:tc>
          <w:tcPr>
            <w:tcW w:w="5245" w:type="dxa"/>
          </w:tcPr>
          <w:p w14:paraId="327AFB33" w14:textId="77777777" w:rsidR="00AB7FCA" w:rsidRPr="004A0CFF" w:rsidRDefault="00AB7FCA" w:rsidP="00CE1A86">
            <w:pPr>
              <w:spacing w:line="276" w:lineRule="auto"/>
              <w:jc w:val="both"/>
              <w:rPr>
                <w:rFonts w:ascii="Arial" w:hAnsi="Arial" w:cs="Arial"/>
                <w:b/>
                <w:bCs/>
                <w:sz w:val="24"/>
                <w:szCs w:val="24"/>
                <w:lang w:val="en-US"/>
              </w:rPr>
            </w:pPr>
            <w:r w:rsidRPr="004A0CFF">
              <w:rPr>
                <w:rFonts w:ascii="Arial" w:hAnsi="Arial" w:cs="Arial"/>
                <w:b/>
                <w:bCs/>
                <w:sz w:val="24"/>
                <w:szCs w:val="24"/>
                <w:lang w:val="en-US"/>
              </w:rPr>
              <w:t>Opportunities</w:t>
            </w:r>
          </w:p>
          <w:p w14:paraId="67846561" w14:textId="1C6138B0" w:rsidR="00AB7FCA" w:rsidRPr="004A0CFF" w:rsidRDefault="00AB7FCA" w:rsidP="00CE1A86">
            <w:pPr>
              <w:pStyle w:val="a9"/>
              <w:numPr>
                <w:ilvl w:val="0"/>
                <w:numId w:val="3"/>
              </w:numPr>
              <w:spacing w:line="276" w:lineRule="auto"/>
              <w:ind w:left="303"/>
              <w:jc w:val="both"/>
              <w:rPr>
                <w:rFonts w:ascii="Arial" w:hAnsi="Arial" w:cs="Arial"/>
                <w:sz w:val="24"/>
                <w:szCs w:val="24"/>
                <w:lang w:val="en-US"/>
              </w:rPr>
            </w:pPr>
            <w:r w:rsidRPr="004A0CFF">
              <w:rPr>
                <w:rFonts w:ascii="Arial" w:hAnsi="Arial" w:cs="Arial"/>
                <w:sz w:val="24"/>
                <w:szCs w:val="24"/>
                <w:lang w:val="en-US"/>
              </w:rPr>
              <w:t>Technological progress supporting productivity gains and new product development</w:t>
            </w:r>
            <w:r w:rsidR="008160D6" w:rsidRPr="004A0CFF">
              <w:rPr>
                <w:rFonts w:ascii="Arial" w:hAnsi="Arial" w:cs="Arial"/>
                <w:sz w:val="24"/>
                <w:szCs w:val="24"/>
                <w:lang w:val="en-US"/>
              </w:rPr>
              <w:t xml:space="preserve"> (GII, 2023). </w:t>
            </w:r>
          </w:p>
          <w:p w14:paraId="303699D3" w14:textId="54609BAA" w:rsidR="00AB7FCA" w:rsidRPr="004A0CFF" w:rsidRDefault="00AB7FCA" w:rsidP="00CE1A86">
            <w:pPr>
              <w:pStyle w:val="a9"/>
              <w:numPr>
                <w:ilvl w:val="0"/>
                <w:numId w:val="3"/>
              </w:numPr>
              <w:spacing w:line="276" w:lineRule="auto"/>
              <w:ind w:left="303"/>
              <w:jc w:val="both"/>
              <w:rPr>
                <w:rFonts w:ascii="Arial" w:hAnsi="Arial" w:cs="Arial"/>
                <w:sz w:val="24"/>
                <w:szCs w:val="24"/>
                <w:lang w:val="en-US"/>
              </w:rPr>
            </w:pPr>
            <w:r w:rsidRPr="004A0CFF">
              <w:rPr>
                <w:rFonts w:ascii="Arial" w:hAnsi="Arial" w:cs="Arial"/>
                <w:sz w:val="24"/>
                <w:szCs w:val="24"/>
                <w:lang w:val="en-US"/>
              </w:rPr>
              <w:t>Excellent business climate in the UK</w:t>
            </w:r>
            <w:r w:rsidR="008160D6" w:rsidRPr="004A0CFF">
              <w:rPr>
                <w:rFonts w:ascii="Arial" w:hAnsi="Arial" w:cs="Arial"/>
                <w:sz w:val="24"/>
                <w:szCs w:val="24"/>
                <w:lang w:val="en-US"/>
              </w:rPr>
              <w:t xml:space="preserve"> (Global Economy, 2024). </w:t>
            </w:r>
          </w:p>
          <w:p w14:paraId="585D6D4F" w14:textId="495B048C" w:rsidR="00AB7FCA" w:rsidRPr="004A0CFF" w:rsidRDefault="00AB7FCA" w:rsidP="00CE1A86">
            <w:pPr>
              <w:pStyle w:val="a9"/>
              <w:numPr>
                <w:ilvl w:val="0"/>
                <w:numId w:val="3"/>
              </w:numPr>
              <w:spacing w:line="276" w:lineRule="auto"/>
              <w:ind w:left="303"/>
              <w:jc w:val="both"/>
              <w:rPr>
                <w:rFonts w:ascii="Arial" w:hAnsi="Arial" w:cs="Arial"/>
                <w:sz w:val="24"/>
                <w:szCs w:val="24"/>
                <w:lang w:val="en-US"/>
              </w:rPr>
            </w:pPr>
            <w:r w:rsidRPr="004A0CFF">
              <w:rPr>
                <w:rFonts w:ascii="Arial" w:hAnsi="Arial" w:cs="Arial"/>
                <w:sz w:val="24"/>
                <w:szCs w:val="24"/>
                <w:lang w:val="en-US"/>
              </w:rPr>
              <w:t>Strong demand prospects supported by population size increase and ageing</w:t>
            </w:r>
            <w:r w:rsidR="008160D6" w:rsidRPr="004A0CFF">
              <w:rPr>
                <w:rFonts w:ascii="Arial" w:hAnsi="Arial" w:cs="Arial"/>
                <w:sz w:val="24"/>
                <w:szCs w:val="24"/>
                <w:lang w:val="en-US"/>
              </w:rPr>
              <w:t xml:space="preserve"> (ONS, 2024). </w:t>
            </w:r>
          </w:p>
          <w:p w14:paraId="2AF93991" w14:textId="77777777" w:rsidR="00AB7FCA" w:rsidRPr="004A0CFF" w:rsidRDefault="00AB7FCA" w:rsidP="00CE1A86">
            <w:pPr>
              <w:pStyle w:val="a9"/>
              <w:numPr>
                <w:ilvl w:val="0"/>
                <w:numId w:val="3"/>
              </w:numPr>
              <w:spacing w:line="276" w:lineRule="auto"/>
              <w:ind w:left="303"/>
              <w:jc w:val="both"/>
              <w:rPr>
                <w:rFonts w:ascii="Arial" w:hAnsi="Arial" w:cs="Arial"/>
                <w:sz w:val="24"/>
                <w:szCs w:val="24"/>
                <w:lang w:val="en-US"/>
              </w:rPr>
            </w:pPr>
            <w:r w:rsidRPr="004A0CFF">
              <w:rPr>
                <w:rFonts w:ascii="Arial" w:hAnsi="Arial" w:cs="Arial"/>
                <w:sz w:val="24"/>
                <w:szCs w:val="24"/>
                <w:lang w:val="en-US"/>
              </w:rPr>
              <w:t xml:space="preserve">International expansion prospects. </w:t>
            </w:r>
          </w:p>
          <w:p w14:paraId="4E71F6A2" w14:textId="25547B9B" w:rsidR="00AB7FCA" w:rsidRPr="004A0CFF" w:rsidRDefault="00AB7FCA" w:rsidP="00CE1A86">
            <w:pPr>
              <w:pStyle w:val="a9"/>
              <w:numPr>
                <w:ilvl w:val="0"/>
                <w:numId w:val="3"/>
              </w:numPr>
              <w:spacing w:line="276" w:lineRule="auto"/>
              <w:ind w:left="303"/>
              <w:jc w:val="both"/>
              <w:rPr>
                <w:rFonts w:ascii="Arial" w:hAnsi="Arial" w:cs="Arial"/>
                <w:sz w:val="24"/>
                <w:szCs w:val="24"/>
                <w:lang w:val="en-US"/>
              </w:rPr>
            </w:pPr>
            <w:r w:rsidRPr="004A0CFF">
              <w:rPr>
                <w:rFonts w:ascii="Arial" w:hAnsi="Arial" w:cs="Arial"/>
                <w:sz w:val="24"/>
                <w:szCs w:val="24"/>
                <w:lang w:val="en-US"/>
              </w:rPr>
              <w:t>Strong industry growth supporting profitability prospects</w:t>
            </w:r>
            <w:r w:rsidR="00110CA1" w:rsidRPr="004A0CFF">
              <w:rPr>
                <w:rFonts w:ascii="Arial" w:hAnsi="Arial" w:cs="Arial"/>
                <w:sz w:val="24"/>
                <w:szCs w:val="24"/>
                <w:lang w:val="en-US"/>
              </w:rPr>
              <w:t xml:space="preserve"> (Mikulic, 2024b). </w:t>
            </w:r>
          </w:p>
        </w:tc>
      </w:tr>
      <w:tr w:rsidR="00AB7FCA" w:rsidRPr="004A0CFF" w14:paraId="2FA352FF" w14:textId="77777777" w:rsidTr="00277E37">
        <w:tc>
          <w:tcPr>
            <w:tcW w:w="5813" w:type="dxa"/>
          </w:tcPr>
          <w:p w14:paraId="401BB789" w14:textId="77777777" w:rsidR="00AB7FCA" w:rsidRPr="004A0CFF" w:rsidRDefault="00AB7FCA" w:rsidP="00CE1A86">
            <w:pPr>
              <w:spacing w:line="276" w:lineRule="auto"/>
              <w:jc w:val="both"/>
              <w:rPr>
                <w:rFonts w:ascii="Arial" w:hAnsi="Arial" w:cs="Arial"/>
                <w:b/>
                <w:bCs/>
                <w:sz w:val="24"/>
                <w:szCs w:val="24"/>
                <w:lang w:val="en-US"/>
              </w:rPr>
            </w:pPr>
            <w:r w:rsidRPr="004A0CFF">
              <w:rPr>
                <w:rFonts w:ascii="Arial" w:hAnsi="Arial" w:cs="Arial"/>
                <w:b/>
                <w:bCs/>
                <w:sz w:val="24"/>
                <w:szCs w:val="24"/>
                <w:lang w:val="en-US"/>
              </w:rPr>
              <w:t>Weaknesses</w:t>
            </w:r>
          </w:p>
          <w:p w14:paraId="66EB31C0" w14:textId="6DFB3E07" w:rsidR="00E66258" w:rsidRPr="004A0CFF" w:rsidRDefault="00E66258" w:rsidP="00E66258">
            <w:pPr>
              <w:pStyle w:val="a9"/>
              <w:numPr>
                <w:ilvl w:val="0"/>
                <w:numId w:val="8"/>
              </w:numPr>
              <w:spacing w:line="276" w:lineRule="auto"/>
              <w:ind w:left="303"/>
              <w:jc w:val="both"/>
              <w:rPr>
                <w:rFonts w:ascii="Arial" w:hAnsi="Arial" w:cs="Arial"/>
                <w:sz w:val="24"/>
                <w:szCs w:val="24"/>
                <w:lang w:val="en-US"/>
              </w:rPr>
            </w:pPr>
            <w:r w:rsidRPr="004A0CFF">
              <w:rPr>
                <w:rFonts w:ascii="Arial" w:hAnsi="Arial" w:cs="Arial"/>
                <w:sz w:val="24"/>
                <w:szCs w:val="24"/>
                <w:lang w:val="en-US"/>
              </w:rPr>
              <w:t xml:space="preserve">High failure rates with new drugs, leading to extra losses (S&amp;P, 2023). </w:t>
            </w:r>
          </w:p>
          <w:p w14:paraId="1C31478F" w14:textId="0D44794C" w:rsidR="00E66258" w:rsidRPr="004A0CFF" w:rsidRDefault="00E66258" w:rsidP="00E66258">
            <w:pPr>
              <w:pStyle w:val="a9"/>
              <w:numPr>
                <w:ilvl w:val="0"/>
                <w:numId w:val="8"/>
              </w:numPr>
              <w:spacing w:line="276" w:lineRule="auto"/>
              <w:ind w:left="303"/>
              <w:jc w:val="both"/>
              <w:rPr>
                <w:rFonts w:ascii="Arial" w:hAnsi="Arial" w:cs="Arial"/>
                <w:sz w:val="24"/>
                <w:szCs w:val="24"/>
                <w:lang w:val="en-US"/>
              </w:rPr>
            </w:pPr>
            <w:r w:rsidRPr="004A0CFF">
              <w:rPr>
                <w:rFonts w:ascii="Arial" w:hAnsi="Arial" w:cs="Arial"/>
                <w:sz w:val="24"/>
                <w:szCs w:val="24"/>
                <w:lang w:val="en-US"/>
              </w:rPr>
              <w:t>Drug patent expirations (Strategy Story, 2024).</w:t>
            </w:r>
          </w:p>
          <w:p w14:paraId="7B009CF7" w14:textId="1D3481AD" w:rsidR="00E66258" w:rsidRPr="004A0CFF" w:rsidRDefault="00E66258" w:rsidP="00E66258">
            <w:pPr>
              <w:pStyle w:val="a9"/>
              <w:numPr>
                <w:ilvl w:val="0"/>
                <w:numId w:val="8"/>
              </w:numPr>
              <w:spacing w:line="276" w:lineRule="auto"/>
              <w:ind w:left="303"/>
              <w:jc w:val="both"/>
              <w:rPr>
                <w:rFonts w:ascii="Arial" w:hAnsi="Arial" w:cs="Arial"/>
                <w:sz w:val="24"/>
                <w:szCs w:val="24"/>
                <w:lang w:val="en-US"/>
              </w:rPr>
            </w:pPr>
            <w:r w:rsidRPr="004A0CFF">
              <w:rPr>
                <w:rFonts w:ascii="Arial" w:hAnsi="Arial" w:cs="Arial"/>
                <w:sz w:val="24"/>
                <w:szCs w:val="24"/>
                <w:lang w:val="en-US"/>
              </w:rPr>
              <w:t>Dependence on few key products in selected areas (Strategy Story, 2024).</w:t>
            </w:r>
          </w:p>
          <w:p w14:paraId="1CC11637" w14:textId="3952253E" w:rsidR="00E66258" w:rsidRPr="004A0CFF" w:rsidRDefault="00E66258" w:rsidP="00E66258">
            <w:pPr>
              <w:pStyle w:val="a9"/>
              <w:numPr>
                <w:ilvl w:val="0"/>
                <w:numId w:val="8"/>
              </w:numPr>
              <w:spacing w:line="276" w:lineRule="auto"/>
              <w:ind w:left="303"/>
              <w:jc w:val="both"/>
              <w:rPr>
                <w:rFonts w:ascii="Arial" w:hAnsi="Arial" w:cs="Arial"/>
                <w:sz w:val="24"/>
                <w:szCs w:val="24"/>
                <w:lang w:val="en-US"/>
              </w:rPr>
            </w:pPr>
            <w:r w:rsidRPr="004A0CFF">
              <w:rPr>
                <w:rFonts w:ascii="Arial" w:hAnsi="Arial" w:cs="Arial"/>
                <w:sz w:val="24"/>
                <w:szCs w:val="24"/>
                <w:lang w:val="en-US"/>
              </w:rPr>
              <w:t>Limited presence in emerging markets (Strategy Story, 2024).</w:t>
            </w:r>
          </w:p>
          <w:p w14:paraId="4178BB92" w14:textId="176F1204" w:rsidR="00E66258" w:rsidRPr="004A0CFF" w:rsidRDefault="00E66258" w:rsidP="00E66258">
            <w:pPr>
              <w:pStyle w:val="a9"/>
              <w:numPr>
                <w:ilvl w:val="0"/>
                <w:numId w:val="8"/>
              </w:numPr>
              <w:spacing w:line="276" w:lineRule="auto"/>
              <w:ind w:left="303"/>
              <w:jc w:val="both"/>
              <w:rPr>
                <w:rFonts w:ascii="Arial" w:hAnsi="Arial" w:cs="Arial"/>
                <w:sz w:val="24"/>
                <w:szCs w:val="24"/>
                <w:lang w:val="en-US"/>
              </w:rPr>
            </w:pPr>
            <w:r w:rsidRPr="004A0CFF">
              <w:rPr>
                <w:rFonts w:ascii="Arial" w:hAnsi="Arial" w:cs="Arial"/>
                <w:sz w:val="24"/>
                <w:szCs w:val="24"/>
                <w:lang w:val="en-US"/>
              </w:rPr>
              <w:t xml:space="preserve">Legal issues because of poor regulatory compliance (Strategy Story, 2024). </w:t>
            </w:r>
          </w:p>
        </w:tc>
        <w:tc>
          <w:tcPr>
            <w:tcW w:w="5245" w:type="dxa"/>
          </w:tcPr>
          <w:p w14:paraId="40F24E0D" w14:textId="77777777" w:rsidR="00AB7FCA" w:rsidRPr="004A0CFF" w:rsidRDefault="00AB7FCA" w:rsidP="00CE1A86">
            <w:pPr>
              <w:spacing w:line="276" w:lineRule="auto"/>
              <w:jc w:val="both"/>
              <w:rPr>
                <w:rFonts w:ascii="Arial" w:hAnsi="Arial" w:cs="Arial"/>
                <w:b/>
                <w:bCs/>
                <w:sz w:val="24"/>
                <w:szCs w:val="24"/>
                <w:lang w:val="en-US"/>
              </w:rPr>
            </w:pPr>
            <w:r w:rsidRPr="004A0CFF">
              <w:rPr>
                <w:rFonts w:ascii="Arial" w:hAnsi="Arial" w:cs="Arial"/>
                <w:b/>
                <w:bCs/>
                <w:sz w:val="24"/>
                <w:szCs w:val="24"/>
                <w:lang w:val="en-US"/>
              </w:rPr>
              <w:t xml:space="preserve">Threats </w:t>
            </w:r>
          </w:p>
          <w:p w14:paraId="15F74EED" w14:textId="405F202B" w:rsidR="00AB7FCA" w:rsidRPr="004A0CFF" w:rsidRDefault="00167A67" w:rsidP="00CE1A86">
            <w:pPr>
              <w:pStyle w:val="a9"/>
              <w:numPr>
                <w:ilvl w:val="0"/>
                <w:numId w:val="4"/>
              </w:numPr>
              <w:spacing w:line="276" w:lineRule="auto"/>
              <w:ind w:left="303"/>
              <w:jc w:val="both"/>
              <w:rPr>
                <w:rFonts w:ascii="Arial" w:hAnsi="Arial" w:cs="Arial"/>
                <w:sz w:val="24"/>
                <w:szCs w:val="24"/>
                <w:lang w:val="en-US"/>
              </w:rPr>
            </w:pPr>
            <w:r w:rsidRPr="004A0CFF">
              <w:rPr>
                <w:rFonts w:ascii="Arial" w:hAnsi="Arial" w:cs="Arial"/>
                <w:sz w:val="24"/>
                <w:szCs w:val="24"/>
                <w:lang w:val="en-US"/>
              </w:rPr>
              <w:t>Economic uncertainty because of the cost-of-living crisis and low economic growth</w:t>
            </w:r>
            <w:r w:rsidR="00110CA1" w:rsidRPr="004A0CFF">
              <w:rPr>
                <w:rFonts w:ascii="Arial" w:hAnsi="Arial" w:cs="Arial"/>
                <w:sz w:val="24"/>
                <w:szCs w:val="24"/>
                <w:lang w:val="en-US"/>
              </w:rPr>
              <w:t xml:space="preserve"> (Trading Economics, 2024). </w:t>
            </w:r>
          </w:p>
          <w:p w14:paraId="457FE340" w14:textId="13824AD7" w:rsidR="00167A67" w:rsidRPr="004A0CFF" w:rsidRDefault="00167A67" w:rsidP="00CE1A86">
            <w:pPr>
              <w:pStyle w:val="a9"/>
              <w:numPr>
                <w:ilvl w:val="0"/>
                <w:numId w:val="4"/>
              </w:numPr>
              <w:spacing w:line="276" w:lineRule="auto"/>
              <w:ind w:left="303"/>
              <w:jc w:val="both"/>
              <w:rPr>
                <w:rFonts w:ascii="Arial" w:hAnsi="Arial" w:cs="Arial"/>
                <w:sz w:val="24"/>
                <w:szCs w:val="24"/>
                <w:lang w:val="en-US"/>
              </w:rPr>
            </w:pPr>
            <w:r w:rsidRPr="004A0CFF">
              <w:rPr>
                <w:rFonts w:ascii="Arial" w:hAnsi="Arial" w:cs="Arial"/>
                <w:sz w:val="24"/>
                <w:szCs w:val="24"/>
                <w:lang w:val="en-US"/>
              </w:rPr>
              <w:t>High investment costs</w:t>
            </w:r>
            <w:r w:rsidR="008160D6" w:rsidRPr="004A0CFF">
              <w:rPr>
                <w:rFonts w:ascii="Arial" w:hAnsi="Arial" w:cs="Arial"/>
                <w:sz w:val="24"/>
                <w:szCs w:val="24"/>
                <w:lang w:val="en-US"/>
              </w:rPr>
              <w:t xml:space="preserve"> (BoE, 2024). </w:t>
            </w:r>
          </w:p>
          <w:p w14:paraId="2AA9485A" w14:textId="19A00864" w:rsidR="00167A67" w:rsidRPr="004A0CFF" w:rsidRDefault="00167A67" w:rsidP="00CE1A86">
            <w:pPr>
              <w:pStyle w:val="a9"/>
              <w:numPr>
                <w:ilvl w:val="0"/>
                <w:numId w:val="4"/>
              </w:numPr>
              <w:spacing w:line="276" w:lineRule="auto"/>
              <w:ind w:left="303"/>
              <w:jc w:val="both"/>
              <w:rPr>
                <w:rFonts w:ascii="Arial" w:hAnsi="Arial" w:cs="Arial"/>
                <w:sz w:val="24"/>
                <w:szCs w:val="24"/>
                <w:lang w:val="en-US"/>
              </w:rPr>
            </w:pPr>
            <w:r w:rsidRPr="004A0CFF">
              <w:rPr>
                <w:rFonts w:ascii="Arial" w:hAnsi="Arial" w:cs="Arial"/>
                <w:sz w:val="24"/>
                <w:szCs w:val="24"/>
                <w:lang w:val="en-US"/>
              </w:rPr>
              <w:t>Intensive domestic and international competition</w:t>
            </w:r>
            <w:r w:rsidR="008160D6" w:rsidRPr="004A0CFF">
              <w:rPr>
                <w:rFonts w:ascii="Arial" w:hAnsi="Arial" w:cs="Arial"/>
                <w:sz w:val="24"/>
                <w:szCs w:val="24"/>
                <w:lang w:val="en-US"/>
              </w:rPr>
              <w:t xml:space="preserve"> (</w:t>
            </w:r>
            <w:r w:rsidR="008160D6" w:rsidRPr="004A0CFF">
              <w:rPr>
                <w:rFonts w:ascii="Arial" w:eastAsia="Calibri" w:hAnsi="Arial" w:cs="Arial"/>
                <w:bCs/>
                <w:iCs/>
                <w:sz w:val="24"/>
                <w:szCs w:val="24"/>
                <w:lang w:val="en-US"/>
              </w:rPr>
              <w:t>Olatoye, 2024</w:t>
            </w:r>
            <w:r w:rsidR="008160D6" w:rsidRPr="004A0CFF">
              <w:rPr>
                <w:rFonts w:ascii="Arial" w:hAnsi="Arial" w:cs="Arial"/>
                <w:sz w:val="24"/>
                <w:szCs w:val="24"/>
                <w:lang w:val="en-US"/>
              </w:rPr>
              <w:t>).</w:t>
            </w:r>
          </w:p>
          <w:p w14:paraId="057CC072" w14:textId="29FFFFC5" w:rsidR="00167A67" w:rsidRPr="004A0CFF" w:rsidRDefault="00167A67" w:rsidP="00CE1A86">
            <w:pPr>
              <w:pStyle w:val="a9"/>
              <w:numPr>
                <w:ilvl w:val="0"/>
                <w:numId w:val="4"/>
              </w:numPr>
              <w:spacing w:line="276" w:lineRule="auto"/>
              <w:ind w:left="303"/>
              <w:jc w:val="both"/>
              <w:rPr>
                <w:rFonts w:ascii="Arial" w:hAnsi="Arial" w:cs="Arial"/>
                <w:sz w:val="24"/>
                <w:szCs w:val="24"/>
                <w:lang w:val="en-US"/>
              </w:rPr>
            </w:pPr>
            <w:r w:rsidRPr="004A0CFF">
              <w:rPr>
                <w:rFonts w:ascii="Arial" w:hAnsi="Arial" w:cs="Arial"/>
                <w:sz w:val="24"/>
                <w:szCs w:val="24"/>
                <w:lang w:val="en-US"/>
              </w:rPr>
              <w:t>Dependence on several key and specialised suppliers</w:t>
            </w:r>
            <w:r w:rsidR="008160D6" w:rsidRPr="004A0CFF">
              <w:rPr>
                <w:rFonts w:ascii="Arial" w:hAnsi="Arial" w:cs="Arial"/>
                <w:sz w:val="24"/>
                <w:szCs w:val="24"/>
                <w:lang w:val="en-US"/>
              </w:rPr>
              <w:t xml:space="preserve"> (</w:t>
            </w:r>
            <w:r w:rsidR="008160D6" w:rsidRPr="004A0CFF">
              <w:rPr>
                <w:rFonts w:ascii="Arial" w:eastAsia="Calibri" w:hAnsi="Arial" w:cs="Arial"/>
                <w:bCs/>
                <w:iCs/>
                <w:sz w:val="24"/>
                <w:szCs w:val="24"/>
                <w:lang w:val="en-US"/>
              </w:rPr>
              <w:t>Olatoye, 2024</w:t>
            </w:r>
            <w:r w:rsidR="008160D6" w:rsidRPr="004A0CFF">
              <w:rPr>
                <w:rFonts w:ascii="Arial" w:hAnsi="Arial" w:cs="Arial"/>
                <w:sz w:val="24"/>
                <w:szCs w:val="24"/>
                <w:lang w:val="en-US"/>
              </w:rPr>
              <w:t>).</w:t>
            </w:r>
          </w:p>
          <w:p w14:paraId="4FC0B9C3" w14:textId="4C24B146" w:rsidR="00167A67" w:rsidRPr="004A0CFF" w:rsidRDefault="00167A67" w:rsidP="00CE1A86">
            <w:pPr>
              <w:pStyle w:val="a9"/>
              <w:numPr>
                <w:ilvl w:val="0"/>
                <w:numId w:val="4"/>
              </w:numPr>
              <w:spacing w:line="276" w:lineRule="auto"/>
              <w:ind w:left="303"/>
              <w:jc w:val="both"/>
              <w:rPr>
                <w:rFonts w:ascii="Arial" w:hAnsi="Arial" w:cs="Arial"/>
                <w:sz w:val="24"/>
                <w:szCs w:val="24"/>
                <w:lang w:val="en-US"/>
              </w:rPr>
            </w:pPr>
            <w:r w:rsidRPr="004A0CFF">
              <w:rPr>
                <w:rFonts w:ascii="Arial" w:hAnsi="Arial" w:cs="Arial"/>
                <w:sz w:val="24"/>
                <w:szCs w:val="24"/>
                <w:lang w:val="en-US"/>
              </w:rPr>
              <w:t>Stricter environmental and legal regulations</w:t>
            </w:r>
            <w:r w:rsidR="008160D6" w:rsidRPr="004A0CFF">
              <w:rPr>
                <w:rFonts w:ascii="Arial" w:hAnsi="Arial" w:cs="Arial"/>
                <w:sz w:val="24"/>
                <w:szCs w:val="24"/>
                <w:lang w:val="en-US"/>
              </w:rPr>
              <w:t xml:space="preserve"> (Matovic, 2020)</w:t>
            </w:r>
            <w:r w:rsidRPr="004A0CFF">
              <w:rPr>
                <w:rFonts w:ascii="Arial" w:hAnsi="Arial" w:cs="Arial"/>
                <w:sz w:val="24"/>
                <w:szCs w:val="24"/>
                <w:lang w:val="en-US"/>
              </w:rPr>
              <w:t xml:space="preserve">. </w:t>
            </w:r>
          </w:p>
        </w:tc>
      </w:tr>
    </w:tbl>
    <w:p w14:paraId="65DC3405" w14:textId="77777777" w:rsidR="00AB7FCA" w:rsidRPr="004A0CFF" w:rsidRDefault="00AB7FCA" w:rsidP="00CE4CC0">
      <w:pPr>
        <w:spacing w:line="360" w:lineRule="auto"/>
        <w:jc w:val="both"/>
        <w:rPr>
          <w:rFonts w:ascii="Arial" w:hAnsi="Arial" w:cs="Arial"/>
          <w:sz w:val="24"/>
          <w:szCs w:val="24"/>
          <w:lang w:val="en-US"/>
        </w:rPr>
      </w:pPr>
    </w:p>
    <w:p w14:paraId="784053A8" w14:textId="33BEB650" w:rsidR="00FA0748" w:rsidRPr="004A0CFF" w:rsidRDefault="00FA0748" w:rsidP="00CE4CC0">
      <w:pPr>
        <w:spacing w:line="360" w:lineRule="auto"/>
        <w:jc w:val="both"/>
        <w:rPr>
          <w:rFonts w:ascii="Arial" w:hAnsi="Arial" w:cs="Arial"/>
          <w:sz w:val="24"/>
          <w:szCs w:val="24"/>
          <w:lang w:val="en-US"/>
        </w:rPr>
      </w:pPr>
    </w:p>
    <w:sectPr w:rsidR="00FA0748" w:rsidRPr="004A0CFF">
      <w:footerReference w:type="default" r:id="rId5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F3BF8D" w14:textId="77777777" w:rsidR="00840641" w:rsidRDefault="00840641" w:rsidP="00CE4CC0">
      <w:pPr>
        <w:spacing w:after="0" w:line="240" w:lineRule="auto"/>
      </w:pPr>
      <w:r>
        <w:separator/>
      </w:r>
    </w:p>
  </w:endnote>
  <w:endnote w:type="continuationSeparator" w:id="0">
    <w:p w14:paraId="09DD0237" w14:textId="77777777" w:rsidR="00840641" w:rsidRDefault="00840641" w:rsidP="00CE4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8096"/>
      <w:docPartObj>
        <w:docPartGallery w:val="Page Numbers (Bottom of Page)"/>
        <w:docPartUnique/>
      </w:docPartObj>
    </w:sdtPr>
    <w:sdtEndPr>
      <w:rPr>
        <w:noProof/>
      </w:rPr>
    </w:sdtEndPr>
    <w:sdtContent>
      <w:p w14:paraId="202F283C" w14:textId="189BFACB" w:rsidR="00CE4CC0" w:rsidRDefault="00CE4CC0">
        <w:pPr>
          <w:pStyle w:val="af0"/>
          <w:jc w:val="right"/>
        </w:pPr>
        <w:r>
          <w:fldChar w:fldCharType="begin"/>
        </w:r>
        <w:r>
          <w:instrText xml:space="preserve"> PAGE   \* MERGEFORMAT </w:instrText>
        </w:r>
        <w:r>
          <w:fldChar w:fldCharType="separate"/>
        </w:r>
        <w:r>
          <w:rPr>
            <w:noProof/>
          </w:rPr>
          <w:t>2</w:t>
        </w:r>
        <w:r>
          <w:rPr>
            <w:noProof/>
          </w:rPr>
          <w:fldChar w:fldCharType="end"/>
        </w:r>
      </w:p>
    </w:sdtContent>
  </w:sdt>
  <w:p w14:paraId="14BFB4E1" w14:textId="77777777" w:rsidR="00CE4CC0" w:rsidRDefault="00CE4CC0">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56F88" w14:textId="77777777" w:rsidR="00840641" w:rsidRDefault="00840641" w:rsidP="00CE4CC0">
      <w:pPr>
        <w:spacing w:after="0" w:line="240" w:lineRule="auto"/>
      </w:pPr>
      <w:r>
        <w:separator/>
      </w:r>
    </w:p>
  </w:footnote>
  <w:footnote w:type="continuationSeparator" w:id="0">
    <w:p w14:paraId="21DE2731" w14:textId="77777777" w:rsidR="00840641" w:rsidRDefault="00840641" w:rsidP="00CE4C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87F7D"/>
    <w:multiLevelType w:val="hybridMultilevel"/>
    <w:tmpl w:val="57664490"/>
    <w:lvl w:ilvl="0" w:tplc="D114A318">
      <w:numFmt w:val="bullet"/>
      <w:lvlText w:val="-"/>
      <w:lvlJc w:val="left"/>
      <w:pPr>
        <w:ind w:left="720" w:hanging="360"/>
      </w:pPr>
      <w:rPr>
        <w:rFonts w:ascii="Aptos" w:eastAsiaTheme="minorHAnsi" w:hAnsi="Aptos"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111E7157"/>
    <w:multiLevelType w:val="hybridMultilevel"/>
    <w:tmpl w:val="DBCCD5E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55B7A80"/>
    <w:multiLevelType w:val="hybridMultilevel"/>
    <w:tmpl w:val="A08ED25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BAA3840"/>
    <w:multiLevelType w:val="hybridMultilevel"/>
    <w:tmpl w:val="528E7FD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9D36668"/>
    <w:multiLevelType w:val="hybridMultilevel"/>
    <w:tmpl w:val="834803D0"/>
    <w:lvl w:ilvl="0" w:tplc="C464C598">
      <w:numFmt w:val="bullet"/>
      <w:lvlText w:val="-"/>
      <w:lvlJc w:val="left"/>
      <w:pPr>
        <w:ind w:left="720" w:hanging="360"/>
      </w:pPr>
      <w:rPr>
        <w:rFonts w:ascii="Aptos" w:eastAsiaTheme="minorHAnsi" w:hAnsi="Aptos"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683A392F"/>
    <w:multiLevelType w:val="hybridMultilevel"/>
    <w:tmpl w:val="0862FF4E"/>
    <w:lvl w:ilvl="0" w:tplc="C464C598">
      <w:numFmt w:val="bullet"/>
      <w:lvlText w:val="-"/>
      <w:lvlJc w:val="left"/>
      <w:pPr>
        <w:ind w:left="720" w:hanging="360"/>
      </w:pPr>
      <w:rPr>
        <w:rFonts w:ascii="Aptos" w:eastAsiaTheme="minorHAnsi" w:hAnsi="Aptos"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6FEA4328"/>
    <w:multiLevelType w:val="hybridMultilevel"/>
    <w:tmpl w:val="1828F44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71911D1F"/>
    <w:multiLevelType w:val="hybridMultilevel"/>
    <w:tmpl w:val="5E06771A"/>
    <w:lvl w:ilvl="0" w:tplc="F7E0E666">
      <w:start w:val="1"/>
      <w:numFmt w:val="bullet"/>
      <w:lvlText w:val="-"/>
      <w:lvlJc w:val="left"/>
      <w:pPr>
        <w:ind w:left="720" w:hanging="360"/>
      </w:pPr>
      <w:rPr>
        <w:rFonts w:ascii="Aptos" w:eastAsiaTheme="minorHAnsi" w:hAnsi="Aptos"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7C2C64AF"/>
    <w:multiLevelType w:val="hybridMultilevel"/>
    <w:tmpl w:val="C79409A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553079174">
    <w:abstractNumId w:val="1"/>
  </w:num>
  <w:num w:numId="2" w16cid:durableId="1994024486">
    <w:abstractNumId w:val="2"/>
  </w:num>
  <w:num w:numId="3" w16cid:durableId="724329526">
    <w:abstractNumId w:val="4"/>
  </w:num>
  <w:num w:numId="4" w16cid:durableId="838010048">
    <w:abstractNumId w:val="5"/>
  </w:num>
  <w:num w:numId="5" w16cid:durableId="547643634">
    <w:abstractNumId w:val="7"/>
  </w:num>
  <w:num w:numId="6" w16cid:durableId="492185743">
    <w:abstractNumId w:val="3"/>
  </w:num>
  <w:num w:numId="7" w16cid:durableId="971860484">
    <w:abstractNumId w:val="8"/>
  </w:num>
  <w:num w:numId="8" w16cid:durableId="1757633945">
    <w:abstractNumId w:val="0"/>
  </w:num>
  <w:num w:numId="9" w16cid:durableId="19870832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B54"/>
    <w:rsid w:val="0004686D"/>
    <w:rsid w:val="0005431C"/>
    <w:rsid w:val="000B3977"/>
    <w:rsid w:val="000C1732"/>
    <w:rsid w:val="000D10AE"/>
    <w:rsid w:val="000E5A01"/>
    <w:rsid w:val="0010593D"/>
    <w:rsid w:val="00110CA1"/>
    <w:rsid w:val="0013026E"/>
    <w:rsid w:val="0014089F"/>
    <w:rsid w:val="00167A67"/>
    <w:rsid w:val="001C1316"/>
    <w:rsid w:val="001C60CA"/>
    <w:rsid w:val="002112DB"/>
    <w:rsid w:val="00226168"/>
    <w:rsid w:val="00277E37"/>
    <w:rsid w:val="002853D4"/>
    <w:rsid w:val="002873FF"/>
    <w:rsid w:val="0028763C"/>
    <w:rsid w:val="00294FDE"/>
    <w:rsid w:val="002973BE"/>
    <w:rsid w:val="002B325D"/>
    <w:rsid w:val="002F5CAF"/>
    <w:rsid w:val="00311F2C"/>
    <w:rsid w:val="003312E4"/>
    <w:rsid w:val="0034292D"/>
    <w:rsid w:val="003442F0"/>
    <w:rsid w:val="00350A9F"/>
    <w:rsid w:val="00352766"/>
    <w:rsid w:val="00393E5F"/>
    <w:rsid w:val="003A3509"/>
    <w:rsid w:val="003A64B6"/>
    <w:rsid w:val="003A671A"/>
    <w:rsid w:val="003B231F"/>
    <w:rsid w:val="003D5A33"/>
    <w:rsid w:val="003E15AD"/>
    <w:rsid w:val="003E7FEB"/>
    <w:rsid w:val="004042EF"/>
    <w:rsid w:val="00412149"/>
    <w:rsid w:val="00437319"/>
    <w:rsid w:val="00467F1D"/>
    <w:rsid w:val="00470420"/>
    <w:rsid w:val="00477B37"/>
    <w:rsid w:val="004A0CFF"/>
    <w:rsid w:val="004B1B89"/>
    <w:rsid w:val="004B1BC4"/>
    <w:rsid w:val="004D1E44"/>
    <w:rsid w:val="004E5D0F"/>
    <w:rsid w:val="00505607"/>
    <w:rsid w:val="00514404"/>
    <w:rsid w:val="00517C31"/>
    <w:rsid w:val="00550F3E"/>
    <w:rsid w:val="005A0D39"/>
    <w:rsid w:val="005A6FDD"/>
    <w:rsid w:val="005B5080"/>
    <w:rsid w:val="005B54B4"/>
    <w:rsid w:val="005E594A"/>
    <w:rsid w:val="005F5B08"/>
    <w:rsid w:val="0066258E"/>
    <w:rsid w:val="006771A5"/>
    <w:rsid w:val="00677385"/>
    <w:rsid w:val="00677B59"/>
    <w:rsid w:val="006A55B1"/>
    <w:rsid w:val="006A5872"/>
    <w:rsid w:val="006D0AA7"/>
    <w:rsid w:val="006E08BB"/>
    <w:rsid w:val="006F7514"/>
    <w:rsid w:val="00711DB2"/>
    <w:rsid w:val="00726379"/>
    <w:rsid w:val="00787B54"/>
    <w:rsid w:val="007929AC"/>
    <w:rsid w:val="008108AF"/>
    <w:rsid w:val="008160D6"/>
    <w:rsid w:val="0083137D"/>
    <w:rsid w:val="00840641"/>
    <w:rsid w:val="00842F02"/>
    <w:rsid w:val="00847DF5"/>
    <w:rsid w:val="00871BC9"/>
    <w:rsid w:val="00876B39"/>
    <w:rsid w:val="00881DFD"/>
    <w:rsid w:val="00895D57"/>
    <w:rsid w:val="008C1C40"/>
    <w:rsid w:val="008E5786"/>
    <w:rsid w:val="008F33A8"/>
    <w:rsid w:val="00913447"/>
    <w:rsid w:val="00927767"/>
    <w:rsid w:val="00931C1C"/>
    <w:rsid w:val="00941456"/>
    <w:rsid w:val="009476E0"/>
    <w:rsid w:val="00960ECD"/>
    <w:rsid w:val="00966908"/>
    <w:rsid w:val="009A1A6A"/>
    <w:rsid w:val="009A6BB7"/>
    <w:rsid w:val="009B5754"/>
    <w:rsid w:val="009B641E"/>
    <w:rsid w:val="00A0377C"/>
    <w:rsid w:val="00A25C2A"/>
    <w:rsid w:val="00A37FE5"/>
    <w:rsid w:val="00AB7FCA"/>
    <w:rsid w:val="00AB7FD8"/>
    <w:rsid w:val="00AC16C0"/>
    <w:rsid w:val="00B05BC5"/>
    <w:rsid w:val="00B1693D"/>
    <w:rsid w:val="00B3459D"/>
    <w:rsid w:val="00B728F4"/>
    <w:rsid w:val="00BA5DAE"/>
    <w:rsid w:val="00BE2F9F"/>
    <w:rsid w:val="00C008AA"/>
    <w:rsid w:val="00C22050"/>
    <w:rsid w:val="00C64B96"/>
    <w:rsid w:val="00C74555"/>
    <w:rsid w:val="00C81241"/>
    <w:rsid w:val="00C90929"/>
    <w:rsid w:val="00CA1EE9"/>
    <w:rsid w:val="00CA45EF"/>
    <w:rsid w:val="00CB3991"/>
    <w:rsid w:val="00CD21A1"/>
    <w:rsid w:val="00CE1A86"/>
    <w:rsid w:val="00CE4CC0"/>
    <w:rsid w:val="00CF6EF8"/>
    <w:rsid w:val="00D147A9"/>
    <w:rsid w:val="00D305F8"/>
    <w:rsid w:val="00D5622B"/>
    <w:rsid w:val="00D83836"/>
    <w:rsid w:val="00DD3368"/>
    <w:rsid w:val="00E12E51"/>
    <w:rsid w:val="00E14CBF"/>
    <w:rsid w:val="00E55C57"/>
    <w:rsid w:val="00E66258"/>
    <w:rsid w:val="00E9170F"/>
    <w:rsid w:val="00EA1542"/>
    <w:rsid w:val="00EB4DA0"/>
    <w:rsid w:val="00EE05C9"/>
    <w:rsid w:val="00F16324"/>
    <w:rsid w:val="00F47AD5"/>
    <w:rsid w:val="00F701B7"/>
    <w:rsid w:val="00F75E2F"/>
    <w:rsid w:val="00F876FC"/>
    <w:rsid w:val="00F9129A"/>
    <w:rsid w:val="00FA0748"/>
    <w:rsid w:val="00FA204B"/>
    <w:rsid w:val="00FF379A"/>
    <w:rsid w:val="00FF476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0CDC1"/>
  <w15:chartTrackingRefBased/>
  <w15:docId w15:val="{FBEA8A72-BC8E-419F-B14A-8E46A6E9F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2">
    <w:name w:val="heading 2"/>
    <w:basedOn w:val="a"/>
    <w:next w:val="a"/>
    <w:link w:val="20"/>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paragraph" w:styleId="3">
    <w:name w:val="heading 3"/>
    <w:basedOn w:val="a"/>
    <w:next w:val="a"/>
    <w:link w:val="30"/>
    <w:uiPriority w:val="9"/>
    <w:semiHidden/>
    <w:unhideWhenUsed/>
    <w:qFormat/>
    <w:rsid w:val="00787B5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787B5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787B5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787B5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787B5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787B5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787B5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3B231F"/>
    <w:rPr>
      <w:rFonts w:ascii="Times New Roman" w:eastAsia="Calibri" w:hAnsi="Times New Roman" w:cs="Calibri"/>
      <w:b/>
      <w:sz w:val="24"/>
      <w:szCs w:val="36"/>
      <w:lang w:val="en-GB" w:eastAsia="en-GB"/>
    </w:rPr>
  </w:style>
  <w:style w:type="character" w:customStyle="1" w:styleId="10">
    <w:name w:val="Заглавие 1 Знак"/>
    <w:basedOn w:val="a0"/>
    <w:link w:val="1"/>
    <w:uiPriority w:val="9"/>
    <w:rsid w:val="003A3509"/>
    <w:rPr>
      <w:rFonts w:ascii="Times New Roman" w:eastAsiaTheme="majorEastAsia" w:hAnsi="Times New Roman" w:cstheme="majorBidi"/>
      <w:b/>
      <w:color w:val="000000" w:themeColor="text1"/>
      <w:sz w:val="28"/>
      <w:szCs w:val="32"/>
      <w:lang w:val="en-GB"/>
    </w:rPr>
  </w:style>
  <w:style w:type="character" w:customStyle="1" w:styleId="30">
    <w:name w:val="Заглавие 3 Знак"/>
    <w:basedOn w:val="a0"/>
    <w:link w:val="3"/>
    <w:uiPriority w:val="9"/>
    <w:semiHidden/>
    <w:rsid w:val="00787B54"/>
    <w:rPr>
      <w:rFonts w:eastAsiaTheme="majorEastAsia" w:cstheme="majorBidi"/>
      <w:color w:val="0F4761" w:themeColor="accent1" w:themeShade="BF"/>
      <w:sz w:val="28"/>
      <w:szCs w:val="28"/>
      <w:lang w:val="en-GB"/>
    </w:rPr>
  </w:style>
  <w:style w:type="character" w:customStyle="1" w:styleId="40">
    <w:name w:val="Заглавие 4 Знак"/>
    <w:basedOn w:val="a0"/>
    <w:link w:val="4"/>
    <w:uiPriority w:val="9"/>
    <w:semiHidden/>
    <w:rsid w:val="00787B54"/>
    <w:rPr>
      <w:rFonts w:eastAsiaTheme="majorEastAsia" w:cstheme="majorBidi"/>
      <w:i/>
      <w:iCs/>
      <w:color w:val="0F4761" w:themeColor="accent1" w:themeShade="BF"/>
      <w:lang w:val="en-GB"/>
    </w:rPr>
  </w:style>
  <w:style w:type="character" w:customStyle="1" w:styleId="50">
    <w:name w:val="Заглавие 5 Знак"/>
    <w:basedOn w:val="a0"/>
    <w:link w:val="5"/>
    <w:uiPriority w:val="9"/>
    <w:semiHidden/>
    <w:rsid w:val="00787B54"/>
    <w:rPr>
      <w:rFonts w:eastAsiaTheme="majorEastAsia" w:cstheme="majorBidi"/>
      <w:color w:val="0F4761" w:themeColor="accent1" w:themeShade="BF"/>
      <w:lang w:val="en-GB"/>
    </w:rPr>
  </w:style>
  <w:style w:type="character" w:customStyle="1" w:styleId="60">
    <w:name w:val="Заглавие 6 Знак"/>
    <w:basedOn w:val="a0"/>
    <w:link w:val="6"/>
    <w:uiPriority w:val="9"/>
    <w:semiHidden/>
    <w:rsid w:val="00787B54"/>
    <w:rPr>
      <w:rFonts w:eastAsiaTheme="majorEastAsia" w:cstheme="majorBidi"/>
      <w:i/>
      <w:iCs/>
      <w:color w:val="595959" w:themeColor="text1" w:themeTint="A6"/>
      <w:lang w:val="en-GB"/>
    </w:rPr>
  </w:style>
  <w:style w:type="character" w:customStyle="1" w:styleId="70">
    <w:name w:val="Заглавие 7 Знак"/>
    <w:basedOn w:val="a0"/>
    <w:link w:val="7"/>
    <w:uiPriority w:val="9"/>
    <w:semiHidden/>
    <w:rsid w:val="00787B54"/>
    <w:rPr>
      <w:rFonts w:eastAsiaTheme="majorEastAsia" w:cstheme="majorBidi"/>
      <w:color w:val="595959" w:themeColor="text1" w:themeTint="A6"/>
      <w:lang w:val="en-GB"/>
    </w:rPr>
  </w:style>
  <w:style w:type="character" w:customStyle="1" w:styleId="80">
    <w:name w:val="Заглавие 8 Знак"/>
    <w:basedOn w:val="a0"/>
    <w:link w:val="8"/>
    <w:uiPriority w:val="9"/>
    <w:semiHidden/>
    <w:rsid w:val="00787B54"/>
    <w:rPr>
      <w:rFonts w:eastAsiaTheme="majorEastAsia" w:cstheme="majorBidi"/>
      <w:i/>
      <w:iCs/>
      <w:color w:val="272727" w:themeColor="text1" w:themeTint="D8"/>
      <w:lang w:val="en-GB"/>
    </w:rPr>
  </w:style>
  <w:style w:type="character" w:customStyle="1" w:styleId="90">
    <w:name w:val="Заглавие 9 Знак"/>
    <w:basedOn w:val="a0"/>
    <w:link w:val="9"/>
    <w:uiPriority w:val="9"/>
    <w:semiHidden/>
    <w:rsid w:val="00787B54"/>
    <w:rPr>
      <w:rFonts w:eastAsiaTheme="majorEastAsia" w:cstheme="majorBidi"/>
      <w:color w:val="272727" w:themeColor="text1" w:themeTint="D8"/>
      <w:lang w:val="en-GB"/>
    </w:rPr>
  </w:style>
  <w:style w:type="paragraph" w:styleId="a3">
    <w:name w:val="Title"/>
    <w:basedOn w:val="a"/>
    <w:next w:val="a"/>
    <w:link w:val="a4"/>
    <w:uiPriority w:val="10"/>
    <w:qFormat/>
    <w:rsid w:val="00787B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787B54"/>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787B54"/>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787B54"/>
    <w:rPr>
      <w:rFonts w:eastAsiaTheme="majorEastAsia" w:cstheme="majorBidi"/>
      <w:color w:val="595959" w:themeColor="text1" w:themeTint="A6"/>
      <w:spacing w:val="15"/>
      <w:sz w:val="28"/>
      <w:szCs w:val="28"/>
      <w:lang w:val="en-GB"/>
    </w:rPr>
  </w:style>
  <w:style w:type="paragraph" w:styleId="a7">
    <w:name w:val="Quote"/>
    <w:basedOn w:val="a"/>
    <w:next w:val="a"/>
    <w:link w:val="a8"/>
    <w:uiPriority w:val="29"/>
    <w:qFormat/>
    <w:rsid w:val="00787B54"/>
    <w:pPr>
      <w:spacing w:before="160"/>
      <w:jc w:val="center"/>
    </w:pPr>
    <w:rPr>
      <w:i/>
      <w:iCs/>
      <w:color w:val="404040" w:themeColor="text1" w:themeTint="BF"/>
    </w:rPr>
  </w:style>
  <w:style w:type="character" w:customStyle="1" w:styleId="a8">
    <w:name w:val="Цитат Знак"/>
    <w:basedOn w:val="a0"/>
    <w:link w:val="a7"/>
    <w:uiPriority w:val="29"/>
    <w:rsid w:val="00787B54"/>
    <w:rPr>
      <w:i/>
      <w:iCs/>
      <w:color w:val="404040" w:themeColor="text1" w:themeTint="BF"/>
      <w:lang w:val="en-GB"/>
    </w:rPr>
  </w:style>
  <w:style w:type="paragraph" w:styleId="a9">
    <w:name w:val="List Paragraph"/>
    <w:basedOn w:val="a"/>
    <w:uiPriority w:val="34"/>
    <w:qFormat/>
    <w:rsid w:val="00787B54"/>
    <w:pPr>
      <w:ind w:left="720"/>
      <w:contextualSpacing/>
    </w:pPr>
  </w:style>
  <w:style w:type="character" w:styleId="aa">
    <w:name w:val="Intense Emphasis"/>
    <w:basedOn w:val="a0"/>
    <w:uiPriority w:val="21"/>
    <w:qFormat/>
    <w:rsid w:val="00787B54"/>
    <w:rPr>
      <w:i/>
      <w:iCs/>
      <w:color w:val="0F4761" w:themeColor="accent1" w:themeShade="BF"/>
    </w:rPr>
  </w:style>
  <w:style w:type="paragraph" w:styleId="ab">
    <w:name w:val="Intense Quote"/>
    <w:basedOn w:val="a"/>
    <w:next w:val="a"/>
    <w:link w:val="ac"/>
    <w:uiPriority w:val="30"/>
    <w:qFormat/>
    <w:rsid w:val="00787B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787B54"/>
    <w:rPr>
      <w:i/>
      <w:iCs/>
      <w:color w:val="0F4761" w:themeColor="accent1" w:themeShade="BF"/>
      <w:lang w:val="en-GB"/>
    </w:rPr>
  </w:style>
  <w:style w:type="character" w:styleId="ad">
    <w:name w:val="Intense Reference"/>
    <w:basedOn w:val="a0"/>
    <w:uiPriority w:val="32"/>
    <w:qFormat/>
    <w:rsid w:val="00787B54"/>
    <w:rPr>
      <w:b/>
      <w:bCs/>
      <w:smallCaps/>
      <w:color w:val="0F4761" w:themeColor="accent1" w:themeShade="BF"/>
      <w:spacing w:val="5"/>
    </w:rPr>
  </w:style>
  <w:style w:type="paragraph" w:styleId="ae">
    <w:name w:val="header"/>
    <w:basedOn w:val="a"/>
    <w:link w:val="af"/>
    <w:uiPriority w:val="99"/>
    <w:unhideWhenUsed/>
    <w:rsid w:val="00CE4CC0"/>
    <w:pPr>
      <w:tabs>
        <w:tab w:val="center" w:pos="4536"/>
        <w:tab w:val="right" w:pos="9072"/>
      </w:tabs>
      <w:spacing w:after="0" w:line="240" w:lineRule="auto"/>
    </w:pPr>
  </w:style>
  <w:style w:type="character" w:customStyle="1" w:styleId="af">
    <w:name w:val="Горен колонтитул Знак"/>
    <w:basedOn w:val="a0"/>
    <w:link w:val="ae"/>
    <w:uiPriority w:val="99"/>
    <w:rsid w:val="00CE4CC0"/>
    <w:rPr>
      <w:lang w:val="en-GB"/>
    </w:rPr>
  </w:style>
  <w:style w:type="paragraph" w:styleId="af0">
    <w:name w:val="footer"/>
    <w:basedOn w:val="a"/>
    <w:link w:val="af1"/>
    <w:uiPriority w:val="99"/>
    <w:unhideWhenUsed/>
    <w:rsid w:val="00CE4CC0"/>
    <w:pPr>
      <w:tabs>
        <w:tab w:val="center" w:pos="4536"/>
        <w:tab w:val="right" w:pos="9072"/>
      </w:tabs>
      <w:spacing w:after="0" w:line="240" w:lineRule="auto"/>
    </w:pPr>
  </w:style>
  <w:style w:type="character" w:customStyle="1" w:styleId="af1">
    <w:name w:val="Долен колонтитул Знак"/>
    <w:basedOn w:val="a0"/>
    <w:link w:val="af0"/>
    <w:uiPriority w:val="99"/>
    <w:rsid w:val="00CE4CC0"/>
    <w:rPr>
      <w:lang w:val="en-GB"/>
    </w:rPr>
  </w:style>
  <w:style w:type="character" w:styleId="af2">
    <w:name w:val="Hyperlink"/>
    <w:basedOn w:val="a0"/>
    <w:uiPriority w:val="99"/>
    <w:unhideWhenUsed/>
    <w:rsid w:val="00C64B96"/>
    <w:rPr>
      <w:color w:val="467886" w:themeColor="hyperlink"/>
      <w:u w:val="single"/>
    </w:rPr>
  </w:style>
  <w:style w:type="character" w:styleId="af3">
    <w:name w:val="Unresolved Mention"/>
    <w:basedOn w:val="a0"/>
    <w:uiPriority w:val="99"/>
    <w:semiHidden/>
    <w:unhideWhenUsed/>
    <w:rsid w:val="00C64B96"/>
    <w:rPr>
      <w:color w:val="605E5C"/>
      <w:shd w:val="clear" w:color="auto" w:fill="E1DFDD"/>
    </w:rPr>
  </w:style>
  <w:style w:type="table" w:styleId="af4">
    <w:name w:val="Table Grid"/>
    <w:basedOn w:val="a1"/>
    <w:uiPriority w:val="39"/>
    <w:rsid w:val="00AB7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5">
    <w:name w:val="TOC Heading"/>
    <w:basedOn w:val="1"/>
    <w:next w:val="a"/>
    <w:uiPriority w:val="39"/>
    <w:unhideWhenUsed/>
    <w:qFormat/>
    <w:rsid w:val="004A0CFF"/>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11">
    <w:name w:val="toc 1"/>
    <w:basedOn w:val="a"/>
    <w:next w:val="a"/>
    <w:autoRedefine/>
    <w:uiPriority w:val="39"/>
    <w:unhideWhenUsed/>
    <w:rsid w:val="004A0CFF"/>
    <w:pPr>
      <w:spacing w:after="100"/>
    </w:pPr>
  </w:style>
  <w:style w:type="paragraph" w:styleId="21">
    <w:name w:val="toc 2"/>
    <w:basedOn w:val="a"/>
    <w:next w:val="a"/>
    <w:autoRedefine/>
    <w:uiPriority w:val="39"/>
    <w:unhideWhenUsed/>
    <w:rsid w:val="004A0C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33456">
      <w:bodyDiv w:val="1"/>
      <w:marLeft w:val="0"/>
      <w:marRight w:val="0"/>
      <w:marTop w:val="0"/>
      <w:marBottom w:val="0"/>
      <w:divBdr>
        <w:top w:val="none" w:sz="0" w:space="0" w:color="auto"/>
        <w:left w:val="none" w:sz="0" w:space="0" w:color="auto"/>
        <w:bottom w:val="none" w:sz="0" w:space="0" w:color="auto"/>
        <w:right w:val="none" w:sz="0" w:space="0" w:color="auto"/>
      </w:divBdr>
    </w:div>
    <w:div w:id="54088007">
      <w:bodyDiv w:val="1"/>
      <w:marLeft w:val="0"/>
      <w:marRight w:val="0"/>
      <w:marTop w:val="0"/>
      <w:marBottom w:val="0"/>
      <w:divBdr>
        <w:top w:val="none" w:sz="0" w:space="0" w:color="auto"/>
        <w:left w:val="none" w:sz="0" w:space="0" w:color="auto"/>
        <w:bottom w:val="none" w:sz="0" w:space="0" w:color="auto"/>
        <w:right w:val="none" w:sz="0" w:space="0" w:color="auto"/>
      </w:divBdr>
    </w:div>
    <w:div w:id="100686046">
      <w:bodyDiv w:val="1"/>
      <w:marLeft w:val="0"/>
      <w:marRight w:val="0"/>
      <w:marTop w:val="0"/>
      <w:marBottom w:val="0"/>
      <w:divBdr>
        <w:top w:val="none" w:sz="0" w:space="0" w:color="auto"/>
        <w:left w:val="none" w:sz="0" w:space="0" w:color="auto"/>
        <w:bottom w:val="none" w:sz="0" w:space="0" w:color="auto"/>
        <w:right w:val="none" w:sz="0" w:space="0" w:color="auto"/>
      </w:divBdr>
    </w:div>
    <w:div w:id="109592230">
      <w:bodyDiv w:val="1"/>
      <w:marLeft w:val="0"/>
      <w:marRight w:val="0"/>
      <w:marTop w:val="0"/>
      <w:marBottom w:val="0"/>
      <w:divBdr>
        <w:top w:val="none" w:sz="0" w:space="0" w:color="auto"/>
        <w:left w:val="none" w:sz="0" w:space="0" w:color="auto"/>
        <w:bottom w:val="none" w:sz="0" w:space="0" w:color="auto"/>
        <w:right w:val="none" w:sz="0" w:space="0" w:color="auto"/>
      </w:divBdr>
      <w:divsChild>
        <w:div w:id="1157768610">
          <w:marLeft w:val="0"/>
          <w:marRight w:val="0"/>
          <w:marTop w:val="0"/>
          <w:marBottom w:val="0"/>
          <w:divBdr>
            <w:top w:val="none" w:sz="0" w:space="0" w:color="auto"/>
            <w:left w:val="none" w:sz="0" w:space="0" w:color="auto"/>
            <w:bottom w:val="none" w:sz="0" w:space="0" w:color="auto"/>
            <w:right w:val="none" w:sz="0" w:space="0" w:color="auto"/>
          </w:divBdr>
          <w:divsChild>
            <w:div w:id="2011326216">
              <w:marLeft w:val="0"/>
              <w:marRight w:val="0"/>
              <w:marTop w:val="0"/>
              <w:marBottom w:val="0"/>
              <w:divBdr>
                <w:top w:val="none" w:sz="0" w:space="0" w:color="auto"/>
                <w:left w:val="none" w:sz="0" w:space="0" w:color="auto"/>
                <w:bottom w:val="none" w:sz="0" w:space="0" w:color="auto"/>
                <w:right w:val="none" w:sz="0" w:space="0" w:color="auto"/>
              </w:divBdr>
              <w:divsChild>
                <w:div w:id="2360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38084">
      <w:bodyDiv w:val="1"/>
      <w:marLeft w:val="0"/>
      <w:marRight w:val="0"/>
      <w:marTop w:val="0"/>
      <w:marBottom w:val="0"/>
      <w:divBdr>
        <w:top w:val="none" w:sz="0" w:space="0" w:color="auto"/>
        <w:left w:val="none" w:sz="0" w:space="0" w:color="auto"/>
        <w:bottom w:val="none" w:sz="0" w:space="0" w:color="auto"/>
        <w:right w:val="none" w:sz="0" w:space="0" w:color="auto"/>
      </w:divBdr>
    </w:div>
    <w:div w:id="398870444">
      <w:bodyDiv w:val="1"/>
      <w:marLeft w:val="0"/>
      <w:marRight w:val="0"/>
      <w:marTop w:val="0"/>
      <w:marBottom w:val="0"/>
      <w:divBdr>
        <w:top w:val="none" w:sz="0" w:space="0" w:color="auto"/>
        <w:left w:val="none" w:sz="0" w:space="0" w:color="auto"/>
        <w:bottom w:val="none" w:sz="0" w:space="0" w:color="auto"/>
        <w:right w:val="none" w:sz="0" w:space="0" w:color="auto"/>
      </w:divBdr>
    </w:div>
    <w:div w:id="593974405">
      <w:bodyDiv w:val="1"/>
      <w:marLeft w:val="0"/>
      <w:marRight w:val="0"/>
      <w:marTop w:val="0"/>
      <w:marBottom w:val="0"/>
      <w:divBdr>
        <w:top w:val="none" w:sz="0" w:space="0" w:color="auto"/>
        <w:left w:val="none" w:sz="0" w:space="0" w:color="auto"/>
        <w:bottom w:val="none" w:sz="0" w:space="0" w:color="auto"/>
        <w:right w:val="none" w:sz="0" w:space="0" w:color="auto"/>
      </w:divBdr>
    </w:div>
    <w:div w:id="722142801">
      <w:bodyDiv w:val="1"/>
      <w:marLeft w:val="0"/>
      <w:marRight w:val="0"/>
      <w:marTop w:val="0"/>
      <w:marBottom w:val="0"/>
      <w:divBdr>
        <w:top w:val="none" w:sz="0" w:space="0" w:color="auto"/>
        <w:left w:val="none" w:sz="0" w:space="0" w:color="auto"/>
        <w:bottom w:val="none" w:sz="0" w:space="0" w:color="auto"/>
        <w:right w:val="none" w:sz="0" w:space="0" w:color="auto"/>
      </w:divBdr>
    </w:div>
    <w:div w:id="836768307">
      <w:bodyDiv w:val="1"/>
      <w:marLeft w:val="0"/>
      <w:marRight w:val="0"/>
      <w:marTop w:val="0"/>
      <w:marBottom w:val="0"/>
      <w:divBdr>
        <w:top w:val="none" w:sz="0" w:space="0" w:color="auto"/>
        <w:left w:val="none" w:sz="0" w:space="0" w:color="auto"/>
        <w:bottom w:val="none" w:sz="0" w:space="0" w:color="auto"/>
        <w:right w:val="none" w:sz="0" w:space="0" w:color="auto"/>
      </w:divBdr>
    </w:div>
    <w:div w:id="851451368">
      <w:bodyDiv w:val="1"/>
      <w:marLeft w:val="0"/>
      <w:marRight w:val="0"/>
      <w:marTop w:val="0"/>
      <w:marBottom w:val="0"/>
      <w:divBdr>
        <w:top w:val="none" w:sz="0" w:space="0" w:color="auto"/>
        <w:left w:val="none" w:sz="0" w:space="0" w:color="auto"/>
        <w:bottom w:val="none" w:sz="0" w:space="0" w:color="auto"/>
        <w:right w:val="none" w:sz="0" w:space="0" w:color="auto"/>
      </w:divBdr>
    </w:div>
    <w:div w:id="937711757">
      <w:bodyDiv w:val="1"/>
      <w:marLeft w:val="0"/>
      <w:marRight w:val="0"/>
      <w:marTop w:val="0"/>
      <w:marBottom w:val="0"/>
      <w:divBdr>
        <w:top w:val="none" w:sz="0" w:space="0" w:color="auto"/>
        <w:left w:val="none" w:sz="0" w:space="0" w:color="auto"/>
        <w:bottom w:val="none" w:sz="0" w:space="0" w:color="auto"/>
        <w:right w:val="none" w:sz="0" w:space="0" w:color="auto"/>
      </w:divBdr>
    </w:div>
    <w:div w:id="944534340">
      <w:bodyDiv w:val="1"/>
      <w:marLeft w:val="0"/>
      <w:marRight w:val="0"/>
      <w:marTop w:val="0"/>
      <w:marBottom w:val="0"/>
      <w:divBdr>
        <w:top w:val="none" w:sz="0" w:space="0" w:color="auto"/>
        <w:left w:val="none" w:sz="0" w:space="0" w:color="auto"/>
        <w:bottom w:val="none" w:sz="0" w:space="0" w:color="auto"/>
        <w:right w:val="none" w:sz="0" w:space="0" w:color="auto"/>
      </w:divBdr>
    </w:div>
    <w:div w:id="1011880591">
      <w:bodyDiv w:val="1"/>
      <w:marLeft w:val="0"/>
      <w:marRight w:val="0"/>
      <w:marTop w:val="0"/>
      <w:marBottom w:val="0"/>
      <w:divBdr>
        <w:top w:val="none" w:sz="0" w:space="0" w:color="auto"/>
        <w:left w:val="none" w:sz="0" w:space="0" w:color="auto"/>
        <w:bottom w:val="none" w:sz="0" w:space="0" w:color="auto"/>
        <w:right w:val="none" w:sz="0" w:space="0" w:color="auto"/>
      </w:divBdr>
    </w:div>
    <w:div w:id="1198735471">
      <w:bodyDiv w:val="1"/>
      <w:marLeft w:val="0"/>
      <w:marRight w:val="0"/>
      <w:marTop w:val="0"/>
      <w:marBottom w:val="0"/>
      <w:divBdr>
        <w:top w:val="none" w:sz="0" w:space="0" w:color="auto"/>
        <w:left w:val="none" w:sz="0" w:space="0" w:color="auto"/>
        <w:bottom w:val="none" w:sz="0" w:space="0" w:color="auto"/>
        <w:right w:val="none" w:sz="0" w:space="0" w:color="auto"/>
      </w:divBdr>
    </w:div>
    <w:div w:id="1251424735">
      <w:bodyDiv w:val="1"/>
      <w:marLeft w:val="0"/>
      <w:marRight w:val="0"/>
      <w:marTop w:val="0"/>
      <w:marBottom w:val="0"/>
      <w:divBdr>
        <w:top w:val="none" w:sz="0" w:space="0" w:color="auto"/>
        <w:left w:val="none" w:sz="0" w:space="0" w:color="auto"/>
        <w:bottom w:val="none" w:sz="0" w:space="0" w:color="auto"/>
        <w:right w:val="none" w:sz="0" w:space="0" w:color="auto"/>
      </w:divBdr>
    </w:div>
    <w:div w:id="1405029320">
      <w:bodyDiv w:val="1"/>
      <w:marLeft w:val="0"/>
      <w:marRight w:val="0"/>
      <w:marTop w:val="0"/>
      <w:marBottom w:val="0"/>
      <w:divBdr>
        <w:top w:val="none" w:sz="0" w:space="0" w:color="auto"/>
        <w:left w:val="none" w:sz="0" w:space="0" w:color="auto"/>
        <w:bottom w:val="none" w:sz="0" w:space="0" w:color="auto"/>
        <w:right w:val="none" w:sz="0" w:space="0" w:color="auto"/>
      </w:divBdr>
    </w:div>
    <w:div w:id="1758014107">
      <w:bodyDiv w:val="1"/>
      <w:marLeft w:val="0"/>
      <w:marRight w:val="0"/>
      <w:marTop w:val="0"/>
      <w:marBottom w:val="0"/>
      <w:divBdr>
        <w:top w:val="none" w:sz="0" w:space="0" w:color="auto"/>
        <w:left w:val="none" w:sz="0" w:space="0" w:color="auto"/>
        <w:bottom w:val="none" w:sz="0" w:space="0" w:color="auto"/>
        <w:right w:val="none" w:sz="0" w:space="0" w:color="auto"/>
      </w:divBdr>
      <w:divsChild>
        <w:div w:id="69081668">
          <w:marLeft w:val="0"/>
          <w:marRight w:val="0"/>
          <w:marTop w:val="0"/>
          <w:marBottom w:val="0"/>
          <w:divBdr>
            <w:top w:val="none" w:sz="0" w:space="0" w:color="auto"/>
            <w:left w:val="none" w:sz="0" w:space="0" w:color="auto"/>
            <w:bottom w:val="none" w:sz="0" w:space="0" w:color="auto"/>
            <w:right w:val="none" w:sz="0" w:space="0" w:color="auto"/>
          </w:divBdr>
          <w:divsChild>
            <w:div w:id="146367608">
              <w:marLeft w:val="0"/>
              <w:marRight w:val="0"/>
              <w:marTop w:val="0"/>
              <w:marBottom w:val="0"/>
              <w:divBdr>
                <w:top w:val="none" w:sz="0" w:space="0" w:color="auto"/>
                <w:left w:val="none" w:sz="0" w:space="0" w:color="auto"/>
                <w:bottom w:val="none" w:sz="0" w:space="0" w:color="auto"/>
                <w:right w:val="none" w:sz="0" w:space="0" w:color="auto"/>
              </w:divBdr>
              <w:divsChild>
                <w:div w:id="134756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65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www.bankofengland.co.uk/monetary-policy/the-interest-rate-bank-rate" TargetMode="External" /><Relationship Id="rId26" Type="http://schemas.openxmlformats.org/officeDocument/2006/relationships/hyperlink" Target="https://www.indeed.com/career-advice/career-development/business-strategy-vs-corporate-strategy" TargetMode="External" /><Relationship Id="rId39" Type="http://schemas.openxmlformats.org/officeDocument/2006/relationships/hyperlink" Target="https://www.pharmaceutical-technology.com/data-insights/astrazeneca-patent-activity/?cf-view" TargetMode="External" /><Relationship Id="rId3" Type="http://schemas.openxmlformats.org/officeDocument/2006/relationships/styles" Target="styles.xml" /><Relationship Id="rId21" Type="http://schemas.openxmlformats.org/officeDocument/2006/relationships/hyperlink" Target="https://www.focus-economics.com/countries/united-kingdom/" TargetMode="External" /><Relationship Id="rId34" Type="http://schemas.openxmlformats.org/officeDocument/2006/relationships/hyperlink" Target="https://www.statista.com/statistics/266556/expenditure-on-research-and-development-of-astrazeneca-since-2006/" TargetMode="External" /><Relationship Id="rId42" Type="http://schemas.openxmlformats.org/officeDocument/2006/relationships/hyperlink" Target="https://thestrategystory.com/blog/astrazeneca-swot-analysis/" TargetMode="External" /><Relationship Id="rId47" Type="http://schemas.openxmlformats.org/officeDocument/2006/relationships/image" Target="media/image8.png" /><Relationship Id="rId50" Type="http://schemas.openxmlformats.org/officeDocument/2006/relationships/image" Target="media/image11.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astrazeneca.com/media-centre/press-releases/2024/astrazeneca-to-deliver-80bn-revenue-by-2030.html" TargetMode="External" /><Relationship Id="rId25" Type="http://schemas.openxmlformats.org/officeDocument/2006/relationships/hyperlink" Target="https://prezi.com/lzm1r_fkq7lf/porters-five-forces-analysis-for-the-pharmaceutical-industr/" TargetMode="External" /><Relationship Id="rId33" Type="http://schemas.openxmlformats.org/officeDocument/2006/relationships/hyperlink" Target="https://www.mbaskool.com/swot-analysis/pharmaceuticals-and-healthcare/2721-astrazeneca.html" TargetMode="External" /><Relationship Id="rId38" Type="http://schemas.openxmlformats.org/officeDocument/2006/relationships/hyperlink" Target="https://corporatefinanceinstitute.com/resources/management/ansoff-matrix/" TargetMode="External" /><Relationship Id="rId46" Type="http://schemas.openxmlformats.org/officeDocument/2006/relationships/hyperlink" Target="https://www.zippia.com/astrazeneca-careers-15609/demographics/" TargetMode="External" /><Relationship Id="rId2" Type="http://schemas.openxmlformats.org/officeDocument/2006/relationships/numbering" Target="numbering.xml" /><Relationship Id="rId16" Type="http://schemas.openxmlformats.org/officeDocument/2006/relationships/hyperlink" Target="https://www.astrazeneca.com/our-company.html" TargetMode="External" /><Relationship Id="rId20" Type="http://schemas.openxmlformats.org/officeDocument/2006/relationships/hyperlink" Target="https://www.drugpatentwatch.com/p/applicant/Astrazeneca" TargetMode="External" /><Relationship Id="rId29" Type="http://schemas.openxmlformats.org/officeDocument/2006/relationships/hyperlink" Target="https://www.investopedia.com/terms/e/economiesofscale.asp" TargetMode="External" /><Relationship Id="rId41" Type="http://schemas.openxmlformats.org/officeDocument/2006/relationships/hyperlink" Target="https://www.statista.com/statistics/1246100/covid-vaccine-brand-value/"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commonslibrary.parliament.uk/research-briefings/sn02784/" TargetMode="External" /><Relationship Id="rId32" Type="http://schemas.openxmlformats.org/officeDocument/2006/relationships/hyperlink" Target="http://society.education/wp-content/uploads/2020/10/015IM.pdf" TargetMode="External" /><Relationship Id="rId37" Type="http://schemas.openxmlformats.org/officeDocument/2006/relationships/hyperlink" Target="https://www.researchgate.net/publication/382105615_Porter's_Five_Forces_Analysis_of_the_Pharmaceutical_Industry_10" TargetMode="External" /><Relationship Id="rId40" Type="http://schemas.openxmlformats.org/officeDocument/2006/relationships/hyperlink" Target="https://www.reuters.com/markets/companies/AZN.L/" TargetMode="External" /><Relationship Id="rId45" Type="http://schemas.openxmlformats.org/officeDocument/2006/relationships/hyperlink" Target="https://www.worldbenchmarkingalliance.org/publication/nature/companies/astrazeneca/" TargetMode="External" /><Relationship Id="rId53"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accesstomedicinefoundation.org/company/astrazeneca-plc" TargetMode="External" /><Relationship Id="rId23" Type="http://schemas.openxmlformats.org/officeDocument/2006/relationships/hyperlink" Target="https://www.wipo.int/edocs/pubdocs/en/wipo-pub-2000-2023-en-main-report-global-innovation-index-2023-16th-edition.pdf" TargetMode="External" /><Relationship Id="rId28" Type="http://schemas.openxmlformats.org/officeDocument/2006/relationships/hyperlink" Target="https://kfknowledgebank.kaplan.co.uk/acca/chapter-3-internal-resources-capabilities-and-competences" TargetMode="External" /><Relationship Id="rId36" Type="http://schemas.openxmlformats.org/officeDocument/2006/relationships/hyperlink" Target="https://www.ons.gov.uk/peoplepopulationandcommunity/populationandmigration/populationprojections/bulletins/nationalpopulationprojections/2021basedinterim" TargetMode="External" /><Relationship Id="rId49" Type="http://schemas.openxmlformats.org/officeDocument/2006/relationships/image" Target="media/image10.png" /><Relationship Id="rId10" Type="http://schemas.openxmlformats.org/officeDocument/2006/relationships/image" Target="media/image3.png" /><Relationship Id="rId19" Type="http://schemas.openxmlformats.org/officeDocument/2006/relationships/hyperlink" Target="https://www.consultancy.uk/news/30531/sustainable-consumption-a-150-billion-opportunity-for-uk-retail" TargetMode="External" /><Relationship Id="rId31" Type="http://schemas.openxmlformats.org/officeDocument/2006/relationships/hyperlink" Target="https://www.macrotrends.net/stocks/charts/AZN/astrazeneca/revenue" TargetMode="External" /><Relationship Id="rId44" Type="http://schemas.openxmlformats.org/officeDocument/2006/relationships/hyperlink" Target="https://tradingeconomics.com/united-kingdom/inflation-cpi" TargetMode="External" /><Relationship Id="rId52"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theglobaleconomy.com/rankings/wb_political_stability/" TargetMode="External" /><Relationship Id="rId27" Type="http://schemas.openxmlformats.org/officeDocument/2006/relationships/hyperlink" Target="https://uk.practicallaw.thomsonreuters.com/w-043-6860?transitionType=Default&amp;contextData=(sc.Default)&amp;firstPage=true" TargetMode="External" /><Relationship Id="rId30" Type="http://schemas.openxmlformats.org/officeDocument/2006/relationships/hyperlink" Target="https://www.londonstockexchange.com/stock/AZN/astrazeneca-plc/company-page" TargetMode="External" /><Relationship Id="rId35" Type="http://schemas.openxmlformats.org/officeDocument/2006/relationships/hyperlink" Target="https://www.statista.com/statistics/263102/pharmaceutical-market-worldwide-revenue-since-2001/" TargetMode="External" /><Relationship Id="rId43" Type="http://schemas.openxmlformats.org/officeDocument/2006/relationships/hyperlink" Target="https://www.swotandpestle.com/astrazeneca/" TargetMode="External" /><Relationship Id="rId48" Type="http://schemas.openxmlformats.org/officeDocument/2006/relationships/image" Target="media/image9.png" /><Relationship Id="rId8" Type="http://schemas.openxmlformats.org/officeDocument/2006/relationships/image" Target="media/image1.png" /><Relationship Id="rId51"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2E69B-C06A-4DFA-BF7A-526365A5B9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6312</Words>
  <Characters>35979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Elitsa Ivanova</cp:lastModifiedBy>
  <cp:revision>2</cp:revision>
  <dcterms:created xsi:type="dcterms:W3CDTF">2024-08-27T16:11:00Z</dcterms:created>
  <dcterms:modified xsi:type="dcterms:W3CDTF">2024-08-27T16:11:00Z</dcterms:modified>
</cp:coreProperties>
</file>