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1C463" w14:textId="77777777" w:rsidR="00C558B0" w:rsidRPr="00B36D7E" w:rsidRDefault="00C558B0" w:rsidP="00B36D7E">
      <w:pPr>
        <w:spacing w:line="360" w:lineRule="auto"/>
        <w:rPr>
          <w:rFonts w:ascii="Arial" w:hAnsi="Arial" w:cs="Arial"/>
          <w:sz w:val="22"/>
        </w:rPr>
      </w:pPr>
      <w:r w:rsidRPr="00450187">
        <w:rPr>
          <w:rFonts w:ascii="Arial" w:hAnsi="Arial" w:cs="Arial"/>
          <w:noProof/>
          <w:szCs w:val="24"/>
        </w:rPr>
        <w:drawing>
          <wp:anchor distT="0" distB="0" distL="114300" distR="114300" simplePos="0" relativeHeight="251659264" behindDoc="0" locked="0" layoutInCell="1" allowOverlap="1" wp14:anchorId="4DB84120" wp14:editId="3260274C">
            <wp:simplePos x="0" y="0"/>
            <wp:positionH relativeFrom="margin">
              <wp:align>left</wp:align>
            </wp:positionH>
            <wp:positionV relativeFrom="paragraph">
              <wp:posOffset>295275</wp:posOffset>
            </wp:positionV>
            <wp:extent cx="2343150" cy="9525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343150" cy="9525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B36D7E" w:rsidRDefault="00C558B0" w:rsidP="00B36D7E">
      <w:pPr>
        <w:spacing w:line="360" w:lineRule="auto"/>
        <w:rPr>
          <w:rFonts w:ascii="Arial" w:hAnsi="Arial" w:cs="Arial"/>
          <w:sz w:val="22"/>
        </w:rPr>
      </w:pPr>
    </w:p>
    <w:p w14:paraId="554C8C17" w14:textId="77777777" w:rsidR="00C558B0" w:rsidRPr="00B36D7E" w:rsidRDefault="00C558B0" w:rsidP="00B36D7E">
      <w:pPr>
        <w:spacing w:line="360" w:lineRule="auto"/>
        <w:rPr>
          <w:rFonts w:ascii="Arial" w:hAnsi="Arial" w:cs="Arial"/>
          <w:sz w:val="22"/>
        </w:rPr>
      </w:pPr>
    </w:p>
    <w:p w14:paraId="74A7306F" w14:textId="77777777" w:rsidR="00C558B0" w:rsidRPr="00B36D7E" w:rsidRDefault="00C558B0" w:rsidP="00B36D7E">
      <w:pPr>
        <w:spacing w:line="360" w:lineRule="auto"/>
        <w:rPr>
          <w:rFonts w:ascii="Arial" w:hAnsi="Arial" w:cs="Arial"/>
          <w:sz w:val="22"/>
        </w:rPr>
      </w:pPr>
    </w:p>
    <w:p w14:paraId="4CFA099C" w14:textId="77777777" w:rsidR="00C558B0" w:rsidRPr="00B36D7E" w:rsidRDefault="00C558B0" w:rsidP="00B36D7E">
      <w:pPr>
        <w:tabs>
          <w:tab w:val="left" w:pos="6540"/>
        </w:tabs>
        <w:spacing w:line="360" w:lineRule="auto"/>
        <w:rPr>
          <w:rFonts w:ascii="Arial" w:hAnsi="Arial" w:cs="Arial"/>
          <w:sz w:val="22"/>
        </w:rPr>
      </w:pPr>
    </w:p>
    <w:p w14:paraId="2F4F861B" w14:textId="146C34BD" w:rsidR="00C558B0" w:rsidRPr="00B36D7E" w:rsidRDefault="00C558B0" w:rsidP="00B36D7E">
      <w:pPr>
        <w:tabs>
          <w:tab w:val="left" w:pos="6540"/>
        </w:tabs>
        <w:spacing w:line="360" w:lineRule="auto"/>
        <w:rPr>
          <w:rFonts w:ascii="Arial" w:hAnsi="Arial" w:cs="Arial"/>
          <w:sz w:val="28"/>
          <w:szCs w:val="28"/>
          <w:lang w:val="nl-NL"/>
        </w:rPr>
      </w:pPr>
      <w:r w:rsidRPr="00B36D7E">
        <w:rPr>
          <w:rFonts w:ascii="Arial" w:hAnsi="Arial" w:cs="Arial"/>
          <w:b/>
          <w:bCs/>
          <w:sz w:val="28"/>
          <w:szCs w:val="28"/>
          <w:lang w:val="nl-NL"/>
        </w:rPr>
        <w:t>Student name</w:t>
      </w:r>
      <w:r w:rsidRPr="00B36D7E">
        <w:rPr>
          <w:rFonts w:ascii="Arial" w:hAnsi="Arial" w:cs="Arial"/>
          <w:sz w:val="28"/>
          <w:szCs w:val="28"/>
          <w:lang w:val="nl-NL"/>
        </w:rPr>
        <w:t>:</w:t>
      </w:r>
      <w:r w:rsidR="006E32EC" w:rsidRPr="00B36D7E">
        <w:rPr>
          <w:rFonts w:ascii="Arial" w:hAnsi="Arial" w:cs="Arial"/>
          <w:sz w:val="28"/>
          <w:szCs w:val="28"/>
          <w:lang w:val="nl-NL"/>
        </w:rPr>
        <w:t xml:space="preserve"> Onyemaechi Christian Meregini</w:t>
      </w:r>
    </w:p>
    <w:p w14:paraId="4654C81C" w14:textId="2DD06993" w:rsidR="00C558B0" w:rsidRPr="00B36D7E" w:rsidRDefault="00C558B0" w:rsidP="00B36D7E">
      <w:pPr>
        <w:tabs>
          <w:tab w:val="left" w:pos="6540"/>
        </w:tabs>
        <w:spacing w:line="360" w:lineRule="auto"/>
        <w:rPr>
          <w:rFonts w:ascii="Arial" w:hAnsi="Arial" w:cs="Arial"/>
          <w:sz w:val="28"/>
          <w:szCs w:val="28"/>
          <w:lang w:val="nl-NL"/>
        </w:rPr>
      </w:pPr>
      <w:r w:rsidRPr="00B36D7E">
        <w:rPr>
          <w:rFonts w:ascii="Arial" w:hAnsi="Arial" w:cs="Arial"/>
          <w:b/>
          <w:bCs/>
          <w:sz w:val="28"/>
          <w:szCs w:val="28"/>
          <w:lang w:val="nl-NL"/>
        </w:rPr>
        <w:t>Student ID</w:t>
      </w:r>
      <w:r w:rsidRPr="00B36D7E">
        <w:rPr>
          <w:rFonts w:ascii="Arial" w:hAnsi="Arial" w:cs="Arial"/>
          <w:sz w:val="28"/>
          <w:szCs w:val="28"/>
          <w:lang w:val="nl-NL"/>
        </w:rPr>
        <w:t>:</w:t>
      </w:r>
      <w:r w:rsidR="005C7832" w:rsidRPr="00B36D7E">
        <w:rPr>
          <w:rFonts w:ascii="Arial" w:hAnsi="Arial" w:cs="Arial"/>
          <w:sz w:val="28"/>
          <w:szCs w:val="28"/>
          <w:lang w:val="nl-NL"/>
        </w:rPr>
        <w:t xml:space="preserve"> 2413001</w:t>
      </w:r>
    </w:p>
    <w:p w14:paraId="3D8DA301" w14:textId="484D8AD3" w:rsidR="00C558B0" w:rsidRPr="00B36D7E" w:rsidRDefault="00C558B0" w:rsidP="00B36D7E">
      <w:pPr>
        <w:tabs>
          <w:tab w:val="left" w:pos="6540"/>
        </w:tabs>
        <w:spacing w:line="360" w:lineRule="auto"/>
        <w:rPr>
          <w:rFonts w:ascii="Arial" w:hAnsi="Arial" w:cs="Arial"/>
          <w:sz w:val="28"/>
          <w:szCs w:val="28"/>
          <w:lang w:val="nl-NL"/>
        </w:rPr>
      </w:pPr>
      <w:r w:rsidRPr="00B36D7E">
        <w:rPr>
          <w:rFonts w:ascii="Arial" w:hAnsi="Arial" w:cs="Arial"/>
          <w:b/>
          <w:bCs/>
          <w:sz w:val="28"/>
          <w:szCs w:val="28"/>
          <w:lang w:val="nl-NL"/>
        </w:rPr>
        <w:t>Module name</w:t>
      </w:r>
      <w:r w:rsidRPr="00B36D7E">
        <w:rPr>
          <w:rFonts w:ascii="Arial" w:hAnsi="Arial" w:cs="Arial"/>
          <w:sz w:val="28"/>
          <w:szCs w:val="28"/>
          <w:lang w:val="nl-NL"/>
        </w:rPr>
        <w:t xml:space="preserve">: </w:t>
      </w:r>
      <w:r w:rsidR="00976746" w:rsidRPr="00B36D7E">
        <w:rPr>
          <w:rFonts w:ascii="Arial" w:hAnsi="Arial" w:cs="Arial"/>
          <w:sz w:val="28"/>
          <w:szCs w:val="28"/>
          <w:lang w:val="nl-NL"/>
        </w:rPr>
        <w:t>Principles Of Health &amp; Social Care</w:t>
      </w:r>
      <w:r w:rsidR="006208B2">
        <w:rPr>
          <w:rFonts w:ascii="Arial" w:hAnsi="Arial" w:cs="Arial"/>
          <w:sz w:val="28"/>
          <w:szCs w:val="28"/>
          <w:lang w:val="nl-NL"/>
        </w:rPr>
        <w:t xml:space="preserve"> Practice</w:t>
      </w:r>
    </w:p>
    <w:p w14:paraId="7DB3261D" w14:textId="20609854" w:rsidR="00C558B0" w:rsidRPr="00B36D7E" w:rsidRDefault="00C558B0" w:rsidP="00B36D7E">
      <w:pPr>
        <w:tabs>
          <w:tab w:val="left" w:pos="6540"/>
        </w:tabs>
        <w:spacing w:line="360" w:lineRule="auto"/>
        <w:rPr>
          <w:rFonts w:ascii="Arial" w:hAnsi="Arial" w:cs="Arial"/>
          <w:sz w:val="28"/>
          <w:szCs w:val="28"/>
        </w:rPr>
      </w:pPr>
      <w:r w:rsidRPr="00B36D7E">
        <w:rPr>
          <w:rFonts w:ascii="Arial" w:hAnsi="Arial" w:cs="Arial"/>
          <w:b/>
          <w:bCs/>
          <w:sz w:val="28"/>
          <w:szCs w:val="28"/>
        </w:rPr>
        <w:t>Module code</w:t>
      </w:r>
      <w:r w:rsidRPr="00B36D7E">
        <w:rPr>
          <w:rFonts w:ascii="Arial" w:hAnsi="Arial" w:cs="Arial"/>
          <w:sz w:val="28"/>
          <w:szCs w:val="28"/>
        </w:rPr>
        <w:t>:</w:t>
      </w:r>
      <w:r w:rsidR="00862B53">
        <w:rPr>
          <w:rFonts w:ascii="Arial" w:hAnsi="Arial" w:cs="Arial"/>
          <w:sz w:val="28"/>
          <w:szCs w:val="28"/>
        </w:rPr>
        <w:t xml:space="preserve"> BMHP</w:t>
      </w:r>
      <w:r w:rsidR="006208B2">
        <w:rPr>
          <w:rFonts w:ascii="Arial" w:hAnsi="Arial" w:cs="Arial"/>
          <w:sz w:val="28"/>
          <w:szCs w:val="28"/>
        </w:rPr>
        <w:t>5</w:t>
      </w:r>
      <w:r w:rsidR="00862B53">
        <w:rPr>
          <w:rFonts w:ascii="Arial" w:hAnsi="Arial" w:cs="Arial"/>
          <w:sz w:val="28"/>
          <w:szCs w:val="28"/>
        </w:rPr>
        <w:t>016</w:t>
      </w:r>
    </w:p>
    <w:p w14:paraId="5CCA350C" w14:textId="43676BB8" w:rsidR="00C558B0" w:rsidRDefault="00C558B0" w:rsidP="00B36D7E">
      <w:pPr>
        <w:tabs>
          <w:tab w:val="left" w:pos="6540"/>
        </w:tabs>
        <w:spacing w:line="360" w:lineRule="auto"/>
        <w:rPr>
          <w:rFonts w:ascii="Arial" w:hAnsi="Arial" w:cs="Arial"/>
          <w:sz w:val="28"/>
          <w:szCs w:val="28"/>
        </w:rPr>
      </w:pPr>
      <w:r w:rsidRPr="00B36D7E">
        <w:rPr>
          <w:rFonts w:ascii="Arial" w:hAnsi="Arial" w:cs="Arial"/>
          <w:b/>
          <w:bCs/>
          <w:sz w:val="28"/>
          <w:szCs w:val="28"/>
        </w:rPr>
        <w:t>Lecturer name</w:t>
      </w:r>
      <w:r w:rsidRPr="00B36D7E">
        <w:rPr>
          <w:rFonts w:ascii="Arial" w:hAnsi="Arial" w:cs="Arial"/>
          <w:sz w:val="28"/>
          <w:szCs w:val="28"/>
        </w:rPr>
        <w:t>:</w:t>
      </w:r>
      <w:r w:rsidR="00976746" w:rsidRPr="00B36D7E">
        <w:rPr>
          <w:rFonts w:ascii="Arial" w:hAnsi="Arial" w:cs="Arial"/>
          <w:sz w:val="28"/>
          <w:szCs w:val="28"/>
        </w:rPr>
        <w:t xml:space="preserve"> Dr Itse Ol</w:t>
      </w:r>
      <w:r w:rsidR="00862B53">
        <w:rPr>
          <w:rFonts w:ascii="Arial" w:hAnsi="Arial" w:cs="Arial"/>
          <w:sz w:val="28"/>
          <w:szCs w:val="28"/>
        </w:rPr>
        <w:t>a</w:t>
      </w:r>
      <w:r w:rsidR="00976746" w:rsidRPr="00B36D7E">
        <w:rPr>
          <w:rFonts w:ascii="Arial" w:hAnsi="Arial" w:cs="Arial"/>
          <w:sz w:val="28"/>
          <w:szCs w:val="28"/>
        </w:rPr>
        <w:t>oye</w:t>
      </w:r>
    </w:p>
    <w:p w14:paraId="719C4576" w14:textId="1321B4FC" w:rsidR="00862B53" w:rsidRDefault="00862B53" w:rsidP="00B36D7E">
      <w:pPr>
        <w:tabs>
          <w:tab w:val="left" w:pos="6540"/>
        </w:tabs>
        <w:spacing w:line="360" w:lineRule="auto"/>
        <w:rPr>
          <w:rFonts w:ascii="Arial" w:hAnsi="Arial" w:cs="Arial"/>
          <w:sz w:val="28"/>
          <w:szCs w:val="28"/>
        </w:rPr>
      </w:pPr>
    </w:p>
    <w:p w14:paraId="0F28D76E" w14:textId="2CDD4D10" w:rsidR="00862B53" w:rsidRDefault="00862B53" w:rsidP="00B36D7E">
      <w:pPr>
        <w:tabs>
          <w:tab w:val="left" w:pos="6540"/>
        </w:tabs>
        <w:spacing w:line="360" w:lineRule="auto"/>
        <w:rPr>
          <w:rFonts w:ascii="Arial" w:hAnsi="Arial" w:cs="Arial"/>
          <w:sz w:val="28"/>
          <w:szCs w:val="28"/>
        </w:rPr>
      </w:pPr>
    </w:p>
    <w:p w14:paraId="40E217D5" w14:textId="713E0D56" w:rsidR="00862B53" w:rsidRDefault="00862B53" w:rsidP="003F53F2">
      <w:pPr>
        <w:tabs>
          <w:tab w:val="left" w:pos="6540"/>
        </w:tabs>
        <w:spacing w:line="360" w:lineRule="auto"/>
        <w:jc w:val="center"/>
        <w:rPr>
          <w:rFonts w:ascii="Arial" w:hAnsi="Arial" w:cs="Arial"/>
          <w:b/>
          <w:bCs/>
          <w:sz w:val="28"/>
          <w:szCs w:val="28"/>
        </w:rPr>
      </w:pPr>
      <w:r w:rsidRPr="00176EBE">
        <w:rPr>
          <w:rFonts w:ascii="Arial" w:hAnsi="Arial" w:cs="Arial"/>
          <w:b/>
          <w:bCs/>
          <w:sz w:val="28"/>
          <w:szCs w:val="28"/>
        </w:rPr>
        <w:t>T</w:t>
      </w:r>
      <w:r w:rsidR="006208B2">
        <w:rPr>
          <w:rFonts w:ascii="Arial" w:hAnsi="Arial" w:cs="Arial"/>
          <w:b/>
          <w:bCs/>
          <w:sz w:val="28"/>
          <w:szCs w:val="28"/>
        </w:rPr>
        <w:t>itle</w:t>
      </w:r>
    </w:p>
    <w:p w14:paraId="74928A62" w14:textId="1ABD5FC0" w:rsidR="006208B2" w:rsidRPr="00176EBE" w:rsidRDefault="006208B2" w:rsidP="003F53F2">
      <w:pPr>
        <w:tabs>
          <w:tab w:val="left" w:pos="6540"/>
        </w:tabs>
        <w:spacing w:line="360" w:lineRule="auto"/>
        <w:jc w:val="center"/>
        <w:rPr>
          <w:rFonts w:ascii="Arial" w:hAnsi="Arial" w:cs="Arial"/>
          <w:b/>
          <w:bCs/>
          <w:sz w:val="28"/>
          <w:szCs w:val="28"/>
        </w:rPr>
      </w:pPr>
      <w:r>
        <w:rPr>
          <w:rFonts w:ascii="Arial" w:hAnsi="Arial" w:cs="Arial"/>
          <w:b/>
          <w:bCs/>
          <w:sz w:val="28"/>
          <w:szCs w:val="28"/>
        </w:rPr>
        <w:t>Component 2: Written Assignment (Essay)</w:t>
      </w:r>
    </w:p>
    <w:p w14:paraId="7E9ECEFF" w14:textId="77777777" w:rsidR="006208B2" w:rsidRDefault="006208B2" w:rsidP="003F53F2">
      <w:pPr>
        <w:tabs>
          <w:tab w:val="left" w:pos="6540"/>
        </w:tabs>
        <w:spacing w:line="360" w:lineRule="auto"/>
        <w:jc w:val="center"/>
        <w:rPr>
          <w:rFonts w:ascii="Arial" w:hAnsi="Arial" w:cs="Arial"/>
          <w:b/>
          <w:bCs/>
          <w:sz w:val="28"/>
          <w:szCs w:val="28"/>
        </w:rPr>
      </w:pPr>
    </w:p>
    <w:p w14:paraId="55D017FC" w14:textId="4D02C726" w:rsidR="003F53F2" w:rsidRPr="00176EBE" w:rsidRDefault="003F53F2" w:rsidP="003F53F2">
      <w:pPr>
        <w:tabs>
          <w:tab w:val="left" w:pos="6540"/>
        </w:tabs>
        <w:spacing w:line="360" w:lineRule="auto"/>
        <w:jc w:val="center"/>
        <w:rPr>
          <w:rFonts w:ascii="Arial" w:hAnsi="Arial" w:cs="Arial"/>
          <w:b/>
          <w:bCs/>
          <w:sz w:val="28"/>
          <w:szCs w:val="28"/>
        </w:rPr>
      </w:pPr>
      <w:r w:rsidRPr="00176EBE">
        <w:rPr>
          <w:rFonts w:ascii="Arial" w:hAnsi="Arial" w:cs="Arial"/>
          <w:b/>
          <w:bCs/>
          <w:sz w:val="28"/>
          <w:szCs w:val="28"/>
        </w:rPr>
        <w:t>Submitted</w:t>
      </w:r>
      <w:r w:rsidR="00176EBE">
        <w:rPr>
          <w:rFonts w:ascii="Arial" w:hAnsi="Arial" w:cs="Arial"/>
          <w:b/>
          <w:bCs/>
          <w:sz w:val="28"/>
          <w:szCs w:val="28"/>
        </w:rPr>
        <w:t>:</w:t>
      </w:r>
      <w:r w:rsidRPr="00176EBE">
        <w:rPr>
          <w:rFonts w:ascii="Arial" w:hAnsi="Arial" w:cs="Arial"/>
          <w:b/>
          <w:bCs/>
          <w:sz w:val="28"/>
          <w:szCs w:val="28"/>
        </w:rPr>
        <w:t xml:space="preserve"> </w:t>
      </w:r>
      <w:r w:rsidR="006208B2">
        <w:rPr>
          <w:rFonts w:ascii="Arial" w:hAnsi="Arial" w:cs="Arial"/>
          <w:b/>
          <w:bCs/>
          <w:sz w:val="28"/>
          <w:szCs w:val="28"/>
        </w:rPr>
        <w:t>12</w:t>
      </w:r>
      <w:r w:rsidRPr="00176EBE">
        <w:rPr>
          <w:rFonts w:ascii="Arial" w:hAnsi="Arial" w:cs="Arial"/>
          <w:b/>
          <w:bCs/>
          <w:sz w:val="28"/>
          <w:szCs w:val="28"/>
          <w:vertAlign w:val="superscript"/>
        </w:rPr>
        <w:t>th</w:t>
      </w:r>
      <w:r w:rsidRPr="00176EBE">
        <w:rPr>
          <w:rFonts w:ascii="Arial" w:hAnsi="Arial" w:cs="Arial"/>
          <w:b/>
          <w:bCs/>
          <w:sz w:val="28"/>
          <w:szCs w:val="28"/>
        </w:rPr>
        <w:t xml:space="preserve"> December 2025</w:t>
      </w:r>
    </w:p>
    <w:p w14:paraId="5461F9C8" w14:textId="77777777" w:rsidR="00C558B0" w:rsidRPr="00B36D7E" w:rsidRDefault="00C558B0" w:rsidP="00B36D7E">
      <w:pPr>
        <w:tabs>
          <w:tab w:val="left" w:pos="6540"/>
        </w:tabs>
        <w:spacing w:line="360" w:lineRule="auto"/>
        <w:rPr>
          <w:rFonts w:ascii="Arial" w:hAnsi="Arial" w:cs="Arial"/>
          <w:sz w:val="22"/>
        </w:rPr>
      </w:pPr>
    </w:p>
    <w:p w14:paraId="592933AF" w14:textId="1AFC4D3C" w:rsidR="00862B53" w:rsidRPr="00B36D7E" w:rsidRDefault="006D2F2D" w:rsidP="00B36D7E">
      <w:pPr>
        <w:spacing w:line="360" w:lineRule="auto"/>
        <w:rPr>
          <w:rFonts w:ascii="Arial" w:hAnsi="Arial" w:cs="Arial"/>
          <w:sz w:val="22"/>
        </w:rPr>
      </w:pPr>
      <w:r w:rsidRPr="00B36D7E">
        <w:rPr>
          <w:rFonts w:ascii="Arial" w:hAnsi="Arial" w:cs="Arial"/>
          <w:sz w:val="22"/>
        </w:rPr>
        <w:br w:type="page"/>
      </w:r>
    </w:p>
    <w:p w14:paraId="192FBF09" w14:textId="0CA57013" w:rsidR="00976746" w:rsidRPr="00B36D7E" w:rsidRDefault="00976746" w:rsidP="00B36D7E">
      <w:pPr>
        <w:spacing w:line="360" w:lineRule="auto"/>
        <w:jc w:val="center"/>
        <w:rPr>
          <w:rFonts w:ascii="Arial" w:hAnsi="Arial" w:cs="Arial"/>
          <w:b/>
          <w:bCs/>
          <w:szCs w:val="24"/>
        </w:rPr>
      </w:pPr>
      <w:r w:rsidRPr="00B36D7E">
        <w:rPr>
          <w:rFonts w:ascii="Arial" w:hAnsi="Arial" w:cs="Arial"/>
          <w:b/>
          <w:bCs/>
          <w:szCs w:val="24"/>
        </w:rPr>
        <w:lastRenderedPageBreak/>
        <w:t>Table Of Contents</w:t>
      </w:r>
    </w:p>
    <w:p w14:paraId="0CE7BFEC" w14:textId="77777777" w:rsidR="00976746" w:rsidRPr="00B36D7E" w:rsidRDefault="00976746" w:rsidP="00B36D7E">
      <w:pPr>
        <w:spacing w:line="360" w:lineRule="auto"/>
        <w:rPr>
          <w:rFonts w:ascii="Arial" w:hAnsi="Arial" w:cs="Arial"/>
          <w:b/>
          <w:bCs/>
          <w:szCs w:val="24"/>
        </w:rPr>
      </w:pPr>
    </w:p>
    <w:p w14:paraId="5C33A8D1" w14:textId="6E88E17F" w:rsidR="00976746" w:rsidRPr="00D015B1" w:rsidRDefault="00976746" w:rsidP="00B36D7E">
      <w:pPr>
        <w:pStyle w:val="ListParagraph"/>
        <w:numPr>
          <w:ilvl w:val="0"/>
          <w:numId w:val="5"/>
        </w:numPr>
        <w:spacing w:line="360" w:lineRule="auto"/>
        <w:rPr>
          <w:rFonts w:ascii="Arial" w:hAnsi="Arial" w:cs="Arial"/>
          <w:szCs w:val="24"/>
        </w:rPr>
      </w:pPr>
      <w:r w:rsidRPr="00D015B1">
        <w:rPr>
          <w:rFonts w:ascii="Arial" w:hAnsi="Arial" w:cs="Arial"/>
          <w:szCs w:val="24"/>
        </w:rPr>
        <w:t>Introduction</w:t>
      </w:r>
    </w:p>
    <w:p w14:paraId="1117196A" w14:textId="77777777" w:rsidR="00785837" w:rsidRPr="00D015B1" w:rsidRDefault="00785837" w:rsidP="00785837">
      <w:pPr>
        <w:pStyle w:val="Heading1"/>
        <w:keepNext w:val="0"/>
        <w:keepLines w:val="0"/>
        <w:numPr>
          <w:ilvl w:val="0"/>
          <w:numId w:val="5"/>
        </w:numPr>
        <w:spacing w:before="480" w:line="360" w:lineRule="auto"/>
        <w:rPr>
          <w:sz w:val="24"/>
          <w:szCs w:val="24"/>
        </w:rPr>
      </w:pPr>
      <w:r w:rsidRPr="00D015B1">
        <w:rPr>
          <w:sz w:val="24"/>
          <w:szCs w:val="24"/>
        </w:rPr>
        <w:t>Social Model of Disability as a Foundation for Person-Centred Care</w:t>
      </w:r>
    </w:p>
    <w:p w14:paraId="7220E646" w14:textId="77777777" w:rsidR="00785837" w:rsidRPr="00D015B1" w:rsidRDefault="00785837" w:rsidP="00785837">
      <w:pPr>
        <w:pStyle w:val="Heading1"/>
        <w:keepNext w:val="0"/>
        <w:keepLines w:val="0"/>
        <w:numPr>
          <w:ilvl w:val="0"/>
          <w:numId w:val="5"/>
        </w:numPr>
        <w:spacing w:before="480" w:line="360" w:lineRule="auto"/>
        <w:rPr>
          <w:sz w:val="24"/>
          <w:szCs w:val="24"/>
        </w:rPr>
      </w:pPr>
      <w:r w:rsidRPr="00D015B1">
        <w:rPr>
          <w:sz w:val="24"/>
          <w:szCs w:val="24"/>
        </w:rPr>
        <w:t>Emergence and Development of the Social Model of Disability</w:t>
      </w:r>
    </w:p>
    <w:p w14:paraId="02C56398" w14:textId="77777777" w:rsidR="00785837" w:rsidRPr="00D015B1" w:rsidRDefault="00785837" w:rsidP="00785837">
      <w:pPr>
        <w:pStyle w:val="Heading1"/>
        <w:keepNext w:val="0"/>
        <w:keepLines w:val="0"/>
        <w:numPr>
          <w:ilvl w:val="0"/>
          <w:numId w:val="5"/>
        </w:numPr>
        <w:spacing w:before="480" w:line="360" w:lineRule="auto"/>
        <w:rPr>
          <w:sz w:val="24"/>
          <w:szCs w:val="24"/>
        </w:rPr>
      </w:pPr>
      <w:r w:rsidRPr="00D015B1">
        <w:rPr>
          <w:sz w:val="24"/>
          <w:szCs w:val="24"/>
        </w:rPr>
        <w:t>Critiques of the Social Model and Responses</w:t>
      </w:r>
    </w:p>
    <w:p w14:paraId="6BAA5DC2" w14:textId="77777777" w:rsidR="00D015B1" w:rsidRPr="00D015B1" w:rsidRDefault="00D015B1" w:rsidP="00D015B1">
      <w:pPr>
        <w:pStyle w:val="Heading1"/>
        <w:keepNext w:val="0"/>
        <w:keepLines w:val="0"/>
        <w:numPr>
          <w:ilvl w:val="0"/>
          <w:numId w:val="5"/>
        </w:numPr>
        <w:spacing w:before="480" w:line="360" w:lineRule="auto"/>
        <w:rPr>
          <w:sz w:val="24"/>
          <w:szCs w:val="24"/>
        </w:rPr>
      </w:pPr>
      <w:r w:rsidRPr="00D015B1">
        <w:rPr>
          <w:sz w:val="24"/>
          <w:szCs w:val="24"/>
        </w:rPr>
        <w:t>Application of the Social Model in Health and Social Care Policy and Practice</w:t>
      </w:r>
    </w:p>
    <w:p w14:paraId="7063CC44" w14:textId="77777777" w:rsidR="00D015B1" w:rsidRPr="00D015B1" w:rsidRDefault="00D015B1" w:rsidP="00D015B1">
      <w:pPr>
        <w:pStyle w:val="Heading3"/>
        <w:keepNext w:val="0"/>
        <w:keepLines w:val="0"/>
        <w:numPr>
          <w:ilvl w:val="0"/>
          <w:numId w:val="5"/>
        </w:numPr>
        <w:spacing w:before="280" w:line="360" w:lineRule="auto"/>
        <w:rPr>
          <w:rFonts w:ascii="Arial" w:hAnsi="Arial" w:cs="Arial"/>
          <w:color w:val="000000"/>
        </w:rPr>
      </w:pPr>
      <w:r w:rsidRPr="00D015B1">
        <w:rPr>
          <w:rFonts w:ascii="Arial" w:hAnsi="Arial" w:cs="Arial"/>
          <w:color w:val="000000"/>
        </w:rPr>
        <w:t>Challenging deficit-based thinking</w:t>
      </w:r>
    </w:p>
    <w:p w14:paraId="0D5FCAD1" w14:textId="77777777" w:rsidR="00D015B1" w:rsidRPr="00D015B1" w:rsidRDefault="00D015B1" w:rsidP="00D015B1">
      <w:pPr>
        <w:pStyle w:val="Heading1"/>
        <w:keepNext w:val="0"/>
        <w:keepLines w:val="0"/>
        <w:numPr>
          <w:ilvl w:val="0"/>
          <w:numId w:val="5"/>
        </w:numPr>
        <w:spacing w:before="480" w:line="360" w:lineRule="auto"/>
        <w:rPr>
          <w:sz w:val="24"/>
          <w:szCs w:val="24"/>
        </w:rPr>
      </w:pPr>
      <w:r w:rsidRPr="00D015B1">
        <w:rPr>
          <w:sz w:val="24"/>
          <w:szCs w:val="24"/>
        </w:rPr>
        <w:t>Problems and Challenges in Applying the Social Model to Health and Social Care</w:t>
      </w:r>
    </w:p>
    <w:p w14:paraId="74B2CA92" w14:textId="77777777" w:rsidR="00D015B1" w:rsidRPr="00D015B1" w:rsidRDefault="00D015B1" w:rsidP="00D015B1">
      <w:pPr>
        <w:pStyle w:val="Heading1"/>
        <w:keepNext w:val="0"/>
        <w:keepLines w:val="0"/>
        <w:numPr>
          <w:ilvl w:val="0"/>
          <w:numId w:val="5"/>
        </w:numPr>
        <w:spacing w:before="480" w:line="360" w:lineRule="auto"/>
        <w:rPr>
          <w:sz w:val="24"/>
          <w:szCs w:val="24"/>
        </w:rPr>
      </w:pPr>
      <w:r w:rsidRPr="00D015B1">
        <w:rPr>
          <w:sz w:val="24"/>
          <w:szCs w:val="24"/>
        </w:rPr>
        <w:t>Recommendations for Strengthening Person-Centred Care Through the Social Model</w:t>
      </w:r>
    </w:p>
    <w:p w14:paraId="34929FB3" w14:textId="7F7FD0AA" w:rsidR="00D015B1" w:rsidRPr="00D015B1" w:rsidRDefault="00D015B1" w:rsidP="00D015B1">
      <w:pPr>
        <w:pStyle w:val="Heading1"/>
        <w:keepNext w:val="0"/>
        <w:keepLines w:val="0"/>
        <w:numPr>
          <w:ilvl w:val="0"/>
          <w:numId w:val="5"/>
        </w:numPr>
        <w:spacing w:before="480" w:line="360" w:lineRule="auto"/>
        <w:rPr>
          <w:sz w:val="24"/>
          <w:szCs w:val="24"/>
        </w:rPr>
      </w:pPr>
      <w:r w:rsidRPr="00D015B1">
        <w:rPr>
          <w:sz w:val="24"/>
          <w:szCs w:val="24"/>
        </w:rPr>
        <w:t>Conclusion</w:t>
      </w:r>
    </w:p>
    <w:p w14:paraId="78056DC4" w14:textId="0A3F7453" w:rsidR="00D015B1" w:rsidRPr="00D015B1" w:rsidRDefault="00D015B1" w:rsidP="00D015B1">
      <w:pPr>
        <w:pStyle w:val="ListParagraph"/>
        <w:numPr>
          <w:ilvl w:val="0"/>
          <w:numId w:val="5"/>
        </w:numPr>
        <w:spacing w:line="360" w:lineRule="auto"/>
        <w:rPr>
          <w:rFonts w:ascii="Arial" w:hAnsi="Arial" w:cs="Arial"/>
          <w:sz w:val="22"/>
        </w:rPr>
      </w:pPr>
      <w:r w:rsidRPr="00D015B1">
        <w:rPr>
          <w:rFonts w:ascii="Arial" w:hAnsi="Arial" w:cs="Arial"/>
          <w:sz w:val="22"/>
        </w:rPr>
        <w:t>References</w:t>
      </w:r>
    </w:p>
    <w:p w14:paraId="143FC258" w14:textId="77777777" w:rsidR="00785837" w:rsidRPr="00B36D7E" w:rsidRDefault="00785837" w:rsidP="00D015B1">
      <w:pPr>
        <w:pStyle w:val="ListParagraph"/>
        <w:spacing w:line="360" w:lineRule="auto"/>
        <w:rPr>
          <w:rFonts w:ascii="Arial" w:hAnsi="Arial" w:cs="Arial"/>
          <w:b/>
          <w:bCs/>
          <w:szCs w:val="24"/>
        </w:rPr>
      </w:pPr>
    </w:p>
    <w:p w14:paraId="6C2E09D5" w14:textId="77777777" w:rsidR="00976746" w:rsidRPr="00B36D7E" w:rsidRDefault="00976746" w:rsidP="00B36D7E">
      <w:pPr>
        <w:spacing w:line="360" w:lineRule="auto"/>
        <w:rPr>
          <w:rFonts w:ascii="Arial" w:hAnsi="Arial" w:cs="Arial"/>
          <w:b/>
          <w:bCs/>
          <w:sz w:val="22"/>
        </w:rPr>
      </w:pPr>
    </w:p>
    <w:p w14:paraId="47AAE6B0" w14:textId="77777777" w:rsidR="00976746" w:rsidRPr="00B36D7E" w:rsidRDefault="00976746" w:rsidP="00B36D7E">
      <w:pPr>
        <w:spacing w:line="360" w:lineRule="auto"/>
        <w:rPr>
          <w:rFonts w:ascii="Arial" w:hAnsi="Arial" w:cs="Arial"/>
          <w:b/>
          <w:bCs/>
          <w:sz w:val="22"/>
        </w:rPr>
      </w:pPr>
    </w:p>
    <w:p w14:paraId="56A3460A" w14:textId="77777777" w:rsidR="00976746" w:rsidRPr="00B36D7E" w:rsidRDefault="00976746" w:rsidP="00B36D7E">
      <w:pPr>
        <w:spacing w:line="360" w:lineRule="auto"/>
        <w:rPr>
          <w:rFonts w:ascii="Arial" w:hAnsi="Arial" w:cs="Arial"/>
          <w:b/>
          <w:bCs/>
          <w:sz w:val="22"/>
        </w:rPr>
      </w:pPr>
    </w:p>
    <w:p w14:paraId="5EBB4F7B" w14:textId="77777777" w:rsidR="00976746" w:rsidRPr="00B36D7E" w:rsidRDefault="00976746" w:rsidP="00B36D7E">
      <w:pPr>
        <w:spacing w:line="360" w:lineRule="auto"/>
        <w:rPr>
          <w:rFonts w:ascii="Arial" w:hAnsi="Arial" w:cs="Arial"/>
          <w:b/>
          <w:bCs/>
          <w:sz w:val="22"/>
        </w:rPr>
      </w:pPr>
    </w:p>
    <w:p w14:paraId="35EE1137" w14:textId="77777777" w:rsidR="00976746" w:rsidRPr="00B36D7E" w:rsidRDefault="00976746" w:rsidP="00B36D7E">
      <w:pPr>
        <w:spacing w:line="360" w:lineRule="auto"/>
        <w:rPr>
          <w:rFonts w:ascii="Arial" w:hAnsi="Arial" w:cs="Arial"/>
          <w:b/>
          <w:bCs/>
          <w:sz w:val="22"/>
        </w:rPr>
      </w:pPr>
    </w:p>
    <w:p w14:paraId="40A9F3B7" w14:textId="52F7981C" w:rsidR="00450187" w:rsidRDefault="00450187" w:rsidP="00B36D7E">
      <w:pPr>
        <w:spacing w:line="360" w:lineRule="auto"/>
        <w:rPr>
          <w:rFonts w:ascii="Arial" w:hAnsi="Arial" w:cs="Arial"/>
          <w:b/>
          <w:bCs/>
          <w:sz w:val="22"/>
        </w:rPr>
      </w:pPr>
    </w:p>
    <w:p w14:paraId="7F9341D6" w14:textId="77777777" w:rsidR="00450187" w:rsidRPr="00B36D7E" w:rsidRDefault="00450187" w:rsidP="00B36D7E">
      <w:pPr>
        <w:spacing w:line="360" w:lineRule="auto"/>
        <w:rPr>
          <w:rFonts w:ascii="Arial" w:hAnsi="Arial" w:cs="Arial"/>
          <w:b/>
          <w:bCs/>
          <w:sz w:val="22"/>
        </w:rPr>
      </w:pPr>
    </w:p>
    <w:p w14:paraId="5F44B964" w14:textId="5C99F406" w:rsidR="00317E3D" w:rsidRPr="00B36D7E" w:rsidRDefault="006D2F2D" w:rsidP="00B36D7E">
      <w:pPr>
        <w:spacing w:line="360" w:lineRule="auto"/>
        <w:jc w:val="center"/>
        <w:rPr>
          <w:rFonts w:ascii="Arial" w:hAnsi="Arial" w:cs="Arial"/>
          <w:b/>
          <w:bCs/>
          <w:szCs w:val="24"/>
        </w:rPr>
      </w:pPr>
      <w:r w:rsidRPr="00B36D7E">
        <w:rPr>
          <w:rFonts w:ascii="Arial" w:hAnsi="Arial" w:cs="Arial"/>
          <w:b/>
          <w:bCs/>
          <w:szCs w:val="24"/>
        </w:rPr>
        <w:lastRenderedPageBreak/>
        <w:t>Introduction</w:t>
      </w:r>
    </w:p>
    <w:p w14:paraId="42F178D6" w14:textId="4C33098B" w:rsidR="00A21711" w:rsidRPr="00B36D7E" w:rsidRDefault="00A21711" w:rsidP="00B36D7E">
      <w:pPr>
        <w:pStyle w:val="Heading1"/>
        <w:keepNext w:val="0"/>
        <w:keepLines w:val="0"/>
        <w:spacing w:before="480" w:line="360" w:lineRule="auto"/>
        <w:rPr>
          <w:b/>
          <w:bCs/>
          <w:sz w:val="24"/>
          <w:szCs w:val="24"/>
        </w:rPr>
      </w:pPr>
      <w:bookmarkStart w:id="0" w:name="_Hlk215348929"/>
      <w:r w:rsidRPr="00B36D7E">
        <w:rPr>
          <w:b/>
          <w:bCs/>
          <w:sz w:val="24"/>
          <w:szCs w:val="24"/>
        </w:rPr>
        <w:t>Social Model of Disability as a Foundation for Person-Centred Care</w:t>
      </w:r>
    </w:p>
    <w:bookmarkEnd w:id="0"/>
    <w:p w14:paraId="44B58FF2" w14:textId="77777777" w:rsidR="00A21711" w:rsidRPr="00B36D7E" w:rsidRDefault="00A21711" w:rsidP="00B36D7E">
      <w:pPr>
        <w:spacing w:before="240" w:after="240" w:line="360" w:lineRule="auto"/>
        <w:rPr>
          <w:rFonts w:ascii="Arial" w:hAnsi="Arial" w:cs="Arial"/>
          <w:sz w:val="22"/>
        </w:rPr>
      </w:pPr>
      <w:r w:rsidRPr="00B36D7E">
        <w:rPr>
          <w:rFonts w:ascii="Arial" w:hAnsi="Arial" w:cs="Arial"/>
          <w:sz w:val="22"/>
        </w:rPr>
        <w:t xml:space="preserve">Person-centred care has become a central organising principle in contemporary health and social care, emphasising dignity, autonomy, and the recognition of individuals as experts in their own lives. A key theoretical foundation supporting this approach is the </w:t>
      </w:r>
      <w:r w:rsidRPr="00B36D7E">
        <w:rPr>
          <w:rFonts w:ascii="Arial" w:hAnsi="Arial" w:cs="Arial"/>
          <w:b/>
          <w:bCs/>
          <w:sz w:val="22"/>
        </w:rPr>
        <w:t>social model of disability</w:t>
      </w:r>
      <w:r w:rsidRPr="00B36D7E">
        <w:rPr>
          <w:rFonts w:ascii="Arial" w:hAnsi="Arial" w:cs="Arial"/>
          <w:sz w:val="22"/>
        </w:rPr>
        <w:t>, which emerged as a radical re-conceptualisation of disability in the late 20th century. Rejecting the traditional “medical model,” which viewed disability as a personal tragedy or clinical deficit, the social model reframed disability as a product of social structures, environmental barriers, and discriminatory attitudes. This essay critically discusses the development of the social model, its critiques and responses, and evaluates its impact on health and social care policy and practice. It then examines the limitations and challenges involved in operationalising the model and concludes with recommendations for strengthening person-centred care through an enriched and more flexible application of the framework.</w:t>
      </w:r>
    </w:p>
    <w:p w14:paraId="54AE9C79" w14:textId="77777777" w:rsidR="00A14675" w:rsidRPr="00B36D7E" w:rsidRDefault="00A14675" w:rsidP="00B36D7E">
      <w:pPr>
        <w:spacing w:line="360" w:lineRule="auto"/>
        <w:rPr>
          <w:rFonts w:ascii="Arial" w:hAnsi="Arial" w:cs="Arial"/>
          <w:sz w:val="22"/>
        </w:rPr>
      </w:pPr>
    </w:p>
    <w:p w14:paraId="3B765A91" w14:textId="77777777" w:rsidR="00A21711" w:rsidRPr="00B36D7E" w:rsidRDefault="00A21711" w:rsidP="00B36D7E">
      <w:pPr>
        <w:pStyle w:val="Heading1"/>
        <w:keepNext w:val="0"/>
        <w:keepLines w:val="0"/>
        <w:spacing w:before="480" w:line="360" w:lineRule="auto"/>
        <w:rPr>
          <w:b/>
          <w:bCs/>
          <w:sz w:val="24"/>
          <w:szCs w:val="24"/>
        </w:rPr>
      </w:pPr>
      <w:bookmarkStart w:id="1" w:name="_Hlk215348972"/>
      <w:r w:rsidRPr="00B36D7E">
        <w:rPr>
          <w:b/>
          <w:bCs/>
          <w:sz w:val="24"/>
          <w:szCs w:val="24"/>
        </w:rPr>
        <w:t>Emergence and Development of the Social Model of Disability</w:t>
      </w:r>
    </w:p>
    <w:bookmarkEnd w:id="1"/>
    <w:p w14:paraId="467D434B" w14:textId="77777777" w:rsidR="00A21711" w:rsidRPr="00B36D7E" w:rsidRDefault="00A21711" w:rsidP="00B36D7E">
      <w:pPr>
        <w:spacing w:before="240" w:after="240" w:line="360" w:lineRule="auto"/>
        <w:rPr>
          <w:rFonts w:ascii="Arial" w:hAnsi="Arial" w:cs="Arial"/>
          <w:sz w:val="22"/>
        </w:rPr>
      </w:pPr>
      <w:r w:rsidRPr="00B36D7E">
        <w:rPr>
          <w:rFonts w:ascii="Arial" w:hAnsi="Arial" w:cs="Arial"/>
          <w:sz w:val="22"/>
        </w:rPr>
        <w:t xml:space="preserve">The social model originated in the 1970s and 1980s through the work of the Union of the Physically Impaired Against Segregation (UPIAS) and theorists such as Mike Oliver. They argued that disability should not be understood as the result of individual impairment but as the consequence of </w:t>
      </w:r>
      <w:r w:rsidRPr="00B36D7E">
        <w:rPr>
          <w:rFonts w:ascii="Arial" w:hAnsi="Arial" w:cs="Arial"/>
          <w:i/>
          <w:iCs/>
          <w:sz w:val="22"/>
        </w:rPr>
        <w:t>societal oppression</w:t>
      </w:r>
      <w:r w:rsidRPr="00B36D7E">
        <w:rPr>
          <w:rFonts w:ascii="Arial" w:hAnsi="Arial" w:cs="Arial"/>
          <w:sz w:val="22"/>
        </w:rPr>
        <w:t>—including inaccessible buildings, exclusionary norms, and discriminatory policies. This ideological shift was influenced by civil-rights activism and broader social movements for equality. It located responsibility for change at the level of society rather than the individual, articulating disability as a rights-based issue.</w:t>
      </w:r>
    </w:p>
    <w:p w14:paraId="4E8B6D2F" w14:textId="5D0206F7" w:rsidR="00A21711" w:rsidRPr="00B36D7E" w:rsidRDefault="00A21711" w:rsidP="00B36D7E">
      <w:pPr>
        <w:spacing w:before="240" w:after="240" w:line="360" w:lineRule="auto"/>
        <w:rPr>
          <w:rFonts w:ascii="Arial" w:hAnsi="Arial" w:cs="Arial"/>
          <w:sz w:val="22"/>
        </w:rPr>
      </w:pPr>
      <w:r w:rsidRPr="00B36D7E">
        <w:rPr>
          <w:rFonts w:ascii="Arial" w:hAnsi="Arial" w:cs="Arial"/>
          <w:sz w:val="22"/>
        </w:rPr>
        <w:t>Over time, the model evolved into a central framework in disability studies and advocacy. It provided an empowering narrative for disabled people’s movements, challenging paternalistic assumptions embedded within welfare, health, and education systems. By drawing a distinction</w:t>
      </w:r>
      <w:r w:rsidR="001D3FB5">
        <w:rPr>
          <w:rFonts w:ascii="Arial" w:hAnsi="Arial" w:cs="Arial"/>
          <w:sz w:val="22"/>
        </w:rPr>
        <w:t>,</w:t>
      </w:r>
      <w:r w:rsidRPr="00B36D7E">
        <w:rPr>
          <w:rFonts w:ascii="Arial" w:hAnsi="Arial" w:cs="Arial"/>
          <w:sz w:val="22"/>
        </w:rPr>
        <w:t xml:space="preserve"> between </w:t>
      </w:r>
      <w:r w:rsidRPr="00B36D7E">
        <w:rPr>
          <w:rFonts w:ascii="Arial" w:hAnsi="Arial" w:cs="Arial"/>
          <w:b/>
          <w:bCs/>
          <w:sz w:val="22"/>
        </w:rPr>
        <w:t>impairment</w:t>
      </w:r>
      <w:r w:rsidRPr="00B36D7E">
        <w:rPr>
          <w:rFonts w:ascii="Arial" w:hAnsi="Arial" w:cs="Arial"/>
          <w:sz w:val="22"/>
        </w:rPr>
        <w:t xml:space="preserve"> (a physical, sensory, or cognitive condition) and </w:t>
      </w:r>
      <w:r w:rsidRPr="00B36D7E">
        <w:rPr>
          <w:rFonts w:ascii="Arial" w:hAnsi="Arial" w:cs="Arial"/>
          <w:b/>
          <w:bCs/>
          <w:sz w:val="22"/>
        </w:rPr>
        <w:t>disability</w:t>
      </w:r>
      <w:r w:rsidRPr="00B36D7E">
        <w:rPr>
          <w:rFonts w:ascii="Arial" w:hAnsi="Arial" w:cs="Arial"/>
          <w:sz w:val="22"/>
        </w:rPr>
        <w:t xml:space="preserve"> (social exclusion imposed by environments and attitudes), the social model influenced legislation such as the UK Disability Discrimination Act (1995) and subsequently the Equality Act (2010).</w:t>
      </w:r>
    </w:p>
    <w:p w14:paraId="67FDF7A2" w14:textId="1511E955" w:rsidR="00A21711" w:rsidRPr="00B36D7E" w:rsidRDefault="00A21711" w:rsidP="00B36D7E">
      <w:pPr>
        <w:spacing w:before="240" w:after="240" w:line="360" w:lineRule="auto"/>
        <w:rPr>
          <w:rFonts w:ascii="Arial" w:hAnsi="Arial" w:cs="Arial"/>
          <w:sz w:val="22"/>
        </w:rPr>
      </w:pPr>
    </w:p>
    <w:p w14:paraId="2E35C649" w14:textId="77777777" w:rsidR="00A21711" w:rsidRPr="00B36D7E" w:rsidRDefault="00A21711" w:rsidP="00B36D7E">
      <w:pPr>
        <w:pStyle w:val="Heading1"/>
        <w:keepNext w:val="0"/>
        <w:keepLines w:val="0"/>
        <w:spacing w:before="480" w:line="360" w:lineRule="auto"/>
        <w:rPr>
          <w:b/>
          <w:bCs/>
          <w:sz w:val="24"/>
          <w:szCs w:val="24"/>
        </w:rPr>
      </w:pPr>
      <w:bookmarkStart w:id="2" w:name="_Hlk215349006"/>
      <w:r w:rsidRPr="00B36D7E">
        <w:rPr>
          <w:b/>
          <w:bCs/>
          <w:sz w:val="24"/>
          <w:szCs w:val="24"/>
        </w:rPr>
        <w:lastRenderedPageBreak/>
        <w:t>Critiques of the Social Model and Responses</w:t>
      </w:r>
    </w:p>
    <w:bookmarkEnd w:id="2"/>
    <w:p w14:paraId="6004A566" w14:textId="77777777" w:rsidR="00A21711" w:rsidRPr="00B36D7E" w:rsidRDefault="00A21711" w:rsidP="00B36D7E">
      <w:pPr>
        <w:spacing w:before="240" w:after="240" w:line="360" w:lineRule="auto"/>
        <w:rPr>
          <w:rFonts w:ascii="Arial" w:hAnsi="Arial" w:cs="Arial"/>
          <w:sz w:val="22"/>
        </w:rPr>
      </w:pPr>
      <w:r w:rsidRPr="00B36D7E">
        <w:rPr>
          <w:rFonts w:ascii="Arial" w:hAnsi="Arial" w:cs="Arial"/>
          <w:szCs w:val="24"/>
        </w:rPr>
        <w:t>Despite its influence, the social model has faced</w:t>
      </w:r>
      <w:r w:rsidRPr="00B36D7E">
        <w:rPr>
          <w:rFonts w:ascii="Arial" w:hAnsi="Arial" w:cs="Arial"/>
          <w:sz w:val="22"/>
        </w:rPr>
        <w:t xml:space="preserve"> substantial critique. One major criticism is that it oversimplifies the complex interaction between impairment and social barriers. Critics argue that while society contributes significantly to disabled people’s experiences, impairments themselves can also be sources of pain, limitation, or difficulty that cannot be ignored. The rigid separation between impairment and disability is therefore seen by some as theoretically and practically unsustainable.</w:t>
      </w:r>
    </w:p>
    <w:p w14:paraId="2D4A33D1" w14:textId="77777777" w:rsidR="00A21711" w:rsidRPr="00B36D7E" w:rsidRDefault="00A21711" w:rsidP="00B36D7E">
      <w:pPr>
        <w:spacing w:before="240" w:after="240" w:line="360" w:lineRule="auto"/>
        <w:rPr>
          <w:rFonts w:ascii="Arial" w:hAnsi="Arial" w:cs="Arial"/>
          <w:sz w:val="22"/>
        </w:rPr>
      </w:pPr>
      <w:r w:rsidRPr="00B36D7E">
        <w:rPr>
          <w:rFonts w:ascii="Arial" w:hAnsi="Arial" w:cs="Arial"/>
          <w:sz w:val="22"/>
        </w:rPr>
        <w:t>Another critique is that the model was implicitly shaped by the experiences of physically impaired individuals, potentially marginalising those with cognitive, intellectual, or psychosocial impairments whose support needs may not fit neatly into a barrier-removal paradigm. Feminist disability scholars have also argued that the model overlooks the embodied realities of care, dependency, and fluctuating health conditions.</w:t>
      </w:r>
    </w:p>
    <w:p w14:paraId="6B310F6F" w14:textId="12B292C6" w:rsidR="00A21711" w:rsidRPr="00B36D7E" w:rsidRDefault="00A21711" w:rsidP="00B36D7E">
      <w:pPr>
        <w:spacing w:before="240" w:after="240" w:line="360" w:lineRule="auto"/>
        <w:rPr>
          <w:rFonts w:ascii="Arial" w:hAnsi="Arial" w:cs="Arial"/>
          <w:sz w:val="22"/>
        </w:rPr>
      </w:pPr>
      <w:r w:rsidRPr="00B36D7E">
        <w:rPr>
          <w:rFonts w:ascii="Arial" w:hAnsi="Arial" w:cs="Arial"/>
          <w:sz w:val="22"/>
        </w:rPr>
        <w:t xml:space="preserve">In response, proponents of the social model acknowledge these limitations but maintain that the model's primary purpose is </w:t>
      </w:r>
      <w:r w:rsidRPr="00B36D7E">
        <w:rPr>
          <w:rFonts w:ascii="Arial" w:hAnsi="Arial" w:cs="Arial"/>
          <w:i/>
          <w:iCs/>
          <w:sz w:val="22"/>
        </w:rPr>
        <w:t>strategic</w:t>
      </w:r>
      <w:r w:rsidRPr="00B36D7E">
        <w:rPr>
          <w:rFonts w:ascii="Arial" w:hAnsi="Arial" w:cs="Arial"/>
          <w:sz w:val="22"/>
        </w:rPr>
        <w:t>. It is not intended as a complete description of disabled people’s experiences but as a political tool to shift focus away from individual deficit and toward structural injustice. Hybrid or “interactional” models have since emerged—such as the biopsychosocial model used by the World Health Organisation (WHO)—which integrate the strengths of the social model while attempting to address its gaps. Nevertheless, the social model continues to hold significant value as a theoretical foundation for person-centred approaches in health and social</w:t>
      </w:r>
    </w:p>
    <w:p w14:paraId="016B2886" w14:textId="5A3F7244" w:rsidR="00A21711" w:rsidRPr="00B36D7E" w:rsidRDefault="00A21711" w:rsidP="00B36D7E">
      <w:pPr>
        <w:spacing w:line="360" w:lineRule="auto"/>
        <w:rPr>
          <w:rFonts w:ascii="Arial" w:hAnsi="Arial" w:cs="Arial"/>
          <w:color w:val="0070C0"/>
          <w:sz w:val="22"/>
        </w:rPr>
      </w:pPr>
    </w:p>
    <w:p w14:paraId="4F0F8F11" w14:textId="22F05C64" w:rsidR="00B36D7E" w:rsidRPr="00B36D7E" w:rsidRDefault="00B36D7E" w:rsidP="00B36D7E">
      <w:pPr>
        <w:spacing w:line="360" w:lineRule="auto"/>
        <w:rPr>
          <w:rFonts w:ascii="Arial" w:hAnsi="Arial" w:cs="Arial"/>
          <w:color w:val="0070C0"/>
          <w:sz w:val="22"/>
        </w:rPr>
      </w:pPr>
    </w:p>
    <w:p w14:paraId="7A151A4D" w14:textId="169F0219" w:rsidR="00B36D7E" w:rsidRPr="00B36D7E" w:rsidRDefault="00B36D7E" w:rsidP="00B36D7E">
      <w:pPr>
        <w:spacing w:line="360" w:lineRule="auto"/>
        <w:rPr>
          <w:rFonts w:ascii="Arial" w:hAnsi="Arial" w:cs="Arial"/>
          <w:color w:val="0070C0"/>
          <w:sz w:val="22"/>
        </w:rPr>
      </w:pPr>
    </w:p>
    <w:p w14:paraId="087D1902" w14:textId="77777777" w:rsidR="00B36D7E" w:rsidRPr="00B36D7E" w:rsidRDefault="00B36D7E" w:rsidP="00B36D7E">
      <w:pPr>
        <w:spacing w:line="360" w:lineRule="auto"/>
        <w:rPr>
          <w:rFonts w:ascii="Arial" w:hAnsi="Arial" w:cs="Arial"/>
          <w:sz w:val="22"/>
        </w:rPr>
      </w:pPr>
    </w:p>
    <w:p w14:paraId="3ABE0526" w14:textId="77777777" w:rsidR="00706AA7" w:rsidRPr="00B36D7E" w:rsidRDefault="00706AA7" w:rsidP="00B36D7E">
      <w:pPr>
        <w:pStyle w:val="Heading1"/>
        <w:keepNext w:val="0"/>
        <w:keepLines w:val="0"/>
        <w:spacing w:before="480" w:line="360" w:lineRule="auto"/>
        <w:rPr>
          <w:b/>
          <w:bCs/>
          <w:sz w:val="24"/>
          <w:szCs w:val="24"/>
        </w:rPr>
      </w:pPr>
      <w:bookmarkStart w:id="3" w:name="_Hlk215349041"/>
      <w:r w:rsidRPr="00B36D7E">
        <w:rPr>
          <w:b/>
          <w:bCs/>
          <w:sz w:val="24"/>
          <w:szCs w:val="24"/>
        </w:rPr>
        <w:t>Application of the Social Model in Health and Social Care Policy and Practice</w:t>
      </w:r>
    </w:p>
    <w:bookmarkEnd w:id="3"/>
    <w:p w14:paraId="26D854B4" w14:textId="77777777" w:rsidR="00706AA7" w:rsidRPr="00B36D7E" w:rsidRDefault="00706AA7" w:rsidP="00B36D7E">
      <w:pPr>
        <w:spacing w:line="360" w:lineRule="auto"/>
        <w:rPr>
          <w:rFonts w:ascii="Arial" w:hAnsi="Arial" w:cs="Arial"/>
          <w:szCs w:val="24"/>
        </w:rPr>
      </w:pPr>
    </w:p>
    <w:p w14:paraId="54364552" w14:textId="77777777" w:rsidR="00706AA7" w:rsidRPr="00B36D7E" w:rsidRDefault="00706AA7" w:rsidP="00B36D7E">
      <w:pPr>
        <w:pStyle w:val="Heading3"/>
        <w:keepNext w:val="0"/>
        <w:keepLines w:val="0"/>
        <w:spacing w:before="280" w:line="360" w:lineRule="auto"/>
        <w:rPr>
          <w:rFonts w:ascii="Arial" w:hAnsi="Arial" w:cs="Arial"/>
          <w:b/>
          <w:bCs/>
          <w:color w:val="000000"/>
          <w:sz w:val="22"/>
          <w:szCs w:val="22"/>
        </w:rPr>
      </w:pPr>
      <w:bookmarkStart w:id="4" w:name="_xf77i9qvy96e" w:colFirst="0" w:colLast="0"/>
      <w:bookmarkEnd w:id="4"/>
      <w:r w:rsidRPr="00B36D7E">
        <w:rPr>
          <w:rFonts w:ascii="Arial" w:hAnsi="Arial" w:cs="Arial"/>
          <w:b/>
          <w:bCs/>
          <w:color w:val="000000"/>
          <w:sz w:val="22"/>
          <w:szCs w:val="22"/>
        </w:rPr>
        <w:t>Promoting autonomy and control</w:t>
      </w:r>
    </w:p>
    <w:p w14:paraId="410E4304"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The Social Model supports a shift toward individuals having greater choice and control over their care. Person-centred practice requires professionals to recognise service users as experts in their own lives. The Social Model reinforces this by positioning disabled people </w:t>
      </w:r>
      <w:r w:rsidRPr="00B36D7E">
        <w:rPr>
          <w:rFonts w:ascii="Arial" w:hAnsi="Arial" w:cs="Arial"/>
          <w:sz w:val="22"/>
        </w:rPr>
        <w:lastRenderedPageBreak/>
        <w:t xml:space="preserve">not as passive recipients of care but as citizens with rights. This is evident in policies such as </w:t>
      </w:r>
      <w:r w:rsidRPr="00B36D7E">
        <w:rPr>
          <w:rFonts w:ascii="Arial" w:hAnsi="Arial" w:cs="Arial"/>
          <w:b/>
          <w:bCs/>
          <w:sz w:val="22"/>
        </w:rPr>
        <w:t>personal budgets</w:t>
      </w:r>
      <w:r w:rsidRPr="00B36D7E">
        <w:rPr>
          <w:rFonts w:ascii="Arial" w:hAnsi="Arial" w:cs="Arial"/>
          <w:sz w:val="22"/>
        </w:rPr>
        <w:t xml:space="preserve">, the </w:t>
      </w:r>
      <w:r w:rsidRPr="00B36D7E">
        <w:rPr>
          <w:rFonts w:ascii="Arial" w:hAnsi="Arial" w:cs="Arial"/>
          <w:b/>
          <w:bCs/>
          <w:sz w:val="22"/>
        </w:rPr>
        <w:t>Care Act 2014’s wellbeing principle</w:t>
      </w:r>
      <w:r w:rsidRPr="00B36D7E">
        <w:rPr>
          <w:rFonts w:ascii="Arial" w:hAnsi="Arial" w:cs="Arial"/>
          <w:sz w:val="22"/>
        </w:rPr>
        <w:t>, and the emphasis on co-production within modern service design.</w:t>
      </w:r>
    </w:p>
    <w:p w14:paraId="04C5274C" w14:textId="77777777" w:rsidR="00706AA7" w:rsidRPr="00B36D7E" w:rsidRDefault="00706AA7" w:rsidP="00B36D7E">
      <w:pPr>
        <w:spacing w:before="240" w:after="240" w:line="360" w:lineRule="auto"/>
        <w:rPr>
          <w:rFonts w:ascii="Arial" w:hAnsi="Arial" w:cs="Arial"/>
          <w:sz w:val="22"/>
        </w:rPr>
      </w:pPr>
    </w:p>
    <w:p w14:paraId="1A8131AE" w14:textId="77777777" w:rsidR="00706AA7" w:rsidRPr="00B36D7E" w:rsidRDefault="00706AA7" w:rsidP="00B36D7E">
      <w:pPr>
        <w:pStyle w:val="Heading3"/>
        <w:keepNext w:val="0"/>
        <w:keepLines w:val="0"/>
        <w:spacing w:before="280" w:line="360" w:lineRule="auto"/>
        <w:rPr>
          <w:rFonts w:ascii="Arial" w:hAnsi="Arial" w:cs="Arial"/>
          <w:b/>
          <w:bCs/>
          <w:color w:val="000000"/>
        </w:rPr>
      </w:pPr>
      <w:bookmarkStart w:id="5" w:name="_mkbtzoosimyg" w:colFirst="0" w:colLast="0"/>
      <w:bookmarkStart w:id="6" w:name="_Hlk215349075"/>
      <w:bookmarkEnd w:id="5"/>
      <w:r w:rsidRPr="00B36D7E">
        <w:rPr>
          <w:rFonts w:ascii="Arial" w:hAnsi="Arial" w:cs="Arial"/>
          <w:b/>
          <w:bCs/>
          <w:color w:val="000000"/>
        </w:rPr>
        <w:t>Challenging deficit-based thinking</w:t>
      </w:r>
    </w:p>
    <w:bookmarkEnd w:id="6"/>
    <w:p w14:paraId="695B93FC"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Person-centred care requires practitioners to focus on what matters to the person rather than simply what is the matter with them. The Social Model encourages strengths-based approaches by shifting attention away from impairments and toward environmental factors. As a result, interventions are shaped not by attempts to correct limitations but by adapting services and environments to support participation.</w:t>
      </w:r>
    </w:p>
    <w:p w14:paraId="79491817" w14:textId="77777777" w:rsidR="00706AA7" w:rsidRPr="00B36D7E" w:rsidRDefault="00706AA7" w:rsidP="00B36D7E">
      <w:pPr>
        <w:pStyle w:val="Heading3"/>
        <w:keepNext w:val="0"/>
        <w:keepLines w:val="0"/>
        <w:spacing w:before="280" w:line="360" w:lineRule="auto"/>
        <w:rPr>
          <w:rFonts w:ascii="Arial" w:hAnsi="Arial" w:cs="Arial"/>
          <w:b/>
          <w:bCs/>
          <w:color w:val="000000"/>
          <w:sz w:val="22"/>
          <w:szCs w:val="22"/>
        </w:rPr>
      </w:pPr>
      <w:bookmarkStart w:id="7" w:name="_h71zqta593uy" w:colFirst="0" w:colLast="0"/>
      <w:bookmarkEnd w:id="7"/>
      <w:r w:rsidRPr="00B36D7E">
        <w:rPr>
          <w:rFonts w:ascii="Arial" w:hAnsi="Arial" w:cs="Arial"/>
          <w:b/>
          <w:bCs/>
          <w:color w:val="000000"/>
          <w:sz w:val="22"/>
          <w:szCs w:val="22"/>
        </w:rPr>
        <w:t>3. Encouraging partnership and empowerment</w:t>
      </w:r>
    </w:p>
    <w:p w14:paraId="042E19A1"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Co-production, shared decision-making, and collaborative planning are central features of person-centred care. The Social Model emphasises collective rights, recognising disabled people as partners in shaping services that affect them. This ethos has significantly influenced the involvement of disabled people in policy making, service commissioning, and local consultation processes.</w:t>
      </w:r>
    </w:p>
    <w:p w14:paraId="7799DEEC" w14:textId="77777777" w:rsidR="00706AA7" w:rsidRPr="00B36D7E" w:rsidRDefault="00706AA7" w:rsidP="00B36D7E">
      <w:pPr>
        <w:pStyle w:val="Heading3"/>
        <w:keepNext w:val="0"/>
        <w:keepLines w:val="0"/>
        <w:spacing w:before="280" w:line="360" w:lineRule="auto"/>
        <w:rPr>
          <w:rFonts w:ascii="Arial" w:hAnsi="Arial" w:cs="Arial"/>
          <w:b/>
          <w:bCs/>
          <w:color w:val="000000"/>
          <w:sz w:val="22"/>
          <w:szCs w:val="22"/>
        </w:rPr>
      </w:pPr>
      <w:bookmarkStart w:id="8" w:name="_jn6hupbta0nr" w:colFirst="0" w:colLast="0"/>
      <w:bookmarkEnd w:id="8"/>
      <w:r w:rsidRPr="00B36D7E">
        <w:rPr>
          <w:rFonts w:ascii="Arial" w:hAnsi="Arial" w:cs="Arial"/>
          <w:b/>
          <w:bCs/>
          <w:color w:val="000000"/>
          <w:sz w:val="22"/>
          <w:szCs w:val="22"/>
        </w:rPr>
        <w:t>4. Supporting holistic and preventative practice</w:t>
      </w:r>
    </w:p>
    <w:p w14:paraId="6509EEBB"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Person-centred care views the person as a whole, including their social, cultural, and environmental context. The Social Model complements this by highlighting the wider determinants of wellbeing—housing, employment, accessibility, inclusion—and encouraging preventative approaches that address social barriers rather than relying solely on medical intervention.</w:t>
      </w:r>
    </w:p>
    <w:p w14:paraId="49186475"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The social model’s influence is strongly visible in modern policy frameworks. In the UK, initiatives such as </w:t>
      </w:r>
      <w:r w:rsidRPr="00B36D7E">
        <w:rPr>
          <w:rFonts w:ascii="Arial" w:hAnsi="Arial" w:cs="Arial"/>
          <w:b/>
          <w:bCs/>
          <w:sz w:val="22"/>
        </w:rPr>
        <w:t>personalisation</w:t>
      </w:r>
      <w:r w:rsidRPr="00B36D7E">
        <w:rPr>
          <w:rFonts w:ascii="Arial" w:hAnsi="Arial" w:cs="Arial"/>
          <w:sz w:val="22"/>
        </w:rPr>
        <w:t xml:space="preserve">, </w:t>
      </w:r>
      <w:r w:rsidRPr="00B36D7E">
        <w:rPr>
          <w:rFonts w:ascii="Arial" w:hAnsi="Arial" w:cs="Arial"/>
          <w:b/>
          <w:bCs/>
          <w:sz w:val="22"/>
        </w:rPr>
        <w:t>direct payments</w:t>
      </w:r>
      <w:r w:rsidRPr="00B36D7E">
        <w:rPr>
          <w:rFonts w:ascii="Arial" w:hAnsi="Arial" w:cs="Arial"/>
          <w:sz w:val="22"/>
        </w:rPr>
        <w:t xml:space="preserve">, and </w:t>
      </w:r>
      <w:r w:rsidRPr="00B36D7E">
        <w:rPr>
          <w:rFonts w:ascii="Arial" w:hAnsi="Arial" w:cs="Arial"/>
          <w:b/>
          <w:bCs/>
          <w:sz w:val="22"/>
        </w:rPr>
        <w:t>individual budgets</w:t>
      </w:r>
      <w:r w:rsidRPr="00B36D7E">
        <w:rPr>
          <w:rFonts w:ascii="Arial" w:hAnsi="Arial" w:cs="Arial"/>
          <w:sz w:val="22"/>
        </w:rPr>
        <w:t xml:space="preserve"> reflect a shift toward enabling autonomy and independence. These policies seek to dismantle bureaucratic or environmental barriers, allowing individuals to define their own support needs and control how services are delivered.</w:t>
      </w:r>
    </w:p>
    <w:p w14:paraId="47D2C541"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The model has also shaped professional practice by promoting concepts such as </w:t>
      </w:r>
      <w:r w:rsidRPr="00B36D7E">
        <w:rPr>
          <w:rFonts w:ascii="Arial" w:hAnsi="Arial" w:cs="Arial"/>
          <w:b/>
          <w:bCs/>
          <w:sz w:val="22"/>
        </w:rPr>
        <w:t>co-production</w:t>
      </w:r>
      <w:r w:rsidRPr="00B36D7E">
        <w:rPr>
          <w:rFonts w:ascii="Arial" w:hAnsi="Arial" w:cs="Arial"/>
          <w:sz w:val="22"/>
        </w:rPr>
        <w:t xml:space="preserve">, </w:t>
      </w:r>
      <w:r w:rsidRPr="00B36D7E">
        <w:rPr>
          <w:rFonts w:ascii="Arial" w:hAnsi="Arial" w:cs="Arial"/>
          <w:b/>
          <w:bCs/>
          <w:sz w:val="22"/>
        </w:rPr>
        <w:t>shared decision-making</w:t>
      </w:r>
      <w:r w:rsidRPr="00B36D7E">
        <w:rPr>
          <w:rFonts w:ascii="Arial" w:hAnsi="Arial" w:cs="Arial"/>
          <w:sz w:val="22"/>
        </w:rPr>
        <w:t xml:space="preserve">, and </w:t>
      </w:r>
      <w:r w:rsidRPr="00B36D7E">
        <w:rPr>
          <w:rFonts w:ascii="Arial" w:hAnsi="Arial" w:cs="Arial"/>
          <w:b/>
          <w:bCs/>
          <w:sz w:val="22"/>
        </w:rPr>
        <w:t>reasonable adjustments</w:t>
      </w:r>
      <w:r w:rsidRPr="00B36D7E">
        <w:rPr>
          <w:rFonts w:ascii="Arial" w:hAnsi="Arial" w:cs="Arial"/>
          <w:sz w:val="22"/>
        </w:rPr>
        <w:t xml:space="preserve">. Within healthcare settings, the social model supports a move away from paternalism toward collaborative relationships, aligning closely with person-centred care principles. Patients and service users </w:t>
      </w:r>
      <w:r w:rsidRPr="00B36D7E">
        <w:rPr>
          <w:rFonts w:ascii="Arial" w:hAnsi="Arial" w:cs="Arial"/>
          <w:sz w:val="22"/>
        </w:rPr>
        <w:lastRenderedPageBreak/>
        <w:t>are recognised not as passive recipients of care but as partners whose goals, preferences, and lived experiences should guide interventions.</w:t>
      </w:r>
    </w:p>
    <w:p w14:paraId="7BE625E7" w14:textId="6422AB4B" w:rsidR="00706AA7" w:rsidRPr="00B36D7E" w:rsidRDefault="00706AA7" w:rsidP="00B36D7E">
      <w:pPr>
        <w:spacing w:before="240" w:after="240" w:line="360" w:lineRule="auto"/>
        <w:rPr>
          <w:rFonts w:ascii="Arial" w:hAnsi="Arial" w:cs="Arial"/>
          <w:sz w:val="22"/>
        </w:rPr>
      </w:pPr>
      <w:r w:rsidRPr="00B36D7E">
        <w:rPr>
          <w:rFonts w:ascii="Arial" w:hAnsi="Arial" w:cs="Arial"/>
          <w:sz w:val="22"/>
        </w:rPr>
        <w:t>Additionally, the framework has had a significant impact on accessibility standards, equality legislation, inclusive education, and anti-discrimination policies. For example, accessible transport initiatives, workplace accommodations, and anticipatory duty requirements reflect the social model’s premise that society should adapt to the needs of disabled citizens, rather than expecting individuals to adjust to inaccessible structures.</w:t>
      </w:r>
    </w:p>
    <w:p w14:paraId="35D95253" w14:textId="6D37FA24" w:rsidR="00706AA7" w:rsidRPr="00B36D7E" w:rsidRDefault="00706AA7" w:rsidP="00B36D7E">
      <w:pPr>
        <w:spacing w:before="240" w:after="240" w:line="360" w:lineRule="auto"/>
        <w:rPr>
          <w:rFonts w:ascii="Arial" w:hAnsi="Arial" w:cs="Arial"/>
          <w:sz w:val="22"/>
        </w:rPr>
      </w:pPr>
    </w:p>
    <w:p w14:paraId="7F52E131" w14:textId="77777777" w:rsidR="00706AA7" w:rsidRPr="00B36D7E" w:rsidRDefault="00706AA7" w:rsidP="00B36D7E">
      <w:pPr>
        <w:pStyle w:val="Heading1"/>
        <w:keepNext w:val="0"/>
        <w:keepLines w:val="0"/>
        <w:spacing w:before="480" w:line="360" w:lineRule="auto"/>
        <w:rPr>
          <w:b/>
          <w:bCs/>
          <w:sz w:val="24"/>
          <w:szCs w:val="24"/>
        </w:rPr>
      </w:pPr>
      <w:bookmarkStart w:id="9" w:name="_Hlk215349118"/>
      <w:r w:rsidRPr="00B36D7E">
        <w:rPr>
          <w:b/>
          <w:bCs/>
          <w:sz w:val="24"/>
          <w:szCs w:val="24"/>
        </w:rPr>
        <w:t>Problems and Challenges in Applying the Social Model to Health and Social Care</w:t>
      </w:r>
    </w:p>
    <w:bookmarkEnd w:id="9"/>
    <w:p w14:paraId="2996129B"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Despite these positive developments, substantial challenges arise when operationalising the social model within real-world health and social care contexts.</w:t>
      </w:r>
    </w:p>
    <w:p w14:paraId="7D549D3F"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b/>
          <w:bCs/>
          <w:sz w:val="22"/>
        </w:rPr>
        <w:t>1. Tension Between Medical and Social Approaches</w:t>
      </w:r>
      <w:r w:rsidRPr="00B36D7E">
        <w:rPr>
          <w:rFonts w:ascii="Arial" w:hAnsi="Arial" w:cs="Arial"/>
          <w:b/>
          <w:bCs/>
          <w:sz w:val="22"/>
        </w:rPr>
        <w:br/>
      </w:r>
      <w:r w:rsidRPr="00B36D7E">
        <w:rPr>
          <w:rFonts w:ascii="Arial" w:hAnsi="Arial" w:cs="Arial"/>
          <w:sz w:val="22"/>
        </w:rPr>
        <w:t xml:space="preserve"> Healthcare systems inherently operate within clinical paradigms, focusing on diagnosis, treatment, and risk management. This can conflict with the social model’s emphasis on autonomy, especially when professional assessments dominate decision-making or when organisational pressures prioritise efficiency over personalised care. Clinicians may struggle to balance medical expertise with the need to recognise social barriers and service users' subjective priorities.</w:t>
      </w:r>
    </w:p>
    <w:p w14:paraId="32216B08"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b/>
          <w:bCs/>
          <w:sz w:val="22"/>
        </w:rPr>
        <w:t>2. Resource Constraints and Systemic Inequalities</w:t>
      </w:r>
      <w:r w:rsidRPr="00B36D7E">
        <w:rPr>
          <w:rFonts w:ascii="Arial" w:hAnsi="Arial" w:cs="Arial"/>
          <w:b/>
          <w:bCs/>
          <w:sz w:val="22"/>
        </w:rPr>
        <w:br/>
      </w:r>
      <w:r w:rsidRPr="00B36D7E">
        <w:rPr>
          <w:rFonts w:ascii="Arial" w:hAnsi="Arial" w:cs="Arial"/>
          <w:sz w:val="22"/>
        </w:rPr>
        <w:t xml:space="preserve"> While the social model promotes barrier removal, many health and social care settings face funding shortages, workforce pressures, and limited infrastructure. Without adequate resources, commitments to accessibility and personalisation become difficult to translate into practice. For example, insufficient staffing can restrict the time available for meaningful shared decision-making.</w:t>
      </w:r>
    </w:p>
    <w:p w14:paraId="4713D02C"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b/>
          <w:bCs/>
          <w:sz w:val="22"/>
        </w:rPr>
        <w:t>3. Risk Aversion and Safeguarding Pressures</w:t>
      </w:r>
      <w:r w:rsidRPr="00B36D7E">
        <w:rPr>
          <w:rFonts w:ascii="Arial" w:hAnsi="Arial" w:cs="Arial"/>
          <w:b/>
          <w:bCs/>
          <w:sz w:val="22"/>
        </w:rPr>
        <w:br/>
      </w:r>
      <w:r w:rsidRPr="00B36D7E">
        <w:rPr>
          <w:rFonts w:ascii="Arial" w:hAnsi="Arial" w:cs="Arial"/>
          <w:sz w:val="22"/>
        </w:rPr>
        <w:t xml:space="preserve"> The health and social care sectors often operate within highly risk-averse cultures. Safeguarding policies, although essential, can be implemented in paternalistic ways that undermine autonomy. Professionals may default to restrictive practices—such as limiting choice or independence—to reduce perceived liability, contradicting the social model's ethos.</w:t>
      </w:r>
    </w:p>
    <w:p w14:paraId="5E25FFA6"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b/>
          <w:bCs/>
          <w:sz w:val="22"/>
        </w:rPr>
        <w:lastRenderedPageBreak/>
        <w:t>4. Marginalisation of Certain Impairment Groups</w:t>
      </w:r>
      <w:r w:rsidRPr="00B36D7E">
        <w:rPr>
          <w:rFonts w:ascii="Arial" w:hAnsi="Arial" w:cs="Arial"/>
          <w:b/>
          <w:bCs/>
          <w:sz w:val="22"/>
        </w:rPr>
        <w:br/>
      </w:r>
      <w:r w:rsidRPr="00B36D7E">
        <w:rPr>
          <w:rFonts w:ascii="Arial" w:hAnsi="Arial" w:cs="Arial"/>
          <w:sz w:val="22"/>
        </w:rPr>
        <w:t xml:space="preserve"> People with learning disabilities, dementia, or complex communication needs often experience barriers that require more than environmental modifications. Critics argue that a strict interpretation of the social model may inadequately address the reality of individuals who require substantial support or whose impairments fluctuate. Inflexible application may result in unmet needs or failure to recognise genuine medical or therapeutic requirements.</w:t>
      </w:r>
    </w:p>
    <w:p w14:paraId="72CD7112"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b/>
          <w:bCs/>
          <w:sz w:val="22"/>
        </w:rPr>
        <w:t>5. Implementation Gaps Between Policy and Practice</w:t>
      </w:r>
      <w:r w:rsidRPr="00B36D7E">
        <w:rPr>
          <w:rFonts w:ascii="Arial" w:hAnsi="Arial" w:cs="Arial"/>
          <w:b/>
          <w:bCs/>
          <w:sz w:val="22"/>
        </w:rPr>
        <w:br/>
      </w:r>
      <w:r w:rsidRPr="00B36D7E">
        <w:rPr>
          <w:rFonts w:ascii="Arial" w:hAnsi="Arial" w:cs="Arial"/>
          <w:sz w:val="22"/>
        </w:rPr>
        <w:t xml:space="preserve"> Although policies increasingly reflect the social model, practice is inconsistent. Service users frequently report feeling unheard, disempowered, or constrained by rigid bureaucratic processes. This “implementation gap” suggests that cultural transformation within organisations lags behind legislative and policy ambitions.</w:t>
      </w:r>
    </w:p>
    <w:p w14:paraId="17841591" w14:textId="77777777" w:rsidR="00706AA7" w:rsidRPr="00B36D7E" w:rsidRDefault="00706AA7" w:rsidP="00B36D7E">
      <w:pPr>
        <w:spacing w:before="240" w:after="240" w:line="360" w:lineRule="auto"/>
        <w:rPr>
          <w:rFonts w:ascii="Arial" w:hAnsi="Arial" w:cs="Arial"/>
          <w:sz w:val="22"/>
        </w:rPr>
      </w:pPr>
    </w:p>
    <w:p w14:paraId="4CAD966B" w14:textId="3A7068BA" w:rsidR="00706AA7" w:rsidRPr="00B36D7E" w:rsidRDefault="00706AA7" w:rsidP="00B36D7E">
      <w:pPr>
        <w:spacing w:line="360" w:lineRule="auto"/>
        <w:rPr>
          <w:rFonts w:ascii="Arial" w:hAnsi="Arial" w:cs="Arial"/>
          <w:color w:val="0070C0"/>
          <w:sz w:val="22"/>
        </w:rPr>
      </w:pPr>
    </w:p>
    <w:p w14:paraId="555F03FF" w14:textId="77777777" w:rsidR="00706AA7" w:rsidRPr="00B36D7E" w:rsidRDefault="00706AA7" w:rsidP="00B36D7E">
      <w:pPr>
        <w:pStyle w:val="Heading1"/>
        <w:keepNext w:val="0"/>
        <w:keepLines w:val="0"/>
        <w:spacing w:before="480" w:line="360" w:lineRule="auto"/>
        <w:rPr>
          <w:b/>
          <w:bCs/>
          <w:sz w:val="24"/>
          <w:szCs w:val="24"/>
        </w:rPr>
      </w:pPr>
      <w:bookmarkStart w:id="10" w:name="_Hlk215349160"/>
      <w:r w:rsidRPr="00B36D7E">
        <w:rPr>
          <w:b/>
          <w:bCs/>
          <w:sz w:val="24"/>
          <w:szCs w:val="24"/>
        </w:rPr>
        <w:t>Recommendations for Strengthening Person-Centred Care Through the Social Model</w:t>
      </w:r>
    </w:p>
    <w:bookmarkEnd w:id="10"/>
    <w:p w14:paraId="392930C5"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To enhance the integration of the social model into health and social care, several evidence-informed recommendations can be made:</w:t>
      </w:r>
    </w:p>
    <w:p w14:paraId="7C40B4F4"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b/>
          <w:bCs/>
          <w:sz w:val="22"/>
        </w:rPr>
        <w:t>1. Promote a Balanced, Interactional Understanding of Disability</w:t>
      </w:r>
      <w:r w:rsidRPr="00B36D7E">
        <w:rPr>
          <w:rFonts w:ascii="Arial" w:hAnsi="Arial" w:cs="Arial"/>
          <w:b/>
          <w:bCs/>
          <w:sz w:val="22"/>
        </w:rPr>
        <w:br/>
      </w:r>
      <w:r w:rsidRPr="00B36D7E">
        <w:rPr>
          <w:rFonts w:ascii="Arial" w:hAnsi="Arial" w:cs="Arial"/>
          <w:sz w:val="22"/>
        </w:rPr>
        <w:t xml:space="preserve"> Services should embrace a more nuanced approach that retains the social model’s commitment to rights and barrier removal but also acknowledges the embodied realities of impairment. Training programmes should introduce hybrid frameworks (e.g., biopsychosocial and relational models) to enhance practitioners’ understanding and reduce false dichotomies between medical and social paradigms.</w:t>
      </w:r>
    </w:p>
    <w:p w14:paraId="596AE81B"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b/>
          <w:bCs/>
          <w:sz w:val="22"/>
        </w:rPr>
        <w:t>2. Strengthen Co-Production and Lived-Experience Leadership</w:t>
      </w:r>
      <w:r w:rsidRPr="00B36D7E">
        <w:rPr>
          <w:rFonts w:ascii="Arial" w:hAnsi="Arial" w:cs="Arial"/>
          <w:b/>
          <w:bCs/>
          <w:sz w:val="22"/>
        </w:rPr>
        <w:br/>
      </w:r>
      <w:r w:rsidRPr="00B36D7E">
        <w:rPr>
          <w:rFonts w:ascii="Arial" w:hAnsi="Arial" w:cs="Arial"/>
          <w:sz w:val="22"/>
        </w:rPr>
        <w:t xml:space="preserve"> Policy development, service design, and evaluation should actively involve disabled people as equal partners. Co-production ensures that services reflect the priorities of those they support rather than institutional convenience. This includes representation from diverse impairment groups and communities whose experiences have historically been overlooked.</w:t>
      </w:r>
    </w:p>
    <w:p w14:paraId="75572A33"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b/>
          <w:bCs/>
          <w:sz w:val="22"/>
        </w:rPr>
        <w:t>3. Invest in Accessibility, Workforce Capacity, and Infrastructure</w:t>
      </w:r>
      <w:r w:rsidRPr="00B36D7E">
        <w:rPr>
          <w:rFonts w:ascii="Arial" w:hAnsi="Arial" w:cs="Arial"/>
          <w:b/>
          <w:bCs/>
          <w:sz w:val="22"/>
        </w:rPr>
        <w:br/>
      </w:r>
      <w:r w:rsidRPr="00B36D7E">
        <w:rPr>
          <w:rFonts w:ascii="Arial" w:hAnsi="Arial" w:cs="Arial"/>
          <w:sz w:val="22"/>
        </w:rPr>
        <w:t xml:space="preserve"> Governments and service providers must commit to adequate funding to enable meaningful personalisation. Investment is required not only for physical accessibility but also for staffing </w:t>
      </w:r>
      <w:r w:rsidRPr="00B36D7E">
        <w:rPr>
          <w:rFonts w:ascii="Arial" w:hAnsi="Arial" w:cs="Arial"/>
          <w:sz w:val="22"/>
        </w:rPr>
        <w:lastRenderedPageBreak/>
        <w:t>levels, communication technologies, inclusive digital services, and training that equips professionals to deliver person-centred approaches effectively.</w:t>
      </w:r>
    </w:p>
    <w:p w14:paraId="2BFAD0ED"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b/>
          <w:bCs/>
          <w:sz w:val="22"/>
        </w:rPr>
        <w:t>4. Reform Organisational Cultures and Risk Frameworks</w:t>
      </w:r>
      <w:r w:rsidRPr="00B36D7E">
        <w:rPr>
          <w:rFonts w:ascii="Arial" w:hAnsi="Arial" w:cs="Arial"/>
          <w:b/>
          <w:bCs/>
          <w:sz w:val="22"/>
        </w:rPr>
        <w:br/>
      </w:r>
      <w:r w:rsidRPr="00B36D7E">
        <w:rPr>
          <w:rFonts w:ascii="Arial" w:hAnsi="Arial" w:cs="Arial"/>
          <w:sz w:val="22"/>
        </w:rPr>
        <w:t xml:space="preserve"> Risk management policies should prioritise enabling choice and independence rather than restricting them. Positive risk-taking frameworks can help practitioners support autonomy while fulfilling safeguarding duties. Leadership support is crucial to shift organisational culture away from paternalism.</w:t>
      </w:r>
    </w:p>
    <w:p w14:paraId="502DEB3D"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b/>
          <w:bCs/>
          <w:sz w:val="22"/>
        </w:rPr>
        <w:t>5. Improve Accountability and Monitoring of Person-Centred Practice</w:t>
      </w:r>
      <w:r w:rsidRPr="00B36D7E">
        <w:rPr>
          <w:rFonts w:ascii="Arial" w:hAnsi="Arial" w:cs="Arial"/>
          <w:b/>
          <w:bCs/>
          <w:sz w:val="22"/>
        </w:rPr>
        <w:br/>
      </w:r>
      <w:r w:rsidRPr="00B36D7E">
        <w:rPr>
          <w:rFonts w:ascii="Arial" w:hAnsi="Arial" w:cs="Arial"/>
          <w:sz w:val="22"/>
        </w:rPr>
        <w:t xml:space="preserve"> Clearer standards and auditing processes can help ensure that policies grounded in the social model are translated into practice. This may include user-led evaluations, quality-of-life outcome measures, and accountability mechanisms that reward autonomy-enhancing practices rather than solely clinical efficiency.</w:t>
      </w:r>
    </w:p>
    <w:p w14:paraId="66B7AA3F" w14:textId="4C2D033B" w:rsidR="00706AA7" w:rsidRPr="00B36D7E" w:rsidRDefault="00706AA7" w:rsidP="00B36D7E">
      <w:pPr>
        <w:spacing w:before="240" w:after="240" w:line="360" w:lineRule="auto"/>
        <w:rPr>
          <w:rFonts w:ascii="Arial" w:hAnsi="Arial" w:cs="Arial"/>
          <w:sz w:val="22"/>
        </w:rPr>
      </w:pPr>
      <w:r w:rsidRPr="00B36D7E">
        <w:rPr>
          <w:rFonts w:ascii="Arial" w:hAnsi="Arial" w:cs="Arial"/>
          <w:b/>
          <w:bCs/>
          <w:sz w:val="22"/>
        </w:rPr>
        <w:t>6. Ensure Inclusion of People with Cognitive, Communication, and Mental Health Impairments</w:t>
      </w:r>
      <w:r w:rsidRPr="00B36D7E">
        <w:rPr>
          <w:rFonts w:ascii="Arial" w:hAnsi="Arial" w:cs="Arial"/>
          <w:b/>
          <w:bCs/>
          <w:sz w:val="22"/>
        </w:rPr>
        <w:br/>
      </w:r>
      <w:r w:rsidRPr="00B36D7E">
        <w:rPr>
          <w:rFonts w:ascii="Arial" w:hAnsi="Arial" w:cs="Arial"/>
          <w:sz w:val="22"/>
        </w:rPr>
        <w:t xml:space="preserve"> Policy and practice should adopt flexible approaches that recognise diverse support needs. Tools such as accessible information standards, supported decision-making frameworks, and communication-affirming environments can reduce exclusion and promote more equitable person-</w:t>
      </w:r>
      <w:r w:rsidR="00B36D7E" w:rsidRPr="00B36D7E">
        <w:rPr>
          <w:rFonts w:ascii="Arial" w:hAnsi="Arial" w:cs="Arial"/>
          <w:sz w:val="22"/>
        </w:rPr>
        <w:t>centred</w:t>
      </w:r>
    </w:p>
    <w:p w14:paraId="74BA67E4" w14:textId="77777777" w:rsidR="00B36D7E" w:rsidRPr="00B36D7E" w:rsidRDefault="00B36D7E" w:rsidP="00B36D7E">
      <w:pPr>
        <w:spacing w:before="240" w:after="240" w:line="360" w:lineRule="auto"/>
        <w:rPr>
          <w:rFonts w:ascii="Arial" w:hAnsi="Arial" w:cs="Arial"/>
          <w:sz w:val="22"/>
        </w:rPr>
      </w:pPr>
    </w:p>
    <w:p w14:paraId="056E89F4" w14:textId="18F24AE0" w:rsidR="00706AA7" w:rsidRPr="00B36D7E" w:rsidRDefault="00706AA7" w:rsidP="00B36D7E">
      <w:pPr>
        <w:pStyle w:val="Heading1"/>
        <w:keepNext w:val="0"/>
        <w:keepLines w:val="0"/>
        <w:spacing w:before="480" w:line="360" w:lineRule="auto"/>
        <w:jc w:val="center"/>
        <w:rPr>
          <w:b/>
          <w:bCs/>
          <w:sz w:val="24"/>
          <w:szCs w:val="24"/>
        </w:rPr>
      </w:pPr>
      <w:bookmarkStart w:id="11" w:name="_yxhgkynpipyk" w:colFirst="0" w:colLast="0"/>
      <w:bookmarkStart w:id="12" w:name="_Hlk215349201"/>
      <w:bookmarkEnd w:id="11"/>
      <w:r w:rsidRPr="00B36D7E">
        <w:rPr>
          <w:b/>
          <w:bCs/>
          <w:sz w:val="24"/>
          <w:szCs w:val="24"/>
        </w:rPr>
        <w:t>Conclusion</w:t>
      </w:r>
    </w:p>
    <w:p w14:paraId="5AFE373E" w14:textId="77777777" w:rsidR="00A14675" w:rsidRPr="00B36D7E" w:rsidRDefault="00A14675" w:rsidP="00B36D7E">
      <w:pPr>
        <w:spacing w:line="360" w:lineRule="auto"/>
        <w:rPr>
          <w:rFonts w:ascii="Arial" w:hAnsi="Arial" w:cs="Arial"/>
          <w:sz w:val="22"/>
        </w:rPr>
      </w:pPr>
    </w:p>
    <w:bookmarkEnd w:id="12"/>
    <w:p w14:paraId="783742FA"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The social model of disability has played a transformative role in shaping contemporary understandings of person-centred care. By challenging the individual-deficit assumptions of the medical model, it re-centred responsibility for inclusion on society and laid the groundwork for rights-based policies, personalisation, and co-production in health and social care. However, the model is not without limitations. Critics highlight its insufficient attention to the lived realities of impairment and its tendency to privilege certain experiences over others. Moreover, the practical implementation of the social model within complex, resource-limited health and social care systems remains challenging.</w:t>
      </w:r>
    </w:p>
    <w:p w14:paraId="7B116AE0"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Nonetheless, rather than diminishing the model’s value, these critiques demonstrate the need for an enriched and flexible interpretation. When integrated with interactional </w:t>
      </w:r>
      <w:r w:rsidRPr="00B36D7E">
        <w:rPr>
          <w:rFonts w:ascii="Arial" w:hAnsi="Arial" w:cs="Arial"/>
          <w:sz w:val="22"/>
        </w:rPr>
        <w:lastRenderedPageBreak/>
        <w:t>frameworks and supported by adequate resources, strong leadership, and genuine co-production, the social model provides a powerful foundation for person-centred care that respects autonomy, promotes dignity, and recognises disabled people as active agents in their own lives. By addressing structural barriers while acknowledging individual realities, health and social care systems can move closer to delivering equitable, empowering, and truly person-centred support.</w:t>
      </w:r>
    </w:p>
    <w:p w14:paraId="3C5AC4C5" w14:textId="77777777" w:rsidR="003E4ED4" w:rsidRPr="00B36D7E" w:rsidRDefault="003E4ED4" w:rsidP="00B36D7E">
      <w:pPr>
        <w:spacing w:line="360" w:lineRule="auto"/>
        <w:rPr>
          <w:rFonts w:ascii="Arial" w:hAnsi="Arial" w:cs="Arial"/>
          <w:b/>
          <w:bCs/>
          <w:sz w:val="22"/>
        </w:rPr>
      </w:pPr>
    </w:p>
    <w:p w14:paraId="62A1B056" w14:textId="49ABBCD3" w:rsidR="003E4ED4" w:rsidRPr="00B36D7E" w:rsidRDefault="003E4ED4" w:rsidP="00B36D7E">
      <w:pPr>
        <w:spacing w:line="360" w:lineRule="auto"/>
        <w:rPr>
          <w:rFonts w:ascii="Arial" w:hAnsi="Arial" w:cs="Arial"/>
          <w:b/>
          <w:bCs/>
          <w:sz w:val="22"/>
        </w:rPr>
      </w:pPr>
    </w:p>
    <w:p w14:paraId="5C77B92D" w14:textId="7807DAF8" w:rsidR="00706AA7" w:rsidRPr="00B36D7E" w:rsidRDefault="00706AA7" w:rsidP="00B36D7E">
      <w:pPr>
        <w:spacing w:line="360" w:lineRule="auto"/>
        <w:rPr>
          <w:rFonts w:ascii="Arial" w:hAnsi="Arial" w:cs="Arial"/>
          <w:b/>
          <w:bCs/>
          <w:sz w:val="22"/>
        </w:rPr>
      </w:pPr>
    </w:p>
    <w:p w14:paraId="60686450" w14:textId="0CBBA121" w:rsidR="00706AA7" w:rsidRDefault="00706AA7" w:rsidP="00B36D7E">
      <w:pPr>
        <w:spacing w:line="360" w:lineRule="auto"/>
        <w:rPr>
          <w:rFonts w:ascii="Arial" w:hAnsi="Arial" w:cs="Arial"/>
          <w:b/>
          <w:bCs/>
          <w:sz w:val="22"/>
        </w:rPr>
      </w:pPr>
    </w:p>
    <w:p w14:paraId="15213114" w14:textId="356487AF" w:rsidR="00B36D7E" w:rsidRDefault="00B36D7E" w:rsidP="00B36D7E">
      <w:pPr>
        <w:spacing w:line="360" w:lineRule="auto"/>
        <w:rPr>
          <w:rFonts w:ascii="Arial" w:hAnsi="Arial" w:cs="Arial"/>
          <w:b/>
          <w:bCs/>
          <w:sz w:val="22"/>
        </w:rPr>
      </w:pPr>
    </w:p>
    <w:p w14:paraId="6CB61FFC" w14:textId="21F5F777" w:rsidR="00B36D7E" w:rsidRDefault="00B36D7E" w:rsidP="00B36D7E">
      <w:pPr>
        <w:spacing w:line="360" w:lineRule="auto"/>
        <w:rPr>
          <w:rFonts w:ascii="Arial" w:hAnsi="Arial" w:cs="Arial"/>
          <w:b/>
          <w:bCs/>
          <w:sz w:val="22"/>
        </w:rPr>
      </w:pPr>
    </w:p>
    <w:p w14:paraId="74235FE0" w14:textId="77777777" w:rsidR="00B36D7E" w:rsidRPr="00B36D7E" w:rsidRDefault="00B36D7E" w:rsidP="00B36D7E">
      <w:pPr>
        <w:spacing w:line="360" w:lineRule="auto"/>
        <w:rPr>
          <w:rFonts w:ascii="Arial" w:hAnsi="Arial" w:cs="Arial"/>
          <w:b/>
          <w:bCs/>
          <w:sz w:val="22"/>
        </w:rPr>
      </w:pPr>
    </w:p>
    <w:p w14:paraId="04112298" w14:textId="77777777" w:rsidR="00706AA7" w:rsidRPr="00B36D7E" w:rsidRDefault="00706AA7" w:rsidP="00B36D7E">
      <w:pPr>
        <w:spacing w:line="360" w:lineRule="auto"/>
        <w:rPr>
          <w:rFonts w:ascii="Arial" w:hAnsi="Arial" w:cs="Arial"/>
          <w:b/>
          <w:bCs/>
          <w:sz w:val="22"/>
        </w:rPr>
      </w:pPr>
    </w:p>
    <w:p w14:paraId="0C970D00" w14:textId="75E1C965" w:rsidR="006D2F2D" w:rsidRPr="00B36D7E" w:rsidRDefault="006D2F2D" w:rsidP="00B36D7E">
      <w:pPr>
        <w:spacing w:line="360" w:lineRule="auto"/>
        <w:rPr>
          <w:rFonts w:ascii="Arial" w:hAnsi="Arial" w:cs="Arial"/>
          <w:color w:val="0070C0"/>
          <w:sz w:val="22"/>
        </w:rPr>
      </w:pPr>
    </w:p>
    <w:p w14:paraId="71F81529" w14:textId="77777777" w:rsidR="00B36D7E" w:rsidRPr="00B36D7E" w:rsidRDefault="00B36D7E" w:rsidP="00B36D7E">
      <w:pPr>
        <w:spacing w:line="360" w:lineRule="auto"/>
        <w:rPr>
          <w:rFonts w:ascii="Arial" w:hAnsi="Arial" w:cs="Arial"/>
          <w:color w:val="0070C0"/>
          <w:sz w:val="22"/>
        </w:rPr>
      </w:pPr>
    </w:p>
    <w:p w14:paraId="6DFCE1A1" w14:textId="31D21A08" w:rsidR="00706AA7" w:rsidRDefault="00706AA7" w:rsidP="00B36D7E">
      <w:pPr>
        <w:spacing w:line="360" w:lineRule="auto"/>
        <w:rPr>
          <w:rFonts w:ascii="Arial" w:hAnsi="Arial" w:cs="Arial"/>
          <w:color w:val="0070C0"/>
          <w:sz w:val="22"/>
        </w:rPr>
      </w:pPr>
    </w:p>
    <w:p w14:paraId="643D78C0" w14:textId="254E4168" w:rsidR="001D3FB5" w:rsidRDefault="001D3FB5" w:rsidP="00B36D7E">
      <w:pPr>
        <w:spacing w:line="360" w:lineRule="auto"/>
        <w:rPr>
          <w:rFonts w:ascii="Arial" w:hAnsi="Arial" w:cs="Arial"/>
          <w:color w:val="0070C0"/>
          <w:sz w:val="22"/>
        </w:rPr>
      </w:pPr>
    </w:p>
    <w:p w14:paraId="462FFC96" w14:textId="39F9DD1C" w:rsidR="001D3FB5" w:rsidRDefault="001D3FB5" w:rsidP="00B36D7E">
      <w:pPr>
        <w:spacing w:line="360" w:lineRule="auto"/>
        <w:rPr>
          <w:rFonts w:ascii="Arial" w:hAnsi="Arial" w:cs="Arial"/>
          <w:color w:val="0070C0"/>
          <w:sz w:val="22"/>
        </w:rPr>
      </w:pPr>
    </w:p>
    <w:p w14:paraId="41A4541D" w14:textId="583BA750" w:rsidR="001D3FB5" w:rsidRDefault="001D3FB5" w:rsidP="00B36D7E">
      <w:pPr>
        <w:spacing w:line="360" w:lineRule="auto"/>
        <w:rPr>
          <w:rFonts w:ascii="Arial" w:hAnsi="Arial" w:cs="Arial"/>
          <w:color w:val="0070C0"/>
          <w:sz w:val="22"/>
        </w:rPr>
      </w:pPr>
    </w:p>
    <w:p w14:paraId="038E8C8C" w14:textId="0EB27A3B" w:rsidR="001D3FB5" w:rsidRDefault="001D3FB5" w:rsidP="00B36D7E">
      <w:pPr>
        <w:spacing w:line="360" w:lineRule="auto"/>
        <w:rPr>
          <w:rFonts w:ascii="Arial" w:hAnsi="Arial" w:cs="Arial"/>
          <w:color w:val="0070C0"/>
          <w:sz w:val="22"/>
        </w:rPr>
      </w:pPr>
    </w:p>
    <w:p w14:paraId="7007D2B7" w14:textId="772BB9E7" w:rsidR="001D3FB5" w:rsidRDefault="001D3FB5" w:rsidP="00B36D7E">
      <w:pPr>
        <w:spacing w:line="360" w:lineRule="auto"/>
        <w:rPr>
          <w:rFonts w:ascii="Arial" w:hAnsi="Arial" w:cs="Arial"/>
          <w:color w:val="0070C0"/>
          <w:sz w:val="22"/>
        </w:rPr>
      </w:pPr>
    </w:p>
    <w:p w14:paraId="6387C3D5" w14:textId="6A70B864" w:rsidR="001D3FB5" w:rsidRDefault="001D3FB5" w:rsidP="00B36D7E">
      <w:pPr>
        <w:spacing w:line="360" w:lineRule="auto"/>
        <w:rPr>
          <w:rFonts w:ascii="Arial" w:hAnsi="Arial" w:cs="Arial"/>
          <w:color w:val="0070C0"/>
          <w:sz w:val="22"/>
        </w:rPr>
      </w:pPr>
    </w:p>
    <w:p w14:paraId="015EB165" w14:textId="28C813BC" w:rsidR="001D3FB5" w:rsidRDefault="001D3FB5" w:rsidP="00B36D7E">
      <w:pPr>
        <w:spacing w:line="360" w:lineRule="auto"/>
        <w:rPr>
          <w:rFonts w:ascii="Arial" w:hAnsi="Arial" w:cs="Arial"/>
          <w:color w:val="0070C0"/>
          <w:sz w:val="22"/>
        </w:rPr>
      </w:pPr>
    </w:p>
    <w:p w14:paraId="1EA9D4F0" w14:textId="4A13CD75" w:rsidR="001D3FB5" w:rsidRDefault="001D3FB5" w:rsidP="00B36D7E">
      <w:pPr>
        <w:spacing w:line="360" w:lineRule="auto"/>
        <w:rPr>
          <w:rFonts w:ascii="Arial" w:hAnsi="Arial" w:cs="Arial"/>
          <w:color w:val="0070C0"/>
          <w:sz w:val="22"/>
        </w:rPr>
      </w:pPr>
    </w:p>
    <w:p w14:paraId="74BDDD5D" w14:textId="32E22D26" w:rsidR="00D015B1" w:rsidRDefault="00D015B1" w:rsidP="00B36D7E">
      <w:pPr>
        <w:spacing w:line="360" w:lineRule="auto"/>
        <w:rPr>
          <w:rFonts w:ascii="Arial" w:hAnsi="Arial" w:cs="Arial"/>
          <w:color w:val="0070C0"/>
          <w:sz w:val="22"/>
        </w:rPr>
      </w:pPr>
    </w:p>
    <w:p w14:paraId="29EAE818" w14:textId="77777777" w:rsidR="00D015B1" w:rsidRPr="00B36D7E" w:rsidRDefault="00D015B1" w:rsidP="00B36D7E">
      <w:pPr>
        <w:spacing w:line="360" w:lineRule="auto"/>
        <w:rPr>
          <w:rFonts w:ascii="Arial" w:hAnsi="Arial" w:cs="Arial"/>
          <w:color w:val="0070C0"/>
          <w:sz w:val="22"/>
        </w:rPr>
      </w:pPr>
    </w:p>
    <w:p w14:paraId="2702DFD6" w14:textId="77777777" w:rsidR="00706AA7" w:rsidRPr="00B36D7E" w:rsidRDefault="00706AA7" w:rsidP="00B36D7E">
      <w:pPr>
        <w:pStyle w:val="Heading1"/>
        <w:keepNext w:val="0"/>
        <w:keepLines w:val="0"/>
        <w:spacing w:before="480" w:line="360" w:lineRule="auto"/>
        <w:jc w:val="center"/>
        <w:rPr>
          <w:b/>
          <w:bCs/>
          <w:sz w:val="24"/>
          <w:szCs w:val="24"/>
        </w:rPr>
      </w:pPr>
      <w:r w:rsidRPr="00B36D7E">
        <w:rPr>
          <w:b/>
          <w:bCs/>
          <w:sz w:val="24"/>
          <w:szCs w:val="24"/>
        </w:rPr>
        <w:lastRenderedPageBreak/>
        <w:t>References</w:t>
      </w:r>
    </w:p>
    <w:p w14:paraId="3451EC09"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Albrecht, G., Seelman, K. &amp; Bury, M. (eds.) (2001) </w:t>
      </w:r>
      <w:r w:rsidRPr="00B36D7E">
        <w:rPr>
          <w:rFonts w:ascii="Arial" w:hAnsi="Arial" w:cs="Arial"/>
          <w:i/>
          <w:iCs/>
          <w:sz w:val="22"/>
        </w:rPr>
        <w:t>Handbook of Disability Studies</w:t>
      </w:r>
      <w:r w:rsidRPr="00B36D7E">
        <w:rPr>
          <w:rFonts w:ascii="Arial" w:hAnsi="Arial" w:cs="Arial"/>
          <w:sz w:val="22"/>
        </w:rPr>
        <w:t>. Thousand Oaks: Sage.</w:t>
      </w:r>
    </w:p>
    <w:p w14:paraId="45D8E033"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Barnes, C. (1991) </w:t>
      </w:r>
      <w:r w:rsidRPr="00B36D7E">
        <w:rPr>
          <w:rFonts w:ascii="Arial" w:hAnsi="Arial" w:cs="Arial"/>
          <w:i/>
          <w:iCs/>
          <w:sz w:val="22"/>
        </w:rPr>
        <w:t>Disabled People in Britain and Discrimination: A Case for Anti-Discrimination Legislation</w:t>
      </w:r>
      <w:r w:rsidRPr="00B36D7E">
        <w:rPr>
          <w:rFonts w:ascii="Arial" w:hAnsi="Arial" w:cs="Arial"/>
          <w:sz w:val="22"/>
        </w:rPr>
        <w:t>. London: Hurst.</w:t>
      </w:r>
    </w:p>
    <w:p w14:paraId="2C1DD095"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Barnes, C. &amp; Mercer, G. (2010) </w:t>
      </w:r>
      <w:r w:rsidRPr="00B36D7E">
        <w:rPr>
          <w:rFonts w:ascii="Arial" w:hAnsi="Arial" w:cs="Arial"/>
          <w:i/>
          <w:iCs/>
          <w:sz w:val="22"/>
        </w:rPr>
        <w:t>Exploring Disability</w:t>
      </w:r>
      <w:r w:rsidRPr="00B36D7E">
        <w:rPr>
          <w:rFonts w:ascii="Arial" w:hAnsi="Arial" w:cs="Arial"/>
          <w:sz w:val="22"/>
        </w:rPr>
        <w:t xml:space="preserve"> (2nd ed.). Cambridge: Polity Press.</w:t>
      </w:r>
    </w:p>
    <w:p w14:paraId="0ED7A59F"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Beresford, P. (2016) </w:t>
      </w:r>
      <w:r w:rsidRPr="00B36D7E">
        <w:rPr>
          <w:rFonts w:ascii="Arial" w:hAnsi="Arial" w:cs="Arial"/>
          <w:i/>
          <w:iCs/>
          <w:sz w:val="22"/>
        </w:rPr>
        <w:t>All Our Welfare: Towards Participatory Social Policy</w:t>
      </w:r>
      <w:r w:rsidRPr="00B36D7E">
        <w:rPr>
          <w:rFonts w:ascii="Arial" w:hAnsi="Arial" w:cs="Arial"/>
          <w:sz w:val="22"/>
        </w:rPr>
        <w:t>. Bristol: Policy Press.</w:t>
      </w:r>
    </w:p>
    <w:p w14:paraId="01F96ECD"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Bogg, D. (2020) </w:t>
      </w:r>
      <w:r w:rsidRPr="00B36D7E">
        <w:rPr>
          <w:rFonts w:ascii="Arial" w:hAnsi="Arial" w:cs="Arial"/>
          <w:i/>
          <w:iCs/>
          <w:sz w:val="22"/>
        </w:rPr>
        <w:t>The Care Act 2014: An Annotated Guide</w:t>
      </w:r>
      <w:r w:rsidRPr="00B36D7E">
        <w:rPr>
          <w:rFonts w:ascii="Arial" w:hAnsi="Arial" w:cs="Arial"/>
          <w:sz w:val="22"/>
        </w:rPr>
        <w:t>. 2nd ed. London: Palgrave Macmillan.</w:t>
      </w:r>
    </w:p>
    <w:p w14:paraId="591C5E20"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Department of Health (2001) </w:t>
      </w:r>
      <w:r w:rsidRPr="00B36D7E">
        <w:rPr>
          <w:rFonts w:ascii="Arial" w:hAnsi="Arial" w:cs="Arial"/>
          <w:i/>
          <w:iCs/>
          <w:sz w:val="22"/>
        </w:rPr>
        <w:t>Valuing People: A New Strategy for Learning Disability for the 21st Century</w:t>
      </w:r>
      <w:r w:rsidRPr="00B36D7E">
        <w:rPr>
          <w:rFonts w:ascii="Arial" w:hAnsi="Arial" w:cs="Arial"/>
          <w:sz w:val="22"/>
        </w:rPr>
        <w:t>. London: DH.</w:t>
      </w:r>
    </w:p>
    <w:p w14:paraId="3053DF8C"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Department of Health (2010) </w:t>
      </w:r>
      <w:r w:rsidRPr="00B36D7E">
        <w:rPr>
          <w:rFonts w:ascii="Arial" w:hAnsi="Arial" w:cs="Arial"/>
          <w:i/>
          <w:iCs/>
          <w:sz w:val="22"/>
        </w:rPr>
        <w:t>A Vision for Adult Social Care: Capable Communities and Active Citizens</w:t>
      </w:r>
      <w:r w:rsidRPr="00B36D7E">
        <w:rPr>
          <w:rFonts w:ascii="Arial" w:hAnsi="Arial" w:cs="Arial"/>
          <w:sz w:val="22"/>
        </w:rPr>
        <w:t>. London: DH.</w:t>
      </w:r>
    </w:p>
    <w:p w14:paraId="1CB3DA40"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Department of Health and Social Care (2014) </w:t>
      </w:r>
      <w:r w:rsidRPr="00B36D7E">
        <w:rPr>
          <w:rFonts w:ascii="Arial" w:hAnsi="Arial" w:cs="Arial"/>
          <w:i/>
          <w:iCs/>
          <w:sz w:val="22"/>
        </w:rPr>
        <w:t>Care and Support Statutory Guidance</w:t>
      </w:r>
      <w:r w:rsidRPr="00B36D7E">
        <w:rPr>
          <w:rFonts w:ascii="Arial" w:hAnsi="Arial" w:cs="Arial"/>
          <w:sz w:val="22"/>
        </w:rPr>
        <w:t xml:space="preserve"> under the Care Act 2014. London: DHSC.</w:t>
      </w:r>
    </w:p>
    <w:p w14:paraId="3AC87B4E"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Department of Health and Social Care (2022) </w:t>
      </w:r>
      <w:r w:rsidRPr="00B36D7E">
        <w:rPr>
          <w:rFonts w:ascii="Arial" w:hAnsi="Arial" w:cs="Arial"/>
          <w:i/>
          <w:iCs/>
          <w:sz w:val="22"/>
        </w:rPr>
        <w:t>People at the Heart of Care: Adult Social Care Reform White Paper</w:t>
      </w:r>
      <w:r w:rsidRPr="00B36D7E">
        <w:rPr>
          <w:rFonts w:ascii="Arial" w:hAnsi="Arial" w:cs="Arial"/>
          <w:sz w:val="22"/>
        </w:rPr>
        <w:t>. London: DHSC.</w:t>
      </w:r>
    </w:p>
    <w:p w14:paraId="382F1FB3"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Equality Act (2010) </w:t>
      </w:r>
      <w:r w:rsidRPr="00B36D7E">
        <w:rPr>
          <w:rFonts w:ascii="Arial" w:hAnsi="Arial" w:cs="Arial"/>
          <w:i/>
          <w:iCs/>
          <w:sz w:val="22"/>
        </w:rPr>
        <w:t>Equality Act 2010</w:t>
      </w:r>
      <w:r w:rsidRPr="00B36D7E">
        <w:rPr>
          <w:rFonts w:ascii="Arial" w:hAnsi="Arial" w:cs="Arial"/>
          <w:sz w:val="22"/>
        </w:rPr>
        <w:t>. London: The Stationery Office.</w:t>
      </w:r>
    </w:p>
    <w:p w14:paraId="02DFF0FF"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Gilson, S. &amp; DePoy, E. (2002) ‘Theoretical approaches to disability content in social work education’, </w:t>
      </w:r>
      <w:r w:rsidRPr="00B36D7E">
        <w:rPr>
          <w:rFonts w:ascii="Arial" w:hAnsi="Arial" w:cs="Arial"/>
          <w:i/>
          <w:iCs/>
          <w:sz w:val="22"/>
        </w:rPr>
        <w:t>Journal of Social Work Education</w:t>
      </w:r>
      <w:r w:rsidRPr="00B36D7E">
        <w:rPr>
          <w:rFonts w:ascii="Arial" w:hAnsi="Arial" w:cs="Arial"/>
          <w:sz w:val="22"/>
        </w:rPr>
        <w:t>, 38(1), pp. 153–165.</w:t>
      </w:r>
    </w:p>
    <w:p w14:paraId="642D0761"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Lipsky, M. (1980) </w:t>
      </w:r>
      <w:r w:rsidRPr="00B36D7E">
        <w:rPr>
          <w:rFonts w:ascii="Arial" w:hAnsi="Arial" w:cs="Arial"/>
          <w:i/>
          <w:iCs/>
          <w:sz w:val="22"/>
        </w:rPr>
        <w:t>Street-Level Bureaucracy: Dilemmas of the Individual in Public Services.</w:t>
      </w:r>
      <w:r w:rsidRPr="00B36D7E">
        <w:rPr>
          <w:rFonts w:ascii="Arial" w:hAnsi="Arial" w:cs="Arial"/>
          <w:sz w:val="22"/>
        </w:rPr>
        <w:t xml:space="preserve"> New York: Russell Sage.</w:t>
      </w:r>
    </w:p>
    <w:p w14:paraId="2E80FC8B"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Morris, J. (1991) </w:t>
      </w:r>
      <w:r w:rsidRPr="00B36D7E">
        <w:rPr>
          <w:rFonts w:ascii="Arial" w:hAnsi="Arial" w:cs="Arial"/>
          <w:i/>
          <w:iCs/>
          <w:sz w:val="22"/>
        </w:rPr>
        <w:t>Pride Against Prejudice: Transforming Attitudes to Disability.</w:t>
      </w:r>
      <w:r w:rsidRPr="00B36D7E">
        <w:rPr>
          <w:rFonts w:ascii="Arial" w:hAnsi="Arial" w:cs="Arial"/>
          <w:sz w:val="22"/>
        </w:rPr>
        <w:t xml:space="preserve"> London: Women’s Press.</w:t>
      </w:r>
    </w:p>
    <w:p w14:paraId="256524FC"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Oliver, M. (1990) </w:t>
      </w:r>
      <w:r w:rsidRPr="00B36D7E">
        <w:rPr>
          <w:rFonts w:ascii="Arial" w:hAnsi="Arial" w:cs="Arial"/>
          <w:i/>
          <w:iCs/>
          <w:sz w:val="22"/>
        </w:rPr>
        <w:t>The Politics of Disablement</w:t>
      </w:r>
      <w:r w:rsidRPr="00B36D7E">
        <w:rPr>
          <w:rFonts w:ascii="Arial" w:hAnsi="Arial" w:cs="Arial"/>
          <w:sz w:val="22"/>
        </w:rPr>
        <w:t>. Basingstoke: Macmillan.</w:t>
      </w:r>
    </w:p>
    <w:p w14:paraId="34488BC6"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lastRenderedPageBreak/>
        <w:t xml:space="preserve">Oliver, M. &amp; Barnes, C. (2012) </w:t>
      </w:r>
      <w:r w:rsidRPr="00B36D7E">
        <w:rPr>
          <w:rFonts w:ascii="Arial" w:hAnsi="Arial" w:cs="Arial"/>
          <w:i/>
          <w:iCs/>
          <w:sz w:val="22"/>
        </w:rPr>
        <w:t>The New Politics of Disablement</w:t>
      </w:r>
      <w:r w:rsidRPr="00B36D7E">
        <w:rPr>
          <w:rFonts w:ascii="Arial" w:hAnsi="Arial" w:cs="Arial"/>
          <w:sz w:val="22"/>
        </w:rPr>
        <w:t>. Basingstoke: Palgrave Macmillan.</w:t>
      </w:r>
    </w:p>
    <w:p w14:paraId="5E26F58F"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Priestley, M. (2003) </w:t>
      </w:r>
      <w:r w:rsidRPr="00B36D7E">
        <w:rPr>
          <w:rFonts w:ascii="Arial" w:hAnsi="Arial" w:cs="Arial"/>
          <w:i/>
          <w:iCs/>
          <w:sz w:val="22"/>
        </w:rPr>
        <w:t>Disability: A Life Course Approach</w:t>
      </w:r>
      <w:r w:rsidRPr="00B36D7E">
        <w:rPr>
          <w:rFonts w:ascii="Arial" w:hAnsi="Arial" w:cs="Arial"/>
          <w:sz w:val="22"/>
        </w:rPr>
        <w:t>. Cambridge: Polity Press.</w:t>
      </w:r>
    </w:p>
    <w:p w14:paraId="17A7457F"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Roulstone, A. &amp; Prideaux, S. (2012) </w:t>
      </w:r>
      <w:r w:rsidRPr="00B36D7E">
        <w:rPr>
          <w:rFonts w:ascii="Arial" w:hAnsi="Arial" w:cs="Arial"/>
          <w:i/>
          <w:iCs/>
          <w:sz w:val="22"/>
        </w:rPr>
        <w:t>Understanding Disability Policy</w:t>
      </w:r>
      <w:r w:rsidRPr="00B36D7E">
        <w:rPr>
          <w:rFonts w:ascii="Arial" w:hAnsi="Arial" w:cs="Arial"/>
          <w:sz w:val="22"/>
        </w:rPr>
        <w:t>. Bristol: Policy Press.</w:t>
      </w:r>
    </w:p>
    <w:p w14:paraId="0721C4C0"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Shakespeare, T. (2006) </w:t>
      </w:r>
      <w:r w:rsidRPr="00B36D7E">
        <w:rPr>
          <w:rFonts w:ascii="Arial" w:hAnsi="Arial" w:cs="Arial"/>
          <w:i/>
          <w:iCs/>
          <w:sz w:val="22"/>
        </w:rPr>
        <w:t>Disability Rights and Wrongs</w:t>
      </w:r>
      <w:r w:rsidRPr="00B36D7E">
        <w:rPr>
          <w:rFonts w:ascii="Arial" w:hAnsi="Arial" w:cs="Arial"/>
          <w:sz w:val="22"/>
        </w:rPr>
        <w:t>. London: Routledge.</w:t>
      </w:r>
    </w:p>
    <w:p w14:paraId="3585A24A"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Shakespeare, T. (2014) </w:t>
      </w:r>
      <w:r w:rsidRPr="00B36D7E">
        <w:rPr>
          <w:rFonts w:ascii="Arial" w:hAnsi="Arial" w:cs="Arial"/>
          <w:i/>
          <w:iCs/>
          <w:sz w:val="22"/>
        </w:rPr>
        <w:t>Disability Rights and Wrongs Revisited</w:t>
      </w:r>
      <w:r w:rsidRPr="00B36D7E">
        <w:rPr>
          <w:rFonts w:ascii="Arial" w:hAnsi="Arial" w:cs="Arial"/>
          <w:sz w:val="22"/>
        </w:rPr>
        <w:t>. 2nd ed. London: Routledge.</w:t>
      </w:r>
    </w:p>
    <w:p w14:paraId="62AFAE9F"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Shakespeare, T. &amp; Watson, N. (2001) ‘The social model of disability: An outdated ideology?’, </w:t>
      </w:r>
      <w:r w:rsidRPr="00B36D7E">
        <w:rPr>
          <w:rFonts w:ascii="Arial" w:hAnsi="Arial" w:cs="Arial"/>
          <w:i/>
          <w:iCs/>
          <w:sz w:val="22"/>
        </w:rPr>
        <w:t>Research in Social Science and Disability</w:t>
      </w:r>
      <w:r w:rsidRPr="00B36D7E">
        <w:rPr>
          <w:rFonts w:ascii="Arial" w:hAnsi="Arial" w:cs="Arial"/>
          <w:sz w:val="22"/>
        </w:rPr>
        <w:t>, 2, pp. 9–28.</w:t>
      </w:r>
    </w:p>
    <w:p w14:paraId="08CAFD61"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Slasberg, C., Beresford, P. &amp; Schofield, P. (2013) ‘The increasing evidence of how self-directed support is failing to deliver personal budgets and personalisation’, </w:t>
      </w:r>
      <w:r w:rsidRPr="00B36D7E">
        <w:rPr>
          <w:rFonts w:ascii="Arial" w:hAnsi="Arial" w:cs="Arial"/>
          <w:i/>
          <w:iCs/>
          <w:sz w:val="22"/>
        </w:rPr>
        <w:t>Research, Policy and Planning</w:t>
      </w:r>
      <w:r w:rsidRPr="00B36D7E">
        <w:rPr>
          <w:rFonts w:ascii="Arial" w:hAnsi="Arial" w:cs="Arial"/>
          <w:sz w:val="22"/>
        </w:rPr>
        <w:t>, 30(2), pp. 91–105.</w:t>
      </w:r>
    </w:p>
    <w:p w14:paraId="6E673020"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Social Care Institute for Excellence (SCIE) (2015) </w:t>
      </w:r>
      <w:r w:rsidRPr="00B36D7E">
        <w:rPr>
          <w:rFonts w:ascii="Arial" w:hAnsi="Arial" w:cs="Arial"/>
          <w:i/>
          <w:iCs/>
          <w:sz w:val="22"/>
        </w:rPr>
        <w:t>Strengths-based Approaches: Practice Framework and Handbook</w:t>
      </w:r>
      <w:r w:rsidRPr="00B36D7E">
        <w:rPr>
          <w:rFonts w:ascii="Arial" w:hAnsi="Arial" w:cs="Arial"/>
          <w:sz w:val="22"/>
        </w:rPr>
        <w:t>. London: SCIE.</w:t>
      </w:r>
    </w:p>
    <w:p w14:paraId="07AE3D2E"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Tew, J. (2011) </w:t>
      </w:r>
      <w:r w:rsidRPr="00B36D7E">
        <w:rPr>
          <w:rFonts w:ascii="Arial" w:hAnsi="Arial" w:cs="Arial"/>
          <w:i/>
          <w:iCs/>
          <w:sz w:val="22"/>
        </w:rPr>
        <w:t>Social Approaches to Mental Distress</w:t>
      </w:r>
      <w:r w:rsidRPr="00B36D7E">
        <w:rPr>
          <w:rFonts w:ascii="Arial" w:hAnsi="Arial" w:cs="Arial"/>
          <w:sz w:val="22"/>
        </w:rPr>
        <w:t>. 2nd ed. London: Palgrave Macmillan.</w:t>
      </w:r>
    </w:p>
    <w:p w14:paraId="426DC36F"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Thomas, C. (2004) ‘Developing the social relational model of disability’, </w:t>
      </w:r>
      <w:r w:rsidRPr="00B36D7E">
        <w:rPr>
          <w:rFonts w:ascii="Arial" w:hAnsi="Arial" w:cs="Arial"/>
          <w:i/>
          <w:iCs/>
          <w:sz w:val="22"/>
        </w:rPr>
        <w:t>Sociology of Health &amp; Illness</w:t>
      </w:r>
      <w:r w:rsidRPr="00B36D7E">
        <w:rPr>
          <w:rFonts w:ascii="Arial" w:hAnsi="Arial" w:cs="Arial"/>
          <w:sz w:val="22"/>
        </w:rPr>
        <w:t>, 26(2), pp. 197–212.</w:t>
      </w:r>
    </w:p>
    <w:p w14:paraId="07EF5C3C"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UPIAS (Union of the Physically Impaired Against Segregation) (1976) </w:t>
      </w:r>
      <w:r w:rsidRPr="00B36D7E">
        <w:rPr>
          <w:rFonts w:ascii="Arial" w:hAnsi="Arial" w:cs="Arial"/>
          <w:i/>
          <w:iCs/>
          <w:sz w:val="22"/>
        </w:rPr>
        <w:t>Fundamental Principles of Disability</w:t>
      </w:r>
      <w:r w:rsidRPr="00B36D7E">
        <w:rPr>
          <w:rFonts w:ascii="Arial" w:hAnsi="Arial" w:cs="Arial"/>
          <w:sz w:val="22"/>
        </w:rPr>
        <w:t>. London: UPIAS.</w:t>
      </w:r>
    </w:p>
    <w:p w14:paraId="04B21449" w14:textId="77777777" w:rsidR="00706AA7" w:rsidRPr="00B36D7E" w:rsidRDefault="00706AA7" w:rsidP="00B36D7E">
      <w:pPr>
        <w:spacing w:before="240" w:after="240" w:line="360" w:lineRule="auto"/>
        <w:rPr>
          <w:rFonts w:ascii="Arial" w:hAnsi="Arial" w:cs="Arial"/>
          <w:sz w:val="22"/>
        </w:rPr>
      </w:pPr>
      <w:r w:rsidRPr="00B36D7E">
        <w:rPr>
          <w:rFonts w:ascii="Arial" w:hAnsi="Arial" w:cs="Arial"/>
          <w:sz w:val="22"/>
        </w:rPr>
        <w:t xml:space="preserve">Williams, V., Porter, S. &amp; Marriott, A. (2014) ‘Your life, your choice? The impact of personalised budgets on the lives of people with learning disabilities’, </w:t>
      </w:r>
      <w:r w:rsidRPr="00B36D7E">
        <w:rPr>
          <w:rFonts w:ascii="Arial" w:hAnsi="Arial" w:cs="Arial"/>
          <w:i/>
          <w:iCs/>
          <w:sz w:val="22"/>
        </w:rPr>
        <w:t>British Journal of Learning Disabilities</w:t>
      </w:r>
      <w:r w:rsidRPr="00B36D7E">
        <w:rPr>
          <w:rFonts w:ascii="Arial" w:hAnsi="Arial" w:cs="Arial"/>
          <w:sz w:val="22"/>
        </w:rPr>
        <w:t>, 42(1), pp. 64–74.</w:t>
      </w:r>
    </w:p>
    <w:p w14:paraId="3EC0E79F" w14:textId="77777777" w:rsidR="00706AA7" w:rsidRPr="00B36D7E" w:rsidRDefault="00706AA7" w:rsidP="00B36D7E">
      <w:pPr>
        <w:spacing w:line="360" w:lineRule="auto"/>
        <w:rPr>
          <w:rFonts w:ascii="Arial" w:hAnsi="Arial" w:cs="Arial"/>
          <w:sz w:val="22"/>
        </w:rPr>
      </w:pPr>
    </w:p>
    <w:p w14:paraId="66F6A215" w14:textId="77777777" w:rsidR="00706AA7" w:rsidRPr="00B36D7E" w:rsidRDefault="00706AA7" w:rsidP="00B36D7E">
      <w:pPr>
        <w:spacing w:line="360" w:lineRule="auto"/>
        <w:rPr>
          <w:rFonts w:ascii="Arial" w:hAnsi="Arial" w:cs="Arial"/>
          <w:color w:val="0070C0"/>
          <w:sz w:val="22"/>
        </w:rPr>
      </w:pPr>
    </w:p>
    <w:sectPr w:rsidR="00706AA7" w:rsidRPr="00B36D7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00F71" w14:textId="77777777" w:rsidR="0049307E" w:rsidRDefault="0049307E" w:rsidP="00032A5B">
      <w:pPr>
        <w:spacing w:after="0" w:line="240" w:lineRule="auto"/>
      </w:pPr>
      <w:r>
        <w:separator/>
      </w:r>
    </w:p>
  </w:endnote>
  <w:endnote w:type="continuationSeparator" w:id="0">
    <w:p w14:paraId="474457D8" w14:textId="77777777" w:rsidR="0049307E" w:rsidRDefault="0049307E"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4875033"/>
      <w:docPartObj>
        <w:docPartGallery w:val="Page Numbers (Bottom of Page)"/>
        <w:docPartUnique/>
      </w:docPartObj>
    </w:sdtPr>
    <w:sdtEndPr>
      <w:rPr>
        <w:noProof/>
      </w:rPr>
    </w:sdtEndPr>
    <w:sdtContent>
      <w:p w14:paraId="433A91B5" w14:textId="79C2265B" w:rsidR="00450187" w:rsidRDefault="004501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2CA221" w14:textId="77777777" w:rsidR="00450187" w:rsidRDefault="004501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02FA7" w14:textId="77777777" w:rsidR="0049307E" w:rsidRDefault="0049307E" w:rsidP="00032A5B">
      <w:pPr>
        <w:spacing w:after="0" w:line="240" w:lineRule="auto"/>
      </w:pPr>
      <w:r>
        <w:separator/>
      </w:r>
    </w:p>
  </w:footnote>
  <w:footnote w:type="continuationSeparator" w:id="0">
    <w:p w14:paraId="386779DD" w14:textId="77777777" w:rsidR="0049307E" w:rsidRDefault="0049307E"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C42D9B"/>
    <w:multiLevelType w:val="hybridMultilevel"/>
    <w:tmpl w:val="FFF4C4E0"/>
    <w:lvl w:ilvl="0" w:tplc="0ED0AC50">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1716658602">
    <w:abstractNumId w:val="2"/>
  </w:num>
  <w:num w:numId="5" w16cid:durableId="16926033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1333C2"/>
    <w:rsid w:val="00176EBE"/>
    <w:rsid w:val="001D3FB5"/>
    <w:rsid w:val="00317E3D"/>
    <w:rsid w:val="003E4ED4"/>
    <w:rsid w:val="003F53F2"/>
    <w:rsid w:val="00450187"/>
    <w:rsid w:val="0049307E"/>
    <w:rsid w:val="0058218C"/>
    <w:rsid w:val="005C7832"/>
    <w:rsid w:val="006208B2"/>
    <w:rsid w:val="006524ED"/>
    <w:rsid w:val="006D2F2D"/>
    <w:rsid w:val="006E1FF9"/>
    <w:rsid w:val="006E32EC"/>
    <w:rsid w:val="00706AA7"/>
    <w:rsid w:val="00785837"/>
    <w:rsid w:val="00785886"/>
    <w:rsid w:val="007F3A6A"/>
    <w:rsid w:val="00862B53"/>
    <w:rsid w:val="00976746"/>
    <w:rsid w:val="00A14675"/>
    <w:rsid w:val="00A21711"/>
    <w:rsid w:val="00A64679"/>
    <w:rsid w:val="00B36D7E"/>
    <w:rsid w:val="00BC79FE"/>
    <w:rsid w:val="00C558B0"/>
    <w:rsid w:val="00D015B1"/>
    <w:rsid w:val="00D545BA"/>
    <w:rsid w:val="00E81204"/>
    <w:rsid w:val="00F81510"/>
    <w:rsid w:val="00FA1054"/>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A21711"/>
    <w:pPr>
      <w:keepNext/>
      <w:keepLines/>
      <w:spacing w:before="400" w:after="120" w:line="276" w:lineRule="auto"/>
      <w:outlineLvl w:val="0"/>
    </w:pPr>
    <w:rPr>
      <w:rFonts w:ascii="Arial" w:eastAsia="Arial" w:hAnsi="Arial" w:cs="Arial"/>
      <w:sz w:val="40"/>
      <w:szCs w:val="40"/>
      <w:lang w:eastAsia="en-GB"/>
    </w:rPr>
  </w:style>
  <w:style w:type="paragraph" w:styleId="Heading3">
    <w:name w:val="heading 3"/>
    <w:basedOn w:val="Normal"/>
    <w:next w:val="Normal"/>
    <w:link w:val="Heading3Char"/>
    <w:uiPriority w:val="9"/>
    <w:semiHidden/>
    <w:unhideWhenUsed/>
    <w:qFormat/>
    <w:rsid w:val="00706AA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customStyle="1" w:styleId="Heading1Char">
    <w:name w:val="Heading 1 Char"/>
    <w:basedOn w:val="DefaultParagraphFont"/>
    <w:link w:val="Heading1"/>
    <w:uiPriority w:val="9"/>
    <w:rsid w:val="00A21711"/>
    <w:rPr>
      <w:rFonts w:ascii="Arial" w:eastAsia="Arial" w:hAnsi="Arial" w:cs="Arial"/>
      <w:sz w:val="40"/>
      <w:szCs w:val="40"/>
      <w:lang w:eastAsia="en-GB"/>
    </w:rPr>
  </w:style>
  <w:style w:type="character" w:customStyle="1" w:styleId="Heading3Char">
    <w:name w:val="Heading 3 Char"/>
    <w:basedOn w:val="DefaultParagraphFont"/>
    <w:link w:val="Heading3"/>
    <w:uiPriority w:val="9"/>
    <w:semiHidden/>
    <w:rsid w:val="00706AA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TotalTime>
  <Pages>11</Pages>
  <Words>2342</Words>
  <Characters>15065</Characters>
  <Application>Microsoft Office Word</Application>
  <DocSecurity>0</DocSecurity>
  <Lines>301</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Onyemaechi Christian Meregini</cp:lastModifiedBy>
  <cp:revision>9</cp:revision>
  <dcterms:created xsi:type="dcterms:W3CDTF">2025-11-29T22:19:00Z</dcterms:created>
  <dcterms:modified xsi:type="dcterms:W3CDTF">2025-11-29T23:08:00Z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e4600964-b2be-4b47-8676-1a99bff7c793</vt:lpwstr>
  </property>
</Properties>
</file>