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8BCB2E" w14:textId="75830801" w:rsidR="009E518A" w:rsidRDefault="00A17C72">
      <w:pPr>
        <w:rPr>
          <w:rFonts w:ascii="Arial" w:hAnsi="Arial" w:cs="Arial"/>
        </w:rPr>
      </w:pPr>
      <w:r w:rsidRPr="00594FAC">
        <w:rPr>
          <w:rFonts w:ascii="Arial" w:hAnsi="Arial" w:cs="Arial"/>
          <w:noProof/>
        </w:rPr>
        <w:drawing>
          <wp:anchor distT="0" distB="0" distL="114300" distR="114300" simplePos="0" relativeHeight="251659264" behindDoc="0" locked="0" layoutInCell="1" allowOverlap="1" wp14:anchorId="3ED6FA56" wp14:editId="14836ACC">
            <wp:simplePos x="0" y="0"/>
            <wp:positionH relativeFrom="column">
              <wp:posOffset>-260350</wp:posOffset>
            </wp:positionH>
            <wp:positionV relativeFrom="paragraph">
              <wp:posOffset>0</wp:posOffset>
            </wp:positionV>
            <wp:extent cx="2698750" cy="1079500"/>
            <wp:effectExtent l="0" t="0" r="6350" b="0"/>
            <wp:wrapSquare wrapText="bothSides"/>
            <wp:docPr id="1482471357" name="Picture 1482471357"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698750" cy="1079500"/>
                    </a:xfrm>
                    <a:prstGeom prst="rect">
                      <a:avLst/>
                    </a:prstGeom>
                    <a:noFill/>
                  </pic:spPr>
                </pic:pic>
              </a:graphicData>
            </a:graphic>
            <wp14:sizeRelH relativeFrom="page">
              <wp14:pctWidth>0</wp14:pctWidth>
            </wp14:sizeRelH>
            <wp14:sizeRelV relativeFrom="page">
              <wp14:pctHeight>0</wp14:pctHeight>
            </wp14:sizeRelV>
          </wp:anchor>
        </w:drawing>
      </w:r>
    </w:p>
    <w:p w14:paraId="49F2F46F" w14:textId="77777777" w:rsidR="00A17C72" w:rsidRDefault="00A17C72">
      <w:pPr>
        <w:rPr>
          <w:rFonts w:ascii="Arial" w:hAnsi="Arial" w:cs="Arial"/>
        </w:rPr>
      </w:pPr>
    </w:p>
    <w:p w14:paraId="4FFF9274" w14:textId="77777777" w:rsidR="00A17C72" w:rsidRDefault="00A17C72">
      <w:pPr>
        <w:rPr>
          <w:rFonts w:ascii="Arial" w:hAnsi="Arial" w:cs="Arial"/>
        </w:rPr>
      </w:pPr>
    </w:p>
    <w:p w14:paraId="600A0CD8" w14:textId="77777777" w:rsidR="00A17C72" w:rsidRDefault="00A17C72">
      <w:pPr>
        <w:rPr>
          <w:rFonts w:ascii="Arial" w:hAnsi="Arial" w:cs="Arial"/>
        </w:rPr>
      </w:pPr>
    </w:p>
    <w:p w14:paraId="78B7BF4E" w14:textId="77777777" w:rsidR="00A17C72" w:rsidRDefault="00A17C72">
      <w:pPr>
        <w:rPr>
          <w:rFonts w:ascii="Arial" w:hAnsi="Arial" w:cs="Arial"/>
        </w:rPr>
      </w:pPr>
    </w:p>
    <w:p w14:paraId="0F505D92" w14:textId="77777777" w:rsidR="00A17C72" w:rsidRDefault="00A17C72">
      <w:pPr>
        <w:rPr>
          <w:rFonts w:ascii="Arial" w:hAnsi="Arial" w:cs="Arial"/>
        </w:rPr>
      </w:pPr>
    </w:p>
    <w:p w14:paraId="58EB65C9" w14:textId="77777777" w:rsidR="00A17C72" w:rsidRDefault="00A17C72">
      <w:pPr>
        <w:rPr>
          <w:rFonts w:ascii="Arial" w:hAnsi="Arial" w:cs="Arial"/>
        </w:rPr>
      </w:pPr>
    </w:p>
    <w:p w14:paraId="2B92D223" w14:textId="77777777" w:rsidR="0088459F" w:rsidRDefault="0088459F" w:rsidP="00A17C72">
      <w:pPr>
        <w:spacing w:line="360" w:lineRule="auto"/>
        <w:jc w:val="center"/>
        <w:rPr>
          <w:rFonts w:ascii="Arial" w:hAnsi="Arial" w:cs="Arial"/>
          <w:b/>
          <w:bCs/>
          <w:sz w:val="28"/>
          <w:szCs w:val="28"/>
          <w:lang w:val="en-IN"/>
        </w:rPr>
      </w:pPr>
    </w:p>
    <w:p w14:paraId="676AEC37" w14:textId="77777777" w:rsidR="0088459F" w:rsidRDefault="0088459F" w:rsidP="00A17C72">
      <w:pPr>
        <w:spacing w:line="360" w:lineRule="auto"/>
        <w:jc w:val="center"/>
        <w:rPr>
          <w:rFonts w:ascii="Arial" w:hAnsi="Arial" w:cs="Arial"/>
          <w:b/>
          <w:bCs/>
          <w:sz w:val="28"/>
          <w:szCs w:val="28"/>
          <w:lang w:val="en-IN"/>
        </w:rPr>
      </w:pPr>
    </w:p>
    <w:p w14:paraId="4E93A13D" w14:textId="77777777" w:rsidR="0088459F" w:rsidRDefault="0088459F" w:rsidP="00A17C72">
      <w:pPr>
        <w:spacing w:line="360" w:lineRule="auto"/>
        <w:jc w:val="center"/>
        <w:rPr>
          <w:rFonts w:ascii="Arial" w:hAnsi="Arial" w:cs="Arial"/>
          <w:b/>
          <w:bCs/>
          <w:sz w:val="28"/>
          <w:szCs w:val="28"/>
          <w:lang w:val="en-IN"/>
        </w:rPr>
      </w:pPr>
    </w:p>
    <w:p w14:paraId="06870987" w14:textId="77777777" w:rsidR="0088459F" w:rsidRDefault="0088459F" w:rsidP="00A17C72">
      <w:pPr>
        <w:spacing w:line="360" w:lineRule="auto"/>
        <w:jc w:val="center"/>
        <w:rPr>
          <w:rFonts w:ascii="Arial" w:hAnsi="Arial" w:cs="Arial"/>
          <w:b/>
          <w:bCs/>
          <w:sz w:val="28"/>
          <w:szCs w:val="28"/>
          <w:lang w:val="en-IN"/>
        </w:rPr>
      </w:pPr>
    </w:p>
    <w:p w14:paraId="119E5EC1" w14:textId="109D886A" w:rsidR="00A17C72" w:rsidRPr="00AB143A" w:rsidRDefault="00A17C72" w:rsidP="00A17C72">
      <w:pPr>
        <w:spacing w:line="360" w:lineRule="auto"/>
        <w:jc w:val="center"/>
        <w:rPr>
          <w:rFonts w:ascii="Arial" w:hAnsi="Arial" w:cs="Arial"/>
          <w:sz w:val="28"/>
          <w:szCs w:val="28"/>
        </w:rPr>
      </w:pPr>
      <w:r w:rsidRPr="00AB143A">
        <w:rPr>
          <w:rFonts w:ascii="Arial" w:hAnsi="Arial" w:cs="Arial"/>
          <w:b/>
          <w:bCs/>
          <w:sz w:val="28"/>
          <w:szCs w:val="28"/>
          <w:lang w:val="en-IN"/>
        </w:rPr>
        <w:t xml:space="preserve">Programme: </w:t>
      </w:r>
      <w:r w:rsidRPr="00AB143A">
        <w:rPr>
          <w:rFonts w:ascii="Arial" w:hAnsi="Arial" w:cs="Arial"/>
          <w:sz w:val="28"/>
          <w:szCs w:val="28"/>
          <w:lang w:val="en-IN"/>
        </w:rPr>
        <w:t>BSc (Hons) Health and Social Care</w:t>
      </w:r>
    </w:p>
    <w:p w14:paraId="03A5C059" w14:textId="77777777" w:rsidR="00A17C72" w:rsidRPr="00AB143A" w:rsidRDefault="00A17C72" w:rsidP="00A17C72">
      <w:pPr>
        <w:spacing w:line="360" w:lineRule="auto"/>
        <w:jc w:val="center"/>
        <w:rPr>
          <w:rFonts w:ascii="Arial" w:hAnsi="Arial" w:cs="Arial"/>
          <w:sz w:val="28"/>
          <w:szCs w:val="28"/>
          <w:lang w:val="en-IN"/>
        </w:rPr>
      </w:pPr>
      <w:r w:rsidRPr="00AB143A">
        <w:rPr>
          <w:rFonts w:ascii="Arial" w:hAnsi="Arial" w:cs="Arial"/>
          <w:b/>
          <w:bCs/>
          <w:sz w:val="28"/>
          <w:szCs w:val="28"/>
          <w:lang w:val="en-IN"/>
        </w:rPr>
        <w:t xml:space="preserve">Student name: </w:t>
      </w:r>
      <w:r w:rsidRPr="00AB143A">
        <w:rPr>
          <w:rFonts w:ascii="Arial" w:hAnsi="Arial" w:cs="Arial"/>
          <w:sz w:val="28"/>
          <w:szCs w:val="28"/>
          <w:lang w:val="en-IN"/>
        </w:rPr>
        <w:t>Marianna Florea</w:t>
      </w:r>
    </w:p>
    <w:p w14:paraId="08D0CC95" w14:textId="77777777" w:rsidR="00A17C72" w:rsidRPr="00AB143A" w:rsidRDefault="00A17C72" w:rsidP="00A17C72">
      <w:pPr>
        <w:spacing w:line="360" w:lineRule="auto"/>
        <w:jc w:val="center"/>
        <w:rPr>
          <w:rFonts w:ascii="Arial" w:hAnsi="Arial" w:cs="Arial"/>
          <w:b/>
          <w:bCs/>
          <w:sz w:val="28"/>
          <w:szCs w:val="28"/>
          <w:lang w:val="en-IN"/>
        </w:rPr>
      </w:pPr>
      <w:r w:rsidRPr="00AB143A">
        <w:rPr>
          <w:rFonts w:ascii="Arial" w:hAnsi="Arial" w:cs="Arial"/>
          <w:b/>
          <w:bCs/>
          <w:sz w:val="28"/>
          <w:szCs w:val="28"/>
          <w:lang w:val="en-IN"/>
        </w:rPr>
        <w:t xml:space="preserve">Student ID: </w:t>
      </w:r>
      <w:r w:rsidRPr="00AB143A">
        <w:rPr>
          <w:rFonts w:ascii="Arial" w:hAnsi="Arial" w:cs="Arial"/>
          <w:sz w:val="28"/>
          <w:szCs w:val="28"/>
          <w:lang w:val="en-IN"/>
        </w:rPr>
        <w:t>2244840</w:t>
      </w:r>
    </w:p>
    <w:p w14:paraId="4D453716" w14:textId="41EF1144" w:rsidR="00A17C72" w:rsidRPr="00AB143A" w:rsidRDefault="00A17C72" w:rsidP="00A17C72">
      <w:pPr>
        <w:spacing w:line="360" w:lineRule="auto"/>
        <w:jc w:val="center"/>
        <w:rPr>
          <w:rFonts w:ascii="Arial" w:hAnsi="Arial" w:cs="Arial"/>
          <w:sz w:val="28"/>
          <w:szCs w:val="28"/>
          <w:lang w:val="en-IN"/>
        </w:rPr>
      </w:pPr>
      <w:r w:rsidRPr="00AB143A">
        <w:rPr>
          <w:rFonts w:ascii="Arial" w:hAnsi="Arial" w:cs="Arial"/>
          <w:b/>
          <w:bCs/>
          <w:sz w:val="28"/>
          <w:szCs w:val="28"/>
          <w:lang w:val="en-IN"/>
        </w:rPr>
        <w:t xml:space="preserve">Module name: </w:t>
      </w:r>
      <w:r>
        <w:rPr>
          <w:rFonts w:ascii="Arial" w:hAnsi="Arial" w:cs="Arial"/>
          <w:sz w:val="28"/>
          <w:szCs w:val="28"/>
          <w:lang w:val="en-IN"/>
        </w:rPr>
        <w:t>Health, Wellbeing and Sustainable Development</w:t>
      </w:r>
    </w:p>
    <w:p w14:paraId="735F215A" w14:textId="303C3E59" w:rsidR="00A17C72" w:rsidRPr="00AB143A" w:rsidRDefault="00A17C72" w:rsidP="00A17C72">
      <w:pPr>
        <w:spacing w:line="360" w:lineRule="auto"/>
        <w:jc w:val="center"/>
        <w:rPr>
          <w:rFonts w:ascii="Arial" w:hAnsi="Arial" w:cs="Arial"/>
          <w:b/>
          <w:bCs/>
          <w:sz w:val="28"/>
          <w:szCs w:val="28"/>
        </w:rPr>
      </w:pPr>
      <w:r w:rsidRPr="00AB143A">
        <w:rPr>
          <w:rFonts w:ascii="Arial" w:hAnsi="Arial" w:cs="Arial"/>
          <w:b/>
          <w:bCs/>
          <w:sz w:val="28"/>
          <w:szCs w:val="28"/>
        </w:rPr>
        <w:t xml:space="preserve">Module code: </w:t>
      </w:r>
      <w:r w:rsidRPr="00AB143A">
        <w:rPr>
          <w:rFonts w:ascii="Arial" w:hAnsi="Arial" w:cs="Arial"/>
          <w:sz w:val="28"/>
          <w:szCs w:val="28"/>
        </w:rPr>
        <w:t>BMHP</w:t>
      </w:r>
      <w:r>
        <w:rPr>
          <w:rFonts w:ascii="Arial" w:hAnsi="Arial" w:cs="Arial"/>
          <w:sz w:val="28"/>
          <w:szCs w:val="28"/>
        </w:rPr>
        <w:t>6030</w:t>
      </w:r>
    </w:p>
    <w:p w14:paraId="238F7C26" w14:textId="6EF69A8A" w:rsidR="00A17C72" w:rsidRPr="00AB143A" w:rsidRDefault="00A17C72" w:rsidP="00A17C72">
      <w:pPr>
        <w:spacing w:line="360" w:lineRule="auto"/>
        <w:jc w:val="center"/>
        <w:rPr>
          <w:rFonts w:ascii="Arial" w:hAnsi="Arial" w:cs="Arial"/>
          <w:b/>
          <w:bCs/>
          <w:sz w:val="28"/>
          <w:szCs w:val="28"/>
        </w:rPr>
      </w:pPr>
      <w:r w:rsidRPr="00AB143A">
        <w:rPr>
          <w:rFonts w:ascii="Arial" w:hAnsi="Arial" w:cs="Arial"/>
          <w:b/>
          <w:bCs/>
          <w:sz w:val="28"/>
          <w:szCs w:val="28"/>
        </w:rPr>
        <w:t xml:space="preserve">Lecturer name: </w:t>
      </w:r>
      <w:r w:rsidRPr="00AB143A">
        <w:rPr>
          <w:rFonts w:ascii="Arial" w:hAnsi="Arial" w:cs="Arial"/>
          <w:sz w:val="28"/>
          <w:szCs w:val="28"/>
        </w:rPr>
        <w:t xml:space="preserve">Dr </w:t>
      </w:r>
      <w:proofErr w:type="spellStart"/>
      <w:r>
        <w:rPr>
          <w:rFonts w:ascii="Arial" w:hAnsi="Arial" w:cs="Arial"/>
          <w:sz w:val="28"/>
          <w:szCs w:val="28"/>
        </w:rPr>
        <w:t>Itse</w:t>
      </w:r>
      <w:proofErr w:type="spellEnd"/>
      <w:r>
        <w:rPr>
          <w:rFonts w:ascii="Arial" w:hAnsi="Arial" w:cs="Arial"/>
          <w:sz w:val="28"/>
          <w:szCs w:val="28"/>
        </w:rPr>
        <w:t xml:space="preserve"> Olaoye</w:t>
      </w:r>
    </w:p>
    <w:p w14:paraId="529A7A6C" w14:textId="7F523419" w:rsidR="00A17C72" w:rsidRPr="00AB143A" w:rsidRDefault="00A17C72" w:rsidP="00A17C72">
      <w:pPr>
        <w:spacing w:line="360" w:lineRule="auto"/>
        <w:jc w:val="center"/>
        <w:rPr>
          <w:rFonts w:ascii="Arial" w:hAnsi="Arial" w:cs="Arial"/>
          <w:b/>
          <w:bCs/>
          <w:sz w:val="28"/>
          <w:szCs w:val="28"/>
        </w:rPr>
      </w:pPr>
      <w:r w:rsidRPr="00AB143A">
        <w:rPr>
          <w:rFonts w:ascii="Arial" w:hAnsi="Arial" w:cs="Arial"/>
          <w:b/>
          <w:bCs/>
          <w:sz w:val="28"/>
          <w:szCs w:val="28"/>
        </w:rPr>
        <w:t xml:space="preserve">Written Assignment – </w:t>
      </w:r>
      <w:r>
        <w:rPr>
          <w:rFonts w:ascii="Arial" w:hAnsi="Arial" w:cs="Arial"/>
          <w:sz w:val="28"/>
          <w:szCs w:val="28"/>
        </w:rPr>
        <w:t>2</w:t>
      </w:r>
      <w:r w:rsidRPr="00AB143A">
        <w:rPr>
          <w:rFonts w:ascii="Arial" w:hAnsi="Arial" w:cs="Arial"/>
          <w:sz w:val="28"/>
          <w:szCs w:val="28"/>
        </w:rPr>
        <w:t xml:space="preserve"> Report</w:t>
      </w:r>
    </w:p>
    <w:p w14:paraId="0B57590E" w14:textId="04C611F6" w:rsidR="00A17C72" w:rsidRPr="00AB143A" w:rsidRDefault="00A17C72" w:rsidP="00A17C72">
      <w:pPr>
        <w:spacing w:line="360" w:lineRule="auto"/>
        <w:jc w:val="center"/>
        <w:rPr>
          <w:rFonts w:cs="Times New Roman"/>
          <w:b/>
          <w:bCs/>
          <w:sz w:val="28"/>
          <w:szCs w:val="28"/>
        </w:rPr>
      </w:pPr>
      <w:r w:rsidRPr="00AB143A">
        <w:rPr>
          <w:rFonts w:ascii="Arial" w:hAnsi="Arial" w:cs="Arial"/>
          <w:b/>
          <w:bCs/>
          <w:sz w:val="28"/>
          <w:szCs w:val="28"/>
        </w:rPr>
        <w:t xml:space="preserve">Word count: </w:t>
      </w:r>
      <w:r w:rsidRPr="00AB143A">
        <w:rPr>
          <w:rFonts w:ascii="Arial" w:hAnsi="Arial" w:cs="Arial"/>
          <w:sz w:val="28"/>
          <w:szCs w:val="28"/>
        </w:rPr>
        <w:t>2</w:t>
      </w:r>
      <w:r w:rsidR="00634C21">
        <w:rPr>
          <w:rFonts w:ascii="Arial" w:hAnsi="Arial" w:cs="Arial"/>
          <w:sz w:val="28"/>
          <w:szCs w:val="28"/>
        </w:rPr>
        <w:t>2</w:t>
      </w:r>
      <w:r w:rsidRPr="00AB143A">
        <w:rPr>
          <w:rFonts w:ascii="Arial" w:hAnsi="Arial" w:cs="Arial"/>
          <w:sz w:val="28"/>
          <w:szCs w:val="28"/>
        </w:rPr>
        <w:t>00</w:t>
      </w:r>
    </w:p>
    <w:p w14:paraId="502E0C65" w14:textId="77777777" w:rsidR="00A17C72" w:rsidRDefault="00A17C72">
      <w:pPr>
        <w:rPr>
          <w:rFonts w:ascii="Arial" w:hAnsi="Arial" w:cs="Arial"/>
        </w:rPr>
      </w:pPr>
    </w:p>
    <w:p w14:paraId="115382C2" w14:textId="77777777" w:rsidR="0088459F" w:rsidRDefault="0088459F">
      <w:pPr>
        <w:rPr>
          <w:rFonts w:ascii="Arial" w:hAnsi="Arial" w:cs="Arial"/>
        </w:rPr>
      </w:pPr>
    </w:p>
    <w:p w14:paraId="6E65EB72" w14:textId="77777777" w:rsidR="0088459F" w:rsidRDefault="0088459F">
      <w:pPr>
        <w:rPr>
          <w:rFonts w:ascii="Arial" w:hAnsi="Arial" w:cs="Arial"/>
        </w:rPr>
      </w:pPr>
    </w:p>
    <w:p w14:paraId="2ADA83FF" w14:textId="77777777" w:rsidR="0088459F" w:rsidRDefault="0088459F">
      <w:pPr>
        <w:rPr>
          <w:rFonts w:ascii="Arial" w:hAnsi="Arial" w:cs="Arial"/>
        </w:rPr>
      </w:pPr>
    </w:p>
    <w:p w14:paraId="4331C913" w14:textId="77777777" w:rsidR="0088459F" w:rsidRDefault="0088459F">
      <w:pPr>
        <w:rPr>
          <w:rFonts w:ascii="Arial" w:hAnsi="Arial" w:cs="Arial"/>
        </w:rPr>
      </w:pPr>
    </w:p>
    <w:p w14:paraId="3E886869" w14:textId="77777777" w:rsidR="0088459F" w:rsidRDefault="0088459F">
      <w:pPr>
        <w:rPr>
          <w:rFonts w:ascii="Arial" w:hAnsi="Arial" w:cs="Arial"/>
        </w:rPr>
      </w:pPr>
    </w:p>
    <w:p w14:paraId="19FBAE0E" w14:textId="77777777" w:rsidR="0088459F" w:rsidRDefault="0088459F">
      <w:pPr>
        <w:rPr>
          <w:rFonts w:ascii="Arial" w:hAnsi="Arial" w:cs="Arial"/>
        </w:rPr>
      </w:pPr>
    </w:p>
    <w:p w14:paraId="2D151ADF" w14:textId="77777777" w:rsidR="0088459F" w:rsidRDefault="0088459F">
      <w:pPr>
        <w:rPr>
          <w:rFonts w:ascii="Arial" w:hAnsi="Arial" w:cs="Arial"/>
        </w:rPr>
      </w:pPr>
    </w:p>
    <w:sdt>
      <w:sdtPr>
        <w:rPr>
          <w:rFonts w:asciiTheme="minorHAnsi" w:eastAsiaTheme="minorHAnsi" w:hAnsiTheme="minorHAnsi" w:cstheme="minorBidi"/>
          <w:color w:val="auto"/>
          <w:kern w:val="2"/>
          <w:sz w:val="22"/>
          <w:szCs w:val="22"/>
          <w:lang w:val="en-GB"/>
          <w14:ligatures w14:val="standardContextual"/>
        </w:rPr>
        <w:id w:val="599377115"/>
        <w:docPartObj>
          <w:docPartGallery w:val="Table of Contents"/>
          <w:docPartUnique/>
        </w:docPartObj>
      </w:sdtPr>
      <w:sdtEndPr>
        <w:rPr>
          <w:b/>
          <w:bCs/>
          <w:noProof/>
        </w:rPr>
      </w:sdtEndPr>
      <w:sdtContent>
        <w:p w14:paraId="106068D4" w14:textId="144ABA61" w:rsidR="00B65C84" w:rsidRPr="0052737B" w:rsidRDefault="00B65C84" w:rsidP="0052737B">
          <w:pPr>
            <w:pStyle w:val="TOCHeading"/>
            <w:spacing w:line="360" w:lineRule="auto"/>
            <w:jc w:val="both"/>
            <w:rPr>
              <w:rFonts w:ascii="Arial" w:hAnsi="Arial" w:cs="Arial"/>
              <w:sz w:val="22"/>
              <w:szCs w:val="22"/>
            </w:rPr>
          </w:pPr>
          <w:r w:rsidRPr="0052737B">
            <w:rPr>
              <w:rFonts w:ascii="Arial" w:hAnsi="Arial" w:cs="Arial"/>
              <w:sz w:val="22"/>
              <w:szCs w:val="22"/>
            </w:rPr>
            <w:t>Table of Contents</w:t>
          </w:r>
        </w:p>
        <w:p w14:paraId="34B121AA" w14:textId="023B7220" w:rsidR="00B65C84" w:rsidRPr="0052737B" w:rsidRDefault="00B65C84" w:rsidP="0052737B">
          <w:pPr>
            <w:pStyle w:val="TOC1"/>
            <w:spacing w:line="360" w:lineRule="auto"/>
            <w:jc w:val="both"/>
          </w:pPr>
          <w:r w:rsidRPr="0052737B">
            <w:fldChar w:fldCharType="begin"/>
          </w:r>
          <w:r w:rsidRPr="0052737B">
            <w:instrText xml:space="preserve"> TOC \o "1-3" \h \z \u </w:instrText>
          </w:r>
          <w:r w:rsidRPr="0052737B">
            <w:fldChar w:fldCharType="separate"/>
          </w:r>
          <w:hyperlink w:anchor="_Toc225788235" w:history="1">
            <w:r w:rsidRPr="0052737B">
              <w:rPr>
                <w:rStyle w:val="Hyperlink"/>
              </w:rPr>
              <w:t>Introduction</w:t>
            </w:r>
            <w:r w:rsidRPr="0052737B">
              <w:rPr>
                <w:webHidden/>
              </w:rPr>
              <w:tab/>
            </w:r>
            <w:r w:rsidRPr="0052737B">
              <w:rPr>
                <w:webHidden/>
              </w:rPr>
              <w:fldChar w:fldCharType="begin"/>
            </w:r>
            <w:r w:rsidRPr="0052737B">
              <w:rPr>
                <w:webHidden/>
              </w:rPr>
              <w:instrText xml:space="preserve"> PAGEREF _Toc225788235 \h </w:instrText>
            </w:r>
            <w:r w:rsidRPr="0052737B">
              <w:rPr>
                <w:webHidden/>
              </w:rPr>
            </w:r>
            <w:r w:rsidRPr="0052737B">
              <w:rPr>
                <w:webHidden/>
              </w:rPr>
              <w:fldChar w:fldCharType="separate"/>
            </w:r>
            <w:r w:rsidRPr="0052737B">
              <w:rPr>
                <w:webHidden/>
              </w:rPr>
              <w:t>3</w:t>
            </w:r>
            <w:r w:rsidRPr="0052737B">
              <w:rPr>
                <w:webHidden/>
              </w:rPr>
              <w:fldChar w:fldCharType="end"/>
            </w:r>
          </w:hyperlink>
        </w:p>
        <w:p w14:paraId="0A654729" w14:textId="3A44C5D2" w:rsidR="00B65C84" w:rsidRPr="0052737B" w:rsidRDefault="00B65C84" w:rsidP="0052737B">
          <w:pPr>
            <w:pStyle w:val="TOC1"/>
            <w:spacing w:line="360" w:lineRule="auto"/>
            <w:jc w:val="both"/>
          </w:pPr>
          <w:hyperlink w:anchor="_Toc225788236" w:history="1">
            <w:r w:rsidRPr="0052737B">
              <w:rPr>
                <w:rStyle w:val="Hyperlink"/>
              </w:rPr>
              <w:t>Sustainable Development Goal 3: Good Health and Well-being</w:t>
            </w:r>
            <w:r w:rsidRPr="0052737B">
              <w:rPr>
                <w:webHidden/>
              </w:rPr>
              <w:tab/>
            </w:r>
            <w:r w:rsidRPr="0052737B">
              <w:rPr>
                <w:webHidden/>
              </w:rPr>
              <w:fldChar w:fldCharType="begin"/>
            </w:r>
            <w:r w:rsidRPr="0052737B">
              <w:rPr>
                <w:webHidden/>
              </w:rPr>
              <w:instrText xml:space="preserve"> PAGEREF _Toc225788236 \h </w:instrText>
            </w:r>
            <w:r w:rsidRPr="0052737B">
              <w:rPr>
                <w:webHidden/>
              </w:rPr>
            </w:r>
            <w:r w:rsidRPr="0052737B">
              <w:rPr>
                <w:webHidden/>
              </w:rPr>
              <w:fldChar w:fldCharType="separate"/>
            </w:r>
            <w:r w:rsidRPr="0052737B">
              <w:rPr>
                <w:webHidden/>
              </w:rPr>
              <w:t>3</w:t>
            </w:r>
            <w:r w:rsidRPr="0052737B">
              <w:rPr>
                <w:webHidden/>
              </w:rPr>
              <w:fldChar w:fldCharType="end"/>
            </w:r>
          </w:hyperlink>
        </w:p>
        <w:p w14:paraId="6A679F8C" w14:textId="0CBC1233" w:rsidR="00B65C84" w:rsidRPr="0052737B" w:rsidRDefault="00B65C84" w:rsidP="0052737B">
          <w:pPr>
            <w:pStyle w:val="TOC1"/>
            <w:spacing w:line="360" w:lineRule="auto"/>
            <w:jc w:val="both"/>
          </w:pPr>
          <w:hyperlink w:anchor="_Toc225788237" w:history="1">
            <w:r w:rsidRPr="0052737B">
              <w:rPr>
                <w:rStyle w:val="Hyperlink"/>
              </w:rPr>
              <w:t>Sustainable Development Goal 10: Reduced Inequalities</w:t>
            </w:r>
            <w:r w:rsidRPr="0052737B">
              <w:rPr>
                <w:webHidden/>
              </w:rPr>
              <w:tab/>
            </w:r>
            <w:r w:rsidRPr="0052737B">
              <w:rPr>
                <w:webHidden/>
              </w:rPr>
              <w:fldChar w:fldCharType="begin"/>
            </w:r>
            <w:r w:rsidRPr="0052737B">
              <w:rPr>
                <w:webHidden/>
              </w:rPr>
              <w:instrText xml:space="preserve"> PAGEREF _Toc225788237 \h </w:instrText>
            </w:r>
            <w:r w:rsidRPr="0052737B">
              <w:rPr>
                <w:webHidden/>
              </w:rPr>
            </w:r>
            <w:r w:rsidRPr="0052737B">
              <w:rPr>
                <w:webHidden/>
              </w:rPr>
              <w:fldChar w:fldCharType="separate"/>
            </w:r>
            <w:r w:rsidRPr="0052737B">
              <w:rPr>
                <w:webHidden/>
              </w:rPr>
              <w:t>4</w:t>
            </w:r>
            <w:r w:rsidRPr="0052737B">
              <w:rPr>
                <w:webHidden/>
              </w:rPr>
              <w:fldChar w:fldCharType="end"/>
            </w:r>
          </w:hyperlink>
        </w:p>
        <w:p w14:paraId="2460ABC8" w14:textId="408E6E57" w:rsidR="00B65C84" w:rsidRPr="0052737B" w:rsidRDefault="00B65C84" w:rsidP="0052737B">
          <w:pPr>
            <w:pStyle w:val="TOC1"/>
            <w:spacing w:line="360" w:lineRule="auto"/>
            <w:jc w:val="both"/>
          </w:pPr>
          <w:hyperlink w:anchor="_Toc225788238" w:history="1">
            <w:r w:rsidRPr="0052737B">
              <w:rPr>
                <w:rStyle w:val="Hyperlink"/>
              </w:rPr>
              <w:t>National Well-being Initiatives</w:t>
            </w:r>
            <w:r w:rsidRPr="0052737B">
              <w:rPr>
                <w:webHidden/>
              </w:rPr>
              <w:tab/>
            </w:r>
            <w:r w:rsidRPr="0052737B">
              <w:rPr>
                <w:webHidden/>
              </w:rPr>
              <w:fldChar w:fldCharType="begin"/>
            </w:r>
            <w:r w:rsidRPr="0052737B">
              <w:rPr>
                <w:webHidden/>
              </w:rPr>
              <w:instrText xml:space="preserve"> PAGEREF _Toc225788238 \h </w:instrText>
            </w:r>
            <w:r w:rsidRPr="0052737B">
              <w:rPr>
                <w:webHidden/>
              </w:rPr>
            </w:r>
            <w:r w:rsidRPr="0052737B">
              <w:rPr>
                <w:webHidden/>
              </w:rPr>
              <w:fldChar w:fldCharType="separate"/>
            </w:r>
            <w:r w:rsidRPr="0052737B">
              <w:rPr>
                <w:webHidden/>
              </w:rPr>
              <w:t>6</w:t>
            </w:r>
            <w:r w:rsidRPr="0052737B">
              <w:rPr>
                <w:webHidden/>
              </w:rPr>
              <w:fldChar w:fldCharType="end"/>
            </w:r>
          </w:hyperlink>
        </w:p>
        <w:p w14:paraId="2BAADD0B" w14:textId="3635E596" w:rsidR="00B65C84" w:rsidRPr="0052737B" w:rsidRDefault="00B65C84" w:rsidP="0052737B">
          <w:pPr>
            <w:pStyle w:val="TOC1"/>
            <w:spacing w:line="360" w:lineRule="auto"/>
            <w:jc w:val="both"/>
          </w:pPr>
          <w:hyperlink w:anchor="_Toc225788239" w:history="1">
            <w:r w:rsidRPr="0052737B">
              <w:rPr>
                <w:rStyle w:val="Hyperlink"/>
              </w:rPr>
              <w:t>Local Well-being Initiatives and Policies</w:t>
            </w:r>
            <w:r w:rsidRPr="0052737B">
              <w:rPr>
                <w:webHidden/>
              </w:rPr>
              <w:tab/>
            </w:r>
            <w:r w:rsidRPr="0052737B">
              <w:rPr>
                <w:webHidden/>
              </w:rPr>
              <w:fldChar w:fldCharType="begin"/>
            </w:r>
            <w:r w:rsidRPr="0052737B">
              <w:rPr>
                <w:webHidden/>
              </w:rPr>
              <w:instrText xml:space="preserve"> PAGEREF _Toc225788239 \h </w:instrText>
            </w:r>
            <w:r w:rsidRPr="0052737B">
              <w:rPr>
                <w:webHidden/>
              </w:rPr>
            </w:r>
            <w:r w:rsidRPr="0052737B">
              <w:rPr>
                <w:webHidden/>
              </w:rPr>
              <w:fldChar w:fldCharType="separate"/>
            </w:r>
            <w:r w:rsidRPr="0052737B">
              <w:rPr>
                <w:webHidden/>
              </w:rPr>
              <w:t>7</w:t>
            </w:r>
            <w:r w:rsidRPr="0052737B">
              <w:rPr>
                <w:webHidden/>
              </w:rPr>
              <w:fldChar w:fldCharType="end"/>
            </w:r>
          </w:hyperlink>
        </w:p>
        <w:p w14:paraId="54EEAA1D" w14:textId="66BE0E1B" w:rsidR="00B65C84" w:rsidRPr="0052737B" w:rsidRDefault="00B65C84" w:rsidP="0052737B">
          <w:pPr>
            <w:pStyle w:val="TOC1"/>
            <w:spacing w:line="360" w:lineRule="auto"/>
            <w:jc w:val="both"/>
          </w:pPr>
          <w:hyperlink w:anchor="_Toc225788240" w:history="1">
            <w:r w:rsidRPr="0052737B">
              <w:rPr>
                <w:rStyle w:val="Hyperlink"/>
              </w:rPr>
              <w:t>Conclusion</w:t>
            </w:r>
            <w:r w:rsidRPr="0052737B">
              <w:rPr>
                <w:webHidden/>
              </w:rPr>
              <w:tab/>
            </w:r>
            <w:r w:rsidRPr="0052737B">
              <w:rPr>
                <w:webHidden/>
              </w:rPr>
              <w:fldChar w:fldCharType="begin"/>
            </w:r>
            <w:r w:rsidRPr="0052737B">
              <w:rPr>
                <w:webHidden/>
              </w:rPr>
              <w:instrText xml:space="preserve"> PAGEREF _Toc225788240 \h </w:instrText>
            </w:r>
            <w:r w:rsidRPr="0052737B">
              <w:rPr>
                <w:webHidden/>
              </w:rPr>
            </w:r>
            <w:r w:rsidRPr="0052737B">
              <w:rPr>
                <w:webHidden/>
              </w:rPr>
              <w:fldChar w:fldCharType="separate"/>
            </w:r>
            <w:r w:rsidRPr="0052737B">
              <w:rPr>
                <w:webHidden/>
              </w:rPr>
              <w:t>9</w:t>
            </w:r>
            <w:r w:rsidRPr="0052737B">
              <w:rPr>
                <w:webHidden/>
              </w:rPr>
              <w:fldChar w:fldCharType="end"/>
            </w:r>
          </w:hyperlink>
        </w:p>
        <w:p w14:paraId="63010070" w14:textId="63A17543" w:rsidR="00B65C84" w:rsidRPr="0052737B" w:rsidRDefault="00B65C84" w:rsidP="0052737B">
          <w:pPr>
            <w:pStyle w:val="TOC1"/>
            <w:spacing w:line="360" w:lineRule="auto"/>
            <w:jc w:val="both"/>
          </w:pPr>
          <w:hyperlink w:anchor="_Toc225788241" w:history="1">
            <w:r w:rsidRPr="0052737B">
              <w:rPr>
                <w:rStyle w:val="Hyperlink"/>
              </w:rPr>
              <w:t>References</w:t>
            </w:r>
            <w:r w:rsidRPr="0052737B">
              <w:rPr>
                <w:webHidden/>
              </w:rPr>
              <w:tab/>
            </w:r>
            <w:r w:rsidRPr="0052737B">
              <w:rPr>
                <w:webHidden/>
              </w:rPr>
              <w:fldChar w:fldCharType="begin"/>
            </w:r>
            <w:r w:rsidRPr="0052737B">
              <w:rPr>
                <w:webHidden/>
              </w:rPr>
              <w:instrText xml:space="preserve"> PAGEREF _Toc225788241 \h </w:instrText>
            </w:r>
            <w:r w:rsidRPr="0052737B">
              <w:rPr>
                <w:webHidden/>
              </w:rPr>
            </w:r>
            <w:r w:rsidRPr="0052737B">
              <w:rPr>
                <w:webHidden/>
              </w:rPr>
              <w:fldChar w:fldCharType="separate"/>
            </w:r>
            <w:r w:rsidRPr="0052737B">
              <w:rPr>
                <w:webHidden/>
              </w:rPr>
              <w:t>10</w:t>
            </w:r>
            <w:r w:rsidRPr="0052737B">
              <w:rPr>
                <w:webHidden/>
              </w:rPr>
              <w:fldChar w:fldCharType="end"/>
            </w:r>
          </w:hyperlink>
        </w:p>
        <w:p w14:paraId="5DA257B8" w14:textId="441C7F41" w:rsidR="00B65C84" w:rsidRDefault="00B65C84" w:rsidP="0052737B">
          <w:pPr>
            <w:spacing w:line="360" w:lineRule="auto"/>
            <w:jc w:val="both"/>
          </w:pPr>
          <w:r w:rsidRPr="0052737B">
            <w:rPr>
              <w:rFonts w:ascii="Arial" w:hAnsi="Arial" w:cs="Arial"/>
              <w:b/>
              <w:bCs/>
              <w:noProof/>
            </w:rPr>
            <w:fldChar w:fldCharType="end"/>
          </w:r>
        </w:p>
      </w:sdtContent>
    </w:sdt>
    <w:p w14:paraId="1FD65793" w14:textId="77777777" w:rsidR="0088459F" w:rsidRDefault="0088459F">
      <w:pPr>
        <w:rPr>
          <w:rFonts w:ascii="Arial" w:hAnsi="Arial" w:cs="Arial"/>
        </w:rPr>
      </w:pPr>
    </w:p>
    <w:p w14:paraId="470CB1F8" w14:textId="77777777" w:rsidR="0088459F" w:rsidRDefault="0088459F">
      <w:pPr>
        <w:rPr>
          <w:rFonts w:ascii="Arial" w:hAnsi="Arial" w:cs="Arial"/>
        </w:rPr>
      </w:pPr>
    </w:p>
    <w:p w14:paraId="1DA5C731" w14:textId="77777777" w:rsidR="0088459F" w:rsidRDefault="0088459F">
      <w:pPr>
        <w:rPr>
          <w:rFonts w:ascii="Arial" w:hAnsi="Arial" w:cs="Arial"/>
        </w:rPr>
      </w:pPr>
    </w:p>
    <w:p w14:paraId="101867D4" w14:textId="77777777" w:rsidR="0088459F" w:rsidRDefault="0088459F">
      <w:pPr>
        <w:rPr>
          <w:rFonts w:ascii="Arial" w:hAnsi="Arial" w:cs="Arial"/>
        </w:rPr>
      </w:pPr>
    </w:p>
    <w:p w14:paraId="1622953D" w14:textId="77777777" w:rsidR="0088459F" w:rsidRDefault="0088459F">
      <w:pPr>
        <w:rPr>
          <w:rFonts w:ascii="Arial" w:hAnsi="Arial" w:cs="Arial"/>
        </w:rPr>
      </w:pPr>
    </w:p>
    <w:p w14:paraId="46487E51" w14:textId="77777777" w:rsidR="0088459F" w:rsidRDefault="0088459F">
      <w:pPr>
        <w:rPr>
          <w:rFonts w:ascii="Arial" w:hAnsi="Arial" w:cs="Arial"/>
        </w:rPr>
      </w:pPr>
    </w:p>
    <w:p w14:paraId="5C3CF54F" w14:textId="77777777" w:rsidR="0088459F" w:rsidRDefault="0088459F">
      <w:pPr>
        <w:rPr>
          <w:rFonts w:ascii="Arial" w:hAnsi="Arial" w:cs="Arial"/>
        </w:rPr>
      </w:pPr>
    </w:p>
    <w:p w14:paraId="56108021" w14:textId="77777777" w:rsidR="0088459F" w:rsidRDefault="0088459F">
      <w:pPr>
        <w:rPr>
          <w:rFonts w:ascii="Arial" w:hAnsi="Arial" w:cs="Arial"/>
        </w:rPr>
      </w:pPr>
    </w:p>
    <w:p w14:paraId="58E0372A" w14:textId="77777777" w:rsidR="0088459F" w:rsidRDefault="0088459F">
      <w:pPr>
        <w:rPr>
          <w:rFonts w:ascii="Arial" w:hAnsi="Arial" w:cs="Arial"/>
        </w:rPr>
      </w:pPr>
    </w:p>
    <w:p w14:paraId="25D24698" w14:textId="77777777" w:rsidR="0088459F" w:rsidRDefault="0088459F">
      <w:pPr>
        <w:rPr>
          <w:rFonts w:ascii="Arial" w:hAnsi="Arial" w:cs="Arial"/>
        </w:rPr>
      </w:pPr>
    </w:p>
    <w:p w14:paraId="6A7F8630" w14:textId="77777777" w:rsidR="0088459F" w:rsidRDefault="0088459F">
      <w:pPr>
        <w:rPr>
          <w:rFonts w:ascii="Arial" w:hAnsi="Arial" w:cs="Arial"/>
        </w:rPr>
      </w:pPr>
    </w:p>
    <w:p w14:paraId="5A633BDE" w14:textId="77777777" w:rsidR="0088459F" w:rsidRDefault="0088459F">
      <w:pPr>
        <w:rPr>
          <w:rFonts w:ascii="Arial" w:hAnsi="Arial" w:cs="Arial"/>
        </w:rPr>
      </w:pPr>
    </w:p>
    <w:p w14:paraId="11FDCF66" w14:textId="77777777" w:rsidR="0088459F" w:rsidRDefault="0088459F">
      <w:pPr>
        <w:rPr>
          <w:rFonts w:ascii="Arial" w:hAnsi="Arial" w:cs="Arial"/>
        </w:rPr>
      </w:pPr>
    </w:p>
    <w:p w14:paraId="0D361872" w14:textId="77777777" w:rsidR="0088459F" w:rsidRDefault="0088459F">
      <w:pPr>
        <w:rPr>
          <w:rFonts w:ascii="Arial" w:hAnsi="Arial" w:cs="Arial"/>
        </w:rPr>
      </w:pPr>
    </w:p>
    <w:p w14:paraId="1945EC77" w14:textId="77777777" w:rsidR="0088459F" w:rsidRDefault="0088459F">
      <w:pPr>
        <w:rPr>
          <w:rFonts w:ascii="Arial" w:hAnsi="Arial" w:cs="Arial"/>
        </w:rPr>
      </w:pPr>
    </w:p>
    <w:p w14:paraId="0C6E78F1" w14:textId="77777777" w:rsidR="0088459F" w:rsidRDefault="0088459F">
      <w:pPr>
        <w:rPr>
          <w:rFonts w:ascii="Arial" w:hAnsi="Arial" w:cs="Arial"/>
        </w:rPr>
      </w:pPr>
    </w:p>
    <w:p w14:paraId="1457C0E4" w14:textId="77777777" w:rsidR="0088459F" w:rsidRDefault="0088459F" w:rsidP="00634C21">
      <w:pPr>
        <w:jc w:val="both"/>
        <w:rPr>
          <w:rFonts w:ascii="Arial" w:hAnsi="Arial" w:cs="Arial"/>
        </w:rPr>
      </w:pPr>
    </w:p>
    <w:p w14:paraId="1CED6242" w14:textId="5914BB4B" w:rsidR="002D40A2" w:rsidRDefault="0088459F" w:rsidP="00634C21">
      <w:pPr>
        <w:spacing w:line="360" w:lineRule="auto"/>
        <w:jc w:val="both"/>
        <w:rPr>
          <w:rFonts w:ascii="Arial" w:hAnsi="Arial" w:cs="Arial"/>
        </w:rPr>
      </w:pPr>
      <w:r w:rsidRPr="0088459F">
        <w:rPr>
          <w:rFonts w:ascii="Arial" w:hAnsi="Arial" w:cs="Arial"/>
        </w:rPr>
        <w:t>I confirm that I have not used any AI tools in the research and creation of this assignment. I confirm that I have not presented any AI-generated materials as my work. I confirm I hav</w:t>
      </w:r>
      <w:r w:rsidR="00713431">
        <w:rPr>
          <w:rFonts w:ascii="Arial" w:hAnsi="Arial" w:cs="Arial"/>
        </w:rPr>
        <w:t xml:space="preserve">e </w:t>
      </w:r>
      <w:r w:rsidRPr="0088459F">
        <w:rPr>
          <w:rFonts w:ascii="Arial" w:hAnsi="Arial" w:cs="Arial"/>
        </w:rPr>
        <w:t>copies of my drafts, notes, and other resources I used, which I may be asked to provide as evidence.</w:t>
      </w:r>
    </w:p>
    <w:p w14:paraId="6D257F87" w14:textId="0AAFFF9A" w:rsidR="001A61FE" w:rsidRPr="002D40A2" w:rsidRDefault="001A61FE" w:rsidP="00B65C84">
      <w:pPr>
        <w:spacing w:line="360" w:lineRule="auto"/>
        <w:jc w:val="both"/>
        <w:rPr>
          <w:rFonts w:ascii="Arial" w:hAnsi="Arial" w:cs="Arial"/>
        </w:rPr>
      </w:pPr>
      <w:r w:rsidRPr="007C4850">
        <w:rPr>
          <w:rFonts w:ascii="Arial" w:hAnsi="Arial" w:cs="Arial"/>
          <w:b/>
          <w:bCs/>
        </w:rPr>
        <w:lastRenderedPageBreak/>
        <w:t>Health, Wellbeing and Sustainable Development Report</w:t>
      </w:r>
    </w:p>
    <w:p w14:paraId="4B7148D8" w14:textId="18EB2B2E" w:rsidR="001A61FE" w:rsidRPr="00634C21" w:rsidRDefault="001A61FE" w:rsidP="00634C21">
      <w:pPr>
        <w:pStyle w:val="Heading1"/>
        <w:spacing w:line="360" w:lineRule="auto"/>
        <w:jc w:val="both"/>
        <w:rPr>
          <w:rFonts w:ascii="Arial" w:hAnsi="Arial" w:cs="Arial"/>
          <w:b/>
          <w:bCs/>
          <w:sz w:val="22"/>
          <w:szCs w:val="22"/>
        </w:rPr>
      </w:pPr>
      <w:bookmarkStart w:id="0" w:name="_Toc225788235"/>
      <w:r w:rsidRPr="00634C21">
        <w:rPr>
          <w:rFonts w:ascii="Arial" w:hAnsi="Arial" w:cs="Arial"/>
          <w:b/>
          <w:bCs/>
          <w:color w:val="auto"/>
          <w:sz w:val="22"/>
          <w:szCs w:val="22"/>
        </w:rPr>
        <w:t>Introduction</w:t>
      </w:r>
      <w:bookmarkEnd w:id="0"/>
      <w:r w:rsidR="00D4380B" w:rsidRPr="00634C21">
        <w:rPr>
          <w:rFonts w:ascii="Arial" w:hAnsi="Arial" w:cs="Arial"/>
          <w:b/>
          <w:bCs/>
          <w:color w:val="auto"/>
          <w:sz w:val="22"/>
          <w:szCs w:val="22"/>
        </w:rPr>
        <w:t xml:space="preserve"> </w:t>
      </w:r>
    </w:p>
    <w:p w14:paraId="74620E80" w14:textId="5AC0D877" w:rsidR="001A61FE" w:rsidRPr="00634C21" w:rsidRDefault="001A61FE" w:rsidP="00634C21">
      <w:pPr>
        <w:spacing w:line="360" w:lineRule="auto"/>
        <w:jc w:val="both"/>
        <w:rPr>
          <w:rFonts w:ascii="Arial" w:hAnsi="Arial" w:cs="Arial"/>
        </w:rPr>
      </w:pPr>
      <w:r w:rsidRPr="00634C21">
        <w:rPr>
          <w:rFonts w:ascii="Arial" w:hAnsi="Arial" w:cs="Arial"/>
        </w:rPr>
        <w:t>Healthy, well-being, and sustainable development are intrinsically connected within</w:t>
      </w:r>
      <w:r w:rsidR="007C4850" w:rsidRPr="00634C21">
        <w:rPr>
          <w:rFonts w:ascii="Arial" w:hAnsi="Arial" w:cs="Arial"/>
        </w:rPr>
        <w:t xml:space="preserve"> global policy frameworks and national governance systems</w:t>
      </w:r>
      <w:r w:rsidRPr="00634C21">
        <w:rPr>
          <w:rFonts w:ascii="Arial" w:hAnsi="Arial" w:cs="Arial"/>
        </w:rPr>
        <w:t xml:space="preserve"> </w:t>
      </w:r>
      <w:r w:rsidR="002D40A2" w:rsidRPr="00634C21">
        <w:rPr>
          <w:rFonts w:ascii="Arial" w:hAnsi="Arial" w:cs="Arial"/>
        </w:rPr>
        <w:t>(</w:t>
      </w:r>
      <w:proofErr w:type="spellStart"/>
      <w:r w:rsidR="002D40A2" w:rsidRPr="00634C21">
        <w:rPr>
          <w:rFonts w:ascii="Arial" w:hAnsi="Arial" w:cs="Arial"/>
        </w:rPr>
        <w:t>Mabhaudhi</w:t>
      </w:r>
      <w:proofErr w:type="spellEnd"/>
      <w:r w:rsidR="002D40A2" w:rsidRPr="00634C21">
        <w:rPr>
          <w:rFonts w:ascii="Arial" w:hAnsi="Arial" w:cs="Arial"/>
        </w:rPr>
        <w:t> </w:t>
      </w:r>
      <w:r w:rsidR="002D40A2" w:rsidRPr="00634C21">
        <w:rPr>
          <w:rFonts w:ascii="Arial" w:hAnsi="Arial" w:cs="Arial"/>
          <w:i/>
          <w:iCs/>
        </w:rPr>
        <w:t>et al.</w:t>
      </w:r>
      <w:r w:rsidR="002D40A2" w:rsidRPr="00634C21">
        <w:rPr>
          <w:rFonts w:ascii="Arial" w:hAnsi="Arial" w:cs="Arial"/>
        </w:rPr>
        <w:t xml:space="preserve">, 2021). Increasingly, governments and international organisations recognise that social, economic and environmental </w:t>
      </w:r>
      <w:r w:rsidR="00340C33" w:rsidRPr="00634C21">
        <w:rPr>
          <w:rFonts w:ascii="Arial" w:hAnsi="Arial" w:cs="Arial"/>
        </w:rPr>
        <w:t>determinants significantly influence population health outcomes (Anyiam</w:t>
      </w:r>
      <w:r w:rsidR="00700BC5" w:rsidRPr="00634C21">
        <w:rPr>
          <w:rFonts w:ascii="Arial" w:hAnsi="Arial" w:cs="Arial"/>
        </w:rPr>
        <w:t xml:space="preserve"> </w:t>
      </w:r>
      <w:r w:rsidR="00340C33" w:rsidRPr="00634C21">
        <w:rPr>
          <w:rFonts w:ascii="Arial" w:hAnsi="Arial" w:cs="Arial"/>
          <w:i/>
          <w:iCs/>
        </w:rPr>
        <w:t>et al.</w:t>
      </w:r>
      <w:r w:rsidR="00340C33" w:rsidRPr="00634C21">
        <w:rPr>
          <w:rFonts w:ascii="Arial" w:hAnsi="Arial" w:cs="Arial"/>
        </w:rPr>
        <w:t>, 2026).</w:t>
      </w:r>
      <w:r w:rsidR="006B788E" w:rsidRPr="00634C21">
        <w:rPr>
          <w:rFonts w:ascii="Arial" w:hAnsi="Arial" w:cs="Arial"/>
        </w:rPr>
        <w:t xml:space="preserve"> This report critically examines contemporary policies and initiatives that shape citizens` health and well-being at global, national and local levels. It analyses the Sustainable Development </w:t>
      </w:r>
      <w:r w:rsidR="006B6A33" w:rsidRPr="00634C21">
        <w:rPr>
          <w:rFonts w:ascii="Arial" w:hAnsi="Arial" w:cs="Arial"/>
        </w:rPr>
        <w:t>Goals (SDGs) SDG 3: Good Health and Well-being and SDG 10: Reduced Inequalities, exploring their influence on citizens'</w:t>
      </w:r>
      <w:r w:rsidR="006B788E" w:rsidRPr="00634C21">
        <w:rPr>
          <w:rFonts w:ascii="Arial" w:hAnsi="Arial" w:cs="Arial"/>
        </w:rPr>
        <w:t xml:space="preserve"> health outcomes. </w:t>
      </w:r>
      <w:r w:rsidR="00D93797" w:rsidRPr="00634C21">
        <w:rPr>
          <w:rFonts w:ascii="Arial" w:hAnsi="Arial" w:cs="Arial"/>
        </w:rPr>
        <w:t>T</w:t>
      </w:r>
      <w:r w:rsidR="00F25A9E" w:rsidRPr="00634C21">
        <w:rPr>
          <w:rFonts w:ascii="Arial" w:hAnsi="Arial" w:cs="Arial"/>
        </w:rPr>
        <w:t>he report evaluates selected national and local well-being initiatives, assessing their effectiveness and proposing evidence-based recommendations for future improvement.</w:t>
      </w:r>
    </w:p>
    <w:p w14:paraId="6C42EECE" w14:textId="5B38FB92" w:rsidR="00F25A9E" w:rsidRPr="00634C21" w:rsidRDefault="00F25A9E" w:rsidP="00634C21">
      <w:pPr>
        <w:pStyle w:val="Heading1"/>
        <w:spacing w:line="360" w:lineRule="auto"/>
        <w:jc w:val="both"/>
        <w:rPr>
          <w:rFonts w:ascii="Arial" w:hAnsi="Arial" w:cs="Arial"/>
          <w:b/>
          <w:bCs/>
          <w:color w:val="auto"/>
          <w:sz w:val="22"/>
          <w:szCs w:val="22"/>
        </w:rPr>
      </w:pPr>
      <w:r w:rsidRPr="00634C21">
        <w:rPr>
          <w:rFonts w:ascii="Arial" w:hAnsi="Arial" w:cs="Arial"/>
          <w:sz w:val="22"/>
          <w:szCs w:val="22"/>
        </w:rPr>
        <w:t xml:space="preserve"> </w:t>
      </w:r>
      <w:bookmarkStart w:id="1" w:name="_Toc225788236"/>
      <w:r w:rsidRPr="00634C21">
        <w:rPr>
          <w:rFonts w:ascii="Arial" w:hAnsi="Arial" w:cs="Arial"/>
          <w:b/>
          <w:bCs/>
          <w:color w:val="auto"/>
          <w:sz w:val="22"/>
          <w:szCs w:val="22"/>
        </w:rPr>
        <w:t>Sustainable Development Goal 3: Good Health and Well-being</w:t>
      </w:r>
      <w:bookmarkEnd w:id="1"/>
      <w:r w:rsidR="00D4380B" w:rsidRPr="00634C21">
        <w:rPr>
          <w:rFonts w:ascii="Arial" w:hAnsi="Arial" w:cs="Arial"/>
          <w:b/>
          <w:bCs/>
          <w:color w:val="auto"/>
          <w:sz w:val="22"/>
          <w:szCs w:val="22"/>
        </w:rPr>
        <w:t xml:space="preserve">              </w:t>
      </w:r>
    </w:p>
    <w:p w14:paraId="2C995BBD" w14:textId="44553176" w:rsidR="00F25A9E" w:rsidRPr="00634C21" w:rsidRDefault="00F25A9E" w:rsidP="00634C21">
      <w:pPr>
        <w:spacing w:line="360" w:lineRule="auto"/>
        <w:jc w:val="both"/>
        <w:rPr>
          <w:rFonts w:ascii="Arial" w:hAnsi="Arial" w:cs="Arial"/>
        </w:rPr>
      </w:pPr>
      <w:r w:rsidRPr="00634C21">
        <w:rPr>
          <w:rFonts w:ascii="Arial" w:hAnsi="Arial" w:cs="Arial"/>
        </w:rPr>
        <w:t>Sustainable Development Goal 3 aims to “ensure healthy lives and promote well-being for all at all ages”</w:t>
      </w:r>
      <w:r w:rsidR="00700BC5" w:rsidRPr="00634C21">
        <w:rPr>
          <w:rFonts w:ascii="Arial" w:hAnsi="Arial" w:cs="Arial"/>
        </w:rPr>
        <w:t xml:space="preserve"> (United Nations, 2025).</w:t>
      </w:r>
      <w:r w:rsidR="00A26084" w:rsidRPr="00634C21">
        <w:rPr>
          <w:rFonts w:ascii="Arial" w:hAnsi="Arial" w:cs="Arial"/>
        </w:rPr>
        <w:t xml:space="preserve"> This goal encompasses a broad range of targets</w:t>
      </w:r>
      <w:r w:rsidR="005E489A" w:rsidRPr="00634C21">
        <w:rPr>
          <w:rFonts w:ascii="Arial" w:hAnsi="Arial" w:cs="Arial"/>
        </w:rPr>
        <w:t>,</w:t>
      </w:r>
      <w:r w:rsidR="00A26084" w:rsidRPr="00634C21">
        <w:rPr>
          <w:rFonts w:ascii="Arial" w:hAnsi="Arial" w:cs="Arial"/>
        </w:rPr>
        <w:t xml:space="preserve"> including maternal and child mortality, ending preventable communicable</w:t>
      </w:r>
      <w:r w:rsidR="005E489A" w:rsidRPr="00634C21">
        <w:rPr>
          <w:rFonts w:ascii="Arial" w:hAnsi="Arial" w:cs="Arial"/>
        </w:rPr>
        <w:t xml:space="preserve"> diseases, and tackling non-communicable diseases (NCDs), improving mental health, strengthening health systems, achieving universal health coverage (UHC), and enhancing access to safe medicines and vaccines (W</w:t>
      </w:r>
      <w:r w:rsidR="00B05B9C" w:rsidRPr="00634C21">
        <w:rPr>
          <w:rFonts w:ascii="Arial" w:hAnsi="Arial" w:cs="Arial"/>
        </w:rPr>
        <w:t>orld Health Organisation</w:t>
      </w:r>
      <w:r w:rsidR="005E489A" w:rsidRPr="00634C21">
        <w:rPr>
          <w:rFonts w:ascii="Arial" w:hAnsi="Arial" w:cs="Arial"/>
        </w:rPr>
        <w:t>, 2022). </w:t>
      </w:r>
      <w:r w:rsidR="00477AE7" w:rsidRPr="00634C21">
        <w:rPr>
          <w:rFonts w:ascii="Arial" w:hAnsi="Arial" w:cs="Arial"/>
        </w:rPr>
        <w:t>The breadth of SDG 3 reflects a holistic understanding of health that extends beyond the absence of disease and incorporates social, environmental and economic determinants</w:t>
      </w:r>
      <w:r w:rsidR="00680535" w:rsidRPr="00634C21">
        <w:rPr>
          <w:rFonts w:ascii="Arial" w:hAnsi="Arial" w:cs="Arial"/>
        </w:rPr>
        <w:t xml:space="preserve"> (Sithole-Tetani, 2024).</w:t>
      </w:r>
      <w:r w:rsidR="00477AE7" w:rsidRPr="00634C21">
        <w:rPr>
          <w:rFonts w:ascii="Arial" w:hAnsi="Arial" w:cs="Arial"/>
        </w:rPr>
        <w:t xml:space="preserve"> </w:t>
      </w:r>
    </w:p>
    <w:p w14:paraId="7EB5C97D" w14:textId="35B6A29E" w:rsidR="00A81140" w:rsidRPr="00634C21" w:rsidRDefault="00680535" w:rsidP="00634C21">
      <w:pPr>
        <w:spacing w:line="360" w:lineRule="auto"/>
        <w:jc w:val="both"/>
        <w:rPr>
          <w:rFonts w:ascii="Arial" w:hAnsi="Arial" w:cs="Arial"/>
        </w:rPr>
      </w:pPr>
      <w:r w:rsidRPr="00634C21">
        <w:rPr>
          <w:rFonts w:ascii="Arial" w:hAnsi="Arial" w:cs="Arial"/>
        </w:rPr>
        <w:t>A key construct of SDG 3 is universal health</w:t>
      </w:r>
      <w:r w:rsidR="00437017" w:rsidRPr="00634C21">
        <w:rPr>
          <w:rFonts w:ascii="Arial" w:hAnsi="Arial" w:cs="Arial"/>
        </w:rPr>
        <w:t xml:space="preserve"> coverage, which promotes equitable access to quality healthcare services without financial hardship </w:t>
      </w:r>
      <w:r w:rsidR="00FD75F8" w:rsidRPr="00634C21">
        <w:rPr>
          <w:rFonts w:ascii="Arial" w:hAnsi="Arial" w:cs="Arial"/>
        </w:rPr>
        <w:t>(World Health Organisation, 2023).  UHC is widely regarded as fundamental to reducing preventable mortality and improving population-level health outcomes. Research indicates that countries with strong primary healthcare systems have better long-term health outcomes, including higher life expectancy and fewer avoidable hospital admissions</w:t>
      </w:r>
      <w:r w:rsidR="00DB2030" w:rsidRPr="00634C21">
        <w:rPr>
          <w:rFonts w:ascii="Arial" w:hAnsi="Arial" w:cs="Arial"/>
        </w:rPr>
        <w:t xml:space="preserve"> (</w:t>
      </w:r>
      <w:proofErr w:type="spellStart"/>
      <w:r w:rsidR="00DB2030" w:rsidRPr="00634C21">
        <w:rPr>
          <w:rFonts w:ascii="Arial" w:hAnsi="Arial" w:cs="Arial"/>
        </w:rPr>
        <w:t>Antiga</w:t>
      </w:r>
      <w:proofErr w:type="spellEnd"/>
      <w:r w:rsidR="00DB2030" w:rsidRPr="00634C21">
        <w:rPr>
          <w:rFonts w:ascii="Arial" w:hAnsi="Arial" w:cs="Arial"/>
        </w:rPr>
        <w:t> </w:t>
      </w:r>
      <w:r w:rsidR="00DB2030" w:rsidRPr="00634C21">
        <w:rPr>
          <w:rFonts w:ascii="Arial" w:hAnsi="Arial" w:cs="Arial"/>
          <w:i/>
          <w:iCs/>
        </w:rPr>
        <w:t>et al.</w:t>
      </w:r>
      <w:r w:rsidR="00DB2030" w:rsidRPr="00634C21">
        <w:rPr>
          <w:rFonts w:ascii="Arial" w:hAnsi="Arial" w:cs="Arial"/>
        </w:rPr>
        <w:t>, 2025). However, progress towards UHC remains uneven, particularly in low-in</w:t>
      </w:r>
      <w:r w:rsidR="00BA4F99" w:rsidRPr="00634C21">
        <w:rPr>
          <w:rFonts w:ascii="Arial" w:hAnsi="Arial" w:cs="Arial"/>
        </w:rPr>
        <w:t>come countries where underfunded health systems, workforce shortages and weak infrastructure limit service delivery. This demonstrates that achieving SDG 3</w:t>
      </w:r>
      <w:r w:rsidR="005423E5" w:rsidRPr="00634C21">
        <w:rPr>
          <w:rFonts w:ascii="Arial" w:hAnsi="Arial" w:cs="Arial"/>
        </w:rPr>
        <w:t xml:space="preserve"> requires not only policy commitment but sustainable financing and governance reforms.</w:t>
      </w:r>
    </w:p>
    <w:p w14:paraId="5C9E568E" w14:textId="1A9957F5" w:rsidR="0021066B" w:rsidRPr="00634C21" w:rsidRDefault="00A81140" w:rsidP="00634C21">
      <w:pPr>
        <w:spacing w:line="360" w:lineRule="auto"/>
        <w:jc w:val="both"/>
        <w:rPr>
          <w:rFonts w:ascii="Arial" w:hAnsi="Arial" w:cs="Arial"/>
        </w:rPr>
      </w:pPr>
      <w:r w:rsidRPr="00634C21">
        <w:rPr>
          <w:rFonts w:ascii="Arial" w:hAnsi="Arial" w:cs="Arial"/>
        </w:rPr>
        <w:t xml:space="preserve">Another critical dimension of SDG 3 is the prevention and control of non-communicable diseases such as cardiovascular disease, cancer and diabetes. These conditions account for </w:t>
      </w:r>
      <w:r w:rsidRPr="00634C21">
        <w:rPr>
          <w:rFonts w:ascii="Arial" w:hAnsi="Arial" w:cs="Arial"/>
        </w:rPr>
        <w:lastRenderedPageBreak/>
        <w:t>approximately 74% of global deaths and are closely linked to lifestyle behaviours and wider social determinants of health</w:t>
      </w:r>
      <w:r w:rsidR="00C40C37" w:rsidRPr="00634C21">
        <w:rPr>
          <w:rFonts w:ascii="Arial" w:hAnsi="Arial" w:cs="Arial"/>
        </w:rPr>
        <w:t xml:space="preserve"> (World Health Organisation, 2023). Moreover, policies that promote physical activity, healthy diets, tobacco control and alcohol reduction contribute significantly to well-being and reduce long-term healthcare expen</w:t>
      </w:r>
      <w:r w:rsidR="00CF74DB" w:rsidRPr="00634C21">
        <w:rPr>
          <w:rFonts w:ascii="Arial" w:hAnsi="Arial" w:cs="Arial"/>
        </w:rPr>
        <w:t>ses</w:t>
      </w:r>
      <w:r w:rsidR="006E5CAB" w:rsidRPr="00634C21">
        <w:rPr>
          <w:rFonts w:ascii="Arial" w:hAnsi="Arial" w:cs="Arial"/>
        </w:rPr>
        <w:t xml:space="preserve"> (Cecchini, 2025). Fiscal interventions, such as sugar taxes and tobacco pricing strategies, have demonstrated measurable behavioural changes and reductions in consumption. Never</w:t>
      </w:r>
      <w:r w:rsidR="00FE3190" w:rsidRPr="00634C21">
        <w:rPr>
          <w:rFonts w:ascii="Arial" w:hAnsi="Arial" w:cs="Arial"/>
        </w:rPr>
        <w:t>theless, critics argue that behavioural approaches alone are insufficient without addressing structural inequalities that shape health choices, such as poverty and food insecurity</w:t>
      </w:r>
      <w:r w:rsidR="006E5CAB" w:rsidRPr="00634C21">
        <w:rPr>
          <w:rFonts w:ascii="Arial" w:hAnsi="Arial" w:cs="Arial"/>
        </w:rPr>
        <w:t xml:space="preserve"> </w:t>
      </w:r>
      <w:r w:rsidR="00362E2C" w:rsidRPr="00634C21">
        <w:rPr>
          <w:rFonts w:ascii="Arial" w:hAnsi="Arial" w:cs="Arial"/>
        </w:rPr>
        <w:t>(Underwood </w:t>
      </w:r>
      <w:r w:rsidR="00362E2C" w:rsidRPr="00634C21">
        <w:rPr>
          <w:rFonts w:ascii="Arial" w:hAnsi="Arial" w:cs="Arial"/>
          <w:i/>
          <w:iCs/>
        </w:rPr>
        <w:t>et al.</w:t>
      </w:r>
      <w:r w:rsidR="00362E2C" w:rsidRPr="00634C21">
        <w:rPr>
          <w:rFonts w:ascii="Arial" w:hAnsi="Arial" w:cs="Arial"/>
        </w:rPr>
        <w:t>, 2025).</w:t>
      </w:r>
    </w:p>
    <w:p w14:paraId="0D9893F4" w14:textId="405DEBA3" w:rsidR="001A61FE" w:rsidRPr="00634C21" w:rsidRDefault="0021066B" w:rsidP="00634C21">
      <w:pPr>
        <w:spacing w:line="360" w:lineRule="auto"/>
        <w:jc w:val="both"/>
        <w:rPr>
          <w:rFonts w:ascii="Arial" w:hAnsi="Arial" w:cs="Arial"/>
        </w:rPr>
      </w:pPr>
      <w:r w:rsidRPr="00634C21">
        <w:rPr>
          <w:rFonts w:ascii="Arial" w:hAnsi="Arial" w:cs="Arial"/>
        </w:rPr>
        <w:t>Mental health has gained increasing prominence under SDG 3, particularly following the COVID-19 pandemic, which exacerbated psychological distress, social isolation</w:t>
      </w:r>
      <w:r w:rsidR="00746340" w:rsidRPr="00634C21">
        <w:rPr>
          <w:rFonts w:ascii="Arial" w:hAnsi="Arial" w:cs="Arial"/>
        </w:rPr>
        <w:t xml:space="preserve"> and health inequalities</w:t>
      </w:r>
      <w:r w:rsidR="006E5CAB" w:rsidRPr="00634C21">
        <w:rPr>
          <w:rFonts w:ascii="Arial" w:hAnsi="Arial" w:cs="Arial"/>
        </w:rPr>
        <w:t xml:space="preserve"> </w:t>
      </w:r>
      <w:r w:rsidR="00746340" w:rsidRPr="00634C21">
        <w:rPr>
          <w:rFonts w:ascii="Arial" w:hAnsi="Arial" w:cs="Arial"/>
        </w:rPr>
        <w:t>(</w:t>
      </w:r>
      <w:proofErr w:type="spellStart"/>
      <w:r w:rsidR="00746340" w:rsidRPr="00634C21">
        <w:rPr>
          <w:rFonts w:ascii="Arial" w:hAnsi="Arial" w:cs="Arial"/>
        </w:rPr>
        <w:t>Mascayano</w:t>
      </w:r>
      <w:proofErr w:type="spellEnd"/>
      <w:r w:rsidR="00746340" w:rsidRPr="00634C21">
        <w:rPr>
          <w:rFonts w:ascii="Arial" w:hAnsi="Arial" w:cs="Arial"/>
        </w:rPr>
        <w:t> </w:t>
      </w:r>
      <w:r w:rsidR="00746340" w:rsidRPr="00634C21">
        <w:rPr>
          <w:rFonts w:ascii="Arial" w:hAnsi="Arial" w:cs="Arial"/>
          <w:i/>
          <w:iCs/>
        </w:rPr>
        <w:t>et al.</w:t>
      </w:r>
      <w:r w:rsidR="00746340" w:rsidRPr="00634C21">
        <w:rPr>
          <w:rFonts w:ascii="Arial" w:hAnsi="Arial" w:cs="Arial"/>
        </w:rPr>
        <w:t xml:space="preserve">, 2022). Globally, anxiety </w:t>
      </w:r>
      <w:r w:rsidR="002101F4" w:rsidRPr="00634C21">
        <w:rPr>
          <w:rFonts w:ascii="Arial" w:hAnsi="Arial" w:cs="Arial"/>
        </w:rPr>
        <w:t>and depressive disorders increased significantly during the pandemic period. However, addressing mental well-being through community-based support services, early intervention strategies, and integration in</w:t>
      </w:r>
      <w:r w:rsidR="00CF74DB" w:rsidRPr="00634C21">
        <w:rPr>
          <w:rFonts w:ascii="Arial" w:hAnsi="Arial" w:cs="Arial"/>
        </w:rPr>
        <w:t>to</w:t>
      </w:r>
      <w:r w:rsidR="002101F4" w:rsidRPr="00634C21">
        <w:rPr>
          <w:rFonts w:ascii="Arial" w:hAnsi="Arial" w:cs="Arial"/>
        </w:rPr>
        <w:t xml:space="preserve"> primary care systems directly impacts productivity, social cohesion and economic sustainability</w:t>
      </w:r>
      <w:r w:rsidR="00997CC0" w:rsidRPr="00634C21">
        <w:rPr>
          <w:rFonts w:ascii="Arial" w:hAnsi="Arial" w:cs="Arial"/>
        </w:rPr>
        <w:t xml:space="preserve"> (Truelove </w:t>
      </w:r>
      <w:r w:rsidR="00997CC0" w:rsidRPr="00634C21">
        <w:rPr>
          <w:rFonts w:ascii="Arial" w:hAnsi="Arial" w:cs="Arial"/>
          <w:i/>
          <w:iCs/>
        </w:rPr>
        <w:t>et al.</w:t>
      </w:r>
      <w:r w:rsidR="00997CC0" w:rsidRPr="00634C21">
        <w:rPr>
          <w:rFonts w:ascii="Arial" w:hAnsi="Arial" w:cs="Arial"/>
        </w:rPr>
        <w:t>, 2023). Despite this recognition, mental health services remain underfunded in many countries, highlighting a gap between policy aspiration and practical implementation.</w:t>
      </w:r>
    </w:p>
    <w:p w14:paraId="21912492" w14:textId="3A3E181B" w:rsidR="00E1654C" w:rsidRPr="00634C21" w:rsidRDefault="00E1654C" w:rsidP="00634C21">
      <w:pPr>
        <w:spacing w:line="360" w:lineRule="auto"/>
        <w:jc w:val="both"/>
        <w:rPr>
          <w:rFonts w:ascii="Arial" w:hAnsi="Arial" w:cs="Arial"/>
        </w:rPr>
      </w:pPr>
      <w:r w:rsidRPr="00634C21">
        <w:rPr>
          <w:rFonts w:ascii="Arial" w:hAnsi="Arial" w:cs="Arial"/>
        </w:rPr>
        <w:t>However, despite measurable progress in some regions, global health inequalities remain pronounced. Low-income countries continue to experience disproportionate burdens of communicable diseases and limited access to healthcare infrastructure. Additionally, climate change</w:t>
      </w:r>
      <w:r w:rsidR="0090298B" w:rsidRPr="00634C21">
        <w:rPr>
          <w:rFonts w:ascii="Arial" w:hAnsi="Arial" w:cs="Arial"/>
        </w:rPr>
        <w:t xml:space="preserve"> presents emerging health risks, including heart-related illnesses, food insecurity and vector-borne diseases, disproportionately affecting vulnerable populations</w:t>
      </w:r>
      <w:r w:rsidR="007922AF" w:rsidRPr="00634C21">
        <w:rPr>
          <w:rFonts w:ascii="Arial" w:hAnsi="Arial" w:cs="Arial"/>
        </w:rPr>
        <w:t xml:space="preserve"> (Kumar </w:t>
      </w:r>
      <w:r w:rsidR="007922AF" w:rsidRPr="00634C21">
        <w:rPr>
          <w:rFonts w:ascii="Arial" w:hAnsi="Arial" w:cs="Arial"/>
          <w:i/>
          <w:iCs/>
        </w:rPr>
        <w:t>et al.</w:t>
      </w:r>
      <w:r w:rsidR="007922AF" w:rsidRPr="00634C21">
        <w:rPr>
          <w:rFonts w:ascii="Arial" w:hAnsi="Arial" w:cs="Arial"/>
        </w:rPr>
        <w:t xml:space="preserve">, 2024). These interconnected challenges illustrate that SDG 3 cannot be achieved in isolation but requires alignment with other SDGs, particularly those addressing poverty, inequality and climate action </w:t>
      </w:r>
      <w:r w:rsidR="00232EC3" w:rsidRPr="00634C21">
        <w:rPr>
          <w:rFonts w:ascii="Arial" w:hAnsi="Arial" w:cs="Arial"/>
        </w:rPr>
        <w:t>(Akhtar Sherin, 2024).</w:t>
      </w:r>
    </w:p>
    <w:p w14:paraId="54106A4D" w14:textId="3C850752" w:rsidR="004570D1" w:rsidRPr="00634C21" w:rsidRDefault="004570D1" w:rsidP="00634C21">
      <w:pPr>
        <w:pStyle w:val="Heading1"/>
        <w:spacing w:line="360" w:lineRule="auto"/>
        <w:jc w:val="both"/>
        <w:rPr>
          <w:rFonts w:ascii="Arial" w:hAnsi="Arial" w:cs="Arial"/>
          <w:b/>
          <w:bCs/>
          <w:sz w:val="22"/>
          <w:szCs w:val="22"/>
        </w:rPr>
      </w:pPr>
      <w:r w:rsidRPr="00634C21">
        <w:rPr>
          <w:rFonts w:ascii="Arial" w:hAnsi="Arial" w:cs="Arial"/>
          <w:sz w:val="22"/>
          <w:szCs w:val="22"/>
        </w:rPr>
        <w:t xml:space="preserve"> </w:t>
      </w:r>
      <w:bookmarkStart w:id="2" w:name="_Toc225788237"/>
      <w:r w:rsidRPr="00634C21">
        <w:rPr>
          <w:rFonts w:ascii="Arial" w:hAnsi="Arial" w:cs="Arial"/>
          <w:b/>
          <w:bCs/>
          <w:color w:val="auto"/>
          <w:sz w:val="22"/>
          <w:szCs w:val="22"/>
        </w:rPr>
        <w:t>Sustainable Development Goal 10: Reduced Inequalities</w:t>
      </w:r>
      <w:bookmarkEnd w:id="2"/>
      <w:r w:rsidR="00D4380B" w:rsidRPr="00634C21">
        <w:rPr>
          <w:rFonts w:ascii="Arial" w:hAnsi="Arial" w:cs="Arial"/>
          <w:b/>
          <w:bCs/>
          <w:color w:val="auto"/>
          <w:sz w:val="22"/>
          <w:szCs w:val="22"/>
        </w:rPr>
        <w:t xml:space="preserve">                    </w:t>
      </w:r>
    </w:p>
    <w:p w14:paraId="78E4FC87" w14:textId="6DEFC4A1" w:rsidR="0083137E" w:rsidRPr="00634C21" w:rsidRDefault="0083137E" w:rsidP="00634C21">
      <w:pPr>
        <w:spacing w:line="360" w:lineRule="auto"/>
        <w:jc w:val="both"/>
        <w:rPr>
          <w:rFonts w:ascii="Arial" w:hAnsi="Arial" w:cs="Arial"/>
        </w:rPr>
      </w:pPr>
      <w:r w:rsidRPr="00634C21">
        <w:rPr>
          <w:rFonts w:ascii="Arial" w:hAnsi="Arial" w:cs="Arial"/>
        </w:rPr>
        <w:t>Sustainab</w:t>
      </w:r>
      <w:r w:rsidR="00696710" w:rsidRPr="00634C21">
        <w:rPr>
          <w:rFonts w:ascii="Arial" w:hAnsi="Arial" w:cs="Arial"/>
        </w:rPr>
        <w:t xml:space="preserve">le Development Goal 10 focuses on reducing inequalities within and between </w:t>
      </w:r>
      <w:r w:rsidR="00683BE2" w:rsidRPr="00634C21">
        <w:rPr>
          <w:rFonts w:ascii="Arial" w:hAnsi="Arial" w:cs="Arial"/>
        </w:rPr>
        <w:t>countries (</w:t>
      </w:r>
      <w:r w:rsidR="00696710" w:rsidRPr="00634C21">
        <w:rPr>
          <w:rFonts w:ascii="Arial" w:hAnsi="Arial" w:cs="Arial"/>
        </w:rPr>
        <w:t>United Nations, 2025).</w:t>
      </w:r>
      <w:r w:rsidR="00683BE2" w:rsidRPr="00634C21">
        <w:rPr>
          <w:rFonts w:ascii="Arial" w:hAnsi="Arial" w:cs="Arial"/>
        </w:rPr>
        <w:t xml:space="preserve"> It addresses income inequality, social exclusion, discrimination, migration governance and unequal access to opportunities. The goal recognises that structural inequalities profoundly influence health outcomes and overall well-being. Consequently, SDG 10 emphasises the importance of inclusive social and economic policies that ensure fair access to resources, services and opportunities for all members of </w:t>
      </w:r>
      <w:r w:rsidR="00F41FC9" w:rsidRPr="00634C21">
        <w:rPr>
          <w:rFonts w:ascii="Arial" w:hAnsi="Arial" w:cs="Arial"/>
        </w:rPr>
        <w:t>society (</w:t>
      </w:r>
      <w:proofErr w:type="spellStart"/>
      <w:r w:rsidR="00F41FC9" w:rsidRPr="00634C21">
        <w:rPr>
          <w:rFonts w:ascii="Arial" w:hAnsi="Arial" w:cs="Arial"/>
        </w:rPr>
        <w:t>Djatmiko</w:t>
      </w:r>
      <w:proofErr w:type="spellEnd"/>
      <w:r w:rsidR="00F41FC9" w:rsidRPr="00634C21">
        <w:rPr>
          <w:rFonts w:ascii="Arial" w:hAnsi="Arial" w:cs="Arial"/>
        </w:rPr>
        <w:t xml:space="preserve">, Sinaga, and </w:t>
      </w:r>
      <w:proofErr w:type="spellStart"/>
      <w:r w:rsidR="00F41FC9" w:rsidRPr="00634C21">
        <w:rPr>
          <w:rFonts w:ascii="Arial" w:hAnsi="Arial" w:cs="Arial"/>
        </w:rPr>
        <w:t>Pawirosumarto</w:t>
      </w:r>
      <w:proofErr w:type="spellEnd"/>
      <w:r w:rsidR="00F41FC9" w:rsidRPr="00634C21">
        <w:rPr>
          <w:rFonts w:ascii="Arial" w:hAnsi="Arial" w:cs="Arial"/>
        </w:rPr>
        <w:t>, 2025).</w:t>
      </w:r>
    </w:p>
    <w:p w14:paraId="52055575" w14:textId="6BCDF3EA" w:rsidR="00AB7F81" w:rsidRPr="00634C21" w:rsidRDefault="00407476" w:rsidP="00634C21">
      <w:pPr>
        <w:spacing w:line="360" w:lineRule="auto"/>
        <w:jc w:val="both"/>
        <w:rPr>
          <w:rFonts w:ascii="Arial" w:hAnsi="Arial" w:cs="Arial"/>
        </w:rPr>
      </w:pPr>
      <w:r w:rsidRPr="00634C21">
        <w:rPr>
          <w:rFonts w:ascii="Arial" w:hAnsi="Arial" w:cs="Arial"/>
        </w:rPr>
        <w:t>Health disparities are strongly associated with socioeconomic status, ethnicity, disability, gender and geographic location</w:t>
      </w:r>
      <w:r w:rsidR="006059D4" w:rsidRPr="00634C21">
        <w:rPr>
          <w:rFonts w:ascii="Arial" w:hAnsi="Arial" w:cs="Arial"/>
        </w:rPr>
        <w:t xml:space="preserve"> (Pérez-Stable and Webb Hooper, 2023).</w:t>
      </w:r>
      <w:r w:rsidRPr="00634C21">
        <w:rPr>
          <w:rFonts w:ascii="Arial" w:hAnsi="Arial" w:cs="Arial"/>
        </w:rPr>
        <w:t xml:space="preserve"> Individuals living in </w:t>
      </w:r>
      <w:r w:rsidRPr="00634C21">
        <w:rPr>
          <w:rFonts w:ascii="Arial" w:hAnsi="Arial" w:cs="Arial"/>
        </w:rPr>
        <w:lastRenderedPageBreak/>
        <w:t xml:space="preserve">poverty are more likely to experience poor housing conditions, limited access to nutritious food, lower educational attainment and restricted healthcare </w:t>
      </w:r>
      <w:r w:rsidR="006059D4" w:rsidRPr="00634C21">
        <w:rPr>
          <w:rFonts w:ascii="Arial" w:hAnsi="Arial" w:cs="Arial"/>
        </w:rPr>
        <w:t>access. As a result, inequality acts as a fundamental</w:t>
      </w:r>
      <w:r w:rsidR="00103807" w:rsidRPr="00634C21">
        <w:rPr>
          <w:rFonts w:ascii="Arial" w:hAnsi="Arial" w:cs="Arial"/>
        </w:rPr>
        <w:t xml:space="preserve"> determinant of health, shaping both physical and mental well-being across the life course </w:t>
      </w:r>
      <w:r w:rsidR="00DB60B9" w:rsidRPr="00634C21">
        <w:rPr>
          <w:rFonts w:ascii="Arial" w:hAnsi="Arial" w:cs="Arial"/>
        </w:rPr>
        <w:t xml:space="preserve">(Jaeggi </w:t>
      </w:r>
      <w:r w:rsidR="00DB60B9" w:rsidRPr="00634C21">
        <w:rPr>
          <w:rFonts w:ascii="Arial" w:hAnsi="Arial" w:cs="Arial"/>
          <w:i/>
          <w:iCs/>
        </w:rPr>
        <w:t>et al.</w:t>
      </w:r>
      <w:r w:rsidR="00DB60B9" w:rsidRPr="00634C21">
        <w:rPr>
          <w:rFonts w:ascii="Arial" w:hAnsi="Arial" w:cs="Arial"/>
        </w:rPr>
        <w:t xml:space="preserve">, 2021). Furthermore, </w:t>
      </w:r>
      <w:r w:rsidR="0022193B" w:rsidRPr="00634C21">
        <w:rPr>
          <w:rFonts w:ascii="Arial" w:hAnsi="Arial" w:cs="Arial"/>
        </w:rPr>
        <w:t>health inequalities are caused by unequal resource distribution and systemic factors such as rising income inequality, 3.8 billion people lacking social protection, 2.4</w:t>
      </w:r>
      <w:r w:rsidR="009D1B74" w:rsidRPr="00634C21">
        <w:rPr>
          <w:rFonts w:ascii="Arial" w:hAnsi="Arial" w:cs="Arial"/>
        </w:rPr>
        <w:t xml:space="preserve"> billion women facing discrimination, escalating debt burdens, climate impacts, and a tripling of forced displacement to 122 million between 2008 and 2024, all of which worsen global health outcomes (World Health Organisation, 2025).</w:t>
      </w:r>
    </w:p>
    <w:p w14:paraId="2BA80C45" w14:textId="185D760F" w:rsidR="00AB7F81" w:rsidRPr="00634C21" w:rsidRDefault="00AB7F81" w:rsidP="00634C21">
      <w:pPr>
        <w:spacing w:line="360" w:lineRule="auto"/>
        <w:jc w:val="both"/>
        <w:rPr>
          <w:rFonts w:ascii="Arial" w:hAnsi="Arial" w:cs="Arial"/>
        </w:rPr>
      </w:pPr>
      <w:r w:rsidRPr="00634C21">
        <w:rPr>
          <w:rFonts w:ascii="Arial" w:hAnsi="Arial" w:cs="Arial"/>
        </w:rPr>
        <w:t>Income inequality correlates with higher rates of chronic illness and mental health disorders and reduced life expectancy. Evidence demonstrates that societies with wider wealth gaps often experience poorer overall population health, not solely among disadvantaged groups but across all social strata (</w:t>
      </w:r>
      <w:r w:rsidR="00DC26A4" w:rsidRPr="00634C21">
        <w:rPr>
          <w:rFonts w:ascii="Arial" w:hAnsi="Arial" w:cs="Arial"/>
        </w:rPr>
        <w:t>Jaeggi </w:t>
      </w:r>
      <w:r w:rsidR="00DC26A4" w:rsidRPr="00634C21">
        <w:rPr>
          <w:rFonts w:ascii="Arial" w:hAnsi="Arial" w:cs="Arial"/>
          <w:i/>
          <w:iCs/>
        </w:rPr>
        <w:t>et al.</w:t>
      </w:r>
      <w:r w:rsidR="00DC26A4" w:rsidRPr="00634C21">
        <w:rPr>
          <w:rFonts w:ascii="Arial" w:hAnsi="Arial" w:cs="Arial"/>
        </w:rPr>
        <w:t>, 2021). This phenomenon reflects both the psychological impact of inequality, such as stress</w:t>
      </w:r>
      <w:r w:rsidR="001E7F21" w:rsidRPr="00634C21">
        <w:rPr>
          <w:rFonts w:ascii="Arial" w:hAnsi="Arial" w:cs="Arial"/>
        </w:rPr>
        <w:t>, anxiety, loneliness</w:t>
      </w:r>
      <w:r w:rsidR="0021360F" w:rsidRPr="00634C21">
        <w:rPr>
          <w:rFonts w:ascii="Arial" w:hAnsi="Arial" w:cs="Arial"/>
        </w:rPr>
        <w:t>, and reduced social cohesion, and material disadvantages, including unequal access to</w:t>
      </w:r>
      <w:r w:rsidR="001E7F21" w:rsidRPr="00634C21">
        <w:rPr>
          <w:rFonts w:ascii="Arial" w:hAnsi="Arial" w:cs="Arial"/>
        </w:rPr>
        <w:t xml:space="preserve"> healthcare resources and public services (Quinn </w:t>
      </w:r>
      <w:r w:rsidR="001E7F21" w:rsidRPr="00634C21">
        <w:rPr>
          <w:rFonts w:ascii="Arial" w:hAnsi="Arial" w:cs="Arial"/>
          <w:i/>
          <w:iCs/>
        </w:rPr>
        <w:t>et al.</w:t>
      </w:r>
      <w:r w:rsidR="001E7F21" w:rsidRPr="00634C21">
        <w:rPr>
          <w:rFonts w:ascii="Arial" w:hAnsi="Arial" w:cs="Arial"/>
        </w:rPr>
        <w:t>, 2024).</w:t>
      </w:r>
      <w:r w:rsidR="00EC3714" w:rsidRPr="00634C21">
        <w:rPr>
          <w:rFonts w:ascii="Arial" w:hAnsi="Arial" w:cs="Arial"/>
        </w:rPr>
        <w:t xml:space="preserve"> However, critics argue that economic growth alone does not automatically reduce inequality unless accompanied by redistributive policies and inclusive governance frameworks.</w:t>
      </w:r>
    </w:p>
    <w:p w14:paraId="41EC39A0" w14:textId="05947A5D" w:rsidR="00EC3714" w:rsidRPr="00634C21" w:rsidRDefault="00EC3714" w:rsidP="00634C21">
      <w:pPr>
        <w:spacing w:line="360" w:lineRule="auto"/>
        <w:jc w:val="both"/>
        <w:rPr>
          <w:rFonts w:ascii="Arial" w:hAnsi="Arial" w:cs="Arial"/>
        </w:rPr>
      </w:pPr>
      <w:r w:rsidRPr="00634C21">
        <w:rPr>
          <w:rFonts w:ascii="Arial" w:hAnsi="Arial" w:cs="Arial"/>
        </w:rPr>
        <w:t>S</w:t>
      </w:r>
      <w:r w:rsidR="001C2E55" w:rsidRPr="00634C21">
        <w:rPr>
          <w:rFonts w:ascii="Arial" w:hAnsi="Arial" w:cs="Arial"/>
        </w:rPr>
        <w:t xml:space="preserve">ustainable </w:t>
      </w:r>
      <w:r w:rsidRPr="00634C21">
        <w:rPr>
          <w:rFonts w:ascii="Arial" w:hAnsi="Arial" w:cs="Arial"/>
        </w:rPr>
        <w:t>D</w:t>
      </w:r>
      <w:r w:rsidR="001C2E55" w:rsidRPr="00634C21">
        <w:rPr>
          <w:rFonts w:ascii="Arial" w:hAnsi="Arial" w:cs="Arial"/>
        </w:rPr>
        <w:t xml:space="preserve">evelopment </w:t>
      </w:r>
      <w:r w:rsidRPr="00634C21">
        <w:rPr>
          <w:rFonts w:ascii="Arial" w:hAnsi="Arial" w:cs="Arial"/>
        </w:rPr>
        <w:t>G</w:t>
      </w:r>
      <w:r w:rsidR="001C2E55" w:rsidRPr="00634C21">
        <w:rPr>
          <w:rFonts w:ascii="Arial" w:hAnsi="Arial" w:cs="Arial"/>
        </w:rPr>
        <w:t>oal</w:t>
      </w:r>
      <w:r w:rsidRPr="00634C21">
        <w:rPr>
          <w:rFonts w:ascii="Arial" w:hAnsi="Arial" w:cs="Arial"/>
        </w:rPr>
        <w:t xml:space="preserve"> 10</w:t>
      </w:r>
      <w:r w:rsidR="00E67A13" w:rsidRPr="00634C21">
        <w:rPr>
          <w:rFonts w:ascii="Arial" w:hAnsi="Arial" w:cs="Arial"/>
        </w:rPr>
        <w:t>’s emphasis on inclusive policies, such as social security systems, fair pay, and anti-discrimination legislation, is being discussed in the UK, particularly in Scotland and Wales. The political economy framework used to promote inclusive growth in Scotland focuses on major policy areas</w:t>
      </w:r>
      <w:r w:rsidR="00AE0AE3" w:rsidRPr="00634C21">
        <w:rPr>
          <w:rFonts w:ascii="Arial" w:hAnsi="Arial" w:cs="Arial"/>
        </w:rPr>
        <w:t>, including</w:t>
      </w:r>
      <w:r w:rsidR="00E67A13" w:rsidRPr="00634C21">
        <w:rPr>
          <w:rFonts w:ascii="Arial" w:hAnsi="Arial" w:cs="Arial"/>
        </w:rPr>
        <w:t xml:space="preserve"> skills development, transport</w:t>
      </w:r>
      <w:r w:rsidR="00AE0AE3" w:rsidRPr="00634C21">
        <w:rPr>
          <w:rFonts w:ascii="Arial" w:hAnsi="Arial" w:cs="Arial"/>
        </w:rPr>
        <w:t>, youth housing, city-regional governance, childcare, and placemaking (Houston, Varna, and Docherty, 2021).</w:t>
      </w:r>
      <w:r w:rsidR="001168FD" w:rsidRPr="00634C21">
        <w:rPr>
          <w:rFonts w:ascii="Arial" w:hAnsi="Arial" w:cs="Arial"/>
        </w:rPr>
        <w:t xml:space="preserve"> </w:t>
      </w:r>
      <w:r w:rsidR="00EE2CAD" w:rsidRPr="00634C21">
        <w:rPr>
          <w:rFonts w:ascii="Arial" w:hAnsi="Arial" w:cs="Arial"/>
        </w:rPr>
        <w:t xml:space="preserve">Inclusive education and fair labour policies can boost long-term social mobility, </w:t>
      </w:r>
      <w:r w:rsidR="00634C21" w:rsidRPr="00634C21">
        <w:rPr>
          <w:rFonts w:ascii="Arial" w:hAnsi="Arial" w:cs="Arial"/>
        </w:rPr>
        <w:t>improve</w:t>
      </w:r>
      <w:r w:rsidR="00EE2CAD" w:rsidRPr="00634C21">
        <w:rPr>
          <w:rFonts w:ascii="Arial" w:hAnsi="Arial" w:cs="Arial"/>
        </w:rPr>
        <w:t xml:space="preserve"> health outcomes and </w:t>
      </w:r>
      <w:r w:rsidR="00634C21" w:rsidRPr="00634C21">
        <w:rPr>
          <w:rFonts w:ascii="Arial" w:hAnsi="Arial" w:cs="Arial"/>
        </w:rPr>
        <w:t>help</w:t>
      </w:r>
      <w:r w:rsidR="00EE2CAD" w:rsidRPr="00634C21">
        <w:rPr>
          <w:rFonts w:ascii="Arial" w:hAnsi="Arial" w:cs="Arial"/>
        </w:rPr>
        <w:t xml:space="preserve"> break cycles of </w:t>
      </w:r>
      <w:r w:rsidR="007C1939" w:rsidRPr="00634C21">
        <w:rPr>
          <w:rFonts w:ascii="Arial" w:hAnsi="Arial" w:cs="Arial"/>
        </w:rPr>
        <w:t>disadvantage across generations</w:t>
      </w:r>
      <w:r w:rsidR="00EE2CAD" w:rsidRPr="00634C21">
        <w:rPr>
          <w:rFonts w:ascii="Arial" w:hAnsi="Arial" w:cs="Arial"/>
        </w:rPr>
        <w:t xml:space="preserve"> </w:t>
      </w:r>
      <w:r w:rsidR="007C2E3A" w:rsidRPr="00634C21">
        <w:rPr>
          <w:rFonts w:ascii="Arial" w:hAnsi="Arial" w:cs="Arial"/>
        </w:rPr>
        <w:t xml:space="preserve">(Wu, Liao, and Yang, 2024). Nevertheless, the effectiveness of such policies largely depends on sustained government commitment </w:t>
      </w:r>
      <w:r w:rsidR="00354D7A" w:rsidRPr="00634C21">
        <w:rPr>
          <w:rFonts w:ascii="Arial" w:hAnsi="Arial" w:cs="Arial"/>
        </w:rPr>
        <w:t>and adequate public investment.</w:t>
      </w:r>
    </w:p>
    <w:p w14:paraId="2D439D67" w14:textId="28AA8B6D" w:rsidR="00A01609" w:rsidRPr="00634C21" w:rsidRDefault="00A01609" w:rsidP="00634C21">
      <w:pPr>
        <w:spacing w:line="360" w:lineRule="auto"/>
        <w:jc w:val="both"/>
        <w:rPr>
          <w:rFonts w:ascii="Arial" w:hAnsi="Arial" w:cs="Arial"/>
        </w:rPr>
      </w:pPr>
      <w:r w:rsidRPr="00634C21">
        <w:rPr>
          <w:rFonts w:ascii="Arial" w:hAnsi="Arial" w:cs="Arial"/>
        </w:rPr>
        <w:t>Migration and global inequities between nations also influence health outcomes. Access to healthcare for mi</w:t>
      </w:r>
      <w:r w:rsidR="009C430E" w:rsidRPr="00634C21">
        <w:rPr>
          <w:rFonts w:ascii="Arial" w:hAnsi="Arial" w:cs="Arial"/>
        </w:rPr>
        <w:t xml:space="preserve">grants and refugees remains inconsistent across many countries, contributing to preventable morbidity and widening health inequalities </w:t>
      </w:r>
      <w:r w:rsidR="000E04FF" w:rsidRPr="00634C21">
        <w:rPr>
          <w:rFonts w:ascii="Arial" w:hAnsi="Arial" w:cs="Arial"/>
        </w:rPr>
        <w:t xml:space="preserve">(World Health Organisation, 2022). Additionally, disparities between high and low-income countries in healthcare resources, vaccination distribution and infrastructure highlight the interconnected nature of inequality and global health security </w:t>
      </w:r>
      <w:r w:rsidR="008A14B5" w:rsidRPr="00634C21">
        <w:rPr>
          <w:rFonts w:ascii="Arial" w:hAnsi="Arial" w:cs="Arial"/>
        </w:rPr>
        <w:t>(</w:t>
      </w:r>
      <w:proofErr w:type="spellStart"/>
      <w:r w:rsidR="008A14B5" w:rsidRPr="00634C21">
        <w:rPr>
          <w:rFonts w:ascii="Arial" w:hAnsi="Arial" w:cs="Arial"/>
        </w:rPr>
        <w:t>Amimo</w:t>
      </w:r>
      <w:proofErr w:type="spellEnd"/>
      <w:r w:rsidR="008A14B5" w:rsidRPr="00634C21">
        <w:rPr>
          <w:rFonts w:ascii="Arial" w:hAnsi="Arial" w:cs="Arial"/>
        </w:rPr>
        <w:t xml:space="preserve"> and </w:t>
      </w:r>
      <w:proofErr w:type="spellStart"/>
      <w:r w:rsidR="008A14B5" w:rsidRPr="00634C21">
        <w:rPr>
          <w:rFonts w:ascii="Arial" w:hAnsi="Arial" w:cs="Arial"/>
        </w:rPr>
        <w:t>Magit</w:t>
      </w:r>
      <w:proofErr w:type="spellEnd"/>
      <w:r w:rsidR="008A14B5" w:rsidRPr="00634C21">
        <w:rPr>
          <w:rFonts w:ascii="Arial" w:hAnsi="Arial" w:cs="Arial"/>
        </w:rPr>
        <w:t>, 2023). For example, the unequal distribution of COVID-19 vaccines demonstrated how global health systems remain heavily influenced by economic and political power imbalances.</w:t>
      </w:r>
    </w:p>
    <w:p w14:paraId="472B6D64" w14:textId="2C2516F0" w:rsidR="00551C5C" w:rsidRPr="00634C21" w:rsidRDefault="002E14D5" w:rsidP="00634C21">
      <w:pPr>
        <w:spacing w:line="360" w:lineRule="auto"/>
        <w:jc w:val="both"/>
        <w:rPr>
          <w:rFonts w:ascii="Arial" w:hAnsi="Arial" w:cs="Arial"/>
        </w:rPr>
      </w:pPr>
      <w:r w:rsidRPr="00634C21">
        <w:rPr>
          <w:rFonts w:ascii="Arial" w:hAnsi="Arial" w:cs="Arial"/>
        </w:rPr>
        <w:lastRenderedPageBreak/>
        <w:t xml:space="preserve">Although SDG 10 does not directly target healthcare, it significantly influences well-being. Reducing structural inequalities can strengthen social cohesion, lower stress-related health issues, and improve overall quality of </w:t>
      </w:r>
      <w:r w:rsidR="00EE2CAD" w:rsidRPr="00634C21">
        <w:rPr>
          <w:rFonts w:ascii="Arial" w:hAnsi="Arial" w:cs="Arial"/>
        </w:rPr>
        <w:t>life</w:t>
      </w:r>
      <w:r w:rsidRPr="00634C21">
        <w:rPr>
          <w:rFonts w:ascii="Arial" w:hAnsi="Arial" w:cs="Arial"/>
        </w:rPr>
        <w:t xml:space="preserve"> </w:t>
      </w:r>
      <w:r w:rsidR="00E43E40" w:rsidRPr="00634C21">
        <w:rPr>
          <w:rFonts w:ascii="Arial" w:hAnsi="Arial" w:cs="Arial"/>
        </w:rPr>
        <w:t>(Egede, Walker and Williams, 2024). Moreover, reducing inequality contributes to a stronger economic productivity and a more stable society, which are essential</w:t>
      </w:r>
      <w:r w:rsidR="002C5874" w:rsidRPr="00634C21">
        <w:rPr>
          <w:rFonts w:ascii="Arial" w:hAnsi="Arial" w:cs="Arial"/>
        </w:rPr>
        <w:t xml:space="preserve"> for sustainable development</w:t>
      </w:r>
      <w:r w:rsidR="00CC458A" w:rsidRPr="00634C21">
        <w:rPr>
          <w:rFonts w:ascii="Arial" w:hAnsi="Arial" w:cs="Arial"/>
        </w:rPr>
        <w:t xml:space="preserve"> (M</w:t>
      </w:r>
      <w:r w:rsidR="00634C21" w:rsidRPr="00634C21">
        <w:rPr>
          <w:rFonts w:ascii="Arial" w:hAnsi="Arial" w:cs="Arial"/>
        </w:rPr>
        <w:t>eca</w:t>
      </w:r>
      <w:r w:rsidR="00CC458A" w:rsidRPr="00634C21">
        <w:rPr>
          <w:rFonts w:ascii="Arial" w:hAnsi="Arial" w:cs="Arial"/>
        </w:rPr>
        <w:t> </w:t>
      </w:r>
      <w:r w:rsidR="00CC458A" w:rsidRPr="00634C21">
        <w:rPr>
          <w:rFonts w:ascii="Arial" w:hAnsi="Arial" w:cs="Arial"/>
          <w:i/>
          <w:iCs/>
        </w:rPr>
        <w:t>et al.</w:t>
      </w:r>
      <w:r w:rsidR="00CC458A" w:rsidRPr="00634C21">
        <w:rPr>
          <w:rFonts w:ascii="Arial" w:hAnsi="Arial" w:cs="Arial"/>
        </w:rPr>
        <w:t xml:space="preserve">, 2025). Therefore, SDG 10 </w:t>
      </w:r>
      <w:r w:rsidR="00551C5C" w:rsidRPr="00634C21">
        <w:rPr>
          <w:rFonts w:ascii="Arial" w:hAnsi="Arial" w:cs="Arial"/>
        </w:rPr>
        <w:t xml:space="preserve">is essential for achieving SDG 3, as reducing inequality ensures </w:t>
      </w:r>
      <w:r w:rsidR="00DC2D56" w:rsidRPr="00634C21">
        <w:rPr>
          <w:rFonts w:ascii="Arial" w:hAnsi="Arial" w:cs="Arial"/>
        </w:rPr>
        <w:t>that health improvements are shared fairly and remain effective in the long term</w:t>
      </w:r>
      <w:r w:rsidR="00551C5C" w:rsidRPr="00634C21">
        <w:rPr>
          <w:rFonts w:ascii="Arial" w:hAnsi="Arial" w:cs="Arial"/>
        </w:rPr>
        <w:t>.</w:t>
      </w:r>
    </w:p>
    <w:p w14:paraId="2058A250" w14:textId="3CCAB26A" w:rsidR="00CC458A" w:rsidRPr="00634C21" w:rsidRDefault="00CC458A" w:rsidP="00634C21">
      <w:pPr>
        <w:spacing w:line="360" w:lineRule="auto"/>
        <w:jc w:val="both"/>
        <w:rPr>
          <w:rFonts w:ascii="Arial" w:hAnsi="Arial" w:cs="Arial"/>
          <w:b/>
          <w:bCs/>
        </w:rPr>
      </w:pPr>
      <w:r w:rsidRPr="00634C21">
        <w:rPr>
          <w:rFonts w:ascii="Arial" w:hAnsi="Arial" w:cs="Arial"/>
          <w:b/>
          <w:bCs/>
        </w:rPr>
        <w:t xml:space="preserve"> </w:t>
      </w:r>
      <w:bookmarkStart w:id="3" w:name="_Toc225788238"/>
      <w:r w:rsidRPr="00634C21">
        <w:rPr>
          <w:rFonts w:ascii="Arial" w:hAnsi="Arial" w:cs="Arial"/>
          <w:b/>
          <w:bCs/>
        </w:rPr>
        <w:t>National Well-being Initiatives</w:t>
      </w:r>
      <w:bookmarkEnd w:id="3"/>
    </w:p>
    <w:p w14:paraId="1E0D7BEB" w14:textId="5F5BFC8B" w:rsidR="00762213" w:rsidRPr="00634C21" w:rsidRDefault="00762213" w:rsidP="00634C21">
      <w:pPr>
        <w:spacing w:line="360" w:lineRule="auto"/>
        <w:jc w:val="both"/>
        <w:rPr>
          <w:rFonts w:ascii="Arial" w:hAnsi="Arial" w:cs="Arial"/>
          <w:b/>
          <w:bCs/>
        </w:rPr>
      </w:pPr>
      <w:r w:rsidRPr="00634C21">
        <w:rPr>
          <w:rFonts w:ascii="Arial" w:hAnsi="Arial" w:cs="Arial"/>
          <w:b/>
          <w:bCs/>
        </w:rPr>
        <w:t>1. The UK Government’s Levelling Up Agenda</w:t>
      </w:r>
    </w:p>
    <w:p w14:paraId="472EB036" w14:textId="071E15D6" w:rsidR="00762213" w:rsidRPr="00634C21" w:rsidRDefault="00762213" w:rsidP="00634C21">
      <w:pPr>
        <w:spacing w:line="360" w:lineRule="auto"/>
        <w:jc w:val="both"/>
        <w:rPr>
          <w:rFonts w:ascii="Arial" w:hAnsi="Arial" w:cs="Arial"/>
        </w:rPr>
      </w:pPr>
      <w:r w:rsidRPr="00634C21">
        <w:rPr>
          <w:rFonts w:ascii="Arial" w:hAnsi="Arial" w:cs="Arial"/>
        </w:rPr>
        <w:t>The UK Government’s Levelling UP agenda aims to reduce regional disparities in</w:t>
      </w:r>
      <w:r w:rsidR="005A415B" w:rsidRPr="00634C21">
        <w:rPr>
          <w:rFonts w:ascii="Arial" w:hAnsi="Arial" w:cs="Arial"/>
        </w:rPr>
        <w:t xml:space="preserve"> economic opportunity, infrastructure, employment and health outcomes across the United Kingdom</w:t>
      </w:r>
      <w:r w:rsidR="00EF7DF2" w:rsidRPr="00634C21">
        <w:rPr>
          <w:rFonts w:ascii="Arial" w:hAnsi="Arial" w:cs="Arial"/>
        </w:rPr>
        <w:t xml:space="preserve"> (Department for Levelling Up, Housing and Communities, 2022).</w:t>
      </w:r>
      <w:r w:rsidR="00111208" w:rsidRPr="00634C21">
        <w:rPr>
          <w:rFonts w:ascii="Arial" w:hAnsi="Arial" w:cs="Arial"/>
        </w:rPr>
        <w:t xml:space="preserve"> By targeting investment in deprived</w:t>
      </w:r>
      <w:r w:rsidR="00D24540" w:rsidRPr="00634C21">
        <w:rPr>
          <w:rFonts w:ascii="Arial" w:hAnsi="Arial" w:cs="Arial"/>
        </w:rPr>
        <w:t xml:space="preserve"> regions, the initiative seeks to improve living standards and reduce geographic health inequalities. This approach reflects growing recognition that health outcomes are strongly influenced by </w:t>
      </w:r>
      <w:r w:rsidR="00881A29" w:rsidRPr="00634C21">
        <w:rPr>
          <w:rFonts w:ascii="Arial" w:hAnsi="Arial" w:cs="Arial"/>
        </w:rPr>
        <w:t>broader social determinants, such as employment, housing conditions,</w:t>
      </w:r>
      <w:r w:rsidR="00D24540" w:rsidRPr="00634C21">
        <w:rPr>
          <w:rFonts w:ascii="Arial" w:hAnsi="Arial" w:cs="Arial"/>
        </w:rPr>
        <w:t xml:space="preserve"> and access to education</w:t>
      </w:r>
      <w:r w:rsidR="006B60E3" w:rsidRPr="00634C21">
        <w:rPr>
          <w:rFonts w:ascii="Arial" w:hAnsi="Arial" w:cs="Arial"/>
        </w:rPr>
        <w:t xml:space="preserve"> (Brown and Elliott, 2021). Consequently, reducing regional economic inequalities is viewed as an essential step </w:t>
      </w:r>
      <w:r w:rsidR="0076359D" w:rsidRPr="00634C21">
        <w:rPr>
          <w:rFonts w:ascii="Arial" w:hAnsi="Arial" w:cs="Arial"/>
        </w:rPr>
        <w:t>toward improving long-term population health and well-being.</w:t>
      </w:r>
      <w:r w:rsidR="006B60E3" w:rsidRPr="00634C21">
        <w:rPr>
          <w:rFonts w:ascii="Arial" w:hAnsi="Arial" w:cs="Arial"/>
        </w:rPr>
        <w:t xml:space="preserve"> </w:t>
      </w:r>
    </w:p>
    <w:p w14:paraId="0D07B36C" w14:textId="330CAB4A" w:rsidR="0088448F" w:rsidRPr="00634C21" w:rsidRDefault="0088448F" w:rsidP="00634C21">
      <w:pPr>
        <w:spacing w:line="360" w:lineRule="auto"/>
        <w:jc w:val="both"/>
        <w:rPr>
          <w:rFonts w:ascii="Arial" w:hAnsi="Arial" w:cs="Arial"/>
        </w:rPr>
      </w:pPr>
      <w:r w:rsidRPr="00634C21">
        <w:rPr>
          <w:rFonts w:ascii="Arial" w:hAnsi="Arial" w:cs="Arial"/>
        </w:rPr>
        <w:t xml:space="preserve">Although the Levelling Up agenda recognises the link between deprivation and poor health, its effectiveness in reducing health inequalities remains limited. Evidence suggests that life expectancy gaps between the most and least deprived areas have not significantly improved, indicating </w:t>
      </w:r>
      <w:r w:rsidR="003649D1" w:rsidRPr="00634C21">
        <w:rPr>
          <w:rFonts w:ascii="Arial" w:hAnsi="Arial" w:cs="Arial"/>
        </w:rPr>
        <w:t xml:space="preserve">minimal impact on key health outcomes (Bennett </w:t>
      </w:r>
      <w:r w:rsidR="003649D1" w:rsidRPr="00634C21">
        <w:rPr>
          <w:rFonts w:ascii="Arial" w:hAnsi="Arial" w:cs="Arial"/>
          <w:i/>
          <w:iCs/>
        </w:rPr>
        <w:t>et al</w:t>
      </w:r>
      <w:r w:rsidR="003649D1" w:rsidRPr="00634C21">
        <w:rPr>
          <w:rFonts w:ascii="Arial" w:hAnsi="Arial" w:cs="Arial"/>
        </w:rPr>
        <w:t>., 2023). Furthermore, the competitive funding model has been criticised for favouring areas with stronger administrative capacity, potentially reinforcing existing inequalities rather than addressing them</w:t>
      </w:r>
      <w:r w:rsidR="000B0A7A" w:rsidRPr="00634C21">
        <w:rPr>
          <w:rFonts w:ascii="Arial" w:hAnsi="Arial" w:cs="Arial"/>
        </w:rPr>
        <w:t xml:space="preserve"> (Taylor and Velthuis</w:t>
      </w:r>
      <w:r w:rsidR="00075F02" w:rsidRPr="00634C21">
        <w:rPr>
          <w:rFonts w:ascii="Arial" w:hAnsi="Arial" w:cs="Arial"/>
        </w:rPr>
        <w:t>,</w:t>
      </w:r>
      <w:r w:rsidR="000B0A7A" w:rsidRPr="00634C21">
        <w:rPr>
          <w:rFonts w:ascii="Arial" w:hAnsi="Arial" w:cs="Arial"/>
        </w:rPr>
        <w:t xml:space="preserve"> 2025). In addition, the absence of clear evaluation metr</w:t>
      </w:r>
      <w:r w:rsidR="00DA4EEF" w:rsidRPr="00634C21">
        <w:rPr>
          <w:rFonts w:ascii="Arial" w:hAnsi="Arial" w:cs="Arial"/>
        </w:rPr>
        <w:t>ics and reliance on short-term funding cycles weaken accountability and hinder sustainable change</w:t>
      </w:r>
      <w:r w:rsidR="00075F02" w:rsidRPr="00634C21">
        <w:rPr>
          <w:rFonts w:ascii="Arial" w:hAnsi="Arial" w:cs="Arial"/>
        </w:rPr>
        <w:t xml:space="preserve"> (Koh and Askell</w:t>
      </w:r>
      <w:r w:rsidR="00075F02" w:rsidRPr="00634C21">
        <w:rPr>
          <w:rFonts w:ascii="Cambria Math" w:hAnsi="Cambria Math" w:cs="Cambria Math"/>
        </w:rPr>
        <w:t>‐</w:t>
      </w:r>
      <w:r w:rsidR="00075F02" w:rsidRPr="00634C21">
        <w:rPr>
          <w:rFonts w:ascii="Arial" w:hAnsi="Arial" w:cs="Arial"/>
        </w:rPr>
        <w:t>Williams, 2021). Therefore, despite its strong policy intentions, the initiative’s overall impact is constrained by structural and financial limitations.</w:t>
      </w:r>
    </w:p>
    <w:p w14:paraId="251834AB" w14:textId="63224578" w:rsidR="00642D37" w:rsidRPr="00634C21" w:rsidRDefault="00642D37" w:rsidP="00634C21">
      <w:pPr>
        <w:spacing w:line="360" w:lineRule="auto"/>
        <w:jc w:val="both"/>
        <w:rPr>
          <w:rFonts w:ascii="Arial" w:hAnsi="Arial" w:cs="Arial"/>
        </w:rPr>
      </w:pPr>
      <w:r w:rsidRPr="00634C21">
        <w:rPr>
          <w:rFonts w:ascii="Arial" w:hAnsi="Arial" w:cs="Arial"/>
        </w:rPr>
        <w:t>Additionally, short-term funding cycles may undermine sustainable change because local authorities</w:t>
      </w:r>
      <w:r w:rsidR="00490A17" w:rsidRPr="00634C21">
        <w:rPr>
          <w:rFonts w:ascii="Arial" w:hAnsi="Arial" w:cs="Arial"/>
        </w:rPr>
        <w:t xml:space="preserve"> often struggle to maintain long-term public health interventions once initial funding ends (Crane </w:t>
      </w:r>
      <w:r w:rsidR="00490A17" w:rsidRPr="00634C21">
        <w:rPr>
          <w:rFonts w:ascii="Arial" w:hAnsi="Arial" w:cs="Arial"/>
          <w:i/>
          <w:iCs/>
        </w:rPr>
        <w:t>et al.</w:t>
      </w:r>
      <w:r w:rsidR="00490A17" w:rsidRPr="00634C21">
        <w:rPr>
          <w:rFonts w:ascii="Arial" w:hAnsi="Arial" w:cs="Arial"/>
        </w:rPr>
        <w:t xml:space="preserve">, 2022). Nevertheless, the agenda represents a significant policy shift that </w:t>
      </w:r>
      <w:r w:rsidR="001D7D11" w:rsidRPr="00634C21">
        <w:rPr>
          <w:rFonts w:ascii="Arial" w:hAnsi="Arial" w:cs="Arial"/>
        </w:rPr>
        <w:t xml:space="preserve">acknowledges the importance of addressing structural determinants of health. Therefore, to enhance its effectiveness, policymakers should introduce longer-term funding commitments, </w:t>
      </w:r>
      <w:r w:rsidR="001D7D11" w:rsidRPr="00634C21">
        <w:rPr>
          <w:rFonts w:ascii="Arial" w:hAnsi="Arial" w:cs="Arial"/>
        </w:rPr>
        <w:lastRenderedPageBreak/>
        <w:t>develop measurable health outcome indicators and strengthen collaboration between the national government and local authorities</w:t>
      </w:r>
      <w:r w:rsidR="00130131" w:rsidRPr="00634C21">
        <w:rPr>
          <w:rFonts w:ascii="Arial" w:hAnsi="Arial" w:cs="Arial"/>
        </w:rPr>
        <w:t xml:space="preserve"> (Kidger </w:t>
      </w:r>
      <w:r w:rsidR="00130131" w:rsidRPr="00634C21">
        <w:rPr>
          <w:rFonts w:ascii="Arial" w:hAnsi="Arial" w:cs="Arial"/>
          <w:i/>
          <w:iCs/>
        </w:rPr>
        <w:t>et al.</w:t>
      </w:r>
      <w:r w:rsidR="00130131" w:rsidRPr="00634C21">
        <w:rPr>
          <w:rFonts w:ascii="Arial" w:hAnsi="Arial" w:cs="Arial"/>
        </w:rPr>
        <w:t>, 2025).</w:t>
      </w:r>
    </w:p>
    <w:p w14:paraId="049A6505" w14:textId="7DC775BD" w:rsidR="001D7D11" w:rsidRPr="00634C21" w:rsidRDefault="001D7D11" w:rsidP="00634C21">
      <w:pPr>
        <w:spacing w:line="360" w:lineRule="auto"/>
        <w:jc w:val="both"/>
        <w:rPr>
          <w:rFonts w:ascii="Arial" w:hAnsi="Arial" w:cs="Arial"/>
          <w:b/>
          <w:bCs/>
        </w:rPr>
      </w:pPr>
      <w:r w:rsidRPr="00634C21">
        <w:rPr>
          <w:rFonts w:ascii="Arial" w:hAnsi="Arial" w:cs="Arial"/>
          <w:b/>
          <w:bCs/>
        </w:rPr>
        <w:t>2. NHS Long Term Plan</w:t>
      </w:r>
    </w:p>
    <w:p w14:paraId="67B7C9DB" w14:textId="2DC85120" w:rsidR="001D7D11" w:rsidRPr="00634C21" w:rsidRDefault="001D7D11" w:rsidP="00634C21">
      <w:pPr>
        <w:spacing w:line="360" w:lineRule="auto"/>
        <w:jc w:val="both"/>
        <w:rPr>
          <w:rFonts w:ascii="Arial" w:hAnsi="Arial" w:cs="Arial"/>
        </w:rPr>
      </w:pPr>
      <w:r w:rsidRPr="00634C21">
        <w:rPr>
          <w:rFonts w:ascii="Arial" w:hAnsi="Arial" w:cs="Arial"/>
        </w:rPr>
        <w:t xml:space="preserve">The NHS Long Term Plan outlines a comprehensive strategy to improve healthcare delivery, </w:t>
      </w:r>
      <w:r w:rsidR="003F1FD9" w:rsidRPr="00634C21">
        <w:rPr>
          <w:rFonts w:ascii="Arial" w:hAnsi="Arial" w:cs="Arial"/>
        </w:rPr>
        <w:t>integrate services and prioritise prevention across the health system (Tracy</w:t>
      </w:r>
      <w:r w:rsidR="00FF50CD" w:rsidRPr="00634C21">
        <w:rPr>
          <w:rFonts w:ascii="Arial" w:hAnsi="Arial" w:cs="Arial"/>
        </w:rPr>
        <w:t xml:space="preserve"> </w:t>
      </w:r>
      <w:r w:rsidR="003F1FD9" w:rsidRPr="00634C21">
        <w:rPr>
          <w:rFonts w:ascii="Arial" w:hAnsi="Arial" w:cs="Arial"/>
          <w:i/>
          <w:iCs/>
        </w:rPr>
        <w:t>et al.</w:t>
      </w:r>
      <w:r w:rsidR="003F1FD9" w:rsidRPr="00634C21">
        <w:rPr>
          <w:rFonts w:ascii="Arial" w:hAnsi="Arial" w:cs="Arial"/>
        </w:rPr>
        <w:t xml:space="preserve">, 2023). The plan </w:t>
      </w:r>
      <w:r w:rsidR="00FF1266" w:rsidRPr="00634C21">
        <w:rPr>
          <w:rFonts w:ascii="Arial" w:hAnsi="Arial" w:cs="Arial"/>
        </w:rPr>
        <w:t>focuses on expanding mental health services, increasing the use of digital technologies and strengthening community-based care models through Integrated Care Systems (ICSs). These reforms aim to shift healthcare provision from reactive treatment toward preventative and patient-centred care, which is widely recognised as essential for improving population health outcomes</w:t>
      </w:r>
      <w:r w:rsidR="00247A9E" w:rsidRPr="00634C21">
        <w:rPr>
          <w:rFonts w:ascii="Arial" w:hAnsi="Arial" w:cs="Arial"/>
        </w:rPr>
        <w:t xml:space="preserve"> (Rifkin </w:t>
      </w:r>
      <w:r w:rsidR="00247A9E" w:rsidRPr="00634C21">
        <w:rPr>
          <w:rFonts w:ascii="Arial" w:hAnsi="Arial" w:cs="Arial"/>
          <w:i/>
          <w:iCs/>
        </w:rPr>
        <w:t>et al.</w:t>
      </w:r>
      <w:r w:rsidR="00247A9E" w:rsidRPr="00634C21">
        <w:rPr>
          <w:rFonts w:ascii="Arial" w:hAnsi="Arial" w:cs="Arial"/>
        </w:rPr>
        <w:t>, 2021).</w:t>
      </w:r>
    </w:p>
    <w:p w14:paraId="3D545FDD" w14:textId="786C077D" w:rsidR="00AB39ED" w:rsidRPr="00634C21" w:rsidRDefault="00543CDB" w:rsidP="00634C21">
      <w:pPr>
        <w:spacing w:line="360" w:lineRule="auto"/>
        <w:jc w:val="both"/>
        <w:rPr>
          <w:rFonts w:ascii="Arial" w:hAnsi="Arial" w:cs="Arial"/>
        </w:rPr>
      </w:pPr>
      <w:r w:rsidRPr="00634C21">
        <w:rPr>
          <w:rFonts w:ascii="Arial" w:hAnsi="Arial" w:cs="Arial"/>
        </w:rPr>
        <w:t>The plan has produced some positive developments, particularly</w:t>
      </w:r>
      <w:r w:rsidR="00FF50CD" w:rsidRPr="00634C21">
        <w:rPr>
          <w:rFonts w:ascii="Arial" w:hAnsi="Arial" w:cs="Arial"/>
        </w:rPr>
        <w:t xml:space="preserve"> in expanding access to mental health support and promoting integrated service delivery (Joseph </w:t>
      </w:r>
      <w:r w:rsidR="00FF50CD" w:rsidRPr="00634C21">
        <w:rPr>
          <w:rFonts w:ascii="Arial" w:hAnsi="Arial" w:cs="Arial"/>
          <w:i/>
          <w:iCs/>
        </w:rPr>
        <w:t>et al.</w:t>
      </w:r>
      <w:r w:rsidR="00FF50CD" w:rsidRPr="00634C21">
        <w:rPr>
          <w:rFonts w:ascii="Arial" w:hAnsi="Arial" w:cs="Arial"/>
        </w:rPr>
        <w:t xml:space="preserve">, 2022). </w:t>
      </w:r>
      <w:r w:rsidR="0000039A" w:rsidRPr="00634C21">
        <w:rPr>
          <w:rFonts w:ascii="Arial" w:hAnsi="Arial" w:cs="Arial"/>
        </w:rPr>
        <w:t xml:space="preserve">Furthermore, </w:t>
      </w:r>
      <w:r w:rsidR="00DC2D56" w:rsidRPr="00634C21">
        <w:rPr>
          <w:rFonts w:ascii="Arial" w:hAnsi="Arial" w:cs="Arial"/>
        </w:rPr>
        <w:t xml:space="preserve">digital healthcare has improved access, but NHS staff shortages, long waiting lists, and post-COVID capacity issues continue to strain services </w:t>
      </w:r>
      <w:r w:rsidR="00AD6BFC" w:rsidRPr="00634C21">
        <w:rPr>
          <w:rFonts w:ascii="Arial" w:hAnsi="Arial" w:cs="Arial"/>
        </w:rPr>
        <w:t>(Iacobucci, 2022).</w:t>
      </w:r>
      <w:r w:rsidR="00AB39ED" w:rsidRPr="00634C21">
        <w:rPr>
          <w:rFonts w:ascii="Arial" w:hAnsi="Arial" w:cs="Arial"/>
        </w:rPr>
        <w:t xml:space="preserve"> Moreover, reductions in public health funding in England have weakened preventative initiatives addressing issues such as obesity and smoking.</w:t>
      </w:r>
      <w:r w:rsidR="00DC2D56" w:rsidRPr="00634C21">
        <w:rPr>
          <w:rFonts w:ascii="Arial" w:hAnsi="Arial" w:cs="Arial"/>
        </w:rPr>
        <w:t xml:space="preserve"> </w:t>
      </w:r>
      <w:r w:rsidR="00351E28" w:rsidRPr="00634C21">
        <w:rPr>
          <w:rFonts w:ascii="Arial" w:hAnsi="Arial" w:cs="Arial"/>
        </w:rPr>
        <w:t xml:space="preserve">It is recommended that increased long-term investment in workforce development and </w:t>
      </w:r>
      <w:r w:rsidR="007008A4" w:rsidRPr="00634C21">
        <w:rPr>
          <w:rFonts w:ascii="Arial" w:hAnsi="Arial" w:cs="Arial"/>
        </w:rPr>
        <w:t>retention</w:t>
      </w:r>
      <w:r w:rsidR="00351E28" w:rsidRPr="00634C21">
        <w:rPr>
          <w:rFonts w:ascii="Arial" w:hAnsi="Arial" w:cs="Arial"/>
        </w:rPr>
        <w:t xml:space="preserve"> strategies be prioritised to address staffing shortages and improve service capacity</w:t>
      </w:r>
      <w:r w:rsidR="00BD2A08" w:rsidRPr="00634C21">
        <w:rPr>
          <w:rFonts w:ascii="Arial" w:hAnsi="Arial" w:cs="Arial"/>
        </w:rPr>
        <w:t xml:space="preserve"> (Sokol and Tarulli, 2024). </w:t>
      </w:r>
      <w:r w:rsidR="007008A4" w:rsidRPr="00634C21">
        <w:rPr>
          <w:rFonts w:ascii="Arial" w:hAnsi="Arial" w:cs="Arial"/>
          <w:b/>
          <w:bCs/>
        </w:rPr>
        <w:t xml:space="preserve"> </w:t>
      </w:r>
      <w:r w:rsidR="00351E28" w:rsidRPr="00634C21">
        <w:rPr>
          <w:rFonts w:ascii="Arial" w:hAnsi="Arial" w:cs="Arial"/>
        </w:rPr>
        <w:t xml:space="preserve">Furthermore, restoring and protecting public health funding for preventative </w:t>
      </w:r>
      <w:r w:rsidR="007008A4" w:rsidRPr="00634C21">
        <w:rPr>
          <w:rFonts w:ascii="Arial" w:hAnsi="Arial" w:cs="Arial"/>
        </w:rPr>
        <w:t>programmes would strengthen early intervention efforts and reduce long-term pressure on NHS services.</w:t>
      </w:r>
      <w:r w:rsidR="007008A4" w:rsidRPr="00634C21">
        <w:rPr>
          <w:rFonts w:ascii="Arial" w:hAnsi="Arial" w:cs="Arial"/>
          <w:b/>
          <w:bCs/>
        </w:rPr>
        <w:t xml:space="preserve"> </w:t>
      </w:r>
    </w:p>
    <w:p w14:paraId="7C49EEC7" w14:textId="21A21995" w:rsidR="00E35F08" w:rsidRPr="00634C21" w:rsidRDefault="00E35F08" w:rsidP="00634C21">
      <w:pPr>
        <w:pStyle w:val="Heading1"/>
        <w:spacing w:line="360" w:lineRule="auto"/>
        <w:jc w:val="both"/>
        <w:rPr>
          <w:rFonts w:ascii="Arial" w:hAnsi="Arial" w:cs="Arial"/>
          <w:b/>
          <w:bCs/>
          <w:color w:val="auto"/>
          <w:sz w:val="22"/>
          <w:szCs w:val="22"/>
        </w:rPr>
      </w:pPr>
      <w:r w:rsidRPr="00634C21">
        <w:rPr>
          <w:rFonts w:ascii="Arial" w:hAnsi="Arial" w:cs="Arial"/>
          <w:b/>
          <w:bCs/>
          <w:color w:val="auto"/>
          <w:sz w:val="22"/>
          <w:szCs w:val="22"/>
        </w:rPr>
        <w:t xml:space="preserve"> </w:t>
      </w:r>
      <w:bookmarkStart w:id="4" w:name="_Toc225788239"/>
      <w:r w:rsidRPr="00634C21">
        <w:rPr>
          <w:rFonts w:ascii="Arial" w:hAnsi="Arial" w:cs="Arial"/>
          <w:b/>
          <w:bCs/>
          <w:color w:val="auto"/>
          <w:sz w:val="22"/>
          <w:szCs w:val="22"/>
        </w:rPr>
        <w:t>Local Well-being Initiatives and Policies</w:t>
      </w:r>
      <w:bookmarkEnd w:id="4"/>
    </w:p>
    <w:p w14:paraId="38219481" w14:textId="3A2B24DF" w:rsidR="00E35F08" w:rsidRPr="00634C21" w:rsidRDefault="00E35F08" w:rsidP="00634C21">
      <w:pPr>
        <w:spacing w:line="360" w:lineRule="auto"/>
        <w:jc w:val="both"/>
        <w:rPr>
          <w:rFonts w:ascii="Arial" w:hAnsi="Arial" w:cs="Arial"/>
          <w:b/>
          <w:bCs/>
        </w:rPr>
      </w:pPr>
      <w:r w:rsidRPr="00634C21">
        <w:rPr>
          <w:rFonts w:ascii="Arial" w:hAnsi="Arial" w:cs="Arial"/>
          <w:b/>
          <w:bCs/>
        </w:rPr>
        <w:t>1. Local Authority Public Health Strategies</w:t>
      </w:r>
    </w:p>
    <w:p w14:paraId="3BF1A493" w14:textId="13C8C576" w:rsidR="00E35F08" w:rsidRPr="00634C21" w:rsidRDefault="00E35F08" w:rsidP="00634C21">
      <w:pPr>
        <w:spacing w:line="360" w:lineRule="auto"/>
        <w:jc w:val="both"/>
        <w:rPr>
          <w:rFonts w:ascii="Arial" w:hAnsi="Arial" w:cs="Arial"/>
        </w:rPr>
      </w:pPr>
      <w:r w:rsidRPr="00634C21">
        <w:rPr>
          <w:rFonts w:ascii="Arial" w:hAnsi="Arial" w:cs="Arial"/>
        </w:rPr>
        <w:t>Local authorities play a central role in delivering public health initiatives to improve community wellbeing</w:t>
      </w:r>
      <w:r w:rsidR="00DE66B9" w:rsidRPr="00634C21">
        <w:rPr>
          <w:rFonts w:ascii="Arial" w:hAnsi="Arial" w:cs="Arial"/>
        </w:rPr>
        <w:t xml:space="preserve"> and address health inequalities. Since the transfer of public health responsibilities to local government in England, councils have been expected to design and implement place-based strategies that reflect local population needs</w:t>
      </w:r>
      <w:r w:rsidR="005E299B" w:rsidRPr="00634C21">
        <w:rPr>
          <w:rFonts w:ascii="Arial" w:hAnsi="Arial" w:cs="Arial"/>
        </w:rPr>
        <w:t xml:space="preserve"> (Hawkins and </w:t>
      </w:r>
      <w:proofErr w:type="spellStart"/>
      <w:r w:rsidR="005E299B" w:rsidRPr="00634C21">
        <w:rPr>
          <w:rFonts w:ascii="Arial" w:hAnsi="Arial" w:cs="Arial"/>
        </w:rPr>
        <w:t>Karreman</w:t>
      </w:r>
      <w:proofErr w:type="spellEnd"/>
      <w:r w:rsidR="005E299B" w:rsidRPr="00634C21">
        <w:rPr>
          <w:rFonts w:ascii="Arial" w:hAnsi="Arial" w:cs="Arial"/>
        </w:rPr>
        <w:t>, 2025).</w:t>
      </w:r>
      <w:r w:rsidR="001B56C1" w:rsidRPr="00634C21">
        <w:rPr>
          <w:rFonts w:ascii="Arial" w:hAnsi="Arial" w:cs="Arial"/>
        </w:rPr>
        <w:t xml:space="preserve"> </w:t>
      </w:r>
      <w:r w:rsidR="000B3C7C" w:rsidRPr="00634C21">
        <w:rPr>
          <w:rFonts w:ascii="Arial" w:hAnsi="Arial" w:cs="Arial"/>
        </w:rPr>
        <w:t>C</w:t>
      </w:r>
      <w:r w:rsidR="001B56C1" w:rsidRPr="00634C21">
        <w:rPr>
          <w:rFonts w:ascii="Arial" w:hAnsi="Arial" w:cs="Arial"/>
        </w:rPr>
        <w:t>ouncils initiate programs to reduce obesity, encourage smoking cessation, and enhance mental health by partnering with schools, community groups, and voluntary organisations. These interventions are crucial for high-risk populations, who experience higher rates of chronic illnesses and health-risk behaviours (Whelan </w:t>
      </w:r>
      <w:r w:rsidR="001B56C1" w:rsidRPr="00634C21">
        <w:rPr>
          <w:rFonts w:ascii="Arial" w:hAnsi="Arial" w:cs="Arial"/>
          <w:i/>
          <w:iCs/>
        </w:rPr>
        <w:t>et al.</w:t>
      </w:r>
      <w:r w:rsidR="001B56C1" w:rsidRPr="00634C21">
        <w:rPr>
          <w:rFonts w:ascii="Arial" w:hAnsi="Arial" w:cs="Arial"/>
        </w:rPr>
        <w:t>, 2022). Consequently, local public health strategies are widely regarded as a key mechanism for addressing the social determinants</w:t>
      </w:r>
      <w:r w:rsidR="00FE4A14" w:rsidRPr="00634C21">
        <w:rPr>
          <w:rFonts w:ascii="Arial" w:hAnsi="Arial" w:cs="Arial"/>
        </w:rPr>
        <w:t xml:space="preserve"> of health in communities.</w:t>
      </w:r>
    </w:p>
    <w:p w14:paraId="0F2A2585" w14:textId="62EE0F10" w:rsidR="001D2083" w:rsidRPr="00634C21" w:rsidRDefault="000E5787" w:rsidP="00634C21">
      <w:pPr>
        <w:spacing w:line="360" w:lineRule="auto"/>
        <w:jc w:val="both"/>
        <w:rPr>
          <w:rFonts w:ascii="Arial" w:hAnsi="Arial" w:cs="Arial"/>
          <w:b/>
          <w:bCs/>
        </w:rPr>
      </w:pPr>
      <w:r w:rsidRPr="00634C21">
        <w:rPr>
          <w:rFonts w:ascii="Arial" w:hAnsi="Arial" w:cs="Arial"/>
        </w:rPr>
        <w:lastRenderedPageBreak/>
        <w:t>Community-based</w:t>
      </w:r>
      <w:r w:rsidR="00291F17" w:rsidRPr="00634C21">
        <w:rPr>
          <w:rFonts w:ascii="Arial" w:hAnsi="Arial" w:cs="Arial"/>
        </w:rPr>
        <w:t xml:space="preserve"> programs can effectively drive behavioural change, especially when they are culturally appropriate and well-funded. Local initiatives </w:t>
      </w:r>
      <w:r w:rsidR="00934F10" w:rsidRPr="00634C21">
        <w:rPr>
          <w:rFonts w:ascii="Arial" w:hAnsi="Arial" w:cs="Arial"/>
        </w:rPr>
        <w:t>such as stop-smoking services and weight management schemes have been successful</w:t>
      </w:r>
      <w:r w:rsidR="00291F17" w:rsidRPr="00634C21">
        <w:rPr>
          <w:rFonts w:ascii="Arial" w:hAnsi="Arial" w:cs="Arial"/>
        </w:rPr>
        <w:t xml:space="preserve"> in reducing smoking rates and increasing physical activity</w:t>
      </w:r>
      <w:r w:rsidR="00086C50" w:rsidRPr="00634C21">
        <w:rPr>
          <w:rFonts w:ascii="Arial" w:hAnsi="Arial" w:cs="Arial"/>
        </w:rPr>
        <w:t xml:space="preserve"> (Fulton</w:t>
      </w:r>
      <w:r w:rsidR="00B16402" w:rsidRPr="00634C21">
        <w:rPr>
          <w:rFonts w:ascii="Arial" w:hAnsi="Arial" w:cs="Arial"/>
        </w:rPr>
        <w:t xml:space="preserve"> </w:t>
      </w:r>
      <w:r w:rsidR="00086C50" w:rsidRPr="00634C21">
        <w:rPr>
          <w:rFonts w:ascii="Arial" w:hAnsi="Arial" w:cs="Arial"/>
          <w:i/>
          <w:iCs/>
        </w:rPr>
        <w:t>et al.</w:t>
      </w:r>
      <w:r w:rsidR="00086C50" w:rsidRPr="00634C21">
        <w:rPr>
          <w:rFonts w:ascii="Arial" w:hAnsi="Arial" w:cs="Arial"/>
        </w:rPr>
        <w:t>, 2021)</w:t>
      </w:r>
      <w:r w:rsidR="00291F17" w:rsidRPr="00634C21">
        <w:rPr>
          <w:rFonts w:ascii="Arial" w:hAnsi="Arial" w:cs="Arial"/>
        </w:rPr>
        <w:t xml:space="preserve">. </w:t>
      </w:r>
      <w:r w:rsidR="00631009" w:rsidRPr="00634C21">
        <w:rPr>
          <w:rFonts w:ascii="Arial" w:hAnsi="Arial" w:cs="Arial"/>
        </w:rPr>
        <w:t>Cuts to local public health budgets have reduced prevention efforts, leading some councils to focus on essential services instead, which may harm long-term health outcomes.</w:t>
      </w:r>
      <w:r w:rsidR="00863F4F" w:rsidRPr="00634C21">
        <w:rPr>
          <w:rFonts w:ascii="Arial" w:hAnsi="Arial" w:cs="Arial"/>
        </w:rPr>
        <w:t xml:space="preserve"> </w:t>
      </w:r>
      <w:r w:rsidR="008B59A2" w:rsidRPr="00634C21">
        <w:rPr>
          <w:rFonts w:ascii="Arial" w:hAnsi="Arial" w:cs="Arial"/>
        </w:rPr>
        <w:t>I</w:t>
      </w:r>
      <w:r w:rsidR="001D2083" w:rsidRPr="00634C21">
        <w:rPr>
          <w:rFonts w:ascii="Arial" w:hAnsi="Arial" w:cs="Arial"/>
        </w:rPr>
        <w:t>t is recommended that sustained</w:t>
      </w:r>
      <w:r w:rsidR="008B59A2" w:rsidRPr="00634C21">
        <w:rPr>
          <w:rFonts w:ascii="Arial" w:hAnsi="Arial" w:cs="Arial"/>
        </w:rPr>
        <w:t>, ring-fenced funding for preventive</w:t>
      </w:r>
      <w:r w:rsidR="001D2083" w:rsidRPr="00634C21">
        <w:rPr>
          <w:rFonts w:ascii="Arial" w:hAnsi="Arial" w:cs="Arial"/>
        </w:rPr>
        <w:t xml:space="preserve"> public health programmes be prioritised to ensure long-term effectiveness and reduce health inequalities. Furthermore, strengthening intersectoral collaboration through clearer governance structures and shared accountability frameworks would improve service integration and enh</w:t>
      </w:r>
      <w:r w:rsidR="006E556B" w:rsidRPr="00634C21">
        <w:rPr>
          <w:rFonts w:ascii="Arial" w:hAnsi="Arial" w:cs="Arial"/>
        </w:rPr>
        <w:t>ance overall health outcomes</w:t>
      </w:r>
      <w:r w:rsidR="002701E7" w:rsidRPr="00634C21">
        <w:rPr>
          <w:rFonts w:ascii="Arial" w:hAnsi="Arial" w:cs="Arial"/>
        </w:rPr>
        <w:t xml:space="preserve"> (Martin, 2022).</w:t>
      </w:r>
    </w:p>
    <w:p w14:paraId="1248F8CF" w14:textId="5D187AC1" w:rsidR="00934F10" w:rsidRPr="00634C21" w:rsidRDefault="00934F10" w:rsidP="00634C21">
      <w:pPr>
        <w:spacing w:line="360" w:lineRule="auto"/>
        <w:jc w:val="both"/>
        <w:rPr>
          <w:rFonts w:ascii="Arial" w:hAnsi="Arial" w:cs="Arial"/>
          <w:b/>
          <w:bCs/>
        </w:rPr>
      </w:pPr>
      <w:r w:rsidRPr="00634C21">
        <w:rPr>
          <w:rFonts w:ascii="Arial" w:hAnsi="Arial" w:cs="Arial"/>
          <w:b/>
          <w:bCs/>
        </w:rPr>
        <w:t>2. Active Travel and Sustainable Transport Policies</w:t>
      </w:r>
    </w:p>
    <w:p w14:paraId="57C41F24" w14:textId="13617A74" w:rsidR="00934F10" w:rsidRPr="00634C21" w:rsidRDefault="00934F10" w:rsidP="00634C21">
      <w:pPr>
        <w:spacing w:line="360" w:lineRule="auto"/>
        <w:jc w:val="both"/>
        <w:rPr>
          <w:rFonts w:ascii="Arial" w:hAnsi="Arial" w:cs="Arial"/>
        </w:rPr>
      </w:pPr>
      <w:r w:rsidRPr="00634C21">
        <w:rPr>
          <w:rFonts w:ascii="Arial" w:hAnsi="Arial" w:cs="Arial"/>
        </w:rPr>
        <w:t>Active travel and sustainable transport policies are increasingly recognised as essential components of local well-being and environmental strategies. Many local authorities have introduced initiatives encouraging walking and cycling to reduce carbon emissions, improve air quality, and promote physical activity</w:t>
      </w:r>
      <w:r w:rsidR="00B16402" w:rsidRPr="00634C21">
        <w:rPr>
          <w:rFonts w:ascii="Arial" w:hAnsi="Arial" w:cs="Arial"/>
        </w:rPr>
        <w:t xml:space="preserve"> (Mueller, 2025).</w:t>
      </w:r>
      <w:r w:rsidR="00984AAF" w:rsidRPr="00634C21">
        <w:rPr>
          <w:rFonts w:ascii="Arial" w:hAnsi="Arial" w:cs="Arial"/>
        </w:rPr>
        <w:t xml:space="preserve"> Infrastructure improvements such as dedicated cycle lanes, pedestrianised zones and low-traffic neighbourhoods contribute not only to </w:t>
      </w:r>
      <w:r w:rsidR="00AB61D7" w:rsidRPr="00634C21">
        <w:rPr>
          <w:rFonts w:ascii="Arial" w:hAnsi="Arial" w:cs="Arial"/>
        </w:rPr>
        <w:t>environmental sustainability but also to cardiovascular health by supporting regular physical activity</w:t>
      </w:r>
      <w:r w:rsidR="006D4A76" w:rsidRPr="00634C21">
        <w:rPr>
          <w:rFonts w:ascii="Arial" w:hAnsi="Arial" w:cs="Arial"/>
        </w:rPr>
        <w:t xml:space="preserve"> (Shen, Williams and Coutts, 2025).</w:t>
      </w:r>
    </w:p>
    <w:p w14:paraId="33B81708" w14:textId="356027BA" w:rsidR="00D72577" w:rsidRPr="00634C21" w:rsidRDefault="00D72577" w:rsidP="00634C21">
      <w:pPr>
        <w:spacing w:line="360" w:lineRule="auto"/>
        <w:jc w:val="both"/>
        <w:rPr>
          <w:rFonts w:ascii="Arial" w:hAnsi="Arial" w:cs="Arial"/>
        </w:rPr>
      </w:pPr>
      <w:r w:rsidRPr="00634C21">
        <w:rPr>
          <w:rFonts w:ascii="Arial" w:hAnsi="Arial" w:cs="Arial"/>
        </w:rPr>
        <w:t xml:space="preserve">Research shows that individuals in areas with accessible active travel infrastructure engage more in physical activity and have lower </w:t>
      </w:r>
      <w:r w:rsidR="00B03135" w:rsidRPr="00634C21">
        <w:rPr>
          <w:rFonts w:ascii="Arial" w:hAnsi="Arial" w:cs="Arial"/>
        </w:rPr>
        <w:t xml:space="preserve">rates of obesity and cardiovascular disease </w:t>
      </w:r>
      <w:r w:rsidR="003C4C33" w:rsidRPr="00634C21">
        <w:rPr>
          <w:rFonts w:ascii="Arial" w:hAnsi="Arial" w:cs="Arial"/>
        </w:rPr>
        <w:t>(Michel, Banwell and Senn, 2024).</w:t>
      </w:r>
      <w:r w:rsidRPr="00634C21">
        <w:rPr>
          <w:rFonts w:ascii="Arial" w:hAnsi="Arial" w:cs="Arial"/>
        </w:rPr>
        <w:t xml:space="preserve"> Despite increased uptake in urban areas, barriers such as safety concerns, inconsistent infrastructure, and unequal access in deprived neighbourhoods persist, particularly affecting women, </w:t>
      </w:r>
      <w:r w:rsidR="00722D81" w:rsidRPr="00634C21">
        <w:rPr>
          <w:rFonts w:ascii="Arial" w:hAnsi="Arial" w:cs="Arial"/>
        </w:rPr>
        <w:t>older</w:t>
      </w:r>
      <w:r w:rsidRPr="00634C21">
        <w:rPr>
          <w:rFonts w:ascii="Arial" w:hAnsi="Arial" w:cs="Arial"/>
        </w:rPr>
        <w:t xml:space="preserve"> adults, and lower-income groups</w:t>
      </w:r>
      <w:r w:rsidR="001E5803" w:rsidRPr="00634C21">
        <w:rPr>
          <w:rFonts w:ascii="Arial" w:hAnsi="Arial" w:cs="Arial"/>
        </w:rPr>
        <w:t xml:space="preserve"> (Schröter </w:t>
      </w:r>
      <w:r w:rsidR="001E5803" w:rsidRPr="00634C21">
        <w:rPr>
          <w:rFonts w:ascii="Arial" w:hAnsi="Arial" w:cs="Arial"/>
          <w:i/>
          <w:iCs/>
        </w:rPr>
        <w:t>et al.</w:t>
      </w:r>
      <w:r w:rsidR="001E5803" w:rsidRPr="00634C21">
        <w:rPr>
          <w:rFonts w:ascii="Arial" w:hAnsi="Arial" w:cs="Arial"/>
        </w:rPr>
        <w:t>, 2021)</w:t>
      </w:r>
      <w:r w:rsidRPr="00634C21">
        <w:rPr>
          <w:rFonts w:ascii="Arial" w:hAnsi="Arial" w:cs="Arial"/>
        </w:rPr>
        <w:t xml:space="preserve">. </w:t>
      </w:r>
      <w:r w:rsidR="00722D81" w:rsidRPr="00634C21">
        <w:rPr>
          <w:rFonts w:ascii="Arial" w:hAnsi="Arial" w:cs="Arial"/>
        </w:rPr>
        <w:t>Moreover, s</w:t>
      </w:r>
      <w:r w:rsidRPr="00634C21">
        <w:rPr>
          <w:rFonts w:ascii="Arial" w:hAnsi="Arial" w:cs="Arial"/>
        </w:rPr>
        <w:t>ome initiatives face public opposition</w:t>
      </w:r>
      <w:r w:rsidR="00722D81" w:rsidRPr="00634C21">
        <w:rPr>
          <w:rFonts w:ascii="Arial" w:hAnsi="Arial" w:cs="Arial"/>
        </w:rPr>
        <w:t xml:space="preserve"> due to perceived traffic disruption, </w:t>
      </w:r>
      <w:r w:rsidR="001F21C4" w:rsidRPr="00634C21">
        <w:rPr>
          <w:rFonts w:ascii="Arial" w:hAnsi="Arial" w:cs="Arial"/>
        </w:rPr>
        <w:t>highlighting</w:t>
      </w:r>
      <w:r w:rsidR="00722D81" w:rsidRPr="00634C21">
        <w:rPr>
          <w:rFonts w:ascii="Arial" w:hAnsi="Arial" w:cs="Arial"/>
        </w:rPr>
        <w:t xml:space="preserve"> the need for effective community consultation and transparent policy implementation.</w:t>
      </w:r>
    </w:p>
    <w:p w14:paraId="44D1FCD7" w14:textId="33EC7B80" w:rsidR="003C4C33" w:rsidRPr="00634C21" w:rsidRDefault="001A6754" w:rsidP="00634C21">
      <w:pPr>
        <w:spacing w:line="360" w:lineRule="auto"/>
        <w:jc w:val="both"/>
        <w:rPr>
          <w:rFonts w:ascii="Arial" w:hAnsi="Arial" w:cs="Arial"/>
        </w:rPr>
      </w:pPr>
      <w:r w:rsidRPr="00634C21">
        <w:rPr>
          <w:rFonts w:ascii="Arial" w:hAnsi="Arial" w:cs="Arial"/>
        </w:rPr>
        <w:t xml:space="preserve">It is recommended that local authorities prioritise </w:t>
      </w:r>
      <w:r w:rsidR="00B03135" w:rsidRPr="00634C21">
        <w:rPr>
          <w:rFonts w:ascii="Arial" w:hAnsi="Arial" w:cs="Arial"/>
        </w:rPr>
        <w:t>investment in safe, accessible active travel infrastructure, particularly in deprived communities, to reduce health inequalities</w:t>
      </w:r>
      <w:r w:rsidR="002F4556" w:rsidRPr="00634C21">
        <w:rPr>
          <w:rFonts w:ascii="Arial" w:hAnsi="Arial" w:cs="Arial"/>
        </w:rPr>
        <w:t xml:space="preserve"> (Hansmann, Grabow, and McAndrews, 2023).</w:t>
      </w:r>
      <w:r w:rsidR="00B03135" w:rsidRPr="00634C21">
        <w:rPr>
          <w:rFonts w:ascii="Arial" w:hAnsi="Arial" w:cs="Arial"/>
        </w:rPr>
        <w:t xml:space="preserve"> Furthermore, enhancing community engagement through </w:t>
      </w:r>
      <w:r w:rsidR="009C4E35" w:rsidRPr="00634C21">
        <w:rPr>
          <w:rFonts w:ascii="Arial" w:hAnsi="Arial" w:cs="Arial"/>
        </w:rPr>
        <w:t>participatory planning processes would improve public acceptance and ensure that policies better reflect the needs of diverse population groups.</w:t>
      </w:r>
    </w:p>
    <w:p w14:paraId="3F2A3207" w14:textId="5CE43FF7" w:rsidR="00C94743" w:rsidRPr="00634C21" w:rsidRDefault="00C94743" w:rsidP="00634C21">
      <w:pPr>
        <w:pStyle w:val="Heading1"/>
        <w:spacing w:line="360" w:lineRule="auto"/>
        <w:jc w:val="both"/>
        <w:rPr>
          <w:rFonts w:ascii="Arial" w:hAnsi="Arial" w:cs="Arial"/>
          <w:b/>
          <w:bCs/>
          <w:color w:val="auto"/>
          <w:sz w:val="22"/>
          <w:szCs w:val="22"/>
        </w:rPr>
      </w:pPr>
      <w:bookmarkStart w:id="5" w:name="_Toc225788240"/>
      <w:r w:rsidRPr="00634C21">
        <w:rPr>
          <w:rFonts w:ascii="Arial" w:hAnsi="Arial" w:cs="Arial"/>
          <w:b/>
          <w:bCs/>
          <w:color w:val="auto"/>
          <w:sz w:val="22"/>
          <w:szCs w:val="22"/>
        </w:rPr>
        <w:t>Conclusion</w:t>
      </w:r>
      <w:bookmarkEnd w:id="5"/>
    </w:p>
    <w:p w14:paraId="5578D634" w14:textId="09CD0FA7" w:rsidR="00C94743" w:rsidRPr="00634C21" w:rsidRDefault="00C94743" w:rsidP="00634C21">
      <w:pPr>
        <w:spacing w:line="360" w:lineRule="auto"/>
        <w:jc w:val="both"/>
        <w:rPr>
          <w:rFonts w:ascii="Arial" w:hAnsi="Arial" w:cs="Arial"/>
        </w:rPr>
      </w:pPr>
      <w:r w:rsidRPr="00634C21">
        <w:rPr>
          <w:rFonts w:ascii="Arial" w:hAnsi="Arial" w:cs="Arial"/>
        </w:rPr>
        <w:t xml:space="preserve">Sustainable Development Goals 3 and 10 play complementary roles in shaping global, national and local health outcomes. While SDG 3 directly addresses healthcare access and </w:t>
      </w:r>
      <w:r w:rsidRPr="00634C21">
        <w:rPr>
          <w:rFonts w:ascii="Arial" w:hAnsi="Arial" w:cs="Arial"/>
        </w:rPr>
        <w:lastRenderedPageBreak/>
        <w:t xml:space="preserve">disease prevention, SDG 10 tackles the structural inequalities that underpin health disparities. National and local initiatives reflect growing policy alignment with </w:t>
      </w:r>
      <w:r w:rsidR="00CF527C" w:rsidRPr="00634C21">
        <w:rPr>
          <w:rFonts w:ascii="Arial" w:hAnsi="Arial" w:cs="Arial"/>
        </w:rPr>
        <w:t>sustainable development principles; however, limitations in funding, implementation and evaluation hinder progress. Strengthening intersectoral collaboration, prioritising prevention and ensuring long-term investment are essential to enhance health equity and sustainable well-being outcomes for citizens.</w:t>
      </w:r>
    </w:p>
    <w:p w14:paraId="066AF4C0" w14:textId="77777777" w:rsidR="00F41FC9" w:rsidRPr="00664E66" w:rsidRDefault="00F41FC9" w:rsidP="008B59A2">
      <w:pPr>
        <w:spacing w:line="360" w:lineRule="auto"/>
        <w:jc w:val="both"/>
        <w:rPr>
          <w:rFonts w:ascii="Arial" w:hAnsi="Arial" w:cs="Arial"/>
        </w:rPr>
      </w:pPr>
    </w:p>
    <w:p w14:paraId="493C3CC3" w14:textId="77777777" w:rsidR="001A61FE" w:rsidRDefault="001A61FE" w:rsidP="00B65C84">
      <w:pPr>
        <w:spacing w:line="360" w:lineRule="auto"/>
        <w:jc w:val="both"/>
        <w:rPr>
          <w:rFonts w:ascii="Arial" w:hAnsi="Arial" w:cs="Arial"/>
        </w:rPr>
      </w:pPr>
    </w:p>
    <w:p w14:paraId="78DF3570" w14:textId="77777777" w:rsidR="001A61FE" w:rsidRDefault="001A61FE" w:rsidP="00B65C84">
      <w:pPr>
        <w:spacing w:line="360" w:lineRule="auto"/>
        <w:jc w:val="both"/>
        <w:rPr>
          <w:rFonts w:ascii="Arial" w:hAnsi="Arial" w:cs="Arial"/>
        </w:rPr>
      </w:pPr>
    </w:p>
    <w:p w14:paraId="725A608D" w14:textId="77777777" w:rsidR="002D40A2" w:rsidRDefault="002D40A2">
      <w:pPr>
        <w:rPr>
          <w:rFonts w:ascii="Arial" w:hAnsi="Arial" w:cs="Arial"/>
        </w:rPr>
      </w:pPr>
    </w:p>
    <w:p w14:paraId="26DFFF8F" w14:textId="77777777" w:rsidR="002D40A2" w:rsidRDefault="002D40A2">
      <w:pPr>
        <w:rPr>
          <w:rFonts w:ascii="Arial" w:hAnsi="Arial" w:cs="Arial"/>
        </w:rPr>
      </w:pPr>
    </w:p>
    <w:p w14:paraId="314E4FF2" w14:textId="77777777" w:rsidR="002D40A2" w:rsidRDefault="002D40A2">
      <w:pPr>
        <w:rPr>
          <w:rFonts w:ascii="Arial" w:hAnsi="Arial" w:cs="Arial"/>
        </w:rPr>
      </w:pPr>
    </w:p>
    <w:p w14:paraId="3E240D87" w14:textId="77777777" w:rsidR="002D40A2" w:rsidRDefault="002D40A2">
      <w:pPr>
        <w:rPr>
          <w:rFonts w:ascii="Arial" w:hAnsi="Arial" w:cs="Arial"/>
        </w:rPr>
      </w:pPr>
    </w:p>
    <w:p w14:paraId="78C4B7C6" w14:textId="77777777" w:rsidR="002D40A2" w:rsidRDefault="002D40A2">
      <w:pPr>
        <w:rPr>
          <w:rFonts w:ascii="Arial" w:hAnsi="Arial" w:cs="Arial"/>
        </w:rPr>
      </w:pPr>
    </w:p>
    <w:p w14:paraId="627E7991" w14:textId="77777777" w:rsidR="002D40A2" w:rsidRDefault="002D40A2">
      <w:pPr>
        <w:rPr>
          <w:rFonts w:ascii="Arial" w:hAnsi="Arial" w:cs="Arial"/>
        </w:rPr>
      </w:pPr>
    </w:p>
    <w:p w14:paraId="15811AE4" w14:textId="77777777" w:rsidR="00B97C37" w:rsidRDefault="00B97C37" w:rsidP="00B65C84">
      <w:pPr>
        <w:pStyle w:val="Heading1"/>
        <w:spacing w:line="360" w:lineRule="auto"/>
        <w:jc w:val="both"/>
        <w:rPr>
          <w:rFonts w:ascii="Arial" w:hAnsi="Arial" w:cs="Arial"/>
          <w:b/>
          <w:bCs/>
          <w:color w:val="auto"/>
          <w:sz w:val="22"/>
          <w:szCs w:val="22"/>
        </w:rPr>
      </w:pPr>
      <w:bookmarkStart w:id="6" w:name="_Toc225788241"/>
    </w:p>
    <w:p w14:paraId="0B7F9109" w14:textId="77777777" w:rsidR="00B97C37" w:rsidRDefault="00B97C37" w:rsidP="00B65C84">
      <w:pPr>
        <w:pStyle w:val="Heading1"/>
        <w:spacing w:line="360" w:lineRule="auto"/>
        <w:jc w:val="both"/>
        <w:rPr>
          <w:rFonts w:ascii="Arial" w:hAnsi="Arial" w:cs="Arial"/>
          <w:b/>
          <w:bCs/>
          <w:color w:val="auto"/>
          <w:sz w:val="22"/>
          <w:szCs w:val="22"/>
        </w:rPr>
      </w:pPr>
    </w:p>
    <w:p w14:paraId="7323F523" w14:textId="77777777" w:rsidR="00B97C37" w:rsidRDefault="00B97C37" w:rsidP="00B65C84">
      <w:pPr>
        <w:pStyle w:val="Heading1"/>
        <w:spacing w:line="360" w:lineRule="auto"/>
        <w:jc w:val="both"/>
        <w:rPr>
          <w:rFonts w:ascii="Arial" w:hAnsi="Arial" w:cs="Arial"/>
          <w:b/>
          <w:bCs/>
          <w:color w:val="auto"/>
          <w:sz w:val="22"/>
          <w:szCs w:val="22"/>
        </w:rPr>
      </w:pPr>
    </w:p>
    <w:p w14:paraId="253AD526" w14:textId="77777777" w:rsidR="002F4556" w:rsidRDefault="002F4556" w:rsidP="00B65C84">
      <w:pPr>
        <w:pStyle w:val="Heading1"/>
        <w:spacing w:line="360" w:lineRule="auto"/>
        <w:jc w:val="both"/>
        <w:rPr>
          <w:rFonts w:ascii="Arial" w:hAnsi="Arial" w:cs="Arial"/>
          <w:b/>
          <w:bCs/>
          <w:color w:val="auto"/>
          <w:sz w:val="22"/>
          <w:szCs w:val="22"/>
        </w:rPr>
      </w:pPr>
    </w:p>
    <w:p w14:paraId="426A1BFE" w14:textId="77777777" w:rsidR="002F4556" w:rsidRDefault="002F4556" w:rsidP="00B65C84">
      <w:pPr>
        <w:pStyle w:val="Heading1"/>
        <w:spacing w:line="360" w:lineRule="auto"/>
        <w:jc w:val="both"/>
        <w:rPr>
          <w:rFonts w:ascii="Arial" w:hAnsi="Arial" w:cs="Arial"/>
          <w:b/>
          <w:bCs/>
          <w:color w:val="auto"/>
          <w:sz w:val="22"/>
          <w:szCs w:val="22"/>
        </w:rPr>
      </w:pPr>
    </w:p>
    <w:p w14:paraId="53D865BF" w14:textId="77777777" w:rsidR="00C2612D" w:rsidRDefault="00C2612D" w:rsidP="00B65C84">
      <w:pPr>
        <w:pStyle w:val="Heading1"/>
        <w:spacing w:line="360" w:lineRule="auto"/>
        <w:jc w:val="both"/>
        <w:rPr>
          <w:rFonts w:ascii="Arial" w:hAnsi="Arial" w:cs="Arial"/>
          <w:b/>
          <w:bCs/>
          <w:color w:val="auto"/>
          <w:sz w:val="22"/>
          <w:szCs w:val="22"/>
        </w:rPr>
      </w:pPr>
    </w:p>
    <w:p w14:paraId="6C7B8ADE" w14:textId="77777777" w:rsidR="00D31A23" w:rsidRDefault="00D31A23" w:rsidP="00B65C84">
      <w:pPr>
        <w:pStyle w:val="Heading1"/>
        <w:spacing w:line="360" w:lineRule="auto"/>
        <w:jc w:val="both"/>
        <w:rPr>
          <w:rFonts w:ascii="Arial" w:hAnsi="Arial" w:cs="Arial"/>
          <w:b/>
          <w:bCs/>
          <w:color w:val="auto"/>
          <w:sz w:val="28"/>
          <w:szCs w:val="28"/>
        </w:rPr>
      </w:pPr>
    </w:p>
    <w:p w14:paraId="2E4A7949" w14:textId="77777777" w:rsidR="00D31A23" w:rsidRDefault="00D31A23" w:rsidP="00B65C84">
      <w:pPr>
        <w:pStyle w:val="Heading1"/>
        <w:spacing w:line="360" w:lineRule="auto"/>
        <w:jc w:val="both"/>
        <w:rPr>
          <w:rFonts w:ascii="Arial" w:hAnsi="Arial" w:cs="Arial"/>
          <w:b/>
          <w:bCs/>
          <w:color w:val="auto"/>
          <w:sz w:val="28"/>
          <w:szCs w:val="28"/>
        </w:rPr>
      </w:pPr>
    </w:p>
    <w:p w14:paraId="25C88A05" w14:textId="1B267B07" w:rsidR="002D40A2" w:rsidRPr="00C2612D" w:rsidRDefault="002D40A2" w:rsidP="00B65C84">
      <w:pPr>
        <w:pStyle w:val="Heading1"/>
        <w:spacing w:line="360" w:lineRule="auto"/>
        <w:jc w:val="both"/>
        <w:rPr>
          <w:rFonts w:ascii="Arial" w:hAnsi="Arial" w:cs="Arial"/>
          <w:b/>
          <w:bCs/>
          <w:color w:val="auto"/>
          <w:sz w:val="28"/>
          <w:szCs w:val="28"/>
        </w:rPr>
      </w:pPr>
      <w:r w:rsidRPr="00C2612D">
        <w:rPr>
          <w:rFonts w:ascii="Arial" w:hAnsi="Arial" w:cs="Arial"/>
          <w:b/>
          <w:bCs/>
          <w:color w:val="auto"/>
          <w:sz w:val="28"/>
          <w:szCs w:val="28"/>
        </w:rPr>
        <w:t>References</w:t>
      </w:r>
      <w:bookmarkEnd w:id="6"/>
    </w:p>
    <w:p w14:paraId="59B23AB8" w14:textId="61229720" w:rsidR="00232EC3" w:rsidRPr="0017633D" w:rsidRDefault="00232EC3" w:rsidP="0017633D">
      <w:pPr>
        <w:spacing w:line="360" w:lineRule="auto"/>
        <w:jc w:val="both"/>
        <w:rPr>
          <w:rFonts w:ascii="Arial" w:hAnsi="Arial" w:cs="Arial"/>
        </w:rPr>
      </w:pPr>
      <w:r w:rsidRPr="0017633D">
        <w:rPr>
          <w:rFonts w:ascii="Arial" w:hAnsi="Arial" w:cs="Arial"/>
        </w:rPr>
        <w:t>Akhtar</w:t>
      </w:r>
      <w:r w:rsidR="00181926" w:rsidRPr="0017633D">
        <w:rPr>
          <w:rFonts w:ascii="Arial" w:hAnsi="Arial" w:cs="Arial"/>
        </w:rPr>
        <w:t>,</w:t>
      </w:r>
      <w:r w:rsidRPr="0017633D">
        <w:rPr>
          <w:rFonts w:ascii="Arial" w:hAnsi="Arial" w:cs="Arial"/>
        </w:rPr>
        <w:t xml:space="preserve"> S</w:t>
      </w:r>
      <w:r w:rsidR="00181926" w:rsidRPr="0017633D">
        <w:rPr>
          <w:rFonts w:ascii="Arial" w:hAnsi="Arial" w:cs="Arial"/>
        </w:rPr>
        <w:t>.</w:t>
      </w:r>
      <w:r w:rsidRPr="0017633D">
        <w:rPr>
          <w:rFonts w:ascii="Arial" w:hAnsi="Arial" w:cs="Arial"/>
        </w:rPr>
        <w:t xml:space="preserve"> (2024) </w:t>
      </w:r>
      <w:r w:rsidR="00C87172" w:rsidRPr="0017633D">
        <w:rPr>
          <w:rFonts w:ascii="Arial" w:hAnsi="Arial" w:cs="Arial"/>
        </w:rPr>
        <w:t>‘</w:t>
      </w:r>
      <w:r w:rsidRPr="0017633D">
        <w:rPr>
          <w:rFonts w:ascii="Arial" w:hAnsi="Arial" w:cs="Arial"/>
        </w:rPr>
        <w:t>Challenges and solutions for developing countries in promoting global health and achieving SDG 3,</w:t>
      </w:r>
      <w:r w:rsidR="00C87172" w:rsidRPr="0017633D">
        <w:rPr>
          <w:rFonts w:ascii="Arial" w:hAnsi="Arial" w:cs="Arial"/>
        </w:rPr>
        <w:t>’</w:t>
      </w:r>
      <w:r w:rsidRPr="0017633D">
        <w:rPr>
          <w:rFonts w:ascii="Arial" w:hAnsi="Arial" w:cs="Arial"/>
        </w:rPr>
        <w:t> </w:t>
      </w:r>
      <w:r w:rsidRPr="0017633D">
        <w:rPr>
          <w:rFonts w:ascii="Arial" w:hAnsi="Arial" w:cs="Arial"/>
          <w:i/>
          <w:iCs/>
        </w:rPr>
        <w:t xml:space="preserve">Khyber Medical University </w:t>
      </w:r>
      <w:r w:rsidR="00984AAF" w:rsidRPr="0017633D">
        <w:rPr>
          <w:rFonts w:ascii="Arial" w:hAnsi="Arial" w:cs="Arial"/>
          <w:i/>
          <w:iCs/>
        </w:rPr>
        <w:t>J</w:t>
      </w:r>
      <w:r w:rsidRPr="0017633D">
        <w:rPr>
          <w:rFonts w:ascii="Arial" w:hAnsi="Arial" w:cs="Arial"/>
          <w:i/>
          <w:iCs/>
        </w:rPr>
        <w:t>ournal</w:t>
      </w:r>
      <w:r w:rsidRPr="0017633D">
        <w:rPr>
          <w:rFonts w:ascii="Arial" w:hAnsi="Arial" w:cs="Arial"/>
        </w:rPr>
        <w:t xml:space="preserve">, 16(3), pp. 179–81. Available at: </w:t>
      </w:r>
      <w:hyperlink r:id="rId9" w:history="1">
        <w:r w:rsidRPr="0017633D">
          <w:rPr>
            <w:rStyle w:val="Hyperlink"/>
            <w:rFonts w:ascii="Arial" w:hAnsi="Arial" w:cs="Arial"/>
          </w:rPr>
          <w:t>https://doi.org/10.35845/kmuj.2024.23761</w:t>
        </w:r>
      </w:hyperlink>
    </w:p>
    <w:p w14:paraId="0AC71B3B" w14:textId="023BC24A" w:rsidR="00984AAF" w:rsidRPr="0017633D" w:rsidRDefault="008A14B5" w:rsidP="0017633D">
      <w:pPr>
        <w:spacing w:line="360" w:lineRule="auto"/>
        <w:jc w:val="both"/>
        <w:rPr>
          <w:rFonts w:ascii="Arial" w:hAnsi="Arial" w:cs="Arial"/>
        </w:rPr>
      </w:pPr>
      <w:r w:rsidRPr="0017633D">
        <w:rPr>
          <w:rFonts w:ascii="Arial" w:hAnsi="Arial" w:cs="Arial"/>
        </w:rPr>
        <w:t xml:space="preserve">Amimo, F. and </w:t>
      </w:r>
      <w:proofErr w:type="spellStart"/>
      <w:r w:rsidRPr="0017633D">
        <w:rPr>
          <w:rFonts w:ascii="Arial" w:hAnsi="Arial" w:cs="Arial"/>
        </w:rPr>
        <w:t>Magit</w:t>
      </w:r>
      <w:proofErr w:type="spellEnd"/>
      <w:r w:rsidRPr="0017633D">
        <w:rPr>
          <w:rFonts w:ascii="Arial" w:hAnsi="Arial" w:cs="Arial"/>
        </w:rPr>
        <w:t xml:space="preserve">, A. (2023) </w:t>
      </w:r>
      <w:r w:rsidR="00C87172" w:rsidRPr="0017633D">
        <w:rPr>
          <w:rFonts w:ascii="Arial" w:hAnsi="Arial" w:cs="Arial"/>
        </w:rPr>
        <w:t>‘</w:t>
      </w:r>
      <w:r w:rsidRPr="0017633D">
        <w:rPr>
          <w:rFonts w:ascii="Arial" w:hAnsi="Arial" w:cs="Arial"/>
        </w:rPr>
        <w:t xml:space="preserve">Measuring income-associated inequalities in COVID-19 vaccination on a global scale: a </w:t>
      </w:r>
      <w:r w:rsidR="00984AAF" w:rsidRPr="0017633D">
        <w:rPr>
          <w:rFonts w:ascii="Arial" w:hAnsi="Arial" w:cs="Arial"/>
        </w:rPr>
        <w:t>modelling</w:t>
      </w:r>
      <w:r w:rsidRPr="0017633D">
        <w:rPr>
          <w:rFonts w:ascii="Arial" w:hAnsi="Arial" w:cs="Arial"/>
        </w:rPr>
        <w:t xml:space="preserve"> study,</w:t>
      </w:r>
      <w:r w:rsidR="00C87172" w:rsidRPr="0017633D">
        <w:rPr>
          <w:rFonts w:ascii="Arial" w:hAnsi="Arial" w:cs="Arial"/>
        </w:rPr>
        <w:t>’</w:t>
      </w:r>
      <w:r w:rsidRPr="0017633D">
        <w:rPr>
          <w:rFonts w:ascii="Arial" w:hAnsi="Arial" w:cs="Arial"/>
        </w:rPr>
        <w:t> </w:t>
      </w:r>
      <w:r w:rsidRPr="0017633D">
        <w:rPr>
          <w:rFonts w:ascii="Arial" w:hAnsi="Arial" w:cs="Arial"/>
          <w:i/>
          <w:iCs/>
        </w:rPr>
        <w:t xml:space="preserve">Journal of </w:t>
      </w:r>
      <w:r w:rsidR="00984AAF" w:rsidRPr="0017633D">
        <w:rPr>
          <w:rFonts w:ascii="Arial" w:hAnsi="Arial" w:cs="Arial"/>
          <w:i/>
          <w:iCs/>
        </w:rPr>
        <w:t>Public Health Policy</w:t>
      </w:r>
      <w:r w:rsidRPr="0017633D">
        <w:rPr>
          <w:rFonts w:ascii="Arial" w:hAnsi="Arial" w:cs="Arial"/>
        </w:rPr>
        <w:t xml:space="preserve">, 44(3), pp. 449–463. Available at: </w:t>
      </w:r>
      <w:hyperlink r:id="rId10" w:history="1">
        <w:r w:rsidR="00984AAF" w:rsidRPr="0017633D">
          <w:rPr>
            <w:rStyle w:val="Hyperlink"/>
            <w:rFonts w:ascii="Arial" w:hAnsi="Arial" w:cs="Arial"/>
          </w:rPr>
          <w:t>https://doi.org/10.1057/s41271-023-00433-6</w:t>
        </w:r>
      </w:hyperlink>
    </w:p>
    <w:p w14:paraId="2C4B1D33" w14:textId="4A2D937B" w:rsidR="00DB2030" w:rsidRPr="0017633D" w:rsidRDefault="00360B88" w:rsidP="0017633D">
      <w:pPr>
        <w:spacing w:line="360" w:lineRule="auto"/>
        <w:jc w:val="both"/>
        <w:rPr>
          <w:rFonts w:ascii="Arial" w:hAnsi="Arial" w:cs="Arial"/>
        </w:rPr>
      </w:pPr>
      <w:proofErr w:type="spellStart"/>
      <w:r w:rsidRPr="0017633D">
        <w:rPr>
          <w:rFonts w:ascii="Arial" w:hAnsi="Arial" w:cs="Arial"/>
        </w:rPr>
        <w:t>Antiga</w:t>
      </w:r>
      <w:proofErr w:type="spellEnd"/>
      <w:r w:rsidRPr="0017633D">
        <w:rPr>
          <w:rFonts w:ascii="Arial" w:hAnsi="Arial" w:cs="Arial"/>
        </w:rPr>
        <w:t xml:space="preserve">, M.L.D.O.C., Freitas, B.L., Brizan-St. Martin, R., La Foucade, A. and Sarti, F.M. </w:t>
      </w:r>
      <w:r w:rsidR="00DB2030" w:rsidRPr="0017633D">
        <w:rPr>
          <w:rFonts w:ascii="Arial" w:hAnsi="Arial" w:cs="Arial"/>
        </w:rPr>
        <w:t xml:space="preserve">(2025) </w:t>
      </w:r>
      <w:r w:rsidR="00C87172" w:rsidRPr="0017633D">
        <w:rPr>
          <w:rFonts w:ascii="Arial" w:hAnsi="Arial" w:cs="Arial"/>
        </w:rPr>
        <w:t>‘</w:t>
      </w:r>
      <w:r w:rsidR="00DB2030" w:rsidRPr="0017633D">
        <w:rPr>
          <w:rFonts w:ascii="Arial" w:hAnsi="Arial" w:cs="Arial"/>
        </w:rPr>
        <w:t>Determinants of Patients’ Perception of Primary Healthcare Quality: Empirical Analysis in the Brazilian Health System,</w:t>
      </w:r>
      <w:r w:rsidR="00C87172" w:rsidRPr="0017633D">
        <w:rPr>
          <w:rFonts w:ascii="Arial" w:hAnsi="Arial" w:cs="Arial"/>
        </w:rPr>
        <w:t>’</w:t>
      </w:r>
      <w:r w:rsidR="00DB2030" w:rsidRPr="0017633D">
        <w:rPr>
          <w:rFonts w:ascii="Arial" w:hAnsi="Arial" w:cs="Arial"/>
        </w:rPr>
        <w:t> </w:t>
      </w:r>
      <w:r w:rsidR="00DB2030" w:rsidRPr="0017633D">
        <w:rPr>
          <w:rFonts w:ascii="Arial" w:hAnsi="Arial" w:cs="Arial"/>
          <w:i/>
          <w:iCs/>
        </w:rPr>
        <w:t>Healthcare (Basel)</w:t>
      </w:r>
      <w:r w:rsidR="00DB2030" w:rsidRPr="0017633D">
        <w:rPr>
          <w:rFonts w:ascii="Arial" w:hAnsi="Arial" w:cs="Arial"/>
        </w:rPr>
        <w:t xml:space="preserve">, 13(8), p. 857. Available at: </w:t>
      </w:r>
      <w:hyperlink r:id="rId11" w:history="1">
        <w:r w:rsidR="00DB2030" w:rsidRPr="0017633D">
          <w:rPr>
            <w:rStyle w:val="Hyperlink"/>
            <w:rFonts w:ascii="Arial" w:hAnsi="Arial" w:cs="Arial"/>
          </w:rPr>
          <w:t>https://doi.org/10.3390/healthcare13080857</w:t>
        </w:r>
      </w:hyperlink>
    </w:p>
    <w:p w14:paraId="7CD879BE" w14:textId="1D7C99F3" w:rsidR="00340C33" w:rsidRPr="0017633D" w:rsidRDefault="00360B88" w:rsidP="0017633D">
      <w:pPr>
        <w:spacing w:line="360" w:lineRule="auto"/>
        <w:jc w:val="both"/>
        <w:rPr>
          <w:rFonts w:ascii="Arial" w:hAnsi="Arial" w:cs="Arial"/>
        </w:rPr>
      </w:pPr>
      <w:r w:rsidRPr="0017633D">
        <w:rPr>
          <w:rFonts w:ascii="Arial" w:hAnsi="Arial" w:cs="Arial"/>
        </w:rPr>
        <w:t xml:space="preserve">Anyiam, F.E., Gjonaj, J., Osango, N.A., Mugo, R., Aber, P., Shah, J., Mangeni, J., </w:t>
      </w:r>
      <w:proofErr w:type="spellStart"/>
      <w:r w:rsidRPr="0017633D">
        <w:rPr>
          <w:rFonts w:ascii="Arial" w:hAnsi="Arial" w:cs="Arial"/>
        </w:rPr>
        <w:t>Vedanthan</w:t>
      </w:r>
      <w:proofErr w:type="spellEnd"/>
      <w:r w:rsidRPr="0017633D">
        <w:rPr>
          <w:rFonts w:ascii="Arial" w:hAnsi="Arial" w:cs="Arial"/>
        </w:rPr>
        <w:t xml:space="preserve">, R., Hogan, J.W., Mwangi, A. and </w:t>
      </w:r>
      <w:proofErr w:type="spellStart"/>
      <w:r w:rsidRPr="0017633D">
        <w:rPr>
          <w:rFonts w:ascii="Arial" w:hAnsi="Arial" w:cs="Arial"/>
        </w:rPr>
        <w:t>Chunara</w:t>
      </w:r>
      <w:proofErr w:type="spellEnd"/>
      <w:r w:rsidRPr="0017633D">
        <w:rPr>
          <w:rFonts w:ascii="Arial" w:hAnsi="Arial" w:cs="Arial"/>
        </w:rPr>
        <w:t xml:space="preserve">, R. </w:t>
      </w:r>
      <w:r w:rsidR="00340C33" w:rsidRPr="0017633D">
        <w:rPr>
          <w:rFonts w:ascii="Arial" w:hAnsi="Arial" w:cs="Arial"/>
        </w:rPr>
        <w:t xml:space="preserve">(2026) </w:t>
      </w:r>
      <w:r w:rsidR="00C87172" w:rsidRPr="0017633D">
        <w:rPr>
          <w:rFonts w:ascii="Arial" w:hAnsi="Arial" w:cs="Arial"/>
        </w:rPr>
        <w:t>‘</w:t>
      </w:r>
      <w:r w:rsidR="00340C33" w:rsidRPr="0017633D">
        <w:rPr>
          <w:rFonts w:ascii="Arial" w:hAnsi="Arial" w:cs="Arial"/>
        </w:rPr>
        <w:t>Mapping social determinants of health data in sub-Saharan Africa: a scoping review protocol,</w:t>
      </w:r>
      <w:r w:rsidR="00C87172" w:rsidRPr="0017633D">
        <w:rPr>
          <w:rFonts w:ascii="Arial" w:hAnsi="Arial" w:cs="Arial"/>
        </w:rPr>
        <w:t>’</w:t>
      </w:r>
      <w:r w:rsidR="00340C33" w:rsidRPr="0017633D">
        <w:rPr>
          <w:rFonts w:ascii="Arial" w:hAnsi="Arial" w:cs="Arial"/>
        </w:rPr>
        <w:t> </w:t>
      </w:r>
      <w:r w:rsidR="00340C33" w:rsidRPr="0017633D">
        <w:rPr>
          <w:rFonts w:ascii="Arial" w:hAnsi="Arial" w:cs="Arial"/>
          <w:i/>
          <w:iCs/>
        </w:rPr>
        <w:t>BMJ Open</w:t>
      </w:r>
      <w:r w:rsidR="00340C33" w:rsidRPr="0017633D">
        <w:rPr>
          <w:rFonts w:ascii="Arial" w:hAnsi="Arial" w:cs="Arial"/>
        </w:rPr>
        <w:t xml:space="preserve">, 16(2), p. e105390. Available at: </w:t>
      </w:r>
      <w:hyperlink r:id="rId12" w:history="1">
        <w:r w:rsidR="00340C33" w:rsidRPr="0017633D">
          <w:rPr>
            <w:rStyle w:val="Hyperlink"/>
            <w:rFonts w:ascii="Arial" w:hAnsi="Arial" w:cs="Arial"/>
          </w:rPr>
          <w:t>https://doi.org/10.1136/bmjopen-2025-105390</w:t>
        </w:r>
      </w:hyperlink>
      <w:r w:rsidR="004C1A67" w:rsidRPr="0017633D">
        <w:rPr>
          <w:rFonts w:ascii="Arial" w:hAnsi="Arial" w:cs="Arial"/>
        </w:rPr>
        <w:t xml:space="preserve"> </w:t>
      </w:r>
    </w:p>
    <w:p w14:paraId="5D198484" w14:textId="1E459D5E" w:rsidR="004C1A67" w:rsidRPr="0017633D" w:rsidRDefault="006D31CA" w:rsidP="0017633D">
      <w:pPr>
        <w:spacing w:line="360" w:lineRule="auto"/>
        <w:jc w:val="both"/>
        <w:rPr>
          <w:rFonts w:ascii="Arial" w:hAnsi="Arial" w:cs="Arial"/>
        </w:rPr>
      </w:pPr>
      <w:r w:rsidRPr="0017633D">
        <w:rPr>
          <w:rFonts w:ascii="Arial" w:hAnsi="Arial" w:cs="Arial"/>
        </w:rPr>
        <w:t>Bennett, N., Kingston, A., Norman, P. and Bambra, C.</w:t>
      </w:r>
      <w:r w:rsidR="004C1A67" w:rsidRPr="0017633D">
        <w:rPr>
          <w:rFonts w:ascii="Arial" w:hAnsi="Arial" w:cs="Arial"/>
        </w:rPr>
        <w:t xml:space="preserve"> (2023) </w:t>
      </w:r>
      <w:r w:rsidR="00C87172" w:rsidRPr="0017633D">
        <w:rPr>
          <w:rFonts w:ascii="Arial" w:hAnsi="Arial" w:cs="Arial"/>
        </w:rPr>
        <w:t>‘</w:t>
      </w:r>
      <w:r w:rsidR="004C1A67" w:rsidRPr="0017633D">
        <w:rPr>
          <w:rFonts w:ascii="Arial" w:hAnsi="Arial" w:cs="Arial"/>
        </w:rPr>
        <w:t>The English health inequalities strategy: A time-trend study of mortality rate disparities at 65,</w:t>
      </w:r>
      <w:r w:rsidR="00C87172" w:rsidRPr="0017633D">
        <w:rPr>
          <w:rFonts w:ascii="Arial" w:hAnsi="Arial" w:cs="Arial"/>
        </w:rPr>
        <w:t>’</w:t>
      </w:r>
      <w:r w:rsidR="004C1A67" w:rsidRPr="0017633D">
        <w:rPr>
          <w:rFonts w:ascii="Arial" w:hAnsi="Arial" w:cs="Arial"/>
        </w:rPr>
        <w:t> </w:t>
      </w:r>
      <w:r w:rsidR="004C1A67" w:rsidRPr="0017633D">
        <w:rPr>
          <w:rFonts w:ascii="Arial" w:hAnsi="Arial" w:cs="Arial"/>
          <w:i/>
          <w:iCs/>
        </w:rPr>
        <w:t xml:space="preserve">European </w:t>
      </w:r>
      <w:r w:rsidR="001426E3" w:rsidRPr="0017633D">
        <w:rPr>
          <w:rFonts w:ascii="Arial" w:hAnsi="Arial" w:cs="Arial"/>
          <w:i/>
          <w:iCs/>
        </w:rPr>
        <w:t>J</w:t>
      </w:r>
      <w:r w:rsidR="004C1A67" w:rsidRPr="0017633D">
        <w:rPr>
          <w:rFonts w:ascii="Arial" w:hAnsi="Arial" w:cs="Arial"/>
          <w:i/>
          <w:iCs/>
        </w:rPr>
        <w:t xml:space="preserve">ournal of </w:t>
      </w:r>
      <w:r w:rsidR="001426E3" w:rsidRPr="0017633D">
        <w:rPr>
          <w:rFonts w:ascii="Arial" w:hAnsi="Arial" w:cs="Arial"/>
          <w:i/>
          <w:iCs/>
        </w:rPr>
        <w:t>Public Health</w:t>
      </w:r>
      <w:r w:rsidR="004C1A67" w:rsidRPr="0017633D">
        <w:rPr>
          <w:rFonts w:ascii="Arial" w:hAnsi="Arial" w:cs="Arial"/>
        </w:rPr>
        <w:t xml:space="preserve">, 33(Supplement_2). Available at: </w:t>
      </w:r>
      <w:hyperlink r:id="rId13" w:history="1">
        <w:r w:rsidR="004C1A67" w:rsidRPr="0017633D">
          <w:rPr>
            <w:rStyle w:val="Hyperlink"/>
            <w:rFonts w:ascii="Arial" w:hAnsi="Arial" w:cs="Arial"/>
          </w:rPr>
          <w:t>https://doi.org/10.1093/eurpub/ckad160.591</w:t>
        </w:r>
      </w:hyperlink>
    </w:p>
    <w:p w14:paraId="72732464" w14:textId="20991765" w:rsidR="006B60E3" w:rsidRPr="0017633D" w:rsidRDefault="006B60E3" w:rsidP="0017633D">
      <w:pPr>
        <w:spacing w:line="360" w:lineRule="auto"/>
        <w:jc w:val="both"/>
        <w:rPr>
          <w:rFonts w:ascii="Arial" w:hAnsi="Arial" w:cs="Arial"/>
        </w:rPr>
      </w:pPr>
      <w:r w:rsidRPr="0017633D">
        <w:rPr>
          <w:rFonts w:ascii="Arial" w:hAnsi="Arial" w:cs="Arial"/>
        </w:rPr>
        <w:lastRenderedPageBreak/>
        <w:t xml:space="preserve">Brown, J.S. and Elliott, R.W. (2021) </w:t>
      </w:r>
      <w:r w:rsidR="00C87172" w:rsidRPr="0017633D">
        <w:rPr>
          <w:rFonts w:ascii="Arial" w:hAnsi="Arial" w:cs="Arial"/>
        </w:rPr>
        <w:t>‘</w:t>
      </w:r>
      <w:r w:rsidRPr="0017633D">
        <w:rPr>
          <w:rFonts w:ascii="Arial" w:hAnsi="Arial" w:cs="Arial"/>
        </w:rPr>
        <w:t>Social Determinants of Health: Understanding the Basics and Their Impact on Chronic Kidney Disease,</w:t>
      </w:r>
      <w:r w:rsidR="00C87172" w:rsidRPr="0017633D">
        <w:rPr>
          <w:rFonts w:ascii="Arial" w:hAnsi="Arial" w:cs="Arial"/>
        </w:rPr>
        <w:t>’</w:t>
      </w:r>
      <w:r w:rsidRPr="0017633D">
        <w:rPr>
          <w:rFonts w:ascii="Arial" w:hAnsi="Arial" w:cs="Arial"/>
        </w:rPr>
        <w:t> </w:t>
      </w:r>
      <w:r w:rsidRPr="0017633D">
        <w:rPr>
          <w:rFonts w:ascii="Arial" w:hAnsi="Arial" w:cs="Arial"/>
          <w:i/>
          <w:iCs/>
        </w:rPr>
        <w:t xml:space="preserve">Nephrology Nursing </w:t>
      </w:r>
      <w:proofErr w:type="gramStart"/>
      <w:r w:rsidRPr="0017633D">
        <w:rPr>
          <w:rFonts w:ascii="Arial" w:hAnsi="Arial" w:cs="Arial"/>
          <w:i/>
          <w:iCs/>
        </w:rPr>
        <w:t>Journal :</w:t>
      </w:r>
      <w:proofErr w:type="gramEnd"/>
      <w:r w:rsidRPr="0017633D">
        <w:rPr>
          <w:rFonts w:ascii="Arial" w:hAnsi="Arial" w:cs="Arial"/>
          <w:i/>
          <w:iCs/>
        </w:rPr>
        <w:t xml:space="preserve"> Journal of the American Nephrology Nurses’ Association</w:t>
      </w:r>
      <w:r w:rsidRPr="0017633D">
        <w:rPr>
          <w:rFonts w:ascii="Arial" w:hAnsi="Arial" w:cs="Arial"/>
        </w:rPr>
        <w:t xml:space="preserve">, 48(2), pp. 131–145. Available at: </w:t>
      </w:r>
      <w:hyperlink r:id="rId14" w:history="1">
        <w:r w:rsidRPr="0017633D">
          <w:rPr>
            <w:rStyle w:val="Hyperlink"/>
            <w:rFonts w:ascii="Arial" w:hAnsi="Arial" w:cs="Arial"/>
          </w:rPr>
          <w:t>https://doi.org/10.37526/1526-744X.2021.48.2.131</w:t>
        </w:r>
      </w:hyperlink>
    </w:p>
    <w:p w14:paraId="4DF7D938" w14:textId="142DBBC3" w:rsidR="006E5CAB" w:rsidRPr="0017633D" w:rsidRDefault="006E5CAB" w:rsidP="0017633D">
      <w:pPr>
        <w:spacing w:line="360" w:lineRule="auto"/>
        <w:jc w:val="both"/>
        <w:rPr>
          <w:rFonts w:ascii="Arial" w:hAnsi="Arial" w:cs="Arial"/>
        </w:rPr>
      </w:pPr>
      <w:r w:rsidRPr="0017633D">
        <w:rPr>
          <w:rFonts w:ascii="Arial" w:hAnsi="Arial" w:cs="Arial"/>
        </w:rPr>
        <w:t xml:space="preserve">Cecchini, M. (2025) </w:t>
      </w:r>
      <w:r w:rsidR="00C87172" w:rsidRPr="0017633D">
        <w:rPr>
          <w:rFonts w:ascii="Arial" w:hAnsi="Arial" w:cs="Arial"/>
        </w:rPr>
        <w:t>‘</w:t>
      </w:r>
      <w:r w:rsidRPr="0017633D">
        <w:rPr>
          <w:rFonts w:ascii="Arial" w:hAnsi="Arial" w:cs="Arial"/>
        </w:rPr>
        <w:t>Modelling economic and societal impact of ECAC5,</w:t>
      </w:r>
      <w:r w:rsidR="00C87172" w:rsidRPr="0017633D">
        <w:rPr>
          <w:rFonts w:ascii="Arial" w:hAnsi="Arial" w:cs="Arial"/>
        </w:rPr>
        <w:t>’</w:t>
      </w:r>
      <w:r w:rsidRPr="0017633D">
        <w:rPr>
          <w:rFonts w:ascii="Arial" w:hAnsi="Arial" w:cs="Arial"/>
        </w:rPr>
        <w:t> </w:t>
      </w:r>
      <w:r w:rsidRPr="0017633D">
        <w:rPr>
          <w:rFonts w:ascii="Arial" w:hAnsi="Arial" w:cs="Arial"/>
          <w:i/>
          <w:iCs/>
        </w:rPr>
        <w:t xml:space="preserve">European </w:t>
      </w:r>
      <w:r w:rsidR="00C87172" w:rsidRPr="0017633D">
        <w:rPr>
          <w:rFonts w:ascii="Arial" w:hAnsi="Arial" w:cs="Arial"/>
          <w:i/>
          <w:iCs/>
        </w:rPr>
        <w:t>J</w:t>
      </w:r>
      <w:r w:rsidRPr="0017633D">
        <w:rPr>
          <w:rFonts w:ascii="Arial" w:hAnsi="Arial" w:cs="Arial"/>
          <w:i/>
          <w:iCs/>
        </w:rPr>
        <w:t xml:space="preserve">ournal of </w:t>
      </w:r>
      <w:r w:rsidR="00C87172" w:rsidRPr="0017633D">
        <w:rPr>
          <w:rFonts w:ascii="Arial" w:hAnsi="Arial" w:cs="Arial"/>
          <w:i/>
          <w:iCs/>
        </w:rPr>
        <w:t>Public Health</w:t>
      </w:r>
      <w:r w:rsidRPr="0017633D">
        <w:rPr>
          <w:rFonts w:ascii="Arial" w:hAnsi="Arial" w:cs="Arial"/>
        </w:rPr>
        <w:t xml:space="preserve">, 35(Supplement_4). Available at: </w:t>
      </w:r>
      <w:hyperlink r:id="rId15" w:history="1">
        <w:r w:rsidRPr="0017633D">
          <w:rPr>
            <w:rStyle w:val="Hyperlink"/>
            <w:rFonts w:ascii="Arial" w:hAnsi="Arial" w:cs="Arial"/>
          </w:rPr>
          <w:t>https://doi.org/10.1093/eurpub/ckaf161.466</w:t>
        </w:r>
      </w:hyperlink>
      <w:r w:rsidRPr="0017633D">
        <w:rPr>
          <w:rFonts w:ascii="Arial" w:hAnsi="Arial" w:cs="Arial"/>
        </w:rPr>
        <w:t xml:space="preserve"> </w:t>
      </w:r>
    </w:p>
    <w:p w14:paraId="63560EBD" w14:textId="62526B1D" w:rsidR="00490A17" w:rsidRPr="0017633D" w:rsidRDefault="006D31CA" w:rsidP="0017633D">
      <w:pPr>
        <w:spacing w:line="360" w:lineRule="auto"/>
        <w:jc w:val="both"/>
        <w:rPr>
          <w:rFonts w:ascii="Arial" w:hAnsi="Arial" w:cs="Arial"/>
        </w:rPr>
      </w:pPr>
      <w:r w:rsidRPr="0017633D">
        <w:rPr>
          <w:rFonts w:ascii="Arial" w:hAnsi="Arial" w:cs="Arial"/>
        </w:rPr>
        <w:t xml:space="preserve">Crane, M., Nathan, N., McKay, H., Lee, K., Wiggers, J. and Bauman, A. </w:t>
      </w:r>
      <w:r w:rsidR="00490A17" w:rsidRPr="0017633D">
        <w:rPr>
          <w:rFonts w:ascii="Arial" w:hAnsi="Arial" w:cs="Arial"/>
        </w:rPr>
        <w:t xml:space="preserve">(2022) </w:t>
      </w:r>
      <w:r w:rsidR="00C87172" w:rsidRPr="0017633D">
        <w:rPr>
          <w:rFonts w:ascii="Arial" w:hAnsi="Arial" w:cs="Arial"/>
        </w:rPr>
        <w:t>‘</w:t>
      </w:r>
      <w:r w:rsidR="00490A17" w:rsidRPr="0017633D">
        <w:rPr>
          <w:rFonts w:ascii="Arial" w:hAnsi="Arial" w:cs="Arial"/>
        </w:rPr>
        <w:t>Understanding the sustainment of population health programmes from a whole-of-system approach,</w:t>
      </w:r>
      <w:r w:rsidR="00C87172" w:rsidRPr="0017633D">
        <w:rPr>
          <w:rFonts w:ascii="Arial" w:hAnsi="Arial" w:cs="Arial"/>
        </w:rPr>
        <w:t>’</w:t>
      </w:r>
      <w:r w:rsidR="00490A17" w:rsidRPr="0017633D">
        <w:rPr>
          <w:rFonts w:ascii="Arial" w:hAnsi="Arial" w:cs="Arial"/>
        </w:rPr>
        <w:t> </w:t>
      </w:r>
      <w:r w:rsidR="00490A17" w:rsidRPr="0017633D">
        <w:rPr>
          <w:rFonts w:ascii="Arial" w:hAnsi="Arial" w:cs="Arial"/>
          <w:i/>
          <w:iCs/>
        </w:rPr>
        <w:t xml:space="preserve">Health </w:t>
      </w:r>
      <w:r w:rsidR="001426E3" w:rsidRPr="0017633D">
        <w:rPr>
          <w:rFonts w:ascii="Arial" w:hAnsi="Arial" w:cs="Arial"/>
          <w:i/>
          <w:iCs/>
        </w:rPr>
        <w:t>R</w:t>
      </w:r>
      <w:r w:rsidR="00490A17" w:rsidRPr="0017633D">
        <w:rPr>
          <w:rFonts w:ascii="Arial" w:hAnsi="Arial" w:cs="Arial"/>
          <w:i/>
          <w:iCs/>
        </w:rPr>
        <w:t xml:space="preserve">esearch </w:t>
      </w:r>
      <w:r w:rsidR="001426E3" w:rsidRPr="0017633D">
        <w:rPr>
          <w:rFonts w:ascii="Arial" w:hAnsi="Arial" w:cs="Arial"/>
          <w:i/>
          <w:iCs/>
        </w:rPr>
        <w:t>Policy</w:t>
      </w:r>
      <w:r w:rsidR="00490A17" w:rsidRPr="0017633D">
        <w:rPr>
          <w:rFonts w:ascii="Arial" w:hAnsi="Arial" w:cs="Arial"/>
          <w:i/>
          <w:iCs/>
        </w:rPr>
        <w:t xml:space="preserve"> and </w:t>
      </w:r>
      <w:r w:rsidR="001426E3" w:rsidRPr="0017633D">
        <w:rPr>
          <w:rFonts w:ascii="Arial" w:hAnsi="Arial" w:cs="Arial"/>
          <w:i/>
          <w:iCs/>
        </w:rPr>
        <w:t>Systems</w:t>
      </w:r>
      <w:r w:rsidR="00490A17" w:rsidRPr="0017633D">
        <w:rPr>
          <w:rFonts w:ascii="Arial" w:hAnsi="Arial" w:cs="Arial"/>
        </w:rPr>
        <w:t xml:space="preserve">, 20(1). Available at: </w:t>
      </w:r>
      <w:hyperlink r:id="rId16" w:history="1">
        <w:r w:rsidR="00490A17" w:rsidRPr="0017633D">
          <w:rPr>
            <w:rStyle w:val="Hyperlink"/>
            <w:rFonts w:ascii="Arial" w:hAnsi="Arial" w:cs="Arial"/>
          </w:rPr>
          <w:t>https://doi.org/10.1186/s12961-022-00843-0</w:t>
        </w:r>
      </w:hyperlink>
    </w:p>
    <w:p w14:paraId="5342F607" w14:textId="66EE6ED9" w:rsidR="00EF7DF2" w:rsidRPr="0017633D" w:rsidRDefault="00EF7DF2" w:rsidP="0017633D">
      <w:pPr>
        <w:spacing w:line="360" w:lineRule="auto"/>
        <w:jc w:val="both"/>
        <w:rPr>
          <w:rFonts w:ascii="Arial" w:hAnsi="Arial" w:cs="Arial"/>
        </w:rPr>
      </w:pPr>
      <w:r w:rsidRPr="0017633D">
        <w:rPr>
          <w:rFonts w:ascii="Arial" w:hAnsi="Arial" w:cs="Arial"/>
        </w:rPr>
        <w:t>Department for Levelling Up, Housing and Communities (2022). </w:t>
      </w:r>
      <w:r w:rsidRPr="0017633D">
        <w:rPr>
          <w:rFonts w:ascii="Arial" w:hAnsi="Arial" w:cs="Arial"/>
          <w:i/>
          <w:iCs/>
        </w:rPr>
        <w:t>Levelling Up the United Kingdom</w:t>
      </w:r>
      <w:r w:rsidRPr="0017633D">
        <w:rPr>
          <w:rFonts w:ascii="Arial" w:hAnsi="Arial" w:cs="Arial"/>
        </w:rPr>
        <w:t xml:space="preserve">. GOV.UK. Available at: </w:t>
      </w:r>
      <w:hyperlink r:id="rId17" w:history="1">
        <w:r w:rsidRPr="0017633D">
          <w:rPr>
            <w:rStyle w:val="Hyperlink"/>
            <w:rFonts w:ascii="Arial" w:hAnsi="Arial" w:cs="Arial"/>
          </w:rPr>
          <w:t>https://www.gov.uk/government/publications/levelling-up-the-united-kingdom</w:t>
        </w:r>
      </w:hyperlink>
      <w:r w:rsidRPr="0017633D">
        <w:rPr>
          <w:rFonts w:ascii="Arial" w:hAnsi="Arial" w:cs="Arial"/>
        </w:rPr>
        <w:t>. (Accessed: 14.03.2026).</w:t>
      </w:r>
    </w:p>
    <w:p w14:paraId="7B699720" w14:textId="4D68D3A2" w:rsidR="00F41FC9" w:rsidRPr="0017633D" w:rsidRDefault="00F41FC9" w:rsidP="0017633D">
      <w:pPr>
        <w:spacing w:line="360" w:lineRule="auto"/>
        <w:jc w:val="both"/>
        <w:rPr>
          <w:rFonts w:ascii="Arial" w:hAnsi="Arial" w:cs="Arial"/>
        </w:rPr>
      </w:pPr>
      <w:r w:rsidRPr="0017633D">
        <w:rPr>
          <w:rFonts w:ascii="Arial" w:hAnsi="Arial" w:cs="Arial"/>
        </w:rPr>
        <w:t xml:space="preserve">Djatmiko, G.H., Sinaga, O. and </w:t>
      </w:r>
      <w:proofErr w:type="spellStart"/>
      <w:r w:rsidRPr="0017633D">
        <w:rPr>
          <w:rFonts w:ascii="Arial" w:hAnsi="Arial" w:cs="Arial"/>
        </w:rPr>
        <w:t>Pawirosumarto</w:t>
      </w:r>
      <w:proofErr w:type="spellEnd"/>
      <w:r w:rsidRPr="0017633D">
        <w:rPr>
          <w:rFonts w:ascii="Arial" w:hAnsi="Arial" w:cs="Arial"/>
        </w:rPr>
        <w:t xml:space="preserve">, S. (2025) </w:t>
      </w:r>
      <w:r w:rsidR="00B97C37" w:rsidRPr="0017633D">
        <w:rPr>
          <w:rFonts w:ascii="Arial" w:hAnsi="Arial" w:cs="Arial"/>
        </w:rPr>
        <w:t>‘</w:t>
      </w:r>
      <w:r w:rsidRPr="0017633D">
        <w:rPr>
          <w:rFonts w:ascii="Arial" w:hAnsi="Arial" w:cs="Arial"/>
        </w:rPr>
        <w:t>Digital Transformation and Social Inclusion in Public Services: A Qualitative Analysis of E-Government Adoption for Marginalised Communities in Sustainable Governance,</w:t>
      </w:r>
      <w:r w:rsidR="00B97C37" w:rsidRPr="0017633D">
        <w:rPr>
          <w:rFonts w:ascii="Arial" w:hAnsi="Arial" w:cs="Arial"/>
        </w:rPr>
        <w:t>’</w:t>
      </w:r>
      <w:r w:rsidRPr="0017633D">
        <w:rPr>
          <w:rFonts w:ascii="Arial" w:hAnsi="Arial" w:cs="Arial"/>
        </w:rPr>
        <w:t> </w:t>
      </w:r>
      <w:r w:rsidRPr="0017633D">
        <w:rPr>
          <w:rFonts w:ascii="Arial" w:hAnsi="Arial" w:cs="Arial"/>
          <w:i/>
          <w:iCs/>
        </w:rPr>
        <w:t>Sustainability</w:t>
      </w:r>
      <w:r w:rsidRPr="0017633D">
        <w:rPr>
          <w:rFonts w:ascii="Arial" w:hAnsi="Arial" w:cs="Arial"/>
        </w:rPr>
        <w:t xml:space="preserve">, 17(7), p. 2908. Available at: </w:t>
      </w:r>
      <w:hyperlink r:id="rId18" w:history="1">
        <w:r w:rsidRPr="0017633D">
          <w:rPr>
            <w:rStyle w:val="Hyperlink"/>
            <w:rFonts w:ascii="Arial" w:hAnsi="Arial" w:cs="Arial"/>
          </w:rPr>
          <w:t>https://doi.org/10.3390/su17072908</w:t>
        </w:r>
      </w:hyperlink>
      <w:r w:rsidRPr="0017633D">
        <w:rPr>
          <w:rFonts w:ascii="Arial" w:hAnsi="Arial" w:cs="Arial"/>
        </w:rPr>
        <w:t xml:space="preserve"> </w:t>
      </w:r>
    </w:p>
    <w:p w14:paraId="7E487C30" w14:textId="2067D415" w:rsidR="00E43E40" w:rsidRPr="0017633D" w:rsidRDefault="00E43E40" w:rsidP="0017633D">
      <w:pPr>
        <w:spacing w:line="360" w:lineRule="auto"/>
        <w:jc w:val="both"/>
        <w:rPr>
          <w:rFonts w:ascii="Arial" w:hAnsi="Arial" w:cs="Arial"/>
        </w:rPr>
      </w:pPr>
      <w:r w:rsidRPr="0017633D">
        <w:rPr>
          <w:rFonts w:ascii="Arial" w:hAnsi="Arial" w:cs="Arial"/>
        </w:rPr>
        <w:t xml:space="preserve">Egede, L.E., Walker, R.J. and Williams, J.S. (2024) </w:t>
      </w:r>
      <w:r w:rsidR="00B97C37" w:rsidRPr="0017633D">
        <w:rPr>
          <w:rFonts w:ascii="Arial" w:hAnsi="Arial" w:cs="Arial"/>
        </w:rPr>
        <w:t>‘</w:t>
      </w:r>
      <w:r w:rsidRPr="0017633D">
        <w:rPr>
          <w:rFonts w:ascii="Arial" w:hAnsi="Arial" w:cs="Arial"/>
        </w:rPr>
        <w:t xml:space="preserve">Addressing Structural Inequalities, Structural Racism, and Social Determinants of Health: </w:t>
      </w:r>
      <w:proofErr w:type="gramStart"/>
      <w:r w:rsidRPr="0017633D">
        <w:rPr>
          <w:rFonts w:ascii="Arial" w:hAnsi="Arial" w:cs="Arial"/>
        </w:rPr>
        <w:t>a</w:t>
      </w:r>
      <w:proofErr w:type="gramEnd"/>
      <w:r w:rsidRPr="0017633D">
        <w:rPr>
          <w:rFonts w:ascii="Arial" w:hAnsi="Arial" w:cs="Arial"/>
        </w:rPr>
        <w:t xml:space="preserve"> Vision for the Future,</w:t>
      </w:r>
      <w:r w:rsidR="00B97C37" w:rsidRPr="0017633D">
        <w:rPr>
          <w:rFonts w:ascii="Arial" w:hAnsi="Arial" w:cs="Arial"/>
        </w:rPr>
        <w:t>’</w:t>
      </w:r>
      <w:r w:rsidRPr="0017633D">
        <w:rPr>
          <w:rFonts w:ascii="Arial" w:hAnsi="Arial" w:cs="Arial"/>
        </w:rPr>
        <w:t> </w:t>
      </w:r>
      <w:r w:rsidRPr="0017633D">
        <w:rPr>
          <w:rFonts w:ascii="Arial" w:hAnsi="Arial" w:cs="Arial"/>
          <w:i/>
          <w:iCs/>
        </w:rPr>
        <w:t xml:space="preserve">Journal of General Internal </w:t>
      </w:r>
      <w:proofErr w:type="gramStart"/>
      <w:r w:rsidRPr="0017633D">
        <w:rPr>
          <w:rFonts w:ascii="Arial" w:hAnsi="Arial" w:cs="Arial"/>
          <w:i/>
          <w:iCs/>
        </w:rPr>
        <w:t>Medicine :</w:t>
      </w:r>
      <w:proofErr w:type="gramEnd"/>
      <w:r w:rsidRPr="0017633D">
        <w:rPr>
          <w:rFonts w:ascii="Arial" w:hAnsi="Arial" w:cs="Arial"/>
          <w:i/>
          <w:iCs/>
        </w:rPr>
        <w:t xml:space="preserve"> JGIM</w:t>
      </w:r>
      <w:r w:rsidRPr="0017633D">
        <w:rPr>
          <w:rFonts w:ascii="Arial" w:hAnsi="Arial" w:cs="Arial"/>
        </w:rPr>
        <w:t xml:space="preserve">, 39(3), pp. 487–491. Available at: </w:t>
      </w:r>
      <w:hyperlink r:id="rId19" w:history="1">
        <w:r w:rsidRPr="0017633D">
          <w:rPr>
            <w:rStyle w:val="Hyperlink"/>
            <w:rFonts w:ascii="Arial" w:hAnsi="Arial" w:cs="Arial"/>
          </w:rPr>
          <w:t>https://doi.org/10.1007/s11606-023-08426-7</w:t>
        </w:r>
      </w:hyperlink>
      <w:r w:rsidRPr="0017633D">
        <w:rPr>
          <w:rFonts w:ascii="Arial" w:hAnsi="Arial" w:cs="Arial"/>
        </w:rPr>
        <w:t xml:space="preserve"> </w:t>
      </w:r>
    </w:p>
    <w:p w14:paraId="685F458C" w14:textId="64B6784C" w:rsidR="00DE6D9A" w:rsidRPr="0017633D" w:rsidRDefault="00DE6D9A" w:rsidP="0017633D">
      <w:pPr>
        <w:spacing w:line="360" w:lineRule="auto"/>
        <w:jc w:val="both"/>
        <w:rPr>
          <w:rFonts w:ascii="Arial" w:hAnsi="Arial" w:cs="Arial"/>
        </w:rPr>
      </w:pPr>
      <w:r w:rsidRPr="0017633D">
        <w:rPr>
          <w:rFonts w:ascii="Arial" w:hAnsi="Arial" w:cs="Arial"/>
        </w:rPr>
        <w:t xml:space="preserve">Fulton, E., </w:t>
      </w:r>
      <w:proofErr w:type="spellStart"/>
      <w:r w:rsidRPr="0017633D">
        <w:rPr>
          <w:rFonts w:ascii="Arial" w:hAnsi="Arial" w:cs="Arial"/>
        </w:rPr>
        <w:t>Kwah</w:t>
      </w:r>
      <w:proofErr w:type="spellEnd"/>
      <w:r w:rsidRPr="0017633D">
        <w:rPr>
          <w:rFonts w:ascii="Arial" w:hAnsi="Arial" w:cs="Arial"/>
        </w:rPr>
        <w:t xml:space="preserve">, K., Schumacher, L., Newby, K., Gokal, K., Jackson, L., Naughton, F., Coleman, T., Owen, A. and Brown, K. </w:t>
      </w:r>
      <w:r w:rsidR="006D31CA" w:rsidRPr="0017633D">
        <w:rPr>
          <w:rFonts w:ascii="Arial" w:hAnsi="Arial" w:cs="Arial"/>
        </w:rPr>
        <w:t>(</w:t>
      </w:r>
      <w:r w:rsidRPr="0017633D">
        <w:rPr>
          <w:rFonts w:ascii="Arial" w:hAnsi="Arial" w:cs="Arial"/>
        </w:rPr>
        <w:t>2021</w:t>
      </w:r>
      <w:r w:rsidR="006D31CA" w:rsidRPr="0017633D">
        <w:rPr>
          <w:rFonts w:ascii="Arial" w:hAnsi="Arial" w:cs="Arial"/>
        </w:rPr>
        <w:t>)</w:t>
      </w:r>
      <w:r w:rsidRPr="0017633D">
        <w:rPr>
          <w:rFonts w:ascii="Arial" w:hAnsi="Arial" w:cs="Arial"/>
        </w:rPr>
        <w:t xml:space="preserve">. ‘A digital behaviour change intervention to increase booking and attendance at </w:t>
      </w:r>
      <w:proofErr w:type="spellStart"/>
      <w:r w:rsidRPr="0017633D">
        <w:rPr>
          <w:rFonts w:ascii="Arial" w:hAnsi="Arial" w:cs="Arial"/>
        </w:rPr>
        <w:t>StopSmoking</w:t>
      </w:r>
      <w:proofErr w:type="spellEnd"/>
      <w:r w:rsidRPr="0017633D">
        <w:rPr>
          <w:rFonts w:ascii="Arial" w:hAnsi="Arial" w:cs="Arial"/>
        </w:rPr>
        <w:t xml:space="preserve"> Services: </w:t>
      </w:r>
      <w:proofErr w:type="gramStart"/>
      <w:r w:rsidRPr="0017633D">
        <w:rPr>
          <w:rFonts w:ascii="Arial" w:hAnsi="Arial" w:cs="Arial"/>
        </w:rPr>
        <w:t>the</w:t>
      </w:r>
      <w:proofErr w:type="gramEnd"/>
      <w:r w:rsidRPr="0017633D">
        <w:rPr>
          <w:rFonts w:ascii="Arial" w:hAnsi="Arial" w:cs="Arial"/>
        </w:rPr>
        <w:t xml:space="preserve"> </w:t>
      </w:r>
      <w:proofErr w:type="spellStart"/>
      <w:r w:rsidRPr="0017633D">
        <w:rPr>
          <w:rFonts w:ascii="Arial" w:hAnsi="Arial" w:cs="Arial"/>
        </w:rPr>
        <w:t>MyWay</w:t>
      </w:r>
      <w:proofErr w:type="spellEnd"/>
      <w:r w:rsidRPr="0017633D">
        <w:rPr>
          <w:rFonts w:ascii="Arial" w:hAnsi="Arial" w:cs="Arial"/>
        </w:rPr>
        <w:t xml:space="preserve"> feasibility RCT.’ </w:t>
      </w:r>
      <w:r w:rsidRPr="0017633D">
        <w:rPr>
          <w:rFonts w:ascii="Arial" w:hAnsi="Arial" w:cs="Arial"/>
          <w:i/>
          <w:iCs/>
        </w:rPr>
        <w:t>Public Health Research</w:t>
      </w:r>
      <w:r w:rsidRPr="0017633D">
        <w:rPr>
          <w:rFonts w:ascii="Arial" w:hAnsi="Arial" w:cs="Arial"/>
        </w:rPr>
        <w:t>, </w:t>
      </w:r>
      <w:r w:rsidRPr="0017633D">
        <w:rPr>
          <w:rFonts w:ascii="Arial" w:hAnsi="Arial" w:cs="Arial"/>
          <w:i/>
          <w:iCs/>
        </w:rPr>
        <w:t>5</w:t>
      </w:r>
      <w:r w:rsidRPr="0017633D">
        <w:rPr>
          <w:rFonts w:ascii="Arial" w:hAnsi="Arial" w:cs="Arial"/>
        </w:rPr>
        <w:t>(9).</w:t>
      </w:r>
    </w:p>
    <w:p w14:paraId="498E20D8" w14:textId="0794FD78" w:rsidR="002F4556" w:rsidRPr="0017633D" w:rsidRDefault="002F4556" w:rsidP="0017633D">
      <w:pPr>
        <w:spacing w:line="360" w:lineRule="auto"/>
        <w:jc w:val="both"/>
        <w:rPr>
          <w:rFonts w:ascii="Arial" w:hAnsi="Arial" w:cs="Arial"/>
        </w:rPr>
      </w:pPr>
      <w:r w:rsidRPr="0017633D">
        <w:rPr>
          <w:rFonts w:ascii="Arial" w:hAnsi="Arial" w:cs="Arial"/>
        </w:rPr>
        <w:t xml:space="preserve">Hansmann, K., Grabow, M. and McAndrews, C. (2023) </w:t>
      </w:r>
      <w:r w:rsidR="006D31CA" w:rsidRPr="0017633D">
        <w:rPr>
          <w:rFonts w:ascii="Arial" w:hAnsi="Arial" w:cs="Arial"/>
        </w:rPr>
        <w:t>‘</w:t>
      </w:r>
      <w:r w:rsidRPr="0017633D">
        <w:rPr>
          <w:rFonts w:ascii="Arial" w:hAnsi="Arial" w:cs="Arial"/>
        </w:rPr>
        <w:t>Health Equity and Active Transportation: a scoping review of active transportation interventions’ impact on health equity</w:t>
      </w:r>
      <w:r w:rsidR="006D31CA" w:rsidRPr="0017633D">
        <w:rPr>
          <w:rFonts w:ascii="Arial" w:hAnsi="Arial" w:cs="Arial"/>
        </w:rPr>
        <w:t>’</w:t>
      </w:r>
      <w:r w:rsidRPr="0017633D">
        <w:rPr>
          <w:rFonts w:ascii="Arial" w:hAnsi="Arial" w:cs="Arial"/>
        </w:rPr>
        <w:t>, </w:t>
      </w:r>
      <w:r w:rsidRPr="0017633D">
        <w:rPr>
          <w:rFonts w:ascii="Arial" w:hAnsi="Arial" w:cs="Arial"/>
          <w:i/>
          <w:iCs/>
        </w:rPr>
        <w:t>Annals of Family Medicine</w:t>
      </w:r>
      <w:r w:rsidRPr="0017633D">
        <w:rPr>
          <w:rFonts w:ascii="Arial" w:hAnsi="Arial" w:cs="Arial"/>
        </w:rPr>
        <w:t xml:space="preserve">, 21(S1). Available at: </w:t>
      </w:r>
      <w:hyperlink r:id="rId20" w:history="1">
        <w:r w:rsidRPr="0017633D">
          <w:rPr>
            <w:rStyle w:val="Hyperlink"/>
            <w:rFonts w:ascii="Arial" w:hAnsi="Arial" w:cs="Arial"/>
          </w:rPr>
          <w:t>https://doi.org/10.1370/afm.21.s1.3657</w:t>
        </w:r>
      </w:hyperlink>
      <w:r w:rsidRPr="0017633D">
        <w:rPr>
          <w:rFonts w:ascii="Arial" w:hAnsi="Arial" w:cs="Arial"/>
        </w:rPr>
        <w:t>.</w:t>
      </w:r>
    </w:p>
    <w:p w14:paraId="4536186C" w14:textId="3A6B8305" w:rsidR="005E299B" w:rsidRPr="0017633D" w:rsidRDefault="005E299B" w:rsidP="0017633D">
      <w:pPr>
        <w:spacing w:line="360" w:lineRule="auto"/>
        <w:jc w:val="both"/>
        <w:rPr>
          <w:rFonts w:ascii="Arial" w:hAnsi="Arial" w:cs="Arial"/>
        </w:rPr>
      </w:pPr>
      <w:r w:rsidRPr="0017633D">
        <w:rPr>
          <w:rFonts w:ascii="Arial" w:hAnsi="Arial" w:cs="Arial"/>
        </w:rPr>
        <w:t xml:space="preserve">Hawkins, B. and </w:t>
      </w:r>
      <w:proofErr w:type="spellStart"/>
      <w:r w:rsidRPr="0017633D">
        <w:rPr>
          <w:rFonts w:ascii="Arial" w:hAnsi="Arial" w:cs="Arial"/>
        </w:rPr>
        <w:t>Karreman</w:t>
      </w:r>
      <w:proofErr w:type="spellEnd"/>
      <w:r w:rsidRPr="0017633D">
        <w:rPr>
          <w:rFonts w:ascii="Arial" w:hAnsi="Arial" w:cs="Arial"/>
        </w:rPr>
        <w:t xml:space="preserve">, N. (2025) </w:t>
      </w:r>
      <w:r w:rsidR="00B97C37" w:rsidRPr="0017633D">
        <w:rPr>
          <w:rFonts w:ascii="Arial" w:hAnsi="Arial" w:cs="Arial"/>
        </w:rPr>
        <w:t>‘</w:t>
      </w:r>
      <w:r w:rsidRPr="0017633D">
        <w:rPr>
          <w:rFonts w:ascii="Arial" w:hAnsi="Arial" w:cs="Arial"/>
        </w:rPr>
        <w:t>Challenges to reorienting public health policy at a local level,</w:t>
      </w:r>
      <w:r w:rsidR="00B97C37" w:rsidRPr="0017633D">
        <w:rPr>
          <w:rFonts w:ascii="Arial" w:hAnsi="Arial" w:cs="Arial"/>
        </w:rPr>
        <w:t>'</w:t>
      </w:r>
      <w:r w:rsidRPr="0017633D">
        <w:rPr>
          <w:rFonts w:ascii="Arial" w:hAnsi="Arial" w:cs="Arial"/>
        </w:rPr>
        <w:t> </w:t>
      </w:r>
      <w:r w:rsidRPr="0017633D">
        <w:rPr>
          <w:rFonts w:ascii="Arial" w:hAnsi="Arial" w:cs="Arial"/>
          <w:i/>
          <w:iCs/>
        </w:rPr>
        <w:t>European Journal of Public Health</w:t>
      </w:r>
      <w:r w:rsidRPr="0017633D">
        <w:rPr>
          <w:rFonts w:ascii="Arial" w:hAnsi="Arial" w:cs="Arial"/>
        </w:rPr>
        <w:t xml:space="preserve">, 35(Supplement_4). Available at: </w:t>
      </w:r>
      <w:hyperlink r:id="rId21" w:history="1">
        <w:r w:rsidRPr="0017633D">
          <w:rPr>
            <w:rStyle w:val="Hyperlink"/>
            <w:rFonts w:ascii="Arial" w:hAnsi="Arial" w:cs="Arial"/>
          </w:rPr>
          <w:t>https://doi.org/10.1093/eurpub/ckaf161.306</w:t>
        </w:r>
      </w:hyperlink>
    </w:p>
    <w:p w14:paraId="7F01754B" w14:textId="31886424" w:rsidR="00AE0AE3" w:rsidRPr="0017633D" w:rsidRDefault="00AE0AE3" w:rsidP="0017633D">
      <w:pPr>
        <w:spacing w:line="360" w:lineRule="auto"/>
        <w:jc w:val="both"/>
        <w:rPr>
          <w:rFonts w:ascii="Arial" w:hAnsi="Arial" w:cs="Arial"/>
        </w:rPr>
      </w:pPr>
      <w:r w:rsidRPr="0017633D">
        <w:rPr>
          <w:rFonts w:ascii="Arial" w:hAnsi="Arial" w:cs="Arial"/>
        </w:rPr>
        <w:lastRenderedPageBreak/>
        <w:t xml:space="preserve">Houston, D., Varna, G. and Docherty, I. (2021) </w:t>
      </w:r>
      <w:r w:rsidR="00B97C37" w:rsidRPr="0017633D">
        <w:rPr>
          <w:rFonts w:ascii="Arial" w:hAnsi="Arial" w:cs="Arial"/>
        </w:rPr>
        <w:t>‘</w:t>
      </w:r>
      <w:r w:rsidRPr="0017633D">
        <w:rPr>
          <w:rFonts w:ascii="Arial" w:hAnsi="Arial" w:cs="Arial"/>
        </w:rPr>
        <w:t>The political economy of and practical policies for inclusive growth—a case study of Scotland,</w:t>
      </w:r>
      <w:r w:rsidR="00B97C37" w:rsidRPr="0017633D">
        <w:rPr>
          <w:rFonts w:ascii="Arial" w:hAnsi="Arial" w:cs="Arial"/>
        </w:rPr>
        <w:t>’</w:t>
      </w:r>
      <w:r w:rsidRPr="0017633D">
        <w:rPr>
          <w:rFonts w:ascii="Arial" w:hAnsi="Arial" w:cs="Arial"/>
        </w:rPr>
        <w:t> </w:t>
      </w:r>
      <w:r w:rsidRPr="0017633D">
        <w:rPr>
          <w:rFonts w:ascii="Arial" w:hAnsi="Arial" w:cs="Arial"/>
          <w:i/>
          <w:iCs/>
        </w:rPr>
        <w:t>Cambridge Journal of Regions, Economy and Society</w:t>
      </w:r>
      <w:r w:rsidRPr="0017633D">
        <w:rPr>
          <w:rFonts w:ascii="Arial" w:hAnsi="Arial" w:cs="Arial"/>
        </w:rPr>
        <w:t xml:space="preserve">, 14(1), pp. 197–215. Available at: </w:t>
      </w:r>
      <w:hyperlink r:id="rId22" w:history="1">
        <w:r w:rsidRPr="0017633D">
          <w:rPr>
            <w:rStyle w:val="Hyperlink"/>
            <w:rFonts w:ascii="Arial" w:hAnsi="Arial" w:cs="Arial"/>
          </w:rPr>
          <w:t>https://doi.org/10.1093/cjres/rsaa039</w:t>
        </w:r>
      </w:hyperlink>
    </w:p>
    <w:p w14:paraId="5BD0EA1A" w14:textId="38B9784A" w:rsidR="00AD6BFC" w:rsidRPr="0017633D" w:rsidRDefault="00AD6BFC" w:rsidP="0017633D">
      <w:pPr>
        <w:spacing w:line="360" w:lineRule="auto"/>
        <w:jc w:val="both"/>
        <w:rPr>
          <w:rFonts w:ascii="Arial" w:hAnsi="Arial" w:cs="Arial"/>
        </w:rPr>
      </w:pPr>
      <w:r w:rsidRPr="0017633D">
        <w:rPr>
          <w:rFonts w:ascii="Arial" w:hAnsi="Arial" w:cs="Arial"/>
        </w:rPr>
        <w:t xml:space="preserve">Iacobucci, G. (2022) </w:t>
      </w:r>
      <w:r w:rsidR="00B97C37" w:rsidRPr="0017633D">
        <w:rPr>
          <w:rFonts w:ascii="Arial" w:hAnsi="Arial" w:cs="Arial"/>
        </w:rPr>
        <w:t>‘</w:t>
      </w:r>
      <w:r w:rsidRPr="0017633D">
        <w:rPr>
          <w:rFonts w:ascii="Arial" w:hAnsi="Arial" w:cs="Arial"/>
        </w:rPr>
        <w:t>One in five doctors feels overwhelmed daily by COVID and winter pressures, RCP reports,</w:t>
      </w:r>
      <w:r w:rsidR="00B97C37" w:rsidRPr="0017633D">
        <w:rPr>
          <w:rFonts w:ascii="Arial" w:hAnsi="Arial" w:cs="Arial"/>
        </w:rPr>
        <w:t>’</w:t>
      </w:r>
      <w:r w:rsidRPr="0017633D">
        <w:rPr>
          <w:rFonts w:ascii="Arial" w:hAnsi="Arial" w:cs="Arial"/>
        </w:rPr>
        <w:t> </w:t>
      </w:r>
      <w:r w:rsidRPr="0017633D">
        <w:rPr>
          <w:rFonts w:ascii="Arial" w:hAnsi="Arial" w:cs="Arial"/>
          <w:i/>
          <w:iCs/>
        </w:rPr>
        <w:t>BMJ (Online)</w:t>
      </w:r>
      <w:r w:rsidRPr="0017633D">
        <w:rPr>
          <w:rFonts w:ascii="Arial" w:hAnsi="Arial" w:cs="Arial"/>
        </w:rPr>
        <w:t xml:space="preserve">, 376, p. o86. Available at: </w:t>
      </w:r>
      <w:hyperlink r:id="rId23" w:history="1">
        <w:r w:rsidRPr="0017633D">
          <w:rPr>
            <w:rStyle w:val="Hyperlink"/>
            <w:rFonts w:ascii="Arial" w:hAnsi="Arial" w:cs="Arial"/>
          </w:rPr>
          <w:t>https://doi.org/10.1136/bmj.o86</w:t>
        </w:r>
      </w:hyperlink>
    </w:p>
    <w:p w14:paraId="31984CD0" w14:textId="162E6155" w:rsidR="00071580" w:rsidRPr="0017633D" w:rsidRDefault="00071580" w:rsidP="0017633D">
      <w:pPr>
        <w:spacing w:line="360" w:lineRule="auto"/>
        <w:jc w:val="both"/>
        <w:rPr>
          <w:rFonts w:ascii="Arial" w:hAnsi="Arial" w:cs="Arial"/>
        </w:rPr>
      </w:pPr>
      <w:r w:rsidRPr="0017633D">
        <w:rPr>
          <w:rFonts w:ascii="Arial" w:hAnsi="Arial" w:cs="Arial"/>
        </w:rPr>
        <w:t xml:space="preserve">Jaeggi, A.V., Blackwell, A.D., Von Rueden, C., Trumble, B.C., Stieglitz, J., Garcia, A.R., Kraft, T.S., </w:t>
      </w:r>
      <w:proofErr w:type="spellStart"/>
      <w:r w:rsidRPr="0017633D">
        <w:rPr>
          <w:rFonts w:ascii="Arial" w:hAnsi="Arial" w:cs="Arial"/>
        </w:rPr>
        <w:t>Beheim</w:t>
      </w:r>
      <w:proofErr w:type="spellEnd"/>
      <w:r w:rsidRPr="0017633D">
        <w:rPr>
          <w:rFonts w:ascii="Arial" w:hAnsi="Arial" w:cs="Arial"/>
        </w:rPr>
        <w:t xml:space="preserve">, B.A., Hooper, P.L., Kaplan, H. and Gurven, M. </w:t>
      </w:r>
      <w:r w:rsidR="006D31CA" w:rsidRPr="0017633D">
        <w:rPr>
          <w:rFonts w:ascii="Arial" w:hAnsi="Arial" w:cs="Arial"/>
        </w:rPr>
        <w:t>(2021)</w:t>
      </w:r>
      <w:r w:rsidRPr="0017633D">
        <w:rPr>
          <w:rFonts w:ascii="Arial" w:hAnsi="Arial" w:cs="Arial"/>
        </w:rPr>
        <w:t xml:space="preserve">. </w:t>
      </w:r>
      <w:r w:rsidR="00EB27E5" w:rsidRPr="0017633D">
        <w:rPr>
          <w:rFonts w:ascii="Arial" w:hAnsi="Arial" w:cs="Arial"/>
        </w:rPr>
        <w:t>‘</w:t>
      </w:r>
      <w:r w:rsidRPr="0017633D">
        <w:rPr>
          <w:rFonts w:ascii="Arial" w:hAnsi="Arial" w:cs="Arial"/>
        </w:rPr>
        <w:t>Do wealth and inequality associate with health in a small-scale subsistence society?</w:t>
      </w:r>
      <w:r w:rsidR="00EB27E5" w:rsidRPr="0017633D">
        <w:rPr>
          <w:rFonts w:ascii="Arial" w:hAnsi="Arial" w:cs="Arial"/>
        </w:rPr>
        <w:t>’</w:t>
      </w:r>
      <w:r w:rsidRPr="0017633D">
        <w:rPr>
          <w:rFonts w:ascii="Arial" w:hAnsi="Arial" w:cs="Arial"/>
        </w:rPr>
        <w:t> </w:t>
      </w:r>
      <w:r w:rsidRPr="0017633D">
        <w:rPr>
          <w:rFonts w:ascii="Arial" w:hAnsi="Arial" w:cs="Arial"/>
          <w:i/>
          <w:iCs/>
        </w:rPr>
        <w:t>Elife</w:t>
      </w:r>
      <w:r w:rsidRPr="0017633D">
        <w:rPr>
          <w:rFonts w:ascii="Arial" w:hAnsi="Arial" w:cs="Arial"/>
        </w:rPr>
        <w:t>, </w:t>
      </w:r>
      <w:r w:rsidRPr="0017633D">
        <w:rPr>
          <w:rFonts w:ascii="Arial" w:hAnsi="Arial" w:cs="Arial"/>
          <w:i/>
          <w:iCs/>
        </w:rPr>
        <w:t>10</w:t>
      </w:r>
      <w:r w:rsidRPr="0017633D">
        <w:rPr>
          <w:rFonts w:ascii="Arial" w:hAnsi="Arial" w:cs="Arial"/>
        </w:rPr>
        <w:t>, p.e59437.</w:t>
      </w:r>
      <w:r w:rsidR="00330336" w:rsidRPr="0017633D">
        <w:rPr>
          <w:rFonts w:ascii="Arial" w:hAnsi="Arial" w:cs="Arial"/>
        </w:rPr>
        <w:t xml:space="preserve"> Available at: </w:t>
      </w:r>
      <w:hyperlink r:id="rId24" w:history="1">
        <w:r w:rsidR="00330336" w:rsidRPr="0017633D">
          <w:rPr>
            <w:rStyle w:val="Hyperlink"/>
            <w:rFonts w:ascii="Arial" w:hAnsi="Arial" w:cs="Arial"/>
          </w:rPr>
          <w:t>https://doi.org/10.7554/eLife.59437</w:t>
        </w:r>
      </w:hyperlink>
    </w:p>
    <w:p w14:paraId="5E8B4024" w14:textId="46E31EF0" w:rsidR="00FF50CD" w:rsidRPr="0017633D" w:rsidRDefault="00330336" w:rsidP="0017633D">
      <w:pPr>
        <w:spacing w:line="360" w:lineRule="auto"/>
        <w:jc w:val="both"/>
        <w:rPr>
          <w:rFonts w:ascii="Arial" w:hAnsi="Arial" w:cs="Arial"/>
        </w:rPr>
      </w:pPr>
      <w:r w:rsidRPr="0017633D">
        <w:rPr>
          <w:rFonts w:ascii="Arial" w:hAnsi="Arial" w:cs="Arial"/>
        </w:rPr>
        <w:t xml:space="preserve">Joseph, R.C., Lim, C.T., Huang, H. and Lacasse, J.J. </w:t>
      </w:r>
      <w:r w:rsidR="00FF50CD" w:rsidRPr="0017633D">
        <w:rPr>
          <w:rFonts w:ascii="Arial" w:hAnsi="Arial" w:cs="Arial"/>
        </w:rPr>
        <w:t xml:space="preserve">(2022) </w:t>
      </w:r>
      <w:r w:rsidR="00B97C37" w:rsidRPr="0017633D">
        <w:rPr>
          <w:rFonts w:ascii="Arial" w:hAnsi="Arial" w:cs="Arial"/>
        </w:rPr>
        <w:t>‘</w:t>
      </w:r>
      <w:r w:rsidR="00FF50CD" w:rsidRPr="0017633D">
        <w:rPr>
          <w:rFonts w:ascii="Arial" w:hAnsi="Arial" w:cs="Arial"/>
        </w:rPr>
        <w:t>Expanding Access to Psychiatric Care: Implementation of Psychiatric e-Consultation and Tele-consultation for Primary Care in a Safety-net Health System,</w:t>
      </w:r>
      <w:r w:rsidR="00B97C37" w:rsidRPr="0017633D">
        <w:rPr>
          <w:rFonts w:ascii="Arial" w:hAnsi="Arial" w:cs="Arial"/>
        </w:rPr>
        <w:t>’</w:t>
      </w:r>
      <w:r w:rsidR="00FF50CD" w:rsidRPr="0017633D">
        <w:rPr>
          <w:rFonts w:ascii="Arial" w:hAnsi="Arial" w:cs="Arial"/>
        </w:rPr>
        <w:t> </w:t>
      </w:r>
      <w:r w:rsidR="00FF50CD" w:rsidRPr="0017633D">
        <w:rPr>
          <w:rFonts w:ascii="Arial" w:hAnsi="Arial" w:cs="Arial"/>
          <w:i/>
          <w:iCs/>
        </w:rPr>
        <w:t>Journal of Health Care for the Poor and Underserved</w:t>
      </w:r>
      <w:r w:rsidR="00FF50CD" w:rsidRPr="0017633D">
        <w:rPr>
          <w:rFonts w:ascii="Arial" w:hAnsi="Arial" w:cs="Arial"/>
        </w:rPr>
        <w:t xml:space="preserve">, 33(2), pp. 767–778. Available at: </w:t>
      </w:r>
      <w:hyperlink r:id="rId25" w:history="1">
        <w:r w:rsidR="00FF50CD" w:rsidRPr="0017633D">
          <w:rPr>
            <w:rStyle w:val="Hyperlink"/>
            <w:rFonts w:ascii="Arial" w:hAnsi="Arial" w:cs="Arial"/>
          </w:rPr>
          <w:t>https://doi.org/10.1353/hpu.2022.0062</w:t>
        </w:r>
      </w:hyperlink>
    </w:p>
    <w:p w14:paraId="539C3A86" w14:textId="7955AD52" w:rsidR="00130131" w:rsidRPr="0017633D" w:rsidRDefault="00330336" w:rsidP="0017633D">
      <w:pPr>
        <w:spacing w:line="360" w:lineRule="auto"/>
        <w:jc w:val="both"/>
        <w:rPr>
          <w:rFonts w:ascii="Arial" w:hAnsi="Arial" w:cs="Arial"/>
        </w:rPr>
      </w:pPr>
      <w:r w:rsidRPr="0017633D">
        <w:rPr>
          <w:rFonts w:ascii="Arial" w:hAnsi="Arial" w:cs="Arial"/>
        </w:rPr>
        <w:t xml:space="preserve">Kidger, J., Graham, B., Robinson, H. and </w:t>
      </w:r>
      <w:proofErr w:type="spellStart"/>
      <w:r w:rsidRPr="0017633D">
        <w:rPr>
          <w:rFonts w:ascii="Arial" w:hAnsi="Arial" w:cs="Arial"/>
        </w:rPr>
        <w:t>Fatania</w:t>
      </w:r>
      <w:proofErr w:type="spellEnd"/>
      <w:r w:rsidRPr="0017633D">
        <w:rPr>
          <w:rFonts w:ascii="Arial" w:hAnsi="Arial" w:cs="Arial"/>
        </w:rPr>
        <w:t xml:space="preserve">, C., </w:t>
      </w:r>
      <w:r w:rsidR="00130131" w:rsidRPr="0017633D">
        <w:rPr>
          <w:rFonts w:ascii="Arial" w:hAnsi="Arial" w:cs="Arial"/>
        </w:rPr>
        <w:t xml:space="preserve">(2025) </w:t>
      </w:r>
      <w:r w:rsidRPr="0017633D">
        <w:rPr>
          <w:rFonts w:ascii="Arial" w:hAnsi="Arial" w:cs="Arial"/>
        </w:rPr>
        <w:t>‘</w:t>
      </w:r>
      <w:r w:rsidR="00130131" w:rsidRPr="0017633D">
        <w:rPr>
          <w:rFonts w:ascii="Arial" w:hAnsi="Arial" w:cs="Arial"/>
        </w:rPr>
        <w:t>A qualitative evaluation of a partnership between a local authority and community organisations to improve mental health and wellbeing</w:t>
      </w:r>
      <w:r w:rsidR="00360B88" w:rsidRPr="0017633D">
        <w:rPr>
          <w:rFonts w:ascii="Arial" w:hAnsi="Arial" w:cs="Arial"/>
        </w:rPr>
        <w:t>’,</w:t>
      </w:r>
      <w:r w:rsidR="00130131" w:rsidRPr="0017633D">
        <w:rPr>
          <w:rFonts w:ascii="Arial" w:hAnsi="Arial" w:cs="Arial"/>
        </w:rPr>
        <w:t> </w:t>
      </w:r>
      <w:r w:rsidR="00130131" w:rsidRPr="0017633D">
        <w:rPr>
          <w:rFonts w:ascii="Arial" w:hAnsi="Arial" w:cs="Arial"/>
          <w:i/>
          <w:iCs/>
        </w:rPr>
        <w:t>Discover Public Health</w:t>
      </w:r>
      <w:r w:rsidR="00130131" w:rsidRPr="0017633D">
        <w:rPr>
          <w:rFonts w:ascii="Arial" w:hAnsi="Arial" w:cs="Arial"/>
        </w:rPr>
        <w:t xml:space="preserve">, 22(1). Available at: </w:t>
      </w:r>
      <w:hyperlink r:id="rId26" w:history="1">
        <w:r w:rsidR="00130131" w:rsidRPr="0017633D">
          <w:rPr>
            <w:rStyle w:val="Hyperlink"/>
            <w:rFonts w:ascii="Arial" w:hAnsi="Arial" w:cs="Arial"/>
          </w:rPr>
          <w:t>https://doi.org/10.1186/s12982-025-00875-1</w:t>
        </w:r>
      </w:hyperlink>
    </w:p>
    <w:p w14:paraId="1924259D" w14:textId="61D4640E" w:rsidR="00075F02" w:rsidRPr="0017633D" w:rsidRDefault="00075F02" w:rsidP="0017633D">
      <w:pPr>
        <w:spacing w:line="360" w:lineRule="auto"/>
        <w:jc w:val="both"/>
        <w:rPr>
          <w:rFonts w:ascii="Arial" w:hAnsi="Arial" w:cs="Arial"/>
        </w:rPr>
      </w:pPr>
      <w:r w:rsidRPr="0017633D">
        <w:rPr>
          <w:rFonts w:ascii="Arial" w:hAnsi="Arial" w:cs="Arial"/>
        </w:rPr>
        <w:t>Koh, G.A. and Askell</w:t>
      </w:r>
      <w:r w:rsidRPr="0017633D">
        <w:rPr>
          <w:rFonts w:ascii="Cambria Math" w:hAnsi="Cambria Math" w:cs="Cambria Math"/>
        </w:rPr>
        <w:t>‐</w:t>
      </w:r>
      <w:r w:rsidRPr="0017633D">
        <w:rPr>
          <w:rFonts w:ascii="Arial" w:hAnsi="Arial" w:cs="Arial"/>
        </w:rPr>
        <w:t xml:space="preserve">Williams, H. (2021) </w:t>
      </w:r>
      <w:r w:rsidR="00B97C37" w:rsidRPr="0017633D">
        <w:rPr>
          <w:rFonts w:ascii="Arial" w:hAnsi="Arial" w:cs="Arial"/>
        </w:rPr>
        <w:t>‘</w:t>
      </w:r>
      <w:r w:rsidRPr="0017633D">
        <w:rPr>
          <w:rFonts w:ascii="Arial" w:hAnsi="Arial" w:cs="Arial"/>
        </w:rPr>
        <w:t>Sustainable school</w:t>
      </w:r>
      <w:r w:rsidRPr="0017633D">
        <w:rPr>
          <w:rFonts w:ascii="Cambria Math" w:hAnsi="Cambria Math" w:cs="Cambria Math"/>
        </w:rPr>
        <w:t>‐</w:t>
      </w:r>
      <w:r w:rsidRPr="0017633D">
        <w:rPr>
          <w:rFonts w:ascii="Arial" w:hAnsi="Arial" w:cs="Arial"/>
        </w:rPr>
        <w:t>improvement in complex adaptive systems: A scoping review,</w:t>
      </w:r>
      <w:r w:rsidR="00B97C37" w:rsidRPr="0017633D">
        <w:rPr>
          <w:rFonts w:ascii="Arial" w:hAnsi="Arial" w:cs="Arial"/>
        </w:rPr>
        <w:t>’</w:t>
      </w:r>
      <w:r w:rsidRPr="0017633D">
        <w:rPr>
          <w:rFonts w:ascii="Arial" w:hAnsi="Arial" w:cs="Arial"/>
        </w:rPr>
        <w:t> </w:t>
      </w:r>
      <w:r w:rsidRPr="0017633D">
        <w:rPr>
          <w:rFonts w:ascii="Arial" w:hAnsi="Arial" w:cs="Arial"/>
          <w:i/>
          <w:iCs/>
        </w:rPr>
        <w:t>Review of Education (Oxford)</w:t>
      </w:r>
      <w:r w:rsidRPr="0017633D">
        <w:rPr>
          <w:rFonts w:ascii="Arial" w:hAnsi="Arial" w:cs="Arial"/>
        </w:rPr>
        <w:t xml:space="preserve">, 9(1), pp. 281–314. Available at: </w:t>
      </w:r>
      <w:hyperlink r:id="rId27" w:history="1">
        <w:r w:rsidRPr="0017633D">
          <w:rPr>
            <w:rStyle w:val="Hyperlink"/>
            <w:rFonts w:ascii="Arial" w:hAnsi="Arial" w:cs="Arial"/>
          </w:rPr>
          <w:t>https://doi.org/10.1002/rev3.3246</w:t>
        </w:r>
      </w:hyperlink>
    </w:p>
    <w:p w14:paraId="62CDE3C3" w14:textId="44550752" w:rsidR="00360B88" w:rsidRPr="0017633D" w:rsidRDefault="00360B88" w:rsidP="0017633D">
      <w:pPr>
        <w:spacing w:line="360" w:lineRule="auto"/>
        <w:jc w:val="both"/>
        <w:rPr>
          <w:rFonts w:ascii="Arial" w:hAnsi="Arial" w:cs="Arial"/>
        </w:rPr>
      </w:pPr>
      <w:r w:rsidRPr="0017633D">
        <w:rPr>
          <w:rFonts w:ascii="Arial" w:hAnsi="Arial" w:cs="Arial"/>
        </w:rPr>
        <w:t xml:space="preserve">Kumar, D.V.N., Krishnaiah, C.V., </w:t>
      </w:r>
      <w:proofErr w:type="spellStart"/>
      <w:r w:rsidRPr="0017633D">
        <w:rPr>
          <w:rFonts w:ascii="Arial" w:hAnsi="Arial" w:cs="Arial"/>
        </w:rPr>
        <w:t>Seethamma</w:t>
      </w:r>
      <w:proofErr w:type="spellEnd"/>
      <w:r w:rsidRPr="0017633D">
        <w:rPr>
          <w:rFonts w:ascii="Arial" w:hAnsi="Arial" w:cs="Arial"/>
        </w:rPr>
        <w:t xml:space="preserve">, G., Rajasekar, G., Reddy, C.N. and </w:t>
      </w:r>
      <w:proofErr w:type="spellStart"/>
      <w:r w:rsidRPr="0017633D">
        <w:rPr>
          <w:rFonts w:ascii="Arial" w:hAnsi="Arial" w:cs="Arial"/>
        </w:rPr>
        <w:t>Srineetha</w:t>
      </w:r>
      <w:proofErr w:type="spellEnd"/>
      <w:r w:rsidRPr="0017633D">
        <w:rPr>
          <w:rFonts w:ascii="Arial" w:hAnsi="Arial" w:cs="Arial"/>
        </w:rPr>
        <w:t>, U.</w:t>
      </w:r>
      <w:r w:rsidR="006D31CA" w:rsidRPr="0017633D">
        <w:rPr>
          <w:rFonts w:ascii="Arial" w:hAnsi="Arial" w:cs="Arial"/>
        </w:rPr>
        <w:t xml:space="preserve"> </w:t>
      </w:r>
      <w:r w:rsidRPr="0017633D">
        <w:rPr>
          <w:rFonts w:ascii="Arial" w:hAnsi="Arial" w:cs="Arial"/>
        </w:rPr>
        <w:t>(2024). ‘Impact of climate change on vector-borne diseases and public health: A review’. </w:t>
      </w:r>
      <w:r w:rsidRPr="0017633D">
        <w:rPr>
          <w:rFonts w:ascii="Arial" w:hAnsi="Arial" w:cs="Arial"/>
          <w:i/>
          <w:iCs/>
        </w:rPr>
        <w:t>Uttar Pradesh Journal of Zoology</w:t>
      </w:r>
      <w:r w:rsidRPr="0017633D">
        <w:rPr>
          <w:rFonts w:ascii="Arial" w:hAnsi="Arial" w:cs="Arial"/>
        </w:rPr>
        <w:t>, </w:t>
      </w:r>
      <w:r w:rsidRPr="0017633D">
        <w:rPr>
          <w:rFonts w:ascii="Arial" w:hAnsi="Arial" w:cs="Arial"/>
          <w:i/>
          <w:iCs/>
        </w:rPr>
        <w:t>45</w:t>
      </w:r>
      <w:r w:rsidRPr="0017633D">
        <w:rPr>
          <w:rFonts w:ascii="Arial" w:hAnsi="Arial" w:cs="Arial"/>
        </w:rPr>
        <w:t xml:space="preserve">(1), pp.18-26. Available at: </w:t>
      </w:r>
      <w:hyperlink r:id="rId28" w:history="1">
        <w:r w:rsidRPr="0017633D">
          <w:rPr>
            <w:rStyle w:val="Hyperlink"/>
            <w:rFonts w:ascii="Arial" w:hAnsi="Arial" w:cs="Arial"/>
          </w:rPr>
          <w:t>https://doi.org/10.56557/upjoz/2024/v45i13850</w:t>
        </w:r>
      </w:hyperlink>
      <w:r w:rsidRPr="0017633D">
        <w:rPr>
          <w:rFonts w:ascii="Arial" w:hAnsi="Arial" w:cs="Arial"/>
        </w:rPr>
        <w:t xml:space="preserve"> </w:t>
      </w:r>
    </w:p>
    <w:p w14:paraId="381742E9" w14:textId="07EAA127" w:rsidR="002D40A2" w:rsidRPr="0017633D" w:rsidRDefault="005675F7" w:rsidP="0017633D">
      <w:pPr>
        <w:spacing w:line="360" w:lineRule="auto"/>
        <w:jc w:val="both"/>
        <w:rPr>
          <w:rFonts w:ascii="Arial" w:hAnsi="Arial" w:cs="Arial"/>
        </w:rPr>
      </w:pPr>
      <w:r w:rsidRPr="0017633D">
        <w:rPr>
          <w:rFonts w:ascii="Arial" w:hAnsi="Arial" w:cs="Arial"/>
        </w:rPr>
        <w:t xml:space="preserve">Mabhaudhi, T., Nhamo, L., </w:t>
      </w:r>
      <w:proofErr w:type="spellStart"/>
      <w:r w:rsidRPr="0017633D">
        <w:rPr>
          <w:rFonts w:ascii="Arial" w:hAnsi="Arial" w:cs="Arial"/>
        </w:rPr>
        <w:t>Chibarabada</w:t>
      </w:r>
      <w:proofErr w:type="spellEnd"/>
      <w:r w:rsidRPr="0017633D">
        <w:rPr>
          <w:rFonts w:ascii="Arial" w:hAnsi="Arial" w:cs="Arial"/>
        </w:rPr>
        <w:t xml:space="preserve">, T.P., Mabaya, G., </w:t>
      </w:r>
      <w:proofErr w:type="spellStart"/>
      <w:r w:rsidRPr="0017633D">
        <w:rPr>
          <w:rFonts w:ascii="Arial" w:hAnsi="Arial" w:cs="Arial"/>
        </w:rPr>
        <w:t>Mpandeli</w:t>
      </w:r>
      <w:proofErr w:type="spellEnd"/>
      <w:r w:rsidRPr="0017633D">
        <w:rPr>
          <w:rFonts w:ascii="Arial" w:hAnsi="Arial" w:cs="Arial"/>
        </w:rPr>
        <w:t xml:space="preserve">, S., </w:t>
      </w:r>
      <w:proofErr w:type="spellStart"/>
      <w:r w:rsidRPr="0017633D">
        <w:rPr>
          <w:rFonts w:ascii="Arial" w:hAnsi="Arial" w:cs="Arial"/>
        </w:rPr>
        <w:t>Liphadzi</w:t>
      </w:r>
      <w:proofErr w:type="spellEnd"/>
      <w:r w:rsidRPr="0017633D">
        <w:rPr>
          <w:rFonts w:ascii="Arial" w:hAnsi="Arial" w:cs="Arial"/>
        </w:rPr>
        <w:t xml:space="preserve">, S., </w:t>
      </w:r>
      <w:proofErr w:type="spellStart"/>
      <w:r w:rsidRPr="0017633D">
        <w:rPr>
          <w:rFonts w:ascii="Arial" w:hAnsi="Arial" w:cs="Arial"/>
        </w:rPr>
        <w:t>Senzanje</w:t>
      </w:r>
      <w:proofErr w:type="spellEnd"/>
      <w:r w:rsidRPr="0017633D">
        <w:rPr>
          <w:rFonts w:ascii="Arial" w:hAnsi="Arial" w:cs="Arial"/>
        </w:rPr>
        <w:t xml:space="preserve">, A., Naidoo, D., Modi, A.T. and </w:t>
      </w:r>
      <w:proofErr w:type="spellStart"/>
      <w:r w:rsidRPr="0017633D">
        <w:rPr>
          <w:rFonts w:ascii="Arial" w:hAnsi="Arial" w:cs="Arial"/>
        </w:rPr>
        <w:t>Chivenge</w:t>
      </w:r>
      <w:proofErr w:type="spellEnd"/>
      <w:r w:rsidRPr="0017633D">
        <w:rPr>
          <w:rFonts w:ascii="Arial" w:hAnsi="Arial" w:cs="Arial"/>
        </w:rPr>
        <w:t xml:space="preserve">, P.P. </w:t>
      </w:r>
      <w:r w:rsidR="002D40A2" w:rsidRPr="0017633D">
        <w:rPr>
          <w:rFonts w:ascii="Arial" w:hAnsi="Arial" w:cs="Arial"/>
        </w:rPr>
        <w:t xml:space="preserve">(2021) </w:t>
      </w:r>
      <w:r w:rsidR="00B97C37" w:rsidRPr="0017633D">
        <w:rPr>
          <w:rFonts w:ascii="Arial" w:hAnsi="Arial" w:cs="Arial"/>
        </w:rPr>
        <w:t>‘</w:t>
      </w:r>
      <w:r w:rsidR="002D40A2" w:rsidRPr="0017633D">
        <w:rPr>
          <w:rFonts w:ascii="Arial" w:hAnsi="Arial" w:cs="Arial"/>
        </w:rPr>
        <w:t>Assessing Progress towards Sustainable Development Goals through Nexus Planning,</w:t>
      </w:r>
      <w:r w:rsidR="00B97C37" w:rsidRPr="0017633D">
        <w:rPr>
          <w:rFonts w:ascii="Arial" w:hAnsi="Arial" w:cs="Arial"/>
        </w:rPr>
        <w:t>’</w:t>
      </w:r>
      <w:r w:rsidR="002D40A2" w:rsidRPr="0017633D">
        <w:rPr>
          <w:rFonts w:ascii="Arial" w:hAnsi="Arial" w:cs="Arial"/>
        </w:rPr>
        <w:t> </w:t>
      </w:r>
      <w:r w:rsidR="002D40A2" w:rsidRPr="0017633D">
        <w:rPr>
          <w:rFonts w:ascii="Arial" w:hAnsi="Arial" w:cs="Arial"/>
          <w:i/>
          <w:iCs/>
        </w:rPr>
        <w:t>Water (Basel)</w:t>
      </w:r>
      <w:r w:rsidR="002D40A2" w:rsidRPr="0017633D">
        <w:rPr>
          <w:rFonts w:ascii="Arial" w:hAnsi="Arial" w:cs="Arial"/>
        </w:rPr>
        <w:t xml:space="preserve">, 13(9), p. 1321. Available at: </w:t>
      </w:r>
      <w:hyperlink r:id="rId29" w:history="1">
        <w:r w:rsidR="002D40A2" w:rsidRPr="0017633D">
          <w:rPr>
            <w:rStyle w:val="Hyperlink"/>
            <w:rFonts w:ascii="Arial" w:hAnsi="Arial" w:cs="Arial"/>
          </w:rPr>
          <w:t>https://doi.org/10.3390/w13091321</w:t>
        </w:r>
      </w:hyperlink>
    </w:p>
    <w:p w14:paraId="514F4087" w14:textId="01247B50" w:rsidR="002701E7" w:rsidRPr="0017633D" w:rsidRDefault="002701E7" w:rsidP="0017633D">
      <w:pPr>
        <w:spacing w:line="360" w:lineRule="auto"/>
        <w:jc w:val="both"/>
        <w:rPr>
          <w:rFonts w:ascii="Arial" w:hAnsi="Arial" w:cs="Arial"/>
        </w:rPr>
      </w:pPr>
      <w:r w:rsidRPr="0017633D">
        <w:rPr>
          <w:rFonts w:ascii="Arial" w:hAnsi="Arial" w:cs="Arial"/>
        </w:rPr>
        <w:t>Martin, G.</w:t>
      </w:r>
      <w:r w:rsidR="00BF42DF">
        <w:rPr>
          <w:rFonts w:ascii="Arial" w:hAnsi="Arial" w:cs="Arial"/>
        </w:rPr>
        <w:t xml:space="preserve"> and Dixon-Woods, M.</w:t>
      </w:r>
      <w:r w:rsidRPr="0017633D">
        <w:rPr>
          <w:rFonts w:ascii="Arial" w:hAnsi="Arial" w:cs="Arial"/>
        </w:rPr>
        <w:t xml:space="preserve"> (2022)</w:t>
      </w:r>
      <w:r w:rsidR="00C92342" w:rsidRPr="0017633D">
        <w:rPr>
          <w:rFonts w:ascii="Arial" w:hAnsi="Arial" w:cs="Arial"/>
        </w:rPr>
        <w:t xml:space="preserve">. </w:t>
      </w:r>
      <w:r w:rsidRPr="0017633D">
        <w:rPr>
          <w:rFonts w:ascii="Arial" w:hAnsi="Arial" w:cs="Arial"/>
          <w:i/>
          <w:iCs/>
        </w:rPr>
        <w:t>Collaboration-Based Approaches</w:t>
      </w:r>
      <w:r w:rsidRPr="0017633D">
        <w:rPr>
          <w:rFonts w:ascii="Arial" w:hAnsi="Arial" w:cs="Arial"/>
        </w:rPr>
        <w:t>, </w:t>
      </w:r>
      <w:r w:rsidRPr="0017633D">
        <w:rPr>
          <w:rFonts w:ascii="Arial" w:hAnsi="Arial" w:cs="Arial"/>
          <w:i/>
          <w:iCs/>
        </w:rPr>
        <w:t>Cambridge University Press eBooks</w:t>
      </w:r>
      <w:r w:rsidRPr="0017633D">
        <w:rPr>
          <w:rFonts w:ascii="Arial" w:hAnsi="Arial" w:cs="Arial"/>
        </w:rPr>
        <w:t xml:space="preserve">. Cambridge University Press. Available at: </w:t>
      </w:r>
      <w:hyperlink r:id="rId30" w:history="1">
        <w:r w:rsidRPr="0017633D">
          <w:rPr>
            <w:rStyle w:val="Hyperlink"/>
            <w:rFonts w:ascii="Arial" w:hAnsi="Arial" w:cs="Arial"/>
          </w:rPr>
          <w:t>https://doi.org/10.1017/9781009236867</w:t>
        </w:r>
      </w:hyperlink>
      <w:r w:rsidRPr="0017633D">
        <w:rPr>
          <w:rFonts w:ascii="Arial" w:hAnsi="Arial" w:cs="Arial"/>
        </w:rPr>
        <w:t>.</w:t>
      </w:r>
    </w:p>
    <w:p w14:paraId="364347E5" w14:textId="35866626" w:rsidR="00746340" w:rsidRPr="0017633D" w:rsidRDefault="005675F7" w:rsidP="0017633D">
      <w:pPr>
        <w:spacing w:line="360" w:lineRule="auto"/>
        <w:jc w:val="both"/>
        <w:rPr>
          <w:rFonts w:ascii="Arial" w:hAnsi="Arial" w:cs="Arial"/>
        </w:rPr>
      </w:pPr>
      <w:proofErr w:type="spellStart"/>
      <w:r w:rsidRPr="0017633D">
        <w:rPr>
          <w:rFonts w:ascii="Arial" w:hAnsi="Arial" w:cs="Arial"/>
        </w:rPr>
        <w:lastRenderedPageBreak/>
        <w:t>Mascayano</w:t>
      </w:r>
      <w:proofErr w:type="spellEnd"/>
      <w:r w:rsidRPr="0017633D">
        <w:rPr>
          <w:rFonts w:ascii="Arial" w:hAnsi="Arial" w:cs="Arial"/>
        </w:rPr>
        <w:t xml:space="preserve">, F., Van der Ven, E., Moro, M.F., Schilling, S., Alarcón, S., Al Barathie, J., Alnasser, L., </w:t>
      </w:r>
      <w:proofErr w:type="spellStart"/>
      <w:r w:rsidRPr="0017633D">
        <w:rPr>
          <w:rFonts w:ascii="Arial" w:hAnsi="Arial" w:cs="Arial"/>
        </w:rPr>
        <w:t>Asaoka</w:t>
      </w:r>
      <w:proofErr w:type="spellEnd"/>
      <w:r w:rsidRPr="0017633D">
        <w:rPr>
          <w:rFonts w:ascii="Arial" w:hAnsi="Arial" w:cs="Arial"/>
        </w:rPr>
        <w:t xml:space="preserve">, H., Ayinde, O., </w:t>
      </w:r>
      <w:proofErr w:type="spellStart"/>
      <w:r w:rsidRPr="0017633D">
        <w:rPr>
          <w:rFonts w:ascii="Arial" w:hAnsi="Arial" w:cs="Arial"/>
        </w:rPr>
        <w:t>Balalian</w:t>
      </w:r>
      <w:proofErr w:type="spellEnd"/>
      <w:r w:rsidRPr="0017633D">
        <w:rPr>
          <w:rFonts w:ascii="Arial" w:hAnsi="Arial" w:cs="Arial"/>
        </w:rPr>
        <w:t xml:space="preserve">, A.A. and </w:t>
      </w:r>
      <w:proofErr w:type="spellStart"/>
      <w:r w:rsidRPr="0017633D">
        <w:rPr>
          <w:rFonts w:ascii="Arial" w:hAnsi="Arial" w:cs="Arial"/>
        </w:rPr>
        <w:t>Basagoitia</w:t>
      </w:r>
      <w:proofErr w:type="spellEnd"/>
      <w:r w:rsidRPr="0017633D">
        <w:rPr>
          <w:rFonts w:ascii="Arial" w:hAnsi="Arial" w:cs="Arial"/>
        </w:rPr>
        <w:t>, A.</w:t>
      </w:r>
      <w:r w:rsidR="00746340" w:rsidRPr="0017633D">
        <w:rPr>
          <w:rFonts w:ascii="Arial" w:hAnsi="Arial" w:cs="Arial"/>
        </w:rPr>
        <w:t xml:space="preserve"> (2022) </w:t>
      </w:r>
      <w:r w:rsidR="00B97C37" w:rsidRPr="0017633D">
        <w:rPr>
          <w:rFonts w:ascii="Arial" w:hAnsi="Arial" w:cs="Arial"/>
        </w:rPr>
        <w:t>‘</w:t>
      </w:r>
      <w:r w:rsidR="00746340" w:rsidRPr="0017633D">
        <w:rPr>
          <w:rFonts w:ascii="Arial" w:hAnsi="Arial" w:cs="Arial"/>
        </w:rPr>
        <w:t>The impact of the COVID-19 pandemic on the mental health of healthcare workers: study protocol for the COVID-19 Health Care Workers (HEROES) study,</w:t>
      </w:r>
      <w:r w:rsidR="00B97C37" w:rsidRPr="0017633D">
        <w:rPr>
          <w:rFonts w:ascii="Arial" w:hAnsi="Arial" w:cs="Arial"/>
        </w:rPr>
        <w:t>’</w:t>
      </w:r>
      <w:r w:rsidR="00746340" w:rsidRPr="0017633D">
        <w:rPr>
          <w:rFonts w:ascii="Arial" w:hAnsi="Arial" w:cs="Arial"/>
        </w:rPr>
        <w:t> </w:t>
      </w:r>
      <w:r w:rsidR="00746340" w:rsidRPr="0017633D">
        <w:rPr>
          <w:rFonts w:ascii="Arial" w:hAnsi="Arial" w:cs="Arial"/>
          <w:i/>
          <w:iCs/>
        </w:rPr>
        <w:t>Social Psychiatry and Psychiatric Epidemiology</w:t>
      </w:r>
      <w:r w:rsidR="00746340" w:rsidRPr="0017633D">
        <w:rPr>
          <w:rFonts w:ascii="Arial" w:hAnsi="Arial" w:cs="Arial"/>
        </w:rPr>
        <w:t xml:space="preserve">, 57(3), pp. 633–645. Available at: </w:t>
      </w:r>
      <w:hyperlink r:id="rId31" w:history="1">
        <w:r w:rsidR="00746340" w:rsidRPr="0017633D">
          <w:rPr>
            <w:rStyle w:val="Hyperlink"/>
            <w:rFonts w:ascii="Arial" w:hAnsi="Arial" w:cs="Arial"/>
          </w:rPr>
          <w:t>https://doi.org/10.1007/s00127-021-02211-9</w:t>
        </w:r>
      </w:hyperlink>
      <w:r w:rsidR="00746340" w:rsidRPr="0017633D">
        <w:rPr>
          <w:rFonts w:ascii="Arial" w:hAnsi="Arial" w:cs="Arial"/>
        </w:rPr>
        <w:t xml:space="preserve"> </w:t>
      </w:r>
    </w:p>
    <w:p w14:paraId="7453E4D3" w14:textId="53FFF3EE" w:rsidR="002C5874" w:rsidRPr="0017633D" w:rsidRDefault="005675F7" w:rsidP="0017633D">
      <w:pPr>
        <w:spacing w:line="360" w:lineRule="auto"/>
        <w:jc w:val="both"/>
        <w:rPr>
          <w:rFonts w:ascii="Arial" w:hAnsi="Arial" w:cs="Arial"/>
        </w:rPr>
      </w:pPr>
      <w:r w:rsidRPr="0017633D">
        <w:rPr>
          <w:rFonts w:ascii="Arial" w:hAnsi="Arial" w:cs="Arial"/>
        </w:rPr>
        <w:t xml:space="preserve"> M</w:t>
      </w:r>
      <w:r w:rsidR="0055120E" w:rsidRPr="0017633D">
        <w:rPr>
          <w:rFonts w:ascii="Arial" w:hAnsi="Arial" w:cs="Arial"/>
        </w:rPr>
        <w:t>eca</w:t>
      </w:r>
      <w:r w:rsidRPr="0017633D">
        <w:rPr>
          <w:rFonts w:ascii="Arial" w:hAnsi="Arial" w:cs="Arial"/>
        </w:rPr>
        <w:t>,</w:t>
      </w:r>
      <w:r w:rsidR="0055120E" w:rsidRPr="0017633D">
        <w:rPr>
          <w:rFonts w:ascii="Arial" w:hAnsi="Arial" w:cs="Arial"/>
        </w:rPr>
        <w:t xml:space="preserve"> A.,</w:t>
      </w:r>
      <w:r w:rsidRPr="0017633D">
        <w:rPr>
          <w:rFonts w:ascii="Arial" w:hAnsi="Arial" w:cs="Arial"/>
        </w:rPr>
        <w:t xml:space="preserve"> Laura, Z.M., Antohi, V. and </w:t>
      </w:r>
      <w:proofErr w:type="spellStart"/>
      <w:r w:rsidRPr="0017633D">
        <w:rPr>
          <w:rFonts w:ascii="Arial" w:hAnsi="Arial" w:cs="Arial"/>
        </w:rPr>
        <w:t>Fortea</w:t>
      </w:r>
      <w:proofErr w:type="spellEnd"/>
      <w:r w:rsidRPr="0017633D">
        <w:rPr>
          <w:rFonts w:ascii="Arial" w:hAnsi="Arial" w:cs="Arial"/>
        </w:rPr>
        <w:t xml:space="preserve">, C. </w:t>
      </w:r>
      <w:r w:rsidR="002C5874" w:rsidRPr="0017633D">
        <w:rPr>
          <w:rFonts w:ascii="Arial" w:hAnsi="Arial" w:cs="Arial"/>
        </w:rPr>
        <w:t xml:space="preserve">(2025) </w:t>
      </w:r>
      <w:r w:rsidR="00B97C37" w:rsidRPr="0017633D">
        <w:rPr>
          <w:rFonts w:ascii="Arial" w:hAnsi="Arial" w:cs="Arial"/>
        </w:rPr>
        <w:t>‘</w:t>
      </w:r>
      <w:r w:rsidR="002C5874" w:rsidRPr="0017633D">
        <w:rPr>
          <w:rFonts w:ascii="Arial" w:hAnsi="Arial" w:cs="Arial"/>
        </w:rPr>
        <w:t>A</w:t>
      </w:r>
      <w:r w:rsidR="00C92342" w:rsidRPr="0017633D">
        <w:rPr>
          <w:rFonts w:ascii="Arial" w:hAnsi="Arial" w:cs="Arial"/>
        </w:rPr>
        <w:t>ssessing</w:t>
      </w:r>
      <w:r w:rsidR="002C5874" w:rsidRPr="0017633D">
        <w:rPr>
          <w:rFonts w:ascii="Arial" w:hAnsi="Arial" w:cs="Arial"/>
        </w:rPr>
        <w:t xml:space="preserve"> </w:t>
      </w:r>
      <w:r w:rsidR="00C92342" w:rsidRPr="0017633D">
        <w:rPr>
          <w:rFonts w:ascii="Arial" w:hAnsi="Arial" w:cs="Arial"/>
        </w:rPr>
        <w:t>the Impact of Social Welfare on Income Inequality and Sustainable Economic Development in the European Union’</w:t>
      </w:r>
      <w:r w:rsidR="002C5874" w:rsidRPr="0017633D">
        <w:rPr>
          <w:rFonts w:ascii="Arial" w:hAnsi="Arial" w:cs="Arial"/>
        </w:rPr>
        <w:t>,</w:t>
      </w:r>
      <w:r w:rsidR="00C92342" w:rsidRPr="0017633D">
        <w:rPr>
          <w:rFonts w:ascii="Arial" w:hAnsi="Arial" w:cs="Arial"/>
        </w:rPr>
        <w:t xml:space="preserve"> </w:t>
      </w:r>
      <w:proofErr w:type="spellStart"/>
      <w:r w:rsidR="002C5874" w:rsidRPr="0017633D">
        <w:rPr>
          <w:rFonts w:ascii="Arial" w:hAnsi="Arial" w:cs="Arial"/>
          <w:i/>
          <w:iCs/>
        </w:rPr>
        <w:t>Analele</w:t>
      </w:r>
      <w:proofErr w:type="spellEnd"/>
      <w:r w:rsidR="002C5874" w:rsidRPr="0017633D">
        <w:rPr>
          <w:rFonts w:ascii="Arial" w:hAnsi="Arial" w:cs="Arial"/>
          <w:i/>
          <w:iCs/>
        </w:rPr>
        <w:t xml:space="preserve"> </w:t>
      </w:r>
      <w:proofErr w:type="spellStart"/>
      <w:r w:rsidR="002C5874" w:rsidRPr="0017633D">
        <w:rPr>
          <w:rFonts w:ascii="Arial" w:hAnsi="Arial" w:cs="Arial"/>
          <w:i/>
          <w:iCs/>
        </w:rPr>
        <w:t>Universităţii</w:t>
      </w:r>
      <w:proofErr w:type="spellEnd"/>
      <w:r w:rsidR="002C5874" w:rsidRPr="0017633D">
        <w:rPr>
          <w:rFonts w:ascii="Arial" w:hAnsi="Arial" w:cs="Arial"/>
          <w:i/>
          <w:iCs/>
        </w:rPr>
        <w:t xml:space="preserve"> Constantin </w:t>
      </w:r>
      <w:proofErr w:type="spellStart"/>
      <w:r w:rsidR="002C5874" w:rsidRPr="0017633D">
        <w:rPr>
          <w:rFonts w:ascii="Arial" w:hAnsi="Arial" w:cs="Arial"/>
          <w:i/>
          <w:iCs/>
        </w:rPr>
        <w:t>Brâncuşi</w:t>
      </w:r>
      <w:proofErr w:type="spellEnd"/>
      <w:r w:rsidR="002C5874" w:rsidRPr="0017633D">
        <w:rPr>
          <w:rFonts w:ascii="Arial" w:hAnsi="Arial" w:cs="Arial"/>
          <w:i/>
          <w:iCs/>
        </w:rPr>
        <w:t xml:space="preserve"> din Târgu Jiu. Seria </w:t>
      </w:r>
      <w:proofErr w:type="spellStart"/>
      <w:r w:rsidR="002C5874" w:rsidRPr="0017633D">
        <w:rPr>
          <w:rFonts w:ascii="Arial" w:hAnsi="Arial" w:cs="Arial"/>
          <w:i/>
          <w:iCs/>
        </w:rPr>
        <w:t>Economie</w:t>
      </w:r>
      <w:proofErr w:type="spellEnd"/>
      <w:r w:rsidR="002C5874" w:rsidRPr="0017633D">
        <w:rPr>
          <w:rFonts w:ascii="Arial" w:hAnsi="Arial" w:cs="Arial"/>
        </w:rPr>
        <w:t xml:space="preserve">, 1(2), pp. 261–276. </w:t>
      </w:r>
    </w:p>
    <w:p w14:paraId="4F9D7D61" w14:textId="09F820E4" w:rsidR="001E5803" w:rsidRPr="0017633D" w:rsidRDefault="001E5803" w:rsidP="0017633D">
      <w:pPr>
        <w:spacing w:line="360" w:lineRule="auto"/>
        <w:jc w:val="both"/>
        <w:rPr>
          <w:rFonts w:ascii="Arial" w:hAnsi="Arial" w:cs="Arial"/>
        </w:rPr>
      </w:pPr>
      <w:r w:rsidRPr="0017633D">
        <w:rPr>
          <w:rFonts w:ascii="Arial" w:hAnsi="Arial" w:cs="Arial"/>
        </w:rPr>
        <w:t xml:space="preserve">Michel, S., Banwell, N. and Senn, N. (2024) </w:t>
      </w:r>
      <w:r w:rsidR="00B97C37" w:rsidRPr="0017633D">
        <w:rPr>
          <w:rFonts w:ascii="Arial" w:hAnsi="Arial" w:cs="Arial"/>
        </w:rPr>
        <w:t>‘</w:t>
      </w:r>
      <w:r w:rsidRPr="0017633D">
        <w:rPr>
          <w:rFonts w:ascii="Arial" w:hAnsi="Arial" w:cs="Arial"/>
        </w:rPr>
        <w:t>Mobility Infrastructures and Health: Scoping Review of studies in Europe,</w:t>
      </w:r>
      <w:r w:rsidR="00B97C37" w:rsidRPr="0017633D">
        <w:rPr>
          <w:rFonts w:ascii="Arial" w:hAnsi="Arial" w:cs="Arial"/>
        </w:rPr>
        <w:t>’</w:t>
      </w:r>
      <w:r w:rsidRPr="0017633D">
        <w:rPr>
          <w:rFonts w:ascii="Arial" w:hAnsi="Arial" w:cs="Arial"/>
        </w:rPr>
        <w:t> </w:t>
      </w:r>
      <w:r w:rsidRPr="0017633D">
        <w:rPr>
          <w:rFonts w:ascii="Arial" w:hAnsi="Arial" w:cs="Arial"/>
          <w:i/>
          <w:iCs/>
        </w:rPr>
        <w:t xml:space="preserve">Public </w:t>
      </w:r>
      <w:r w:rsidR="003C4C33" w:rsidRPr="0017633D">
        <w:rPr>
          <w:rFonts w:ascii="Arial" w:hAnsi="Arial" w:cs="Arial"/>
          <w:i/>
          <w:iCs/>
        </w:rPr>
        <w:t>Health Reviews</w:t>
      </w:r>
      <w:r w:rsidRPr="0017633D">
        <w:rPr>
          <w:rFonts w:ascii="Arial" w:hAnsi="Arial" w:cs="Arial"/>
        </w:rPr>
        <w:t xml:space="preserve">, 45, p. 1606862. Available at: </w:t>
      </w:r>
      <w:hyperlink r:id="rId32" w:history="1">
        <w:r w:rsidRPr="0017633D">
          <w:rPr>
            <w:rStyle w:val="Hyperlink"/>
            <w:rFonts w:ascii="Arial" w:hAnsi="Arial" w:cs="Arial"/>
          </w:rPr>
          <w:t>https://doi.org/10.3389/phrs.2024.1606862</w:t>
        </w:r>
      </w:hyperlink>
    </w:p>
    <w:p w14:paraId="3D6CF16D" w14:textId="52E078B0" w:rsidR="00B16402" w:rsidRPr="0017633D" w:rsidRDefault="00B16402" w:rsidP="0017633D">
      <w:pPr>
        <w:spacing w:line="360" w:lineRule="auto"/>
        <w:jc w:val="both"/>
        <w:rPr>
          <w:rFonts w:ascii="Arial" w:hAnsi="Arial" w:cs="Arial"/>
        </w:rPr>
      </w:pPr>
      <w:r w:rsidRPr="0017633D">
        <w:rPr>
          <w:rFonts w:ascii="Arial" w:hAnsi="Arial" w:cs="Arial"/>
        </w:rPr>
        <w:t>Mueller, N. (2025)</w:t>
      </w:r>
      <w:r w:rsidR="00B97C37" w:rsidRPr="0017633D">
        <w:rPr>
          <w:rFonts w:ascii="Arial" w:hAnsi="Arial" w:cs="Arial"/>
        </w:rPr>
        <w:t xml:space="preserve"> ‘</w:t>
      </w:r>
      <w:r w:rsidRPr="0017633D">
        <w:rPr>
          <w:rFonts w:ascii="Arial" w:hAnsi="Arial" w:cs="Arial"/>
        </w:rPr>
        <w:t>Health Impact Assessment (HIA) of urban and transport interventions,</w:t>
      </w:r>
      <w:r w:rsidR="00B97C37" w:rsidRPr="0017633D">
        <w:rPr>
          <w:rFonts w:ascii="Arial" w:hAnsi="Arial" w:cs="Arial"/>
        </w:rPr>
        <w:t>’</w:t>
      </w:r>
      <w:r w:rsidRPr="0017633D">
        <w:rPr>
          <w:rFonts w:ascii="Arial" w:hAnsi="Arial" w:cs="Arial"/>
        </w:rPr>
        <w:t> </w:t>
      </w:r>
      <w:r w:rsidRPr="0017633D">
        <w:rPr>
          <w:rFonts w:ascii="Arial" w:hAnsi="Arial" w:cs="Arial"/>
          <w:i/>
          <w:iCs/>
        </w:rPr>
        <w:t>European Journal of Public Health</w:t>
      </w:r>
      <w:r w:rsidRPr="0017633D">
        <w:rPr>
          <w:rFonts w:ascii="Arial" w:hAnsi="Arial" w:cs="Arial"/>
        </w:rPr>
        <w:t xml:space="preserve">, 35(Supplement_4). Available at: </w:t>
      </w:r>
      <w:hyperlink r:id="rId33" w:history="1">
        <w:r w:rsidRPr="0017633D">
          <w:rPr>
            <w:rStyle w:val="Hyperlink"/>
            <w:rFonts w:ascii="Arial" w:hAnsi="Arial" w:cs="Arial"/>
          </w:rPr>
          <w:t>https://doi.org/10.1093/eurpub/ckaf161.255</w:t>
        </w:r>
      </w:hyperlink>
    </w:p>
    <w:p w14:paraId="7FD7063B" w14:textId="3901C1E2" w:rsidR="001C2E55" w:rsidRPr="0017633D" w:rsidRDefault="001C2E55" w:rsidP="0017633D">
      <w:pPr>
        <w:spacing w:line="360" w:lineRule="auto"/>
        <w:jc w:val="both"/>
        <w:rPr>
          <w:rFonts w:ascii="Arial" w:hAnsi="Arial" w:cs="Arial"/>
        </w:rPr>
      </w:pPr>
      <w:r w:rsidRPr="0017633D">
        <w:rPr>
          <w:rFonts w:ascii="Arial" w:hAnsi="Arial" w:cs="Arial"/>
        </w:rPr>
        <w:t xml:space="preserve">Mulugeta Woldegiorgis, M. (2022) </w:t>
      </w:r>
      <w:r w:rsidR="00B97C37" w:rsidRPr="0017633D">
        <w:rPr>
          <w:rFonts w:ascii="Arial" w:hAnsi="Arial" w:cs="Arial"/>
        </w:rPr>
        <w:t>‘</w:t>
      </w:r>
      <w:r w:rsidRPr="0017633D">
        <w:rPr>
          <w:rFonts w:ascii="Arial" w:hAnsi="Arial" w:cs="Arial"/>
        </w:rPr>
        <w:t>Inequality, social protection policy, and inclusion: pertinent theories and empirical evidence,</w:t>
      </w:r>
      <w:r w:rsidR="00B97C37" w:rsidRPr="0017633D">
        <w:rPr>
          <w:rFonts w:ascii="Arial" w:hAnsi="Arial" w:cs="Arial"/>
        </w:rPr>
        <w:t>’</w:t>
      </w:r>
      <w:r w:rsidRPr="0017633D">
        <w:rPr>
          <w:rFonts w:ascii="Arial" w:hAnsi="Arial" w:cs="Arial"/>
        </w:rPr>
        <w:t> </w:t>
      </w:r>
      <w:r w:rsidRPr="0017633D">
        <w:rPr>
          <w:rFonts w:ascii="Arial" w:hAnsi="Arial" w:cs="Arial"/>
          <w:i/>
          <w:iCs/>
        </w:rPr>
        <w:t>Journal of Social and Economic Development</w:t>
      </w:r>
      <w:r w:rsidRPr="0017633D">
        <w:rPr>
          <w:rFonts w:ascii="Arial" w:hAnsi="Arial" w:cs="Arial"/>
        </w:rPr>
        <w:t xml:space="preserve">, 24(2), pp. 241–265. Available at: </w:t>
      </w:r>
      <w:hyperlink r:id="rId34" w:history="1">
        <w:r w:rsidRPr="0017633D">
          <w:rPr>
            <w:rStyle w:val="Hyperlink"/>
            <w:rFonts w:ascii="Arial" w:hAnsi="Arial" w:cs="Arial"/>
          </w:rPr>
          <w:t>https://doi.org/10.1007/s40847-022-00185-1</w:t>
        </w:r>
      </w:hyperlink>
      <w:r w:rsidRPr="0017633D">
        <w:rPr>
          <w:rFonts w:ascii="Arial" w:hAnsi="Arial" w:cs="Arial"/>
        </w:rPr>
        <w:t xml:space="preserve"> </w:t>
      </w:r>
    </w:p>
    <w:p w14:paraId="490FFC08" w14:textId="2547FE01" w:rsidR="006059D4" w:rsidRPr="0017633D" w:rsidRDefault="006059D4" w:rsidP="0017633D">
      <w:pPr>
        <w:spacing w:line="360" w:lineRule="auto"/>
        <w:jc w:val="both"/>
        <w:rPr>
          <w:rFonts w:ascii="Arial" w:hAnsi="Arial" w:cs="Arial"/>
        </w:rPr>
      </w:pPr>
      <w:r w:rsidRPr="0017633D">
        <w:rPr>
          <w:rFonts w:ascii="Arial" w:hAnsi="Arial" w:cs="Arial"/>
        </w:rPr>
        <w:t xml:space="preserve">Pérez-Stable, E.J. and Webb Hooper, M. (2023) </w:t>
      </w:r>
      <w:r w:rsidR="00B97C37" w:rsidRPr="0017633D">
        <w:rPr>
          <w:rFonts w:ascii="Arial" w:hAnsi="Arial" w:cs="Arial"/>
        </w:rPr>
        <w:t>‘</w:t>
      </w:r>
      <w:r w:rsidRPr="0017633D">
        <w:rPr>
          <w:rFonts w:ascii="Arial" w:hAnsi="Arial" w:cs="Arial"/>
        </w:rPr>
        <w:t>The Pillars of Health Disparities Science—Race, Ethnicity, and Socioeconomic Status,</w:t>
      </w:r>
      <w:r w:rsidR="00B97C37" w:rsidRPr="0017633D">
        <w:rPr>
          <w:rFonts w:ascii="Arial" w:hAnsi="Arial" w:cs="Arial"/>
        </w:rPr>
        <w:t>’</w:t>
      </w:r>
      <w:r w:rsidRPr="0017633D">
        <w:rPr>
          <w:rFonts w:ascii="Arial" w:hAnsi="Arial" w:cs="Arial"/>
        </w:rPr>
        <w:t> </w:t>
      </w:r>
      <w:r w:rsidRPr="0017633D">
        <w:rPr>
          <w:rFonts w:ascii="Arial" w:hAnsi="Arial" w:cs="Arial"/>
          <w:i/>
          <w:iCs/>
        </w:rPr>
        <w:t xml:space="preserve">JAMA </w:t>
      </w:r>
      <w:r w:rsidR="00984AAF" w:rsidRPr="0017633D">
        <w:rPr>
          <w:rFonts w:ascii="Arial" w:hAnsi="Arial" w:cs="Arial"/>
          <w:i/>
          <w:iCs/>
        </w:rPr>
        <w:t>H</w:t>
      </w:r>
      <w:r w:rsidRPr="0017633D">
        <w:rPr>
          <w:rFonts w:ascii="Arial" w:hAnsi="Arial" w:cs="Arial"/>
          <w:i/>
          <w:iCs/>
        </w:rPr>
        <w:t xml:space="preserve">ealth </w:t>
      </w:r>
      <w:r w:rsidR="00984AAF" w:rsidRPr="0017633D">
        <w:rPr>
          <w:rFonts w:ascii="Arial" w:hAnsi="Arial" w:cs="Arial"/>
          <w:i/>
          <w:iCs/>
        </w:rPr>
        <w:t>F</w:t>
      </w:r>
      <w:r w:rsidRPr="0017633D">
        <w:rPr>
          <w:rFonts w:ascii="Arial" w:hAnsi="Arial" w:cs="Arial"/>
          <w:i/>
          <w:iCs/>
        </w:rPr>
        <w:t>orum</w:t>
      </w:r>
      <w:r w:rsidRPr="0017633D">
        <w:rPr>
          <w:rFonts w:ascii="Arial" w:hAnsi="Arial" w:cs="Arial"/>
        </w:rPr>
        <w:t xml:space="preserve">, 4(12), p. e234463. Available at: </w:t>
      </w:r>
      <w:hyperlink r:id="rId35" w:history="1">
        <w:r w:rsidRPr="0017633D">
          <w:rPr>
            <w:rStyle w:val="Hyperlink"/>
            <w:rFonts w:ascii="Arial" w:hAnsi="Arial" w:cs="Arial"/>
          </w:rPr>
          <w:t>https://doi.org/10.1001/jamahealthforum.2023.4463</w:t>
        </w:r>
      </w:hyperlink>
      <w:r w:rsidRPr="0017633D">
        <w:rPr>
          <w:rFonts w:ascii="Arial" w:hAnsi="Arial" w:cs="Arial"/>
        </w:rPr>
        <w:t xml:space="preserve"> </w:t>
      </w:r>
    </w:p>
    <w:p w14:paraId="39FA06BD" w14:textId="0C3736D9" w:rsidR="001E7F21" w:rsidRPr="0017633D" w:rsidRDefault="005675F7" w:rsidP="0017633D">
      <w:pPr>
        <w:spacing w:line="360" w:lineRule="auto"/>
        <w:jc w:val="both"/>
        <w:rPr>
          <w:rFonts w:ascii="Arial" w:hAnsi="Arial" w:cs="Arial"/>
        </w:rPr>
      </w:pPr>
      <w:r w:rsidRPr="0017633D">
        <w:rPr>
          <w:rFonts w:ascii="Arial" w:hAnsi="Arial" w:cs="Arial"/>
        </w:rPr>
        <w:t xml:space="preserve">Quinn, K.G., Hunt, B., Jacobs, J., Valencia, J., </w:t>
      </w:r>
      <w:proofErr w:type="spellStart"/>
      <w:r w:rsidRPr="0017633D">
        <w:rPr>
          <w:rFonts w:ascii="Arial" w:hAnsi="Arial" w:cs="Arial"/>
        </w:rPr>
        <w:t>Hirschtick</w:t>
      </w:r>
      <w:proofErr w:type="spellEnd"/>
      <w:r w:rsidRPr="0017633D">
        <w:rPr>
          <w:rFonts w:ascii="Arial" w:hAnsi="Arial" w:cs="Arial"/>
        </w:rPr>
        <w:t>, J. and Walsh, J.L</w:t>
      </w:r>
      <w:r w:rsidR="00574BEA" w:rsidRPr="0017633D">
        <w:rPr>
          <w:rFonts w:ascii="Arial" w:hAnsi="Arial" w:cs="Arial"/>
        </w:rPr>
        <w:t>.</w:t>
      </w:r>
      <w:r w:rsidR="001E7F21" w:rsidRPr="0017633D">
        <w:rPr>
          <w:rFonts w:ascii="Arial" w:hAnsi="Arial" w:cs="Arial"/>
        </w:rPr>
        <w:t xml:space="preserve"> (2024) </w:t>
      </w:r>
      <w:r w:rsidR="00B97C37" w:rsidRPr="0017633D">
        <w:rPr>
          <w:rFonts w:ascii="Arial" w:hAnsi="Arial" w:cs="Arial"/>
        </w:rPr>
        <w:t>‘</w:t>
      </w:r>
      <w:r w:rsidR="001E7F21" w:rsidRPr="0017633D">
        <w:rPr>
          <w:rFonts w:ascii="Arial" w:hAnsi="Arial" w:cs="Arial"/>
        </w:rPr>
        <w:t>Community Cohesion, Social Support, and Mental Health among Black Individuals in Chicago: A Cross-Sectional Examination of the Effects on COVID-19 Vaccination,</w:t>
      </w:r>
      <w:r w:rsidR="00B97C37" w:rsidRPr="0017633D">
        <w:rPr>
          <w:rFonts w:ascii="Arial" w:hAnsi="Arial" w:cs="Arial"/>
        </w:rPr>
        <w:t>’</w:t>
      </w:r>
      <w:r w:rsidR="001E7F21" w:rsidRPr="0017633D">
        <w:rPr>
          <w:rFonts w:ascii="Arial" w:hAnsi="Arial" w:cs="Arial"/>
        </w:rPr>
        <w:t> </w:t>
      </w:r>
      <w:r w:rsidR="001E7F21" w:rsidRPr="0017633D">
        <w:rPr>
          <w:rFonts w:ascii="Arial" w:hAnsi="Arial" w:cs="Arial"/>
          <w:i/>
          <w:iCs/>
        </w:rPr>
        <w:t>Journal of Racial and Ethnic Health Disparities</w:t>
      </w:r>
      <w:r w:rsidR="001E7F21" w:rsidRPr="0017633D">
        <w:rPr>
          <w:rFonts w:ascii="Arial" w:hAnsi="Arial" w:cs="Arial"/>
        </w:rPr>
        <w:t xml:space="preserve">, 11(6), pp. 3864–3871. Available at: </w:t>
      </w:r>
      <w:hyperlink r:id="rId36" w:history="1">
        <w:r w:rsidR="001E7F21" w:rsidRPr="0017633D">
          <w:rPr>
            <w:rStyle w:val="Hyperlink"/>
            <w:rFonts w:ascii="Arial" w:hAnsi="Arial" w:cs="Arial"/>
          </w:rPr>
          <w:t>https://doi.org/10.1007/s40615-023-01837-6</w:t>
        </w:r>
      </w:hyperlink>
      <w:r w:rsidR="001E7F21" w:rsidRPr="0017633D">
        <w:rPr>
          <w:rFonts w:ascii="Arial" w:hAnsi="Arial" w:cs="Arial"/>
        </w:rPr>
        <w:t xml:space="preserve"> </w:t>
      </w:r>
    </w:p>
    <w:p w14:paraId="1A3E7A2E" w14:textId="74413975" w:rsidR="00247A9E" w:rsidRPr="0017633D" w:rsidRDefault="00574BEA" w:rsidP="0017633D">
      <w:pPr>
        <w:spacing w:line="360" w:lineRule="auto"/>
        <w:jc w:val="both"/>
        <w:rPr>
          <w:rFonts w:ascii="Arial" w:hAnsi="Arial" w:cs="Arial"/>
        </w:rPr>
      </w:pPr>
      <w:r w:rsidRPr="0017633D">
        <w:rPr>
          <w:rFonts w:ascii="Arial" w:hAnsi="Arial" w:cs="Arial"/>
        </w:rPr>
        <w:t xml:space="preserve">Rifkin, S.B., Fort, M., </w:t>
      </w:r>
      <w:proofErr w:type="spellStart"/>
      <w:r w:rsidRPr="0017633D">
        <w:rPr>
          <w:rFonts w:ascii="Arial" w:hAnsi="Arial" w:cs="Arial"/>
        </w:rPr>
        <w:t>Patcharanarumol</w:t>
      </w:r>
      <w:proofErr w:type="spellEnd"/>
      <w:r w:rsidRPr="0017633D">
        <w:rPr>
          <w:rFonts w:ascii="Arial" w:hAnsi="Arial" w:cs="Arial"/>
        </w:rPr>
        <w:t xml:space="preserve">, W. and </w:t>
      </w:r>
      <w:proofErr w:type="spellStart"/>
      <w:r w:rsidRPr="0017633D">
        <w:rPr>
          <w:rFonts w:ascii="Arial" w:hAnsi="Arial" w:cs="Arial"/>
        </w:rPr>
        <w:t>Tangcharoensathien</w:t>
      </w:r>
      <w:proofErr w:type="spellEnd"/>
      <w:r w:rsidRPr="0017633D">
        <w:rPr>
          <w:rFonts w:ascii="Arial" w:hAnsi="Arial" w:cs="Arial"/>
        </w:rPr>
        <w:t>, V.</w:t>
      </w:r>
      <w:r w:rsidR="00247A9E" w:rsidRPr="0017633D">
        <w:rPr>
          <w:rFonts w:ascii="Arial" w:hAnsi="Arial" w:cs="Arial"/>
        </w:rPr>
        <w:t xml:space="preserve"> (2021) </w:t>
      </w:r>
      <w:r w:rsidR="00B97C37" w:rsidRPr="0017633D">
        <w:rPr>
          <w:rFonts w:ascii="Arial" w:hAnsi="Arial" w:cs="Arial"/>
        </w:rPr>
        <w:t>‘</w:t>
      </w:r>
      <w:r w:rsidR="00247A9E" w:rsidRPr="0017633D">
        <w:rPr>
          <w:rFonts w:ascii="Arial" w:hAnsi="Arial" w:cs="Arial"/>
        </w:rPr>
        <w:t>Primary healthcare in the time of COVID-19: breaking the silos of healthcare provision,</w:t>
      </w:r>
      <w:r w:rsidR="00B97C37" w:rsidRPr="0017633D">
        <w:rPr>
          <w:rFonts w:ascii="Arial" w:hAnsi="Arial" w:cs="Arial"/>
        </w:rPr>
        <w:t>’</w:t>
      </w:r>
      <w:r w:rsidR="00247A9E" w:rsidRPr="0017633D">
        <w:rPr>
          <w:rFonts w:ascii="Arial" w:hAnsi="Arial" w:cs="Arial"/>
        </w:rPr>
        <w:t> </w:t>
      </w:r>
      <w:r w:rsidR="00247A9E" w:rsidRPr="0017633D">
        <w:rPr>
          <w:rFonts w:ascii="Arial" w:hAnsi="Arial" w:cs="Arial"/>
          <w:i/>
          <w:iCs/>
        </w:rPr>
        <w:t>BMJ Global Health</w:t>
      </w:r>
      <w:r w:rsidR="00247A9E" w:rsidRPr="0017633D">
        <w:rPr>
          <w:rFonts w:ascii="Arial" w:hAnsi="Arial" w:cs="Arial"/>
        </w:rPr>
        <w:t xml:space="preserve">, 6(11), p. e007721. Available at: </w:t>
      </w:r>
      <w:hyperlink r:id="rId37" w:history="1">
        <w:r w:rsidR="00247A9E" w:rsidRPr="0017633D">
          <w:rPr>
            <w:rStyle w:val="Hyperlink"/>
            <w:rFonts w:ascii="Arial" w:hAnsi="Arial" w:cs="Arial"/>
          </w:rPr>
          <w:t>https://doi.org/10.1136/bmjgh-2021-007721</w:t>
        </w:r>
      </w:hyperlink>
    </w:p>
    <w:p w14:paraId="540EA5E3" w14:textId="4A9BFE08" w:rsidR="001E5803" w:rsidRPr="0017633D" w:rsidRDefault="00574BEA" w:rsidP="0017633D">
      <w:pPr>
        <w:spacing w:line="360" w:lineRule="auto"/>
        <w:jc w:val="both"/>
        <w:rPr>
          <w:rFonts w:ascii="Arial" w:hAnsi="Arial" w:cs="Arial"/>
        </w:rPr>
      </w:pPr>
      <w:r w:rsidRPr="0017633D">
        <w:rPr>
          <w:rFonts w:ascii="Arial" w:hAnsi="Arial" w:cs="Arial"/>
        </w:rPr>
        <w:t xml:space="preserve">Schröter, B., </w:t>
      </w:r>
      <w:proofErr w:type="spellStart"/>
      <w:r w:rsidRPr="0017633D">
        <w:rPr>
          <w:rFonts w:ascii="Arial" w:hAnsi="Arial" w:cs="Arial"/>
        </w:rPr>
        <w:t>Hantschel</w:t>
      </w:r>
      <w:proofErr w:type="spellEnd"/>
      <w:r w:rsidRPr="0017633D">
        <w:rPr>
          <w:rFonts w:ascii="Arial" w:hAnsi="Arial" w:cs="Arial"/>
        </w:rPr>
        <w:t>, S., Koszowski, C., Buehler, R., Schepers, P., Weber, J., Wittwer, R. and Gerike, R.</w:t>
      </w:r>
      <w:r w:rsidR="001E5803" w:rsidRPr="0017633D">
        <w:rPr>
          <w:rFonts w:ascii="Arial" w:hAnsi="Arial" w:cs="Arial"/>
        </w:rPr>
        <w:t xml:space="preserve"> (2021) </w:t>
      </w:r>
      <w:r w:rsidR="00B97C37" w:rsidRPr="0017633D">
        <w:rPr>
          <w:rFonts w:ascii="Arial" w:hAnsi="Arial" w:cs="Arial"/>
        </w:rPr>
        <w:t>‘</w:t>
      </w:r>
      <w:r w:rsidR="001E5803" w:rsidRPr="0017633D">
        <w:rPr>
          <w:rFonts w:ascii="Arial" w:hAnsi="Arial" w:cs="Arial"/>
        </w:rPr>
        <w:t>Guidance and Practice in Planning Cycling Facilities in Europe—An Overview,</w:t>
      </w:r>
      <w:r w:rsidR="00B97C37" w:rsidRPr="0017633D">
        <w:rPr>
          <w:rFonts w:ascii="Arial" w:hAnsi="Arial" w:cs="Arial"/>
        </w:rPr>
        <w:t>’</w:t>
      </w:r>
      <w:r w:rsidR="001E5803" w:rsidRPr="0017633D">
        <w:rPr>
          <w:rFonts w:ascii="Arial" w:hAnsi="Arial" w:cs="Arial"/>
        </w:rPr>
        <w:t> </w:t>
      </w:r>
      <w:r w:rsidR="001E5803" w:rsidRPr="0017633D">
        <w:rPr>
          <w:rFonts w:ascii="Arial" w:hAnsi="Arial" w:cs="Arial"/>
          <w:i/>
          <w:iCs/>
        </w:rPr>
        <w:t>Sustainability</w:t>
      </w:r>
      <w:r w:rsidR="001E5803" w:rsidRPr="0017633D">
        <w:rPr>
          <w:rFonts w:ascii="Arial" w:hAnsi="Arial" w:cs="Arial"/>
        </w:rPr>
        <w:t xml:space="preserve">, 13(17), p. 9560. Available at: </w:t>
      </w:r>
      <w:hyperlink r:id="rId38" w:history="1">
        <w:r w:rsidR="001E5803" w:rsidRPr="0017633D">
          <w:rPr>
            <w:rStyle w:val="Hyperlink"/>
            <w:rFonts w:ascii="Arial" w:hAnsi="Arial" w:cs="Arial"/>
          </w:rPr>
          <w:t>https://doi.org/10.3390/su13179560</w:t>
        </w:r>
      </w:hyperlink>
    </w:p>
    <w:p w14:paraId="06711520" w14:textId="79C9E566" w:rsidR="006D4A76" w:rsidRPr="0017633D" w:rsidRDefault="006D4A76" w:rsidP="0017633D">
      <w:pPr>
        <w:spacing w:line="360" w:lineRule="auto"/>
        <w:jc w:val="both"/>
        <w:rPr>
          <w:rFonts w:ascii="Arial" w:hAnsi="Arial" w:cs="Arial"/>
        </w:rPr>
      </w:pPr>
      <w:r w:rsidRPr="0017633D">
        <w:rPr>
          <w:rFonts w:ascii="Arial" w:hAnsi="Arial" w:cs="Arial"/>
        </w:rPr>
        <w:lastRenderedPageBreak/>
        <w:t xml:space="preserve">Shen, R., Williams, P.C. and Coutts, C. (2025) </w:t>
      </w:r>
      <w:r w:rsidR="00B97C37" w:rsidRPr="0017633D">
        <w:rPr>
          <w:rFonts w:ascii="Arial" w:hAnsi="Arial" w:cs="Arial"/>
        </w:rPr>
        <w:t>‘</w:t>
      </w:r>
      <w:r w:rsidRPr="0017633D">
        <w:rPr>
          <w:rFonts w:ascii="Arial" w:hAnsi="Arial" w:cs="Arial"/>
        </w:rPr>
        <w:t>Identifying the health benefits of city bike infrastructure expansion policy,</w:t>
      </w:r>
      <w:r w:rsidR="00B97C37" w:rsidRPr="0017633D">
        <w:rPr>
          <w:rFonts w:ascii="Arial" w:hAnsi="Arial" w:cs="Arial"/>
        </w:rPr>
        <w:t>’</w:t>
      </w:r>
      <w:r w:rsidRPr="0017633D">
        <w:rPr>
          <w:rFonts w:ascii="Arial" w:hAnsi="Arial" w:cs="Arial"/>
        </w:rPr>
        <w:t> </w:t>
      </w:r>
      <w:r w:rsidRPr="0017633D">
        <w:rPr>
          <w:rFonts w:ascii="Arial" w:hAnsi="Arial" w:cs="Arial"/>
          <w:i/>
          <w:iCs/>
        </w:rPr>
        <w:t>Journal of Urban Affairs</w:t>
      </w:r>
      <w:r w:rsidRPr="0017633D">
        <w:rPr>
          <w:rFonts w:ascii="Arial" w:hAnsi="Arial" w:cs="Arial"/>
        </w:rPr>
        <w:t xml:space="preserve">, 47(8), pp. 2985–3005. Available at: </w:t>
      </w:r>
      <w:hyperlink r:id="rId39" w:history="1">
        <w:r w:rsidRPr="0017633D">
          <w:rPr>
            <w:rStyle w:val="Hyperlink"/>
            <w:rFonts w:ascii="Arial" w:hAnsi="Arial" w:cs="Arial"/>
          </w:rPr>
          <w:t>https://doi.org/10.1080/07352166.2024.2320901</w:t>
        </w:r>
      </w:hyperlink>
    </w:p>
    <w:p w14:paraId="4BD62D4F" w14:textId="324D6A4B" w:rsidR="00680535" w:rsidRPr="0017633D" w:rsidRDefault="00680535" w:rsidP="0017633D">
      <w:pPr>
        <w:spacing w:line="360" w:lineRule="auto"/>
        <w:jc w:val="both"/>
        <w:rPr>
          <w:rFonts w:ascii="Arial" w:hAnsi="Arial" w:cs="Arial"/>
        </w:rPr>
      </w:pPr>
      <w:r w:rsidRPr="0017633D">
        <w:rPr>
          <w:rFonts w:ascii="Arial" w:hAnsi="Arial" w:cs="Arial"/>
        </w:rPr>
        <w:t xml:space="preserve">Sithole-Tetani, N. (2024) </w:t>
      </w:r>
      <w:r w:rsidR="00B97C37" w:rsidRPr="0017633D">
        <w:rPr>
          <w:rFonts w:ascii="Arial" w:hAnsi="Arial" w:cs="Arial"/>
        </w:rPr>
        <w:t>‘</w:t>
      </w:r>
      <w:r w:rsidRPr="0017633D">
        <w:rPr>
          <w:rFonts w:ascii="Arial" w:hAnsi="Arial" w:cs="Arial"/>
        </w:rPr>
        <w:t>The Role of Psychology Towards Sustainable Development Goal 3: Good Health and Well-being in South Africa,</w:t>
      </w:r>
      <w:r w:rsidR="00B97C37" w:rsidRPr="0017633D">
        <w:rPr>
          <w:rFonts w:ascii="Arial" w:hAnsi="Arial" w:cs="Arial"/>
        </w:rPr>
        <w:t>’</w:t>
      </w:r>
      <w:r w:rsidRPr="0017633D">
        <w:rPr>
          <w:rFonts w:ascii="Arial" w:hAnsi="Arial" w:cs="Arial"/>
        </w:rPr>
        <w:t> </w:t>
      </w:r>
      <w:r w:rsidRPr="0017633D">
        <w:rPr>
          <w:rFonts w:ascii="Arial" w:hAnsi="Arial" w:cs="Arial"/>
          <w:i/>
          <w:iCs/>
        </w:rPr>
        <w:t>E-Journal of Humanities, Art and Social Sciences (Online)</w:t>
      </w:r>
      <w:r w:rsidRPr="0017633D">
        <w:rPr>
          <w:rFonts w:ascii="Arial" w:hAnsi="Arial" w:cs="Arial"/>
        </w:rPr>
        <w:t xml:space="preserve">, 5(16), pp. 3421–3435. Available at: </w:t>
      </w:r>
      <w:hyperlink r:id="rId40" w:history="1">
        <w:r w:rsidRPr="0017633D">
          <w:rPr>
            <w:rStyle w:val="Hyperlink"/>
            <w:rFonts w:ascii="Arial" w:hAnsi="Arial" w:cs="Arial"/>
          </w:rPr>
          <w:t>https://doi.org/10.38159/ehass.202451659</w:t>
        </w:r>
      </w:hyperlink>
      <w:r w:rsidRPr="0017633D">
        <w:rPr>
          <w:rFonts w:ascii="Arial" w:hAnsi="Arial" w:cs="Arial"/>
        </w:rPr>
        <w:t xml:space="preserve"> </w:t>
      </w:r>
    </w:p>
    <w:p w14:paraId="0203FDA8" w14:textId="6F56B9E3" w:rsidR="00BD2A08" w:rsidRPr="0017633D" w:rsidRDefault="00BD2A08" w:rsidP="0017633D">
      <w:pPr>
        <w:spacing w:line="360" w:lineRule="auto"/>
        <w:jc w:val="both"/>
        <w:rPr>
          <w:rFonts w:ascii="Arial" w:hAnsi="Arial" w:cs="Arial"/>
        </w:rPr>
      </w:pPr>
      <w:r w:rsidRPr="0017633D">
        <w:rPr>
          <w:rFonts w:ascii="Arial" w:hAnsi="Arial" w:cs="Arial"/>
        </w:rPr>
        <w:t>Sokol, M.B. and Tarulli, B.A. (2024)</w:t>
      </w:r>
      <w:r w:rsidR="00574BEA" w:rsidRPr="0017633D">
        <w:rPr>
          <w:rFonts w:ascii="Arial" w:hAnsi="Arial" w:cs="Arial"/>
        </w:rPr>
        <w:t xml:space="preserve">. </w:t>
      </w:r>
      <w:r w:rsidRPr="0017633D">
        <w:rPr>
          <w:rFonts w:ascii="Arial" w:hAnsi="Arial" w:cs="Arial"/>
          <w:i/>
          <w:iCs/>
        </w:rPr>
        <w:t>Strategic Workforce Planning: Best Practices and Emerging Directions</w:t>
      </w:r>
      <w:r w:rsidRPr="0017633D">
        <w:rPr>
          <w:rFonts w:ascii="Arial" w:hAnsi="Arial" w:cs="Arial"/>
        </w:rPr>
        <w:t xml:space="preserve">. 1st ed. Edited by B.A. Tarulli and M.B. Sokol. New York: Oxford University Press. Available at: </w:t>
      </w:r>
      <w:hyperlink r:id="rId41" w:history="1">
        <w:r w:rsidRPr="0017633D">
          <w:rPr>
            <w:rStyle w:val="Hyperlink"/>
            <w:rFonts w:ascii="Arial" w:hAnsi="Arial" w:cs="Arial"/>
          </w:rPr>
          <w:t>https://doi.org/10.1093/oso/9780197759745.001.0001</w:t>
        </w:r>
      </w:hyperlink>
    </w:p>
    <w:p w14:paraId="1164DF76" w14:textId="5C6587F9" w:rsidR="003F1FD9" w:rsidRPr="0017633D" w:rsidRDefault="0055120E" w:rsidP="0017633D">
      <w:pPr>
        <w:spacing w:line="360" w:lineRule="auto"/>
        <w:jc w:val="both"/>
        <w:rPr>
          <w:rFonts w:ascii="Arial" w:hAnsi="Arial" w:cs="Arial"/>
        </w:rPr>
      </w:pPr>
      <w:r w:rsidRPr="0017633D">
        <w:rPr>
          <w:rFonts w:ascii="Arial" w:hAnsi="Arial" w:cs="Arial"/>
        </w:rPr>
        <w:t xml:space="preserve">Tracy, D.K., Holloway, F., Hanson, K., Kanani, N., Trainer, M., Dimond, I., James, A., Kalidindi, S. and Shergill, S.S. </w:t>
      </w:r>
      <w:r w:rsidR="003F1FD9" w:rsidRPr="0017633D">
        <w:rPr>
          <w:rFonts w:ascii="Arial" w:hAnsi="Arial" w:cs="Arial"/>
        </w:rPr>
        <w:t xml:space="preserve">(2023) </w:t>
      </w:r>
      <w:r w:rsidR="00B97C37" w:rsidRPr="0017633D">
        <w:rPr>
          <w:rFonts w:ascii="Arial" w:hAnsi="Arial" w:cs="Arial"/>
        </w:rPr>
        <w:t>‘</w:t>
      </w:r>
      <w:r w:rsidR="003F1FD9" w:rsidRPr="0017633D">
        <w:rPr>
          <w:rFonts w:ascii="Arial" w:hAnsi="Arial" w:cs="Arial"/>
        </w:rPr>
        <w:t>Why care about integrated care? Part 2. Integrated care systems: an irresistible force changing mental health services,</w:t>
      </w:r>
      <w:r w:rsidR="00B97C37" w:rsidRPr="0017633D">
        <w:rPr>
          <w:rFonts w:ascii="Arial" w:hAnsi="Arial" w:cs="Arial"/>
        </w:rPr>
        <w:t>’</w:t>
      </w:r>
      <w:r w:rsidR="003F1FD9" w:rsidRPr="0017633D">
        <w:rPr>
          <w:rFonts w:ascii="Arial" w:hAnsi="Arial" w:cs="Arial"/>
        </w:rPr>
        <w:t> </w:t>
      </w:r>
      <w:proofErr w:type="spellStart"/>
      <w:r w:rsidR="003F1FD9" w:rsidRPr="0017633D">
        <w:rPr>
          <w:rFonts w:ascii="Arial" w:hAnsi="Arial" w:cs="Arial"/>
          <w:i/>
          <w:iCs/>
        </w:rPr>
        <w:t>BJPsych</w:t>
      </w:r>
      <w:proofErr w:type="spellEnd"/>
      <w:r w:rsidR="003F1FD9" w:rsidRPr="0017633D">
        <w:rPr>
          <w:rFonts w:ascii="Arial" w:hAnsi="Arial" w:cs="Arial"/>
          <w:i/>
          <w:iCs/>
        </w:rPr>
        <w:t xml:space="preserve"> </w:t>
      </w:r>
      <w:r w:rsidR="00BA5EAA" w:rsidRPr="0017633D">
        <w:rPr>
          <w:rFonts w:ascii="Arial" w:hAnsi="Arial" w:cs="Arial"/>
          <w:i/>
          <w:iCs/>
        </w:rPr>
        <w:t>A</w:t>
      </w:r>
      <w:r w:rsidR="003F1FD9" w:rsidRPr="0017633D">
        <w:rPr>
          <w:rFonts w:ascii="Arial" w:hAnsi="Arial" w:cs="Arial"/>
          <w:i/>
          <w:iCs/>
        </w:rPr>
        <w:t>dvances</w:t>
      </w:r>
      <w:r w:rsidR="003F1FD9" w:rsidRPr="0017633D">
        <w:rPr>
          <w:rFonts w:ascii="Arial" w:hAnsi="Arial" w:cs="Arial"/>
        </w:rPr>
        <w:t xml:space="preserve">, 29(1), pp. 19–30. Available at: </w:t>
      </w:r>
      <w:hyperlink r:id="rId42" w:history="1">
        <w:r w:rsidR="003F1FD9" w:rsidRPr="0017633D">
          <w:rPr>
            <w:rStyle w:val="Hyperlink"/>
            <w:rFonts w:ascii="Arial" w:hAnsi="Arial" w:cs="Arial"/>
          </w:rPr>
          <w:t>https://doi.org/10.1192/bja.2020.3</w:t>
        </w:r>
      </w:hyperlink>
    </w:p>
    <w:p w14:paraId="5CEE892E" w14:textId="2C5482F1" w:rsidR="000B0A7A" w:rsidRPr="0017633D" w:rsidRDefault="000B0A7A" w:rsidP="0017633D">
      <w:pPr>
        <w:spacing w:line="360" w:lineRule="auto"/>
        <w:jc w:val="both"/>
        <w:rPr>
          <w:rFonts w:ascii="Arial" w:hAnsi="Arial" w:cs="Arial"/>
        </w:rPr>
      </w:pPr>
      <w:r w:rsidRPr="0017633D">
        <w:rPr>
          <w:rFonts w:ascii="Arial" w:hAnsi="Arial" w:cs="Arial"/>
        </w:rPr>
        <w:t>Taylor, A. and Velthuis, S. (2025)</w:t>
      </w:r>
      <w:r w:rsidR="00574BEA" w:rsidRPr="0017633D">
        <w:rPr>
          <w:rFonts w:ascii="Arial" w:hAnsi="Arial" w:cs="Arial"/>
        </w:rPr>
        <w:t xml:space="preserve">. </w:t>
      </w:r>
      <w:r w:rsidRPr="0017633D">
        <w:rPr>
          <w:rFonts w:ascii="Arial" w:hAnsi="Arial" w:cs="Arial"/>
          <w:i/>
          <w:iCs/>
        </w:rPr>
        <w:t>A review of funding allocations in England to address geographical inequalities</w:t>
      </w:r>
      <w:r w:rsidRPr="0017633D">
        <w:rPr>
          <w:rFonts w:ascii="Arial" w:hAnsi="Arial" w:cs="Arial"/>
        </w:rPr>
        <w:t xml:space="preserve">. University of Birmingham. Available at: </w:t>
      </w:r>
      <w:hyperlink r:id="rId43" w:history="1">
        <w:r w:rsidRPr="0017633D">
          <w:rPr>
            <w:rStyle w:val="Hyperlink"/>
            <w:rFonts w:ascii="Arial" w:hAnsi="Arial" w:cs="Arial"/>
          </w:rPr>
          <w:t>https://doi.org/10.25500/epapers.bham.00004401</w:t>
        </w:r>
      </w:hyperlink>
    </w:p>
    <w:p w14:paraId="6348E3CF" w14:textId="6EE7EAB2" w:rsidR="00997CC0" w:rsidRPr="0017633D" w:rsidRDefault="0055120E" w:rsidP="0017633D">
      <w:pPr>
        <w:spacing w:line="360" w:lineRule="auto"/>
        <w:jc w:val="both"/>
        <w:rPr>
          <w:rFonts w:ascii="Arial" w:hAnsi="Arial" w:cs="Arial"/>
        </w:rPr>
      </w:pPr>
      <w:r w:rsidRPr="0017633D">
        <w:rPr>
          <w:rFonts w:ascii="Arial" w:hAnsi="Arial" w:cs="Arial"/>
        </w:rPr>
        <w:t xml:space="preserve">Truelove, S., Ng, V., </w:t>
      </w:r>
      <w:proofErr w:type="spellStart"/>
      <w:r w:rsidRPr="0017633D">
        <w:rPr>
          <w:rFonts w:ascii="Arial" w:hAnsi="Arial" w:cs="Arial"/>
        </w:rPr>
        <w:t>Kates</w:t>
      </w:r>
      <w:proofErr w:type="spellEnd"/>
      <w:r w:rsidRPr="0017633D">
        <w:rPr>
          <w:rFonts w:ascii="Arial" w:hAnsi="Arial" w:cs="Arial"/>
        </w:rPr>
        <w:t xml:space="preserve">, N., </w:t>
      </w:r>
      <w:proofErr w:type="spellStart"/>
      <w:r w:rsidRPr="0017633D">
        <w:rPr>
          <w:rFonts w:ascii="Arial" w:hAnsi="Arial" w:cs="Arial"/>
        </w:rPr>
        <w:t>Alloo</w:t>
      </w:r>
      <w:proofErr w:type="spellEnd"/>
      <w:r w:rsidRPr="0017633D">
        <w:rPr>
          <w:rFonts w:ascii="Arial" w:hAnsi="Arial" w:cs="Arial"/>
        </w:rPr>
        <w:t xml:space="preserve">, J., Sunderji, N. and Patriquin, M.J. </w:t>
      </w:r>
      <w:r w:rsidR="00997CC0" w:rsidRPr="0017633D">
        <w:rPr>
          <w:rFonts w:ascii="Arial" w:hAnsi="Arial" w:cs="Arial"/>
        </w:rPr>
        <w:t xml:space="preserve">(2023) </w:t>
      </w:r>
      <w:r w:rsidR="00B97C37" w:rsidRPr="0017633D">
        <w:rPr>
          <w:rFonts w:ascii="Arial" w:hAnsi="Arial" w:cs="Arial"/>
        </w:rPr>
        <w:t>‘</w:t>
      </w:r>
      <w:r w:rsidR="00997CC0" w:rsidRPr="0017633D">
        <w:rPr>
          <w:rFonts w:ascii="Arial" w:hAnsi="Arial" w:cs="Arial"/>
        </w:rPr>
        <w:t>Collaborative mental health care: Engaging health systems to support a team-based approach,</w:t>
      </w:r>
      <w:r w:rsidR="00B97C37" w:rsidRPr="0017633D">
        <w:rPr>
          <w:rFonts w:ascii="Arial" w:hAnsi="Arial" w:cs="Arial"/>
        </w:rPr>
        <w:t>’</w:t>
      </w:r>
      <w:r w:rsidR="00997CC0" w:rsidRPr="0017633D">
        <w:rPr>
          <w:rFonts w:ascii="Arial" w:hAnsi="Arial" w:cs="Arial"/>
        </w:rPr>
        <w:t> </w:t>
      </w:r>
      <w:r w:rsidR="00997CC0" w:rsidRPr="0017633D">
        <w:rPr>
          <w:rFonts w:ascii="Arial" w:hAnsi="Arial" w:cs="Arial"/>
          <w:i/>
          <w:iCs/>
        </w:rPr>
        <w:t xml:space="preserve">Canadian </w:t>
      </w:r>
      <w:r w:rsidR="00984AAF" w:rsidRPr="0017633D">
        <w:rPr>
          <w:rFonts w:ascii="Arial" w:hAnsi="Arial" w:cs="Arial"/>
          <w:i/>
          <w:iCs/>
        </w:rPr>
        <w:t>F</w:t>
      </w:r>
      <w:r w:rsidR="00997CC0" w:rsidRPr="0017633D">
        <w:rPr>
          <w:rFonts w:ascii="Arial" w:hAnsi="Arial" w:cs="Arial"/>
          <w:i/>
          <w:iCs/>
        </w:rPr>
        <w:t xml:space="preserve">amily </w:t>
      </w:r>
      <w:r w:rsidR="00984AAF" w:rsidRPr="0017633D">
        <w:rPr>
          <w:rFonts w:ascii="Arial" w:hAnsi="Arial" w:cs="Arial"/>
          <w:i/>
          <w:iCs/>
        </w:rPr>
        <w:t>Physician</w:t>
      </w:r>
      <w:r w:rsidR="00997CC0" w:rsidRPr="0017633D">
        <w:rPr>
          <w:rFonts w:ascii="Arial" w:hAnsi="Arial" w:cs="Arial"/>
        </w:rPr>
        <w:t xml:space="preserve">, 69(2), pp. 81–83. Available at: </w:t>
      </w:r>
      <w:hyperlink r:id="rId44" w:history="1">
        <w:r w:rsidR="00997CC0" w:rsidRPr="0017633D">
          <w:rPr>
            <w:rStyle w:val="Hyperlink"/>
            <w:rFonts w:ascii="Arial" w:hAnsi="Arial" w:cs="Arial"/>
          </w:rPr>
          <w:t>https://doi.org/10.46747/cfp.690281</w:t>
        </w:r>
      </w:hyperlink>
      <w:r w:rsidR="00997CC0" w:rsidRPr="0017633D">
        <w:rPr>
          <w:rFonts w:ascii="Arial" w:hAnsi="Arial" w:cs="Arial"/>
        </w:rPr>
        <w:t xml:space="preserve"> </w:t>
      </w:r>
    </w:p>
    <w:p w14:paraId="3E1A6AD9" w14:textId="4FBE51F3" w:rsidR="00696710" w:rsidRPr="0017633D" w:rsidRDefault="00696710" w:rsidP="0017633D">
      <w:pPr>
        <w:spacing w:line="360" w:lineRule="auto"/>
        <w:jc w:val="both"/>
        <w:rPr>
          <w:rFonts w:ascii="Arial" w:hAnsi="Arial" w:cs="Arial"/>
        </w:rPr>
      </w:pPr>
      <w:r w:rsidRPr="0017633D">
        <w:rPr>
          <w:rFonts w:ascii="Arial" w:hAnsi="Arial" w:cs="Arial"/>
        </w:rPr>
        <w:t>United Nations (2025). </w:t>
      </w:r>
      <w:r w:rsidRPr="0017633D">
        <w:rPr>
          <w:rFonts w:ascii="Arial" w:hAnsi="Arial" w:cs="Arial"/>
          <w:i/>
          <w:iCs/>
        </w:rPr>
        <w:t>Goal 10: Reduce Inequality within and among Countries</w:t>
      </w:r>
      <w:r w:rsidRPr="0017633D">
        <w:rPr>
          <w:rFonts w:ascii="Arial" w:hAnsi="Arial" w:cs="Arial"/>
        </w:rPr>
        <w:t xml:space="preserve">. United Nations Sustainable Development. Available at: </w:t>
      </w:r>
      <w:hyperlink r:id="rId45" w:history="1">
        <w:r w:rsidRPr="0017633D">
          <w:rPr>
            <w:rStyle w:val="Hyperlink"/>
            <w:rFonts w:ascii="Arial" w:hAnsi="Arial" w:cs="Arial"/>
          </w:rPr>
          <w:t>https://www.un.org/sustainabledevelopment/inequality/</w:t>
        </w:r>
      </w:hyperlink>
      <w:r w:rsidRPr="0017633D">
        <w:rPr>
          <w:rFonts w:ascii="Arial" w:hAnsi="Arial" w:cs="Arial"/>
        </w:rPr>
        <w:t xml:space="preserve"> (Accessed: 6 March 2026).</w:t>
      </w:r>
    </w:p>
    <w:p w14:paraId="3EBD31F6" w14:textId="273891EC" w:rsidR="00896620" w:rsidRPr="0017633D" w:rsidRDefault="00574BEA" w:rsidP="0017633D">
      <w:pPr>
        <w:spacing w:line="360" w:lineRule="auto"/>
        <w:jc w:val="both"/>
        <w:rPr>
          <w:rFonts w:ascii="Arial" w:hAnsi="Arial" w:cs="Arial"/>
        </w:rPr>
      </w:pPr>
      <w:r w:rsidRPr="0017633D">
        <w:rPr>
          <w:rFonts w:ascii="Arial" w:hAnsi="Arial" w:cs="Arial"/>
        </w:rPr>
        <w:t>Van der Feltz-Cornelis, C., Attree, E., Heightman, M., Gabbay, M. and Allsopp, G.</w:t>
      </w:r>
      <w:r w:rsidR="00896620" w:rsidRPr="0017633D">
        <w:rPr>
          <w:rFonts w:ascii="Arial" w:hAnsi="Arial" w:cs="Arial"/>
        </w:rPr>
        <w:t xml:space="preserve"> (2023) </w:t>
      </w:r>
      <w:r w:rsidR="00B97C37" w:rsidRPr="0017633D">
        <w:rPr>
          <w:rFonts w:ascii="Arial" w:hAnsi="Arial" w:cs="Arial"/>
        </w:rPr>
        <w:t>‘</w:t>
      </w:r>
      <w:r w:rsidR="00896620" w:rsidRPr="0017633D">
        <w:rPr>
          <w:rFonts w:ascii="Arial" w:hAnsi="Arial" w:cs="Arial"/>
        </w:rPr>
        <w:t>Integrated care pathways: a new approach for integrated care systems</w:t>
      </w:r>
      <w:r w:rsidRPr="0017633D">
        <w:rPr>
          <w:rFonts w:ascii="Arial" w:hAnsi="Arial" w:cs="Arial"/>
        </w:rPr>
        <w:t>’,</w:t>
      </w:r>
      <w:r w:rsidR="00896620" w:rsidRPr="0017633D">
        <w:rPr>
          <w:rFonts w:ascii="Arial" w:hAnsi="Arial" w:cs="Arial"/>
        </w:rPr>
        <w:t> </w:t>
      </w:r>
      <w:r w:rsidR="00896620" w:rsidRPr="0017633D">
        <w:rPr>
          <w:rFonts w:ascii="Arial" w:hAnsi="Arial" w:cs="Arial"/>
          <w:i/>
          <w:iCs/>
        </w:rPr>
        <w:t>British Journal of General Practice</w:t>
      </w:r>
      <w:r w:rsidR="00896620" w:rsidRPr="0017633D">
        <w:rPr>
          <w:rFonts w:ascii="Arial" w:hAnsi="Arial" w:cs="Arial"/>
        </w:rPr>
        <w:t xml:space="preserve">, 73(734), pp. 422–422. Available at: </w:t>
      </w:r>
      <w:hyperlink r:id="rId46" w:history="1">
        <w:r w:rsidR="00896620" w:rsidRPr="0017633D">
          <w:rPr>
            <w:rStyle w:val="Hyperlink"/>
            <w:rFonts w:ascii="Arial" w:hAnsi="Arial" w:cs="Arial"/>
          </w:rPr>
          <w:t>https://doi.org/10.3399/bjgp23X734925</w:t>
        </w:r>
      </w:hyperlink>
    </w:p>
    <w:p w14:paraId="57A1F998" w14:textId="49CF82E1" w:rsidR="001B56C1" w:rsidRPr="0017633D" w:rsidRDefault="001B56C1" w:rsidP="0017633D">
      <w:pPr>
        <w:spacing w:line="360" w:lineRule="auto"/>
        <w:jc w:val="both"/>
        <w:rPr>
          <w:rFonts w:ascii="Arial" w:hAnsi="Arial" w:cs="Arial"/>
        </w:rPr>
      </w:pPr>
      <w:r w:rsidRPr="0017633D">
        <w:rPr>
          <w:rFonts w:ascii="Arial" w:hAnsi="Arial" w:cs="Arial"/>
        </w:rPr>
        <w:t> </w:t>
      </w:r>
      <w:r w:rsidR="00C92342" w:rsidRPr="0017633D">
        <w:rPr>
          <w:rFonts w:ascii="Arial" w:hAnsi="Arial" w:cs="Arial"/>
        </w:rPr>
        <w:t xml:space="preserve">Whelan, J., Hayward, J., Nichols, M., Brown, A.D., Orellana, L., Brown, V., Becker, D., Bell, C., Swinburn, B., Peeters, A. and Moodie, M. </w:t>
      </w:r>
      <w:r w:rsidRPr="0017633D">
        <w:rPr>
          <w:rFonts w:ascii="Arial" w:hAnsi="Arial" w:cs="Arial"/>
        </w:rPr>
        <w:t xml:space="preserve">(2022) </w:t>
      </w:r>
      <w:r w:rsidR="00B97C37" w:rsidRPr="0017633D">
        <w:rPr>
          <w:rFonts w:ascii="Arial" w:hAnsi="Arial" w:cs="Arial"/>
        </w:rPr>
        <w:t>‘</w:t>
      </w:r>
      <w:r w:rsidRPr="0017633D">
        <w:rPr>
          <w:rFonts w:ascii="Arial" w:hAnsi="Arial" w:cs="Arial"/>
        </w:rPr>
        <w:t>Reflexive Evidence and Systems interventions to Prevention Obesity and Non-communicable Disease (RESPOND): protocol and baseline outcomes for a stepped-wedge cluster-randomised prevention trial,</w:t>
      </w:r>
      <w:r w:rsidR="00B97C37" w:rsidRPr="0017633D">
        <w:rPr>
          <w:rFonts w:ascii="Arial" w:hAnsi="Arial" w:cs="Arial"/>
        </w:rPr>
        <w:t>’</w:t>
      </w:r>
      <w:r w:rsidRPr="0017633D">
        <w:rPr>
          <w:rFonts w:ascii="Arial" w:hAnsi="Arial" w:cs="Arial"/>
        </w:rPr>
        <w:t> </w:t>
      </w:r>
      <w:r w:rsidRPr="0017633D">
        <w:rPr>
          <w:rFonts w:ascii="Arial" w:hAnsi="Arial" w:cs="Arial"/>
          <w:i/>
          <w:iCs/>
        </w:rPr>
        <w:t xml:space="preserve">BMJ </w:t>
      </w:r>
      <w:r w:rsidR="00984AAF" w:rsidRPr="0017633D">
        <w:rPr>
          <w:rFonts w:ascii="Arial" w:hAnsi="Arial" w:cs="Arial"/>
          <w:i/>
          <w:iCs/>
        </w:rPr>
        <w:t>O</w:t>
      </w:r>
      <w:r w:rsidRPr="0017633D">
        <w:rPr>
          <w:rFonts w:ascii="Arial" w:hAnsi="Arial" w:cs="Arial"/>
          <w:i/>
          <w:iCs/>
        </w:rPr>
        <w:t>pen</w:t>
      </w:r>
      <w:r w:rsidRPr="0017633D">
        <w:rPr>
          <w:rFonts w:ascii="Arial" w:hAnsi="Arial" w:cs="Arial"/>
        </w:rPr>
        <w:t xml:space="preserve">, 12(9), p. e057187. Available at: </w:t>
      </w:r>
      <w:hyperlink r:id="rId47" w:history="1">
        <w:r w:rsidRPr="0017633D">
          <w:rPr>
            <w:rStyle w:val="Hyperlink"/>
            <w:rFonts w:ascii="Arial" w:hAnsi="Arial" w:cs="Arial"/>
          </w:rPr>
          <w:t>https://doi.org/10.1136/bmjopen-2021-057187</w:t>
        </w:r>
      </w:hyperlink>
    </w:p>
    <w:p w14:paraId="59D57964" w14:textId="035A8DD3" w:rsidR="00A26084" w:rsidRPr="0017633D" w:rsidRDefault="00A26084" w:rsidP="0017633D">
      <w:pPr>
        <w:spacing w:line="360" w:lineRule="auto"/>
        <w:jc w:val="both"/>
        <w:rPr>
          <w:rFonts w:ascii="Arial" w:hAnsi="Arial" w:cs="Arial"/>
        </w:rPr>
      </w:pPr>
      <w:r w:rsidRPr="0017633D">
        <w:rPr>
          <w:rFonts w:ascii="Arial" w:hAnsi="Arial" w:cs="Arial"/>
        </w:rPr>
        <w:t>W</w:t>
      </w:r>
      <w:r w:rsidR="00AB7F81" w:rsidRPr="0017633D">
        <w:rPr>
          <w:rFonts w:ascii="Arial" w:hAnsi="Arial" w:cs="Arial"/>
        </w:rPr>
        <w:t xml:space="preserve">orld </w:t>
      </w:r>
      <w:r w:rsidRPr="0017633D">
        <w:rPr>
          <w:rFonts w:ascii="Arial" w:hAnsi="Arial" w:cs="Arial"/>
        </w:rPr>
        <w:t>H</w:t>
      </w:r>
      <w:r w:rsidR="00AB7F81" w:rsidRPr="0017633D">
        <w:rPr>
          <w:rFonts w:ascii="Arial" w:hAnsi="Arial" w:cs="Arial"/>
        </w:rPr>
        <w:t>ealth Organisation</w:t>
      </w:r>
      <w:r w:rsidRPr="0017633D">
        <w:rPr>
          <w:rFonts w:ascii="Arial" w:hAnsi="Arial" w:cs="Arial"/>
        </w:rPr>
        <w:t xml:space="preserve"> (2022). </w:t>
      </w:r>
      <w:r w:rsidRPr="0017633D">
        <w:rPr>
          <w:rFonts w:ascii="Arial" w:hAnsi="Arial" w:cs="Arial"/>
          <w:i/>
          <w:iCs/>
        </w:rPr>
        <w:t>Targets of Sustainable Development Goal 3</w:t>
      </w:r>
      <w:r w:rsidRPr="0017633D">
        <w:rPr>
          <w:rFonts w:ascii="Arial" w:hAnsi="Arial" w:cs="Arial"/>
        </w:rPr>
        <w:t xml:space="preserve">. World Health Organisation. Available at: </w:t>
      </w:r>
      <w:hyperlink r:id="rId48" w:history="1">
        <w:r w:rsidRPr="0017633D">
          <w:rPr>
            <w:rStyle w:val="Hyperlink"/>
            <w:rFonts w:ascii="Arial" w:hAnsi="Arial" w:cs="Arial"/>
          </w:rPr>
          <w:t>https://www.who.int/europe/about-us/our-work/sustainable-development-goals/targets-of-sustainable-development-goal-3</w:t>
        </w:r>
      </w:hyperlink>
      <w:r w:rsidRPr="0017633D">
        <w:rPr>
          <w:rFonts w:ascii="Arial" w:hAnsi="Arial" w:cs="Arial"/>
        </w:rPr>
        <w:t xml:space="preserve"> (Accessed: 5 March 2026)</w:t>
      </w:r>
      <w:r w:rsidR="00B05B9C" w:rsidRPr="0017633D">
        <w:rPr>
          <w:rFonts w:ascii="Arial" w:hAnsi="Arial" w:cs="Arial"/>
        </w:rPr>
        <w:t>.</w:t>
      </w:r>
    </w:p>
    <w:p w14:paraId="38AE1A8A" w14:textId="44882565" w:rsidR="009C430E" w:rsidRPr="0017633D" w:rsidRDefault="009C430E" w:rsidP="0017633D">
      <w:pPr>
        <w:spacing w:line="360" w:lineRule="auto"/>
        <w:jc w:val="both"/>
        <w:rPr>
          <w:rFonts w:ascii="Arial" w:hAnsi="Arial" w:cs="Arial"/>
        </w:rPr>
      </w:pPr>
      <w:r w:rsidRPr="0017633D">
        <w:rPr>
          <w:rFonts w:ascii="Arial" w:hAnsi="Arial" w:cs="Arial"/>
        </w:rPr>
        <w:lastRenderedPageBreak/>
        <w:t>World Health Organisation (2022). </w:t>
      </w:r>
      <w:r w:rsidRPr="0017633D">
        <w:rPr>
          <w:rFonts w:ascii="Arial" w:hAnsi="Arial" w:cs="Arial"/>
          <w:i/>
          <w:iCs/>
        </w:rPr>
        <w:t>Refugee and Migrant Health - Global</w:t>
      </w:r>
      <w:r w:rsidRPr="0017633D">
        <w:rPr>
          <w:rFonts w:ascii="Arial" w:hAnsi="Arial" w:cs="Arial"/>
        </w:rPr>
        <w:t xml:space="preserve">. www.who.int. Available at: </w:t>
      </w:r>
      <w:hyperlink r:id="rId49" w:anchor="tab=tab_1" w:history="1">
        <w:r w:rsidRPr="0017633D">
          <w:rPr>
            <w:rStyle w:val="Hyperlink"/>
            <w:rFonts w:ascii="Arial" w:hAnsi="Arial" w:cs="Arial"/>
          </w:rPr>
          <w:t>https://www.who.int/health-topics/refugee-and-migrant-health#tab=tab_1</w:t>
        </w:r>
      </w:hyperlink>
      <w:r w:rsidRPr="0017633D">
        <w:rPr>
          <w:rFonts w:ascii="Arial" w:hAnsi="Arial" w:cs="Arial"/>
        </w:rPr>
        <w:t>. (Accessed: 8 March 2026).</w:t>
      </w:r>
    </w:p>
    <w:p w14:paraId="170714F2" w14:textId="14E83450" w:rsidR="00437017" w:rsidRPr="0017633D" w:rsidRDefault="00437017" w:rsidP="0017633D">
      <w:pPr>
        <w:spacing w:line="360" w:lineRule="auto"/>
        <w:jc w:val="both"/>
        <w:rPr>
          <w:rFonts w:ascii="Arial" w:hAnsi="Arial" w:cs="Arial"/>
        </w:rPr>
      </w:pPr>
      <w:r w:rsidRPr="0017633D">
        <w:rPr>
          <w:rFonts w:ascii="Arial" w:hAnsi="Arial" w:cs="Arial"/>
        </w:rPr>
        <w:t>World Health Organisation (2023). </w:t>
      </w:r>
      <w:r w:rsidRPr="0017633D">
        <w:rPr>
          <w:rFonts w:ascii="Arial" w:hAnsi="Arial" w:cs="Arial"/>
          <w:i/>
          <w:iCs/>
        </w:rPr>
        <w:t>Universal Health Coverage</w:t>
      </w:r>
      <w:r w:rsidRPr="0017633D">
        <w:rPr>
          <w:rFonts w:ascii="Arial" w:hAnsi="Arial" w:cs="Arial"/>
        </w:rPr>
        <w:t xml:space="preserve">. www.who.int. Available at: </w:t>
      </w:r>
      <w:hyperlink r:id="rId50" w:history="1">
        <w:r w:rsidRPr="0017633D">
          <w:rPr>
            <w:rStyle w:val="Hyperlink"/>
            <w:rFonts w:ascii="Arial" w:hAnsi="Arial" w:cs="Arial"/>
          </w:rPr>
          <w:t>https://www.who.int/data/gho/data/themes/universal-health-coverage</w:t>
        </w:r>
      </w:hyperlink>
      <w:r w:rsidRPr="0017633D">
        <w:rPr>
          <w:rFonts w:ascii="Arial" w:hAnsi="Arial" w:cs="Arial"/>
        </w:rPr>
        <w:t xml:space="preserve"> (Accessed: 5 March 2026).</w:t>
      </w:r>
    </w:p>
    <w:p w14:paraId="5C562319" w14:textId="3B5B5457" w:rsidR="00C40C37" w:rsidRPr="0017633D" w:rsidRDefault="00C40C37" w:rsidP="0017633D">
      <w:pPr>
        <w:spacing w:line="360" w:lineRule="auto"/>
        <w:jc w:val="both"/>
        <w:rPr>
          <w:rFonts w:ascii="Arial" w:hAnsi="Arial" w:cs="Arial"/>
        </w:rPr>
      </w:pPr>
      <w:r w:rsidRPr="0017633D">
        <w:rPr>
          <w:rFonts w:ascii="Arial" w:hAnsi="Arial" w:cs="Arial"/>
        </w:rPr>
        <w:t>World Health Organisation (2023). </w:t>
      </w:r>
      <w:r w:rsidRPr="0017633D">
        <w:rPr>
          <w:rFonts w:ascii="Arial" w:hAnsi="Arial" w:cs="Arial"/>
          <w:i/>
          <w:iCs/>
        </w:rPr>
        <w:t xml:space="preserve">SDG Target 3.4 </w:t>
      </w:r>
      <w:proofErr w:type="gramStart"/>
      <w:r w:rsidRPr="0017633D">
        <w:rPr>
          <w:rFonts w:ascii="Arial" w:hAnsi="Arial" w:cs="Arial"/>
          <w:i/>
          <w:iCs/>
        </w:rPr>
        <w:t>Non-communicable</w:t>
      </w:r>
      <w:proofErr w:type="gramEnd"/>
      <w:r w:rsidRPr="0017633D">
        <w:rPr>
          <w:rFonts w:ascii="Arial" w:hAnsi="Arial" w:cs="Arial"/>
          <w:i/>
          <w:iCs/>
        </w:rPr>
        <w:t xml:space="preserve"> diseases and mental health</w:t>
      </w:r>
      <w:r w:rsidRPr="0017633D">
        <w:rPr>
          <w:rFonts w:ascii="Arial" w:hAnsi="Arial" w:cs="Arial"/>
        </w:rPr>
        <w:t xml:space="preserve">. www.who.int. Available at: </w:t>
      </w:r>
      <w:hyperlink r:id="rId51" w:history="1">
        <w:r w:rsidRPr="0017633D">
          <w:rPr>
            <w:rStyle w:val="Hyperlink"/>
            <w:rFonts w:ascii="Arial" w:hAnsi="Arial" w:cs="Arial"/>
          </w:rPr>
          <w:t>https://www.who.int/data/gho/data/themes/topics/sdg-target-3_4-noncommunicable-diseases-and-mental-health</w:t>
        </w:r>
      </w:hyperlink>
      <w:r w:rsidRPr="0017633D">
        <w:rPr>
          <w:rFonts w:ascii="Arial" w:hAnsi="Arial" w:cs="Arial"/>
        </w:rPr>
        <w:t xml:space="preserve"> (Accessed: 5 March 2026).</w:t>
      </w:r>
    </w:p>
    <w:p w14:paraId="46FEF5F3" w14:textId="0E0A7980" w:rsidR="001B1E3A" w:rsidRPr="0017633D" w:rsidRDefault="001B1E3A" w:rsidP="0017633D">
      <w:pPr>
        <w:spacing w:line="360" w:lineRule="auto"/>
        <w:jc w:val="both"/>
        <w:rPr>
          <w:rFonts w:ascii="Arial" w:hAnsi="Arial" w:cs="Arial"/>
        </w:rPr>
      </w:pPr>
      <w:r w:rsidRPr="0017633D">
        <w:rPr>
          <w:rFonts w:ascii="Arial" w:hAnsi="Arial" w:cs="Arial"/>
        </w:rPr>
        <w:t>World Health Organisation (2025). </w:t>
      </w:r>
      <w:r w:rsidRPr="0017633D">
        <w:rPr>
          <w:rFonts w:ascii="Arial" w:hAnsi="Arial" w:cs="Arial"/>
          <w:i/>
          <w:iCs/>
        </w:rPr>
        <w:t>Social determinants of health</w:t>
      </w:r>
      <w:r w:rsidRPr="0017633D">
        <w:rPr>
          <w:rFonts w:ascii="Arial" w:hAnsi="Arial" w:cs="Arial"/>
        </w:rPr>
        <w:t xml:space="preserve">. World Health Organisation. Available at: </w:t>
      </w:r>
      <w:hyperlink r:id="rId52" w:history="1">
        <w:r w:rsidRPr="0017633D">
          <w:rPr>
            <w:rStyle w:val="Hyperlink"/>
            <w:rFonts w:ascii="Arial" w:hAnsi="Arial" w:cs="Arial"/>
          </w:rPr>
          <w:t>https://www.who.int/news-room/fact-sheets/detail/social-determinants-of-health</w:t>
        </w:r>
      </w:hyperlink>
      <w:r w:rsidRPr="0017633D">
        <w:rPr>
          <w:rFonts w:ascii="Arial" w:hAnsi="Arial" w:cs="Arial"/>
        </w:rPr>
        <w:t xml:space="preserve"> (Accessed: 22 March 2026).</w:t>
      </w:r>
    </w:p>
    <w:p w14:paraId="1BA34B2A" w14:textId="35B58E21" w:rsidR="00D13E79" w:rsidRPr="00634C21" w:rsidRDefault="00D13E79" w:rsidP="0017633D">
      <w:pPr>
        <w:spacing w:line="360" w:lineRule="auto"/>
        <w:jc w:val="both"/>
        <w:rPr>
          <w:rFonts w:ascii="Arial" w:hAnsi="Arial" w:cs="Arial"/>
        </w:rPr>
      </w:pPr>
      <w:r w:rsidRPr="0017633D">
        <w:rPr>
          <w:rFonts w:ascii="Arial" w:hAnsi="Arial" w:cs="Arial"/>
        </w:rPr>
        <w:t xml:space="preserve">Wu, W., Liao, H. and Yang, X. (2024) </w:t>
      </w:r>
      <w:r w:rsidR="00AB0004" w:rsidRPr="0017633D">
        <w:rPr>
          <w:rFonts w:ascii="Arial" w:hAnsi="Arial" w:cs="Arial"/>
        </w:rPr>
        <w:t>‘</w:t>
      </w:r>
      <w:r w:rsidRPr="0017633D">
        <w:rPr>
          <w:rFonts w:ascii="Arial" w:hAnsi="Arial" w:cs="Arial"/>
        </w:rPr>
        <w:t>Education disrupts the intergenerational transmission of health disadvantage across three generations in China,</w:t>
      </w:r>
      <w:r w:rsidR="00AB0004" w:rsidRPr="0017633D">
        <w:rPr>
          <w:rFonts w:ascii="Arial" w:hAnsi="Arial" w:cs="Arial"/>
        </w:rPr>
        <w:t>'</w:t>
      </w:r>
      <w:r w:rsidRPr="0017633D">
        <w:rPr>
          <w:rFonts w:ascii="Arial" w:hAnsi="Arial" w:cs="Arial"/>
        </w:rPr>
        <w:t> </w:t>
      </w:r>
      <w:proofErr w:type="spellStart"/>
      <w:r w:rsidRPr="0017633D">
        <w:rPr>
          <w:rFonts w:ascii="Arial" w:hAnsi="Arial" w:cs="Arial"/>
          <w:i/>
          <w:iCs/>
        </w:rPr>
        <w:t>PloS</w:t>
      </w:r>
      <w:proofErr w:type="spellEnd"/>
      <w:r w:rsidRPr="0017633D">
        <w:rPr>
          <w:rFonts w:ascii="Arial" w:hAnsi="Arial" w:cs="Arial"/>
          <w:i/>
          <w:iCs/>
        </w:rPr>
        <w:t xml:space="preserve"> </w:t>
      </w:r>
      <w:r w:rsidR="00BA5EAA" w:rsidRPr="0017633D">
        <w:rPr>
          <w:rFonts w:ascii="Arial" w:hAnsi="Arial" w:cs="Arial"/>
          <w:i/>
          <w:iCs/>
        </w:rPr>
        <w:t>O</w:t>
      </w:r>
      <w:r w:rsidRPr="0017633D">
        <w:rPr>
          <w:rFonts w:ascii="Arial" w:hAnsi="Arial" w:cs="Arial"/>
          <w:i/>
          <w:iCs/>
        </w:rPr>
        <w:t>ne</w:t>
      </w:r>
      <w:r w:rsidRPr="0017633D">
        <w:rPr>
          <w:rFonts w:ascii="Arial" w:hAnsi="Arial" w:cs="Arial"/>
        </w:rPr>
        <w:t xml:space="preserve">, 19(6), p. e0302963. Available at: </w:t>
      </w:r>
      <w:hyperlink r:id="rId53" w:history="1">
        <w:r w:rsidRPr="0017633D">
          <w:rPr>
            <w:rStyle w:val="Hyperlink"/>
            <w:rFonts w:ascii="Arial" w:hAnsi="Arial" w:cs="Arial"/>
          </w:rPr>
          <w:t>https://doi.org/10.1371/journal.pone.0302963</w:t>
        </w:r>
      </w:hyperlink>
      <w:r w:rsidRPr="00634C21">
        <w:rPr>
          <w:rFonts w:ascii="Arial" w:hAnsi="Arial" w:cs="Arial"/>
        </w:rPr>
        <w:t xml:space="preserve"> </w:t>
      </w:r>
    </w:p>
    <w:sectPr w:rsidR="00D13E79" w:rsidRPr="00634C21" w:rsidSect="0088459F">
      <w:footerReference w:type="default" r:id="rId5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98D844" w14:textId="77777777" w:rsidR="00BB560F" w:rsidRDefault="00BB560F" w:rsidP="0088459F">
      <w:pPr>
        <w:spacing w:after="0" w:line="240" w:lineRule="auto"/>
      </w:pPr>
      <w:r>
        <w:separator/>
      </w:r>
    </w:p>
  </w:endnote>
  <w:endnote w:type="continuationSeparator" w:id="0">
    <w:p w14:paraId="2771FB3D" w14:textId="77777777" w:rsidR="00BB560F" w:rsidRDefault="00BB560F" w:rsidP="008845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3222906"/>
      <w:docPartObj>
        <w:docPartGallery w:val="Page Numbers (Bottom of Page)"/>
        <w:docPartUnique/>
      </w:docPartObj>
    </w:sdtPr>
    <w:sdtEndPr>
      <w:rPr>
        <w:noProof/>
      </w:rPr>
    </w:sdtEndPr>
    <w:sdtContent>
      <w:p w14:paraId="2CF02D21" w14:textId="3DDA357F" w:rsidR="0088459F" w:rsidRDefault="0088459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5619B9" w14:textId="77777777" w:rsidR="0088459F" w:rsidRDefault="008845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C3DC9C" w14:textId="77777777" w:rsidR="00BB560F" w:rsidRDefault="00BB560F" w:rsidP="0088459F">
      <w:pPr>
        <w:spacing w:after="0" w:line="240" w:lineRule="auto"/>
      </w:pPr>
      <w:r>
        <w:separator/>
      </w:r>
    </w:p>
  </w:footnote>
  <w:footnote w:type="continuationSeparator" w:id="0">
    <w:p w14:paraId="27FC0007" w14:textId="77777777" w:rsidR="00BB560F" w:rsidRDefault="00BB560F" w:rsidP="0088459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C72"/>
    <w:rsid w:val="0000039A"/>
    <w:rsid w:val="00011D14"/>
    <w:rsid w:val="000332BE"/>
    <w:rsid w:val="000601EF"/>
    <w:rsid w:val="00071580"/>
    <w:rsid w:val="00075F02"/>
    <w:rsid w:val="00086C50"/>
    <w:rsid w:val="00093FBF"/>
    <w:rsid w:val="000B0A7A"/>
    <w:rsid w:val="000B3C7C"/>
    <w:rsid w:val="000E04FF"/>
    <w:rsid w:val="000E5787"/>
    <w:rsid w:val="000E7A86"/>
    <w:rsid w:val="000F2A86"/>
    <w:rsid w:val="00103807"/>
    <w:rsid w:val="00111208"/>
    <w:rsid w:val="00111404"/>
    <w:rsid w:val="001168FD"/>
    <w:rsid w:val="00130131"/>
    <w:rsid w:val="0014096D"/>
    <w:rsid w:val="001426E3"/>
    <w:rsid w:val="001755D5"/>
    <w:rsid w:val="0017633D"/>
    <w:rsid w:val="00181926"/>
    <w:rsid w:val="001A61FE"/>
    <w:rsid w:val="001A6754"/>
    <w:rsid w:val="001A781B"/>
    <w:rsid w:val="001B0F2C"/>
    <w:rsid w:val="001B1E3A"/>
    <w:rsid w:val="001B56C1"/>
    <w:rsid w:val="001C2E55"/>
    <w:rsid w:val="001D19E9"/>
    <w:rsid w:val="001D2083"/>
    <w:rsid w:val="001D7D11"/>
    <w:rsid w:val="001E5803"/>
    <w:rsid w:val="001E7F21"/>
    <w:rsid w:val="001F1886"/>
    <w:rsid w:val="001F21C4"/>
    <w:rsid w:val="00200769"/>
    <w:rsid w:val="002101F4"/>
    <w:rsid w:val="0021066B"/>
    <w:rsid w:val="0021360F"/>
    <w:rsid w:val="0022193B"/>
    <w:rsid w:val="00232EC3"/>
    <w:rsid w:val="00243E67"/>
    <w:rsid w:val="00246092"/>
    <w:rsid w:val="00247A9E"/>
    <w:rsid w:val="00255705"/>
    <w:rsid w:val="00261FA8"/>
    <w:rsid w:val="00265836"/>
    <w:rsid w:val="002701E7"/>
    <w:rsid w:val="00291F17"/>
    <w:rsid w:val="002A5828"/>
    <w:rsid w:val="002C5874"/>
    <w:rsid w:val="002D40A2"/>
    <w:rsid w:val="002E14D5"/>
    <w:rsid w:val="002E3264"/>
    <w:rsid w:val="002F4556"/>
    <w:rsid w:val="0030311A"/>
    <w:rsid w:val="003252F6"/>
    <w:rsid w:val="00330336"/>
    <w:rsid w:val="00340C33"/>
    <w:rsid w:val="00347BE2"/>
    <w:rsid w:val="00351040"/>
    <w:rsid w:val="00351E28"/>
    <w:rsid w:val="00354D7A"/>
    <w:rsid w:val="00360B88"/>
    <w:rsid w:val="00362E2C"/>
    <w:rsid w:val="003649D1"/>
    <w:rsid w:val="0036700C"/>
    <w:rsid w:val="00385C6A"/>
    <w:rsid w:val="003B0912"/>
    <w:rsid w:val="003C1828"/>
    <w:rsid w:val="003C4C33"/>
    <w:rsid w:val="003F1FD9"/>
    <w:rsid w:val="00400D1D"/>
    <w:rsid w:val="00407476"/>
    <w:rsid w:val="00437017"/>
    <w:rsid w:val="004570D1"/>
    <w:rsid w:val="00477AE7"/>
    <w:rsid w:val="00490A17"/>
    <w:rsid w:val="004979D6"/>
    <w:rsid w:val="004A6200"/>
    <w:rsid w:val="004C1A67"/>
    <w:rsid w:val="004E4F0D"/>
    <w:rsid w:val="004F33C9"/>
    <w:rsid w:val="004F4402"/>
    <w:rsid w:val="005051A4"/>
    <w:rsid w:val="00512CFF"/>
    <w:rsid w:val="00525A90"/>
    <w:rsid w:val="0052737B"/>
    <w:rsid w:val="005319AA"/>
    <w:rsid w:val="005423E5"/>
    <w:rsid w:val="00543CDB"/>
    <w:rsid w:val="0055120E"/>
    <w:rsid w:val="00551C5C"/>
    <w:rsid w:val="005675F7"/>
    <w:rsid w:val="00574BEA"/>
    <w:rsid w:val="005A415B"/>
    <w:rsid w:val="005E299B"/>
    <w:rsid w:val="005E489A"/>
    <w:rsid w:val="005E4B70"/>
    <w:rsid w:val="005E761A"/>
    <w:rsid w:val="005F0470"/>
    <w:rsid w:val="006059D4"/>
    <w:rsid w:val="006122CD"/>
    <w:rsid w:val="00631009"/>
    <w:rsid w:val="00634C21"/>
    <w:rsid w:val="00642D37"/>
    <w:rsid w:val="00656A08"/>
    <w:rsid w:val="00664E66"/>
    <w:rsid w:val="00672F58"/>
    <w:rsid w:val="0067557B"/>
    <w:rsid w:val="00680535"/>
    <w:rsid w:val="00683BE2"/>
    <w:rsid w:val="00696710"/>
    <w:rsid w:val="006A2833"/>
    <w:rsid w:val="006B5CC2"/>
    <w:rsid w:val="006B60E3"/>
    <w:rsid w:val="006B6A33"/>
    <w:rsid w:val="006B788E"/>
    <w:rsid w:val="006D31CA"/>
    <w:rsid w:val="006D4A76"/>
    <w:rsid w:val="006E1CD0"/>
    <w:rsid w:val="006E556B"/>
    <w:rsid w:val="006E5CAB"/>
    <w:rsid w:val="006E6C3B"/>
    <w:rsid w:val="006E7A5D"/>
    <w:rsid w:val="007008A4"/>
    <w:rsid w:val="00700BC5"/>
    <w:rsid w:val="00713431"/>
    <w:rsid w:val="00714FB6"/>
    <w:rsid w:val="00722D81"/>
    <w:rsid w:val="00746340"/>
    <w:rsid w:val="00762213"/>
    <w:rsid w:val="0076359D"/>
    <w:rsid w:val="007922AF"/>
    <w:rsid w:val="007C1939"/>
    <w:rsid w:val="007C2E3A"/>
    <w:rsid w:val="007C4850"/>
    <w:rsid w:val="0083137E"/>
    <w:rsid w:val="008316C1"/>
    <w:rsid w:val="008564A0"/>
    <w:rsid w:val="00863F4F"/>
    <w:rsid w:val="00874CBF"/>
    <w:rsid w:val="00876A84"/>
    <w:rsid w:val="00881A29"/>
    <w:rsid w:val="0088448F"/>
    <w:rsid w:val="0088459F"/>
    <w:rsid w:val="0089074C"/>
    <w:rsid w:val="00896620"/>
    <w:rsid w:val="008A1412"/>
    <w:rsid w:val="008A14B5"/>
    <w:rsid w:val="008B59A2"/>
    <w:rsid w:val="0090298B"/>
    <w:rsid w:val="00905948"/>
    <w:rsid w:val="00923310"/>
    <w:rsid w:val="00934F10"/>
    <w:rsid w:val="0096172E"/>
    <w:rsid w:val="00970D7F"/>
    <w:rsid w:val="00974756"/>
    <w:rsid w:val="00984AAF"/>
    <w:rsid w:val="0098534B"/>
    <w:rsid w:val="00997CC0"/>
    <w:rsid w:val="009A23EB"/>
    <w:rsid w:val="009A3CB8"/>
    <w:rsid w:val="009C430E"/>
    <w:rsid w:val="009C4E35"/>
    <w:rsid w:val="009D1B74"/>
    <w:rsid w:val="009E518A"/>
    <w:rsid w:val="00A01609"/>
    <w:rsid w:val="00A17C72"/>
    <w:rsid w:val="00A26084"/>
    <w:rsid w:val="00A73FBA"/>
    <w:rsid w:val="00A808CA"/>
    <w:rsid w:val="00A81140"/>
    <w:rsid w:val="00A8768D"/>
    <w:rsid w:val="00A92995"/>
    <w:rsid w:val="00AB0004"/>
    <w:rsid w:val="00AB39ED"/>
    <w:rsid w:val="00AB3A7E"/>
    <w:rsid w:val="00AB5F41"/>
    <w:rsid w:val="00AB61D7"/>
    <w:rsid w:val="00AB7F81"/>
    <w:rsid w:val="00AD6BFC"/>
    <w:rsid w:val="00AE0AE3"/>
    <w:rsid w:val="00B03135"/>
    <w:rsid w:val="00B05B9C"/>
    <w:rsid w:val="00B16402"/>
    <w:rsid w:val="00B317D0"/>
    <w:rsid w:val="00B3705A"/>
    <w:rsid w:val="00B54396"/>
    <w:rsid w:val="00B65C84"/>
    <w:rsid w:val="00B8434E"/>
    <w:rsid w:val="00B94E94"/>
    <w:rsid w:val="00B96DE6"/>
    <w:rsid w:val="00B97C37"/>
    <w:rsid w:val="00BA4F99"/>
    <w:rsid w:val="00BA5EAA"/>
    <w:rsid w:val="00BB560F"/>
    <w:rsid w:val="00BD2A08"/>
    <w:rsid w:val="00BE5950"/>
    <w:rsid w:val="00BF0D77"/>
    <w:rsid w:val="00BF42DF"/>
    <w:rsid w:val="00C2612D"/>
    <w:rsid w:val="00C40C37"/>
    <w:rsid w:val="00C87172"/>
    <w:rsid w:val="00C92342"/>
    <w:rsid w:val="00C94743"/>
    <w:rsid w:val="00C95791"/>
    <w:rsid w:val="00CA4BAF"/>
    <w:rsid w:val="00CA6CC0"/>
    <w:rsid w:val="00CC458A"/>
    <w:rsid w:val="00CD3D11"/>
    <w:rsid w:val="00CE1154"/>
    <w:rsid w:val="00CE7F2A"/>
    <w:rsid w:val="00CF527C"/>
    <w:rsid w:val="00CF74DB"/>
    <w:rsid w:val="00D13E79"/>
    <w:rsid w:val="00D24540"/>
    <w:rsid w:val="00D3154D"/>
    <w:rsid w:val="00D31A23"/>
    <w:rsid w:val="00D4380B"/>
    <w:rsid w:val="00D55C65"/>
    <w:rsid w:val="00D72577"/>
    <w:rsid w:val="00D8244F"/>
    <w:rsid w:val="00D93797"/>
    <w:rsid w:val="00DA4EEF"/>
    <w:rsid w:val="00DB1C5B"/>
    <w:rsid w:val="00DB2030"/>
    <w:rsid w:val="00DB2165"/>
    <w:rsid w:val="00DB60B9"/>
    <w:rsid w:val="00DC26A4"/>
    <w:rsid w:val="00DC2D56"/>
    <w:rsid w:val="00DD3119"/>
    <w:rsid w:val="00DE66B9"/>
    <w:rsid w:val="00DE6D9A"/>
    <w:rsid w:val="00E1654C"/>
    <w:rsid w:val="00E27D86"/>
    <w:rsid w:val="00E35F08"/>
    <w:rsid w:val="00E43E40"/>
    <w:rsid w:val="00E43F06"/>
    <w:rsid w:val="00E65230"/>
    <w:rsid w:val="00E67A13"/>
    <w:rsid w:val="00EB27E5"/>
    <w:rsid w:val="00EB4BEA"/>
    <w:rsid w:val="00EC3714"/>
    <w:rsid w:val="00EE2CAD"/>
    <w:rsid w:val="00EF7D0B"/>
    <w:rsid w:val="00EF7DF2"/>
    <w:rsid w:val="00F11BB3"/>
    <w:rsid w:val="00F12AB9"/>
    <w:rsid w:val="00F25A9E"/>
    <w:rsid w:val="00F41FC9"/>
    <w:rsid w:val="00F460A5"/>
    <w:rsid w:val="00F51AB3"/>
    <w:rsid w:val="00F90237"/>
    <w:rsid w:val="00FA1DB5"/>
    <w:rsid w:val="00FD75F8"/>
    <w:rsid w:val="00FE22CC"/>
    <w:rsid w:val="00FE3190"/>
    <w:rsid w:val="00FE4A14"/>
    <w:rsid w:val="00FF1266"/>
    <w:rsid w:val="00FF50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9D6C7"/>
  <w15:chartTrackingRefBased/>
  <w15:docId w15:val="{45F349C1-3485-4075-9219-BDF926538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7C72"/>
  </w:style>
  <w:style w:type="paragraph" w:styleId="Heading1">
    <w:name w:val="heading 1"/>
    <w:basedOn w:val="Normal"/>
    <w:next w:val="Normal"/>
    <w:link w:val="Heading1Char"/>
    <w:uiPriority w:val="9"/>
    <w:qFormat/>
    <w:rsid w:val="00A17C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7C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7C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7C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7C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7C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7C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7C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7C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7C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7C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7C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7C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7C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7C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7C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7C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7C72"/>
    <w:rPr>
      <w:rFonts w:eastAsiaTheme="majorEastAsia" w:cstheme="majorBidi"/>
      <w:color w:val="272727" w:themeColor="text1" w:themeTint="D8"/>
    </w:rPr>
  </w:style>
  <w:style w:type="paragraph" w:styleId="Title">
    <w:name w:val="Title"/>
    <w:basedOn w:val="Normal"/>
    <w:next w:val="Normal"/>
    <w:link w:val="TitleChar"/>
    <w:uiPriority w:val="10"/>
    <w:qFormat/>
    <w:rsid w:val="00A17C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7C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7C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7C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7C72"/>
    <w:pPr>
      <w:spacing w:before="160"/>
      <w:jc w:val="center"/>
    </w:pPr>
    <w:rPr>
      <w:i/>
      <w:iCs/>
      <w:color w:val="404040" w:themeColor="text1" w:themeTint="BF"/>
    </w:rPr>
  </w:style>
  <w:style w:type="character" w:customStyle="1" w:styleId="QuoteChar">
    <w:name w:val="Quote Char"/>
    <w:basedOn w:val="DefaultParagraphFont"/>
    <w:link w:val="Quote"/>
    <w:uiPriority w:val="29"/>
    <w:rsid w:val="00A17C72"/>
    <w:rPr>
      <w:i/>
      <w:iCs/>
      <w:color w:val="404040" w:themeColor="text1" w:themeTint="BF"/>
    </w:rPr>
  </w:style>
  <w:style w:type="paragraph" w:styleId="ListParagraph">
    <w:name w:val="List Paragraph"/>
    <w:basedOn w:val="Normal"/>
    <w:uiPriority w:val="34"/>
    <w:qFormat/>
    <w:rsid w:val="00A17C72"/>
    <w:pPr>
      <w:ind w:left="720"/>
      <w:contextualSpacing/>
    </w:pPr>
  </w:style>
  <w:style w:type="character" w:styleId="IntenseEmphasis">
    <w:name w:val="Intense Emphasis"/>
    <w:basedOn w:val="DefaultParagraphFont"/>
    <w:uiPriority w:val="21"/>
    <w:qFormat/>
    <w:rsid w:val="00A17C72"/>
    <w:rPr>
      <w:i/>
      <w:iCs/>
      <w:color w:val="0F4761" w:themeColor="accent1" w:themeShade="BF"/>
    </w:rPr>
  </w:style>
  <w:style w:type="paragraph" w:styleId="IntenseQuote">
    <w:name w:val="Intense Quote"/>
    <w:basedOn w:val="Normal"/>
    <w:next w:val="Normal"/>
    <w:link w:val="IntenseQuoteChar"/>
    <w:uiPriority w:val="30"/>
    <w:qFormat/>
    <w:rsid w:val="00A17C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7C72"/>
    <w:rPr>
      <w:i/>
      <w:iCs/>
      <w:color w:val="0F4761" w:themeColor="accent1" w:themeShade="BF"/>
    </w:rPr>
  </w:style>
  <w:style w:type="character" w:styleId="IntenseReference">
    <w:name w:val="Intense Reference"/>
    <w:basedOn w:val="DefaultParagraphFont"/>
    <w:uiPriority w:val="32"/>
    <w:qFormat/>
    <w:rsid w:val="00A17C72"/>
    <w:rPr>
      <w:b/>
      <w:bCs/>
      <w:smallCaps/>
      <w:color w:val="0F4761" w:themeColor="accent1" w:themeShade="BF"/>
      <w:spacing w:val="5"/>
    </w:rPr>
  </w:style>
  <w:style w:type="paragraph" w:styleId="Header">
    <w:name w:val="header"/>
    <w:basedOn w:val="Normal"/>
    <w:link w:val="HeaderChar"/>
    <w:uiPriority w:val="99"/>
    <w:unhideWhenUsed/>
    <w:rsid w:val="008845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459F"/>
  </w:style>
  <w:style w:type="paragraph" w:styleId="Footer">
    <w:name w:val="footer"/>
    <w:basedOn w:val="Normal"/>
    <w:link w:val="FooterChar"/>
    <w:uiPriority w:val="99"/>
    <w:unhideWhenUsed/>
    <w:rsid w:val="008845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459F"/>
  </w:style>
  <w:style w:type="character" w:styleId="Hyperlink">
    <w:name w:val="Hyperlink"/>
    <w:basedOn w:val="DefaultParagraphFont"/>
    <w:uiPriority w:val="99"/>
    <w:unhideWhenUsed/>
    <w:rsid w:val="002D40A2"/>
    <w:rPr>
      <w:color w:val="467886" w:themeColor="hyperlink"/>
      <w:u w:val="single"/>
    </w:rPr>
  </w:style>
  <w:style w:type="character" w:styleId="UnresolvedMention">
    <w:name w:val="Unresolved Mention"/>
    <w:basedOn w:val="DefaultParagraphFont"/>
    <w:uiPriority w:val="99"/>
    <w:semiHidden/>
    <w:unhideWhenUsed/>
    <w:rsid w:val="002D40A2"/>
    <w:rPr>
      <w:color w:val="605E5C"/>
      <w:shd w:val="clear" w:color="auto" w:fill="E1DFDD"/>
    </w:rPr>
  </w:style>
  <w:style w:type="character" w:styleId="CommentReference">
    <w:name w:val="annotation reference"/>
    <w:basedOn w:val="DefaultParagraphFont"/>
    <w:uiPriority w:val="99"/>
    <w:semiHidden/>
    <w:unhideWhenUsed/>
    <w:rsid w:val="00A808CA"/>
    <w:rPr>
      <w:sz w:val="16"/>
      <w:szCs w:val="16"/>
    </w:rPr>
  </w:style>
  <w:style w:type="paragraph" w:styleId="CommentText">
    <w:name w:val="annotation text"/>
    <w:basedOn w:val="Normal"/>
    <w:link w:val="CommentTextChar"/>
    <w:uiPriority w:val="99"/>
    <w:unhideWhenUsed/>
    <w:rsid w:val="00A808CA"/>
    <w:pPr>
      <w:spacing w:line="240" w:lineRule="auto"/>
    </w:pPr>
    <w:rPr>
      <w:sz w:val="20"/>
      <w:szCs w:val="20"/>
    </w:rPr>
  </w:style>
  <w:style w:type="character" w:customStyle="1" w:styleId="CommentTextChar">
    <w:name w:val="Comment Text Char"/>
    <w:basedOn w:val="DefaultParagraphFont"/>
    <w:link w:val="CommentText"/>
    <w:uiPriority w:val="99"/>
    <w:rsid w:val="00A808CA"/>
    <w:rPr>
      <w:sz w:val="20"/>
      <w:szCs w:val="20"/>
    </w:rPr>
  </w:style>
  <w:style w:type="paragraph" w:styleId="CommentSubject">
    <w:name w:val="annotation subject"/>
    <w:basedOn w:val="CommentText"/>
    <w:next w:val="CommentText"/>
    <w:link w:val="CommentSubjectChar"/>
    <w:uiPriority w:val="99"/>
    <w:semiHidden/>
    <w:unhideWhenUsed/>
    <w:rsid w:val="00A808CA"/>
    <w:rPr>
      <w:b/>
      <w:bCs/>
    </w:rPr>
  </w:style>
  <w:style w:type="character" w:customStyle="1" w:styleId="CommentSubjectChar">
    <w:name w:val="Comment Subject Char"/>
    <w:basedOn w:val="CommentTextChar"/>
    <w:link w:val="CommentSubject"/>
    <w:uiPriority w:val="99"/>
    <w:semiHidden/>
    <w:rsid w:val="00A808CA"/>
    <w:rPr>
      <w:b/>
      <w:bCs/>
      <w:sz w:val="20"/>
      <w:szCs w:val="20"/>
    </w:rPr>
  </w:style>
  <w:style w:type="paragraph" w:styleId="TOCHeading">
    <w:name w:val="TOC Heading"/>
    <w:basedOn w:val="Heading1"/>
    <w:next w:val="Normal"/>
    <w:uiPriority w:val="39"/>
    <w:unhideWhenUsed/>
    <w:qFormat/>
    <w:rsid w:val="00B65C8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65C84"/>
    <w:pPr>
      <w:tabs>
        <w:tab w:val="right" w:leader="dot" w:pos="9016"/>
      </w:tabs>
      <w:spacing w:after="100"/>
    </w:pPr>
    <w:rPr>
      <w:rFonts w:ascii="Arial" w:hAnsi="Arial" w:cs="Arial"/>
      <w:b/>
      <w:bCs/>
      <w:noProof/>
    </w:rPr>
  </w:style>
  <w:style w:type="character" w:styleId="FollowedHyperlink">
    <w:name w:val="FollowedHyperlink"/>
    <w:basedOn w:val="DefaultParagraphFont"/>
    <w:uiPriority w:val="99"/>
    <w:semiHidden/>
    <w:unhideWhenUsed/>
    <w:rsid w:val="0033033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93/eurpub/ckad160.591" TargetMode="External"/><Relationship Id="rId18" Type="http://schemas.openxmlformats.org/officeDocument/2006/relationships/hyperlink" Target="https://doi.org/10.3390/su17072908" TargetMode="External"/><Relationship Id="rId26" Type="http://schemas.openxmlformats.org/officeDocument/2006/relationships/hyperlink" Target="https://doi.org/10.1186/s12982-025-00875-1" TargetMode="External"/><Relationship Id="rId39" Type="http://schemas.openxmlformats.org/officeDocument/2006/relationships/hyperlink" Target="https://doi.org/10.1080/07352166.2024.2320901" TargetMode="External"/><Relationship Id="rId21" Type="http://schemas.openxmlformats.org/officeDocument/2006/relationships/hyperlink" Target="https://doi.org/10.1093/eurpub/ckaf161.306" TargetMode="External"/><Relationship Id="rId34" Type="http://schemas.openxmlformats.org/officeDocument/2006/relationships/hyperlink" Target="https://doi.org/10.1007/s40847-022-00185-1" TargetMode="External"/><Relationship Id="rId42" Type="http://schemas.openxmlformats.org/officeDocument/2006/relationships/hyperlink" Target="https://doi.org/10.1192/bja.2020.3" TargetMode="External"/><Relationship Id="rId47" Type="http://schemas.openxmlformats.org/officeDocument/2006/relationships/hyperlink" Target="https://doi.org/10.1136/bmjopen-2021-057187" TargetMode="External"/><Relationship Id="rId50" Type="http://schemas.openxmlformats.org/officeDocument/2006/relationships/hyperlink" Target="https://www.who.int/data/gho/data/themes/universal-health-coverage" TargetMode="External"/><Relationship Id="rId55"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186/s12961-022-00843-0" TargetMode="External"/><Relationship Id="rId29" Type="http://schemas.openxmlformats.org/officeDocument/2006/relationships/hyperlink" Target="https://doi.org/10.3390/w13091321" TargetMode="External"/><Relationship Id="rId11" Type="http://schemas.openxmlformats.org/officeDocument/2006/relationships/hyperlink" Target="https://doi.org/10.3390/healthcare13080857" TargetMode="External"/><Relationship Id="rId24" Type="http://schemas.openxmlformats.org/officeDocument/2006/relationships/hyperlink" Target="https://doi.org/10.7554/eLife.59437" TargetMode="External"/><Relationship Id="rId32" Type="http://schemas.openxmlformats.org/officeDocument/2006/relationships/hyperlink" Target="https://doi.org/10.3389/phrs.2024.1606862" TargetMode="External"/><Relationship Id="rId37" Type="http://schemas.openxmlformats.org/officeDocument/2006/relationships/hyperlink" Target="https://doi.org/10.1136/bmjgh-2021-007721" TargetMode="External"/><Relationship Id="rId40" Type="http://schemas.openxmlformats.org/officeDocument/2006/relationships/hyperlink" Target="https://doi.org/10.38159/ehass.202451659" TargetMode="External"/><Relationship Id="rId45" Type="http://schemas.openxmlformats.org/officeDocument/2006/relationships/hyperlink" Target="https://www.un.org/sustainabledevelopment/inequality/" TargetMode="External"/><Relationship Id="rId53" Type="http://schemas.openxmlformats.org/officeDocument/2006/relationships/hyperlink" Target="https://doi.org/10.1371/journal.pone.0302963" TargetMode="External"/><Relationship Id="rId5" Type="http://schemas.openxmlformats.org/officeDocument/2006/relationships/footnotes" Target="footnotes.xml"/><Relationship Id="rId10" Type="http://schemas.openxmlformats.org/officeDocument/2006/relationships/hyperlink" Target="https://doi.org/10.1057/s41271-023-00433-6" TargetMode="External"/><Relationship Id="rId19" Type="http://schemas.openxmlformats.org/officeDocument/2006/relationships/hyperlink" Target="https://doi.org/10.1007/s11606-023-08426-7" TargetMode="External"/><Relationship Id="rId31" Type="http://schemas.openxmlformats.org/officeDocument/2006/relationships/hyperlink" Target="https://doi.org/10.1007/s00127-021-02211-9" TargetMode="External"/><Relationship Id="rId44" Type="http://schemas.openxmlformats.org/officeDocument/2006/relationships/hyperlink" Target="https://doi.org/10.46747/cfp.690281" TargetMode="External"/><Relationship Id="rId52" Type="http://schemas.openxmlformats.org/officeDocument/2006/relationships/hyperlink" Target="https://www.who.int/news-room/fact-sheets/detail/social-determinants-of-health" TargetMode="External"/><Relationship Id="rId4" Type="http://schemas.openxmlformats.org/officeDocument/2006/relationships/webSettings" Target="webSettings.xml"/><Relationship Id="rId9" Type="http://schemas.openxmlformats.org/officeDocument/2006/relationships/hyperlink" Target="https://doi.org/10.35845/kmuj.2024.23761" TargetMode="External"/><Relationship Id="rId14" Type="http://schemas.openxmlformats.org/officeDocument/2006/relationships/hyperlink" Target="https://doi.org/10.37526/1526-744X.2021.48.2.131" TargetMode="External"/><Relationship Id="rId22" Type="http://schemas.openxmlformats.org/officeDocument/2006/relationships/hyperlink" Target="https://doi.org/10.1093/cjres/rsaa039" TargetMode="External"/><Relationship Id="rId27" Type="http://schemas.openxmlformats.org/officeDocument/2006/relationships/hyperlink" Target="https://doi.org/10.1002/rev3.3246" TargetMode="External"/><Relationship Id="rId30" Type="http://schemas.openxmlformats.org/officeDocument/2006/relationships/hyperlink" Target="https://doi.org/10.1017/9781009236867" TargetMode="External"/><Relationship Id="rId35" Type="http://schemas.openxmlformats.org/officeDocument/2006/relationships/hyperlink" Target="https://doi.org/10.1001/jamahealthforum.2023.4463" TargetMode="External"/><Relationship Id="rId43" Type="http://schemas.openxmlformats.org/officeDocument/2006/relationships/hyperlink" Target="https://doi.org/10.25500/epapers.bham.00004401" TargetMode="External"/><Relationship Id="rId48" Type="http://schemas.openxmlformats.org/officeDocument/2006/relationships/hyperlink" Target="https://www.who.int/europe/about-us/our-work/sustainable-development-goals/targets-of-sustainable-development-goal-3" TargetMode="External"/><Relationship Id="rId56" Type="http://schemas.openxmlformats.org/officeDocument/2006/relationships/theme" Target="theme/theme1.xml"/><Relationship Id="rId8" Type="http://schemas.openxmlformats.org/officeDocument/2006/relationships/image" Target="cid:image001.png@01D0EA4A.2BD679A0" TargetMode="External"/><Relationship Id="rId51" Type="http://schemas.openxmlformats.org/officeDocument/2006/relationships/hyperlink" Target="https://www.who.int/data/gho/data/themes/topics/sdg-target-3_4-noncommunicable-diseases-and-mental-health" TargetMode="External"/><Relationship Id="rId3" Type="http://schemas.openxmlformats.org/officeDocument/2006/relationships/settings" Target="settings.xml"/><Relationship Id="rId12" Type="http://schemas.openxmlformats.org/officeDocument/2006/relationships/hyperlink" Target="https://doi.org/10.1136/bmjopen-2025-105390" TargetMode="External"/><Relationship Id="rId17" Type="http://schemas.openxmlformats.org/officeDocument/2006/relationships/hyperlink" Target="https://www.gov.uk/government/publications/levelling-up-the-united-kingdom" TargetMode="External"/><Relationship Id="rId25" Type="http://schemas.openxmlformats.org/officeDocument/2006/relationships/hyperlink" Target="https://doi.org/10.1353/hpu.2022.0062" TargetMode="External"/><Relationship Id="rId33" Type="http://schemas.openxmlformats.org/officeDocument/2006/relationships/hyperlink" Target="https://doi.org/10.1093/eurpub/ckaf161.255" TargetMode="External"/><Relationship Id="rId38" Type="http://schemas.openxmlformats.org/officeDocument/2006/relationships/hyperlink" Target="https://doi.org/10.3390/su13179560" TargetMode="External"/><Relationship Id="rId46" Type="http://schemas.openxmlformats.org/officeDocument/2006/relationships/hyperlink" Target="https://doi.org/10.3399/bjgp23X734925" TargetMode="External"/><Relationship Id="rId20" Type="http://schemas.openxmlformats.org/officeDocument/2006/relationships/hyperlink" Target="https://doi.org/10.1370/afm.21.s1.3657" TargetMode="External"/><Relationship Id="rId41" Type="http://schemas.openxmlformats.org/officeDocument/2006/relationships/hyperlink" Target="https://doi.org/10.1093/oso/9780197759745.001.0001"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doi.org/10.1093/eurpub/ckaf161.466" TargetMode="External"/><Relationship Id="rId23" Type="http://schemas.openxmlformats.org/officeDocument/2006/relationships/hyperlink" Target="https://doi.org/10.1136/bmj.o86" TargetMode="External"/><Relationship Id="rId28" Type="http://schemas.openxmlformats.org/officeDocument/2006/relationships/hyperlink" Target="https://doi.org/10.56557/upjoz/2024/v45i13850" TargetMode="External"/><Relationship Id="rId36" Type="http://schemas.openxmlformats.org/officeDocument/2006/relationships/hyperlink" Target="https://doi.org/10.1007/s40615-023-01837-6" TargetMode="External"/><Relationship Id="rId49" Type="http://schemas.openxmlformats.org/officeDocument/2006/relationships/hyperlink" Target="https://www.who.int/health-topics/refugee-and-migrant-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61DDF3-D242-4035-ABB8-4CE01B33F3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2972</TotalTime>
  <Pages>15</Pages>
  <Words>5051</Words>
  <Characters>28797</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Marianna Florea (2244840)</dc:creator>
  <cp:keywords/>
  <dc:description/>
  <cp:lastModifiedBy>Marianna Florea (2244840)</cp:lastModifiedBy>
  <cp:revision>40</cp:revision>
  <dcterms:created xsi:type="dcterms:W3CDTF">2026-02-25T14:58:00Z</dcterms:created>
  <dcterms:modified xsi:type="dcterms:W3CDTF">2026-04-20T14:42:00Z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dc2f3308-5e77-4408-a8d3-239e943a83d0</vt:lpwstr>
  </property>
</Properties>
</file>