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75B7E9" w14:textId="70DD8A29" w:rsidR="00230508" w:rsidRDefault="00230508" w:rsidP="00230508">
      <w:r>
        <w:rPr>
          <w:noProof/>
        </w:rPr>
        <w:drawing>
          <wp:anchor distT="0" distB="0" distL="114300" distR="114300" simplePos="0" relativeHeight="251659264" behindDoc="1" locked="0" layoutInCell="1" allowOverlap="1" wp14:anchorId="5675C83A" wp14:editId="16E3D544">
            <wp:simplePos x="0" y="0"/>
            <wp:positionH relativeFrom="margin">
              <wp:posOffset>646430</wp:posOffset>
            </wp:positionH>
            <wp:positionV relativeFrom="paragraph">
              <wp:posOffset>547</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5">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0129EE">
        <w:t xml:space="preserve"> </w:t>
      </w:r>
    </w:p>
    <w:p w14:paraId="4D1D47BA" w14:textId="77777777" w:rsidR="00230508" w:rsidRDefault="00230508" w:rsidP="00230508"/>
    <w:p w14:paraId="77557B7D" w14:textId="77777777" w:rsidR="00230508" w:rsidRDefault="00230508" w:rsidP="00230508"/>
    <w:p w14:paraId="256F7135" w14:textId="77777777" w:rsidR="00230508" w:rsidRDefault="00230508" w:rsidP="00230508"/>
    <w:p w14:paraId="3F56CF67" w14:textId="77777777" w:rsidR="00230508" w:rsidRDefault="00230508" w:rsidP="00230508">
      <w:pPr>
        <w:ind w:right="1229"/>
      </w:pPr>
    </w:p>
    <w:p w14:paraId="43ABFE3A" w14:textId="77777777" w:rsidR="00C53B1E" w:rsidRDefault="00C53B1E" w:rsidP="00230508">
      <w:pPr>
        <w:ind w:right="1229"/>
        <w:rPr>
          <w:rFonts w:cs="Arial"/>
          <w:sz w:val="60"/>
          <w:szCs w:val="60"/>
        </w:rPr>
      </w:pPr>
    </w:p>
    <w:p w14:paraId="005F7166" w14:textId="26B9DEFB" w:rsidR="00230508" w:rsidRPr="00063B4C" w:rsidRDefault="00230508" w:rsidP="00887A09">
      <w:pPr>
        <w:ind w:right="1229"/>
        <w:jc w:val="center"/>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688DF466" w14:textId="77777777" w:rsidR="00230508" w:rsidRPr="00063B4C" w:rsidRDefault="00230508" w:rsidP="00887A09">
      <w:pPr>
        <w:pStyle w:val="BodyText"/>
        <w:jc w:val="center"/>
        <w:rPr>
          <w:rFonts w:ascii="Aptos" w:hAnsi="Aptos" w:cs="Arial"/>
          <w:sz w:val="20"/>
        </w:rPr>
      </w:pPr>
    </w:p>
    <w:p w14:paraId="3EC1FBAE" w14:textId="3FAC0ECD" w:rsidR="00230508" w:rsidRPr="00887A09" w:rsidRDefault="00230508" w:rsidP="00887A09">
      <w:pPr>
        <w:spacing w:line="813" w:lineRule="exact"/>
        <w:jc w:val="center"/>
        <w:rPr>
          <w:rFonts w:asciiTheme="minorHAnsi" w:hAnsiTheme="minorHAnsi" w:cs="Arial"/>
          <w:sz w:val="60"/>
          <w:szCs w:val="60"/>
        </w:rPr>
      </w:pPr>
      <w:r w:rsidRPr="00063B4C">
        <w:rPr>
          <w:rFonts w:cs="Arial"/>
          <w:sz w:val="60"/>
          <w:szCs w:val="60"/>
        </w:rPr>
        <w:t>BSc (Hons) Health and Social Care</w:t>
      </w:r>
      <w:r w:rsidRPr="00063B4C">
        <w:rPr>
          <w:rFonts w:cs="Arial"/>
          <w:sz w:val="60"/>
          <w:szCs w:val="60"/>
        </w:rPr>
        <w:br/>
      </w:r>
    </w:p>
    <w:p w14:paraId="32E11B4D" w14:textId="77777777" w:rsidR="00230508" w:rsidRPr="00063B4C" w:rsidRDefault="00230508" w:rsidP="00230508">
      <w:pPr>
        <w:pStyle w:val="Heading1"/>
        <w:ind w:left="0"/>
        <w:rPr>
          <w:rFonts w:ascii="Aptos" w:hAnsi="Aptos" w:cs="Arial"/>
        </w:rPr>
      </w:pPr>
      <w:r w:rsidRPr="00063B4C">
        <w:rPr>
          <w:rFonts w:ascii="Aptos" w:hAnsi="Aptos" w:cs="Arial"/>
        </w:rPr>
        <w:t>Disclaimer</w:t>
      </w:r>
    </w:p>
    <w:p w14:paraId="00E131B1" w14:textId="77777777" w:rsidR="00230508" w:rsidRDefault="00230508" w:rsidP="00230508">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5A3C092C" w14:textId="77777777" w:rsidR="00230508" w:rsidRDefault="00230508" w:rsidP="00230508">
      <w:pPr>
        <w:rPr>
          <w:rFonts w:cs="Arial"/>
          <w:b/>
          <w:sz w:val="28"/>
          <w:szCs w:val="28"/>
        </w:rPr>
      </w:pPr>
    </w:p>
    <w:p w14:paraId="4C38CDD4" w14:textId="77777777" w:rsidR="00230508" w:rsidRPr="0073280B" w:rsidRDefault="00230508" w:rsidP="00230508">
      <w:pPr>
        <w:rPr>
          <w:rFonts w:cs="Arial"/>
          <w:b/>
          <w:sz w:val="28"/>
          <w:szCs w:val="28"/>
        </w:rPr>
      </w:pPr>
      <w:r w:rsidRPr="0073280B">
        <w:rPr>
          <w:rFonts w:cs="Arial"/>
          <w:b/>
          <w:sz w:val="28"/>
          <w:szCs w:val="28"/>
        </w:rPr>
        <w:t>DECLARATION</w:t>
      </w:r>
    </w:p>
    <w:p w14:paraId="3A3D1216" w14:textId="77777777" w:rsidR="00230508" w:rsidRPr="00604A87" w:rsidRDefault="00230508" w:rsidP="00230508">
      <w:pPr>
        <w:rPr>
          <w:rFonts w:cs="Arial"/>
        </w:rPr>
      </w:pPr>
      <w:r w:rsidRPr="00604A87">
        <w:rPr>
          <w:rFonts w:cs="Arial"/>
        </w:rPr>
        <w:t>This work has not previously been accepted in substance for any degree and is not being concurrently submitted in candidature for any degree</w:t>
      </w:r>
    </w:p>
    <w:p w14:paraId="53EBA830" w14:textId="25B92F27" w:rsidR="00230508" w:rsidRPr="00604A87" w:rsidRDefault="00230508" w:rsidP="00230508">
      <w:pPr>
        <w:rPr>
          <w:rFonts w:cs="Arial"/>
        </w:rPr>
      </w:pPr>
      <w:r w:rsidRPr="00604A87">
        <w:rPr>
          <w:rFonts w:cs="Arial"/>
        </w:rPr>
        <w:t>Signe</w:t>
      </w:r>
      <w:r w:rsidR="005F40AC">
        <w:rPr>
          <w:rFonts w:cs="Arial"/>
        </w:rPr>
        <w:t>d: Lydia Perkins</w:t>
      </w:r>
    </w:p>
    <w:p w14:paraId="12A01D3F" w14:textId="78E7FB72" w:rsidR="00230508" w:rsidRPr="00604A87" w:rsidRDefault="00230508" w:rsidP="00230508">
      <w:pPr>
        <w:rPr>
          <w:rFonts w:cs="Arial"/>
        </w:rPr>
      </w:pPr>
      <w:r w:rsidRPr="00604A87">
        <w:rPr>
          <w:rFonts w:cs="Arial"/>
        </w:rPr>
        <w:t>Date</w:t>
      </w:r>
      <w:r w:rsidR="005F40AC">
        <w:rPr>
          <w:rFonts w:cs="Arial"/>
        </w:rPr>
        <w:t>: 6</w:t>
      </w:r>
      <w:r w:rsidR="005F40AC" w:rsidRPr="005F40AC">
        <w:rPr>
          <w:rFonts w:cs="Arial"/>
          <w:vertAlign w:val="superscript"/>
        </w:rPr>
        <w:t>th</w:t>
      </w:r>
      <w:r w:rsidR="005F40AC">
        <w:rPr>
          <w:rFonts w:cs="Arial"/>
        </w:rPr>
        <w:t xml:space="preserve"> April 2026</w:t>
      </w:r>
    </w:p>
    <w:p w14:paraId="238EAB44" w14:textId="77777777" w:rsidR="00230508" w:rsidRPr="00604A87" w:rsidRDefault="00230508" w:rsidP="00230508">
      <w:pPr>
        <w:rPr>
          <w:rFonts w:cs="Arial"/>
          <w:bCs/>
          <w:kern w:val="32"/>
        </w:rPr>
      </w:pPr>
      <w:r w:rsidRPr="00604A87">
        <w:rPr>
          <w:rFonts w:cs="Arial"/>
          <w:b/>
        </w:rPr>
        <w:t xml:space="preserve">STATEMENT 1 </w:t>
      </w:r>
    </w:p>
    <w:p w14:paraId="334D1E14" w14:textId="77777777" w:rsidR="00230508" w:rsidRPr="00604A87" w:rsidRDefault="00230508" w:rsidP="00230508">
      <w:pPr>
        <w:rPr>
          <w:rFonts w:cs="Arial"/>
        </w:rPr>
      </w:pPr>
      <w:r w:rsidRPr="00604A87">
        <w:rPr>
          <w:rFonts w:cs="Arial"/>
        </w:rPr>
        <w:t>This dissertation is being submitted in partial fulfilment of the requirements for the degree of BSc.</w:t>
      </w:r>
    </w:p>
    <w:p w14:paraId="3087BEF5" w14:textId="3F13A415" w:rsidR="00230508" w:rsidRPr="00604A87" w:rsidRDefault="00230508" w:rsidP="00230508">
      <w:pPr>
        <w:rPr>
          <w:rFonts w:cs="Arial"/>
        </w:rPr>
      </w:pPr>
      <w:r w:rsidRPr="00604A87">
        <w:rPr>
          <w:rFonts w:cs="Arial"/>
        </w:rPr>
        <w:t>Signed</w:t>
      </w:r>
      <w:r w:rsidR="005F40AC">
        <w:rPr>
          <w:rFonts w:cs="Arial"/>
        </w:rPr>
        <w:t xml:space="preserve">: Lydia Perkins </w:t>
      </w:r>
      <w:r w:rsidRPr="00604A87">
        <w:rPr>
          <w:rFonts w:cs="Arial"/>
        </w:rPr>
        <w:t xml:space="preserve"> </w:t>
      </w:r>
    </w:p>
    <w:p w14:paraId="62B580BD" w14:textId="649C2381" w:rsidR="00230508" w:rsidRPr="00604A87" w:rsidRDefault="00230508" w:rsidP="00230508">
      <w:pPr>
        <w:rPr>
          <w:rFonts w:cs="Arial"/>
        </w:rPr>
      </w:pPr>
      <w:r w:rsidRPr="00604A87">
        <w:rPr>
          <w:rFonts w:cs="Arial"/>
        </w:rPr>
        <w:t>Date</w:t>
      </w:r>
      <w:r w:rsidR="005F40AC">
        <w:rPr>
          <w:rFonts w:cs="Arial"/>
        </w:rPr>
        <w:t>: 6</w:t>
      </w:r>
      <w:r w:rsidR="005F40AC" w:rsidRPr="005F40AC">
        <w:rPr>
          <w:rFonts w:cs="Arial"/>
          <w:vertAlign w:val="superscript"/>
        </w:rPr>
        <w:t>th</w:t>
      </w:r>
      <w:r w:rsidR="005F40AC">
        <w:rPr>
          <w:rFonts w:cs="Arial"/>
        </w:rPr>
        <w:t xml:space="preserve"> April 2026</w:t>
      </w:r>
    </w:p>
    <w:p w14:paraId="6818B44A" w14:textId="77777777" w:rsidR="00230508" w:rsidRPr="00604A87" w:rsidRDefault="00230508" w:rsidP="00230508">
      <w:pPr>
        <w:rPr>
          <w:rFonts w:cs="Arial"/>
        </w:rPr>
      </w:pPr>
      <w:r w:rsidRPr="00604A87">
        <w:rPr>
          <w:rFonts w:cs="Arial"/>
          <w:b/>
        </w:rPr>
        <w:t>STATEMENT 2</w:t>
      </w:r>
    </w:p>
    <w:p w14:paraId="16C96EBA" w14:textId="77777777" w:rsidR="00230508" w:rsidRPr="00604A87" w:rsidRDefault="00230508" w:rsidP="00230508">
      <w:pPr>
        <w:rPr>
          <w:rFonts w:cs="Arial"/>
        </w:rPr>
      </w:pPr>
      <w:r w:rsidRPr="00604A87">
        <w:rPr>
          <w:rFonts w:cs="Arial"/>
        </w:rPr>
        <w:t>This dissertation is the result of my own independent work/investigation, except where otherwise stated.</w:t>
      </w:r>
      <w:r>
        <w:rPr>
          <w:rFonts w:cs="Arial"/>
        </w:rPr>
        <w:t xml:space="preserve"> </w:t>
      </w:r>
      <w:r w:rsidRPr="00604A87">
        <w:rPr>
          <w:rFonts w:cs="Arial"/>
        </w:rPr>
        <w:t>Other sources are acknowledged by footnotes giving explicit references.  A bibliography is appended.</w:t>
      </w:r>
    </w:p>
    <w:p w14:paraId="48A98201" w14:textId="3C0BC83D" w:rsidR="00230508" w:rsidRPr="00604A87" w:rsidRDefault="00230508" w:rsidP="00230508">
      <w:pPr>
        <w:rPr>
          <w:rFonts w:cs="Arial"/>
        </w:rPr>
      </w:pPr>
      <w:r w:rsidRPr="00604A87">
        <w:rPr>
          <w:rFonts w:cs="Arial"/>
        </w:rPr>
        <w:t>Signed</w:t>
      </w:r>
      <w:r w:rsidR="005F40AC">
        <w:rPr>
          <w:rFonts w:cs="Arial"/>
        </w:rPr>
        <w:t>: Lydia Perkins</w:t>
      </w:r>
    </w:p>
    <w:p w14:paraId="29ED2F31" w14:textId="0DF654A5" w:rsidR="00230508" w:rsidRPr="00604A87" w:rsidRDefault="00230508" w:rsidP="00230508">
      <w:pPr>
        <w:rPr>
          <w:rFonts w:cs="Arial"/>
        </w:rPr>
      </w:pPr>
      <w:r w:rsidRPr="00604A87">
        <w:rPr>
          <w:rFonts w:cs="Arial"/>
        </w:rPr>
        <w:t>Date</w:t>
      </w:r>
      <w:r w:rsidR="005F40AC">
        <w:rPr>
          <w:rFonts w:cs="Arial"/>
        </w:rPr>
        <w:t>: 6</w:t>
      </w:r>
      <w:r w:rsidR="005F40AC" w:rsidRPr="005F40AC">
        <w:rPr>
          <w:rFonts w:cs="Arial"/>
          <w:vertAlign w:val="superscript"/>
        </w:rPr>
        <w:t>th</w:t>
      </w:r>
      <w:r w:rsidR="005F40AC">
        <w:rPr>
          <w:rFonts w:cs="Arial"/>
        </w:rPr>
        <w:t xml:space="preserve"> April 2026</w:t>
      </w:r>
    </w:p>
    <w:p w14:paraId="0B382194" w14:textId="77777777" w:rsidR="00230508" w:rsidRPr="00604A87" w:rsidRDefault="00230508" w:rsidP="00230508">
      <w:pPr>
        <w:rPr>
          <w:rFonts w:cs="Arial"/>
        </w:rPr>
      </w:pPr>
      <w:r w:rsidRPr="00604A87">
        <w:rPr>
          <w:rFonts w:cs="Arial"/>
          <w:b/>
        </w:rPr>
        <w:t>STATEMENT 3</w:t>
      </w:r>
    </w:p>
    <w:p w14:paraId="036CD5C7" w14:textId="77777777" w:rsidR="00230508" w:rsidRPr="00604A87" w:rsidRDefault="00230508" w:rsidP="00230508">
      <w:pPr>
        <w:rPr>
          <w:rFonts w:cs="Arial"/>
        </w:rPr>
      </w:pPr>
      <w:r w:rsidRPr="00604A87">
        <w:rPr>
          <w:rFonts w:cs="Arial"/>
        </w:rPr>
        <w:t>I hereby give consent for my dissertation, if accepted, to be available for photocopying and for interlibrary loan, and for the title and summary to be made available to outside organisations.</w:t>
      </w:r>
    </w:p>
    <w:p w14:paraId="0151F0D0" w14:textId="3C7653AE" w:rsidR="00230508" w:rsidRPr="00604A87" w:rsidRDefault="00230508" w:rsidP="00230508">
      <w:pPr>
        <w:rPr>
          <w:rFonts w:cs="Arial"/>
        </w:rPr>
      </w:pPr>
      <w:r w:rsidRPr="00604A87">
        <w:rPr>
          <w:rFonts w:cs="Arial"/>
        </w:rPr>
        <w:t>Signe</w:t>
      </w:r>
      <w:r w:rsidR="005F40AC">
        <w:rPr>
          <w:rFonts w:cs="Arial"/>
        </w:rPr>
        <w:t>d: Lydia Perkins</w:t>
      </w:r>
    </w:p>
    <w:p w14:paraId="3F9013E9" w14:textId="7E6FD3CA" w:rsidR="00230508" w:rsidRPr="00604A87" w:rsidRDefault="00230508" w:rsidP="00230508">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Arial"/>
        </w:rPr>
      </w:pPr>
      <w:r w:rsidRPr="00604A87">
        <w:rPr>
          <w:rFonts w:cs="Arial"/>
        </w:rPr>
        <w:t>Date</w:t>
      </w:r>
      <w:r w:rsidR="005F40AC">
        <w:rPr>
          <w:rFonts w:cs="Arial"/>
        </w:rPr>
        <w:t xml:space="preserve"> 6</w:t>
      </w:r>
      <w:r w:rsidR="005F40AC" w:rsidRPr="005F40AC">
        <w:rPr>
          <w:rFonts w:cs="Arial"/>
          <w:vertAlign w:val="superscript"/>
        </w:rPr>
        <w:t>th</w:t>
      </w:r>
      <w:r w:rsidR="005F40AC">
        <w:rPr>
          <w:rFonts w:cs="Arial"/>
        </w:rPr>
        <w:t xml:space="preserve"> April 2026</w:t>
      </w:r>
    </w:p>
    <w:p w14:paraId="15589BE7" w14:textId="77777777" w:rsidR="00230508" w:rsidRPr="00604A87" w:rsidRDefault="00230508" w:rsidP="00230508">
      <w:pPr>
        <w:rPr>
          <w:rFonts w:cs="Arial"/>
          <w:b/>
        </w:rPr>
      </w:pPr>
      <w:r w:rsidRPr="00604A87">
        <w:rPr>
          <w:rFonts w:cs="Arial"/>
          <w:b/>
        </w:rPr>
        <w:t>STATEMENT 4</w:t>
      </w:r>
    </w:p>
    <w:p w14:paraId="0361AC16" w14:textId="77777777" w:rsidR="00230508" w:rsidRPr="00604A87" w:rsidRDefault="00230508" w:rsidP="00230508">
      <w:pPr>
        <w:rPr>
          <w:rFonts w:cs="Arial"/>
        </w:rPr>
      </w:pPr>
      <w:r w:rsidRPr="00604A87">
        <w:rPr>
          <w:rFonts w:cs="Arial"/>
        </w:rPr>
        <w:lastRenderedPageBreak/>
        <w:t>I hereby give consent for my dissertation, if accepted, to be available on the university’s IT system to those who have consent to use the system.</w:t>
      </w:r>
    </w:p>
    <w:p w14:paraId="55138030" w14:textId="5B28E73D" w:rsidR="00230508" w:rsidRPr="00604A87" w:rsidRDefault="00230508" w:rsidP="00230508">
      <w:pPr>
        <w:rPr>
          <w:rFonts w:cs="Arial"/>
        </w:rPr>
      </w:pPr>
      <w:r w:rsidRPr="00604A87">
        <w:rPr>
          <w:rFonts w:cs="Arial"/>
        </w:rPr>
        <w:t>Signed</w:t>
      </w:r>
      <w:r w:rsidR="00341ED0">
        <w:rPr>
          <w:rFonts w:cs="Arial"/>
        </w:rPr>
        <w:t>: Lydia Perkins</w:t>
      </w:r>
    </w:p>
    <w:p w14:paraId="6829941E" w14:textId="3238C313" w:rsidR="00230508" w:rsidRPr="00604A87" w:rsidRDefault="00230508" w:rsidP="00230508">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Arial"/>
        </w:rPr>
      </w:pPr>
      <w:r w:rsidRPr="00604A87">
        <w:rPr>
          <w:rFonts w:cs="Arial"/>
        </w:rPr>
        <w:t>Date</w:t>
      </w:r>
      <w:r w:rsidR="00341ED0">
        <w:rPr>
          <w:rFonts w:cs="Arial"/>
        </w:rPr>
        <w:t>: 6</w:t>
      </w:r>
      <w:r w:rsidR="00341ED0" w:rsidRPr="00341ED0">
        <w:rPr>
          <w:rFonts w:cs="Arial"/>
          <w:vertAlign w:val="superscript"/>
        </w:rPr>
        <w:t>th</w:t>
      </w:r>
      <w:r w:rsidR="00341ED0">
        <w:rPr>
          <w:rFonts w:cs="Arial"/>
        </w:rPr>
        <w:t xml:space="preserve"> April 2026</w:t>
      </w:r>
    </w:p>
    <w:p w14:paraId="1E242535" w14:textId="77777777" w:rsidR="00230508" w:rsidRDefault="00230508" w:rsidP="00230508"/>
    <w:p w14:paraId="6BB421B7" w14:textId="77777777" w:rsidR="00230508" w:rsidRDefault="00230508" w:rsidP="00230508"/>
    <w:p w14:paraId="787E63E9" w14:textId="77777777" w:rsidR="00230508" w:rsidRDefault="00230508" w:rsidP="00230508">
      <w:pPr>
        <w:jc w:val="center"/>
        <w:rPr>
          <w:rFonts w:ascii="Arial" w:eastAsia="Arial Unicode MS" w:hAnsi="Arial" w:cs="Arial"/>
          <w:b/>
          <w:sz w:val="56"/>
          <w:szCs w:val="56"/>
        </w:rPr>
      </w:pPr>
    </w:p>
    <w:p w14:paraId="23CBDA5B" w14:textId="3844D601" w:rsidR="00230508" w:rsidRDefault="00230508" w:rsidP="00230508">
      <w:pPr>
        <w:jc w:val="center"/>
        <w:rPr>
          <w:rFonts w:ascii="Arial" w:eastAsia="Arial Unicode MS" w:hAnsi="Arial" w:cs="Arial"/>
          <w:b/>
          <w:sz w:val="56"/>
          <w:szCs w:val="56"/>
        </w:rPr>
      </w:pPr>
    </w:p>
    <w:p w14:paraId="43D2C386" w14:textId="07A3B962" w:rsidR="00C53B1E" w:rsidRDefault="00C53B1E" w:rsidP="00230508">
      <w:pPr>
        <w:jc w:val="center"/>
        <w:rPr>
          <w:rFonts w:ascii="Arial" w:eastAsia="Arial Unicode MS" w:hAnsi="Arial" w:cs="Arial"/>
          <w:b/>
          <w:sz w:val="56"/>
          <w:szCs w:val="56"/>
        </w:rPr>
      </w:pPr>
    </w:p>
    <w:p w14:paraId="2F0BA5F1" w14:textId="6CE9D102" w:rsidR="00C53B1E" w:rsidRDefault="00C53B1E" w:rsidP="00230508">
      <w:pPr>
        <w:jc w:val="center"/>
        <w:rPr>
          <w:rFonts w:ascii="Arial" w:eastAsia="Arial Unicode MS" w:hAnsi="Arial" w:cs="Arial"/>
          <w:b/>
          <w:sz w:val="56"/>
          <w:szCs w:val="56"/>
        </w:rPr>
      </w:pPr>
    </w:p>
    <w:p w14:paraId="61043E59" w14:textId="7AD8C9A6" w:rsidR="00C53B1E" w:rsidRDefault="00C53B1E" w:rsidP="00230508">
      <w:pPr>
        <w:jc w:val="center"/>
        <w:rPr>
          <w:rFonts w:ascii="Arial" w:eastAsia="Arial Unicode MS" w:hAnsi="Arial" w:cs="Arial"/>
          <w:b/>
          <w:sz w:val="56"/>
          <w:szCs w:val="56"/>
        </w:rPr>
      </w:pPr>
    </w:p>
    <w:p w14:paraId="69BCE607" w14:textId="0ED19D25" w:rsidR="00C53B1E" w:rsidRDefault="00C53B1E" w:rsidP="00230508">
      <w:pPr>
        <w:jc w:val="center"/>
        <w:rPr>
          <w:rFonts w:ascii="Arial" w:eastAsia="Arial Unicode MS" w:hAnsi="Arial" w:cs="Arial"/>
          <w:b/>
          <w:sz w:val="56"/>
          <w:szCs w:val="56"/>
        </w:rPr>
      </w:pPr>
    </w:p>
    <w:p w14:paraId="1A865EEC" w14:textId="2FF44C57" w:rsidR="00C53B1E" w:rsidRDefault="00C53B1E" w:rsidP="00230508">
      <w:pPr>
        <w:jc w:val="center"/>
        <w:rPr>
          <w:rFonts w:ascii="Arial" w:eastAsia="Arial Unicode MS" w:hAnsi="Arial" w:cs="Arial"/>
          <w:b/>
          <w:sz w:val="56"/>
          <w:szCs w:val="56"/>
        </w:rPr>
      </w:pPr>
    </w:p>
    <w:p w14:paraId="4A217FD2" w14:textId="02316972" w:rsidR="00C53B1E" w:rsidRDefault="00C53B1E" w:rsidP="00230508">
      <w:pPr>
        <w:jc w:val="center"/>
        <w:rPr>
          <w:rFonts w:ascii="Arial" w:eastAsia="Arial Unicode MS" w:hAnsi="Arial" w:cs="Arial"/>
          <w:b/>
          <w:sz w:val="56"/>
          <w:szCs w:val="56"/>
        </w:rPr>
      </w:pPr>
    </w:p>
    <w:p w14:paraId="3CA6D8D6" w14:textId="67D959D7" w:rsidR="00C53B1E" w:rsidRDefault="00C53B1E" w:rsidP="00230508">
      <w:pPr>
        <w:jc w:val="center"/>
        <w:rPr>
          <w:rFonts w:ascii="Arial" w:eastAsia="Arial Unicode MS" w:hAnsi="Arial" w:cs="Arial"/>
          <w:b/>
          <w:sz w:val="56"/>
          <w:szCs w:val="56"/>
        </w:rPr>
      </w:pPr>
    </w:p>
    <w:p w14:paraId="1858849E" w14:textId="16E47060" w:rsidR="00C53B1E" w:rsidRDefault="00C53B1E" w:rsidP="00230508">
      <w:pPr>
        <w:jc w:val="center"/>
        <w:rPr>
          <w:rFonts w:ascii="Arial" w:eastAsia="Arial Unicode MS" w:hAnsi="Arial" w:cs="Arial"/>
          <w:b/>
          <w:sz w:val="56"/>
          <w:szCs w:val="56"/>
        </w:rPr>
      </w:pPr>
    </w:p>
    <w:p w14:paraId="54B7D795" w14:textId="6056A912" w:rsidR="00C53B1E" w:rsidRDefault="00C53B1E" w:rsidP="00230508">
      <w:pPr>
        <w:jc w:val="center"/>
        <w:rPr>
          <w:rFonts w:ascii="Arial" w:eastAsia="Arial Unicode MS" w:hAnsi="Arial" w:cs="Arial"/>
          <w:b/>
          <w:sz w:val="56"/>
          <w:szCs w:val="56"/>
        </w:rPr>
      </w:pPr>
    </w:p>
    <w:p w14:paraId="77A0F772" w14:textId="7541BD6F" w:rsidR="00887A09" w:rsidRDefault="00887A09" w:rsidP="00230508">
      <w:pPr>
        <w:jc w:val="center"/>
        <w:rPr>
          <w:rFonts w:ascii="Arial" w:eastAsia="Arial Unicode MS" w:hAnsi="Arial" w:cs="Arial"/>
          <w:b/>
          <w:sz w:val="56"/>
          <w:szCs w:val="56"/>
        </w:rPr>
      </w:pPr>
    </w:p>
    <w:p w14:paraId="760D3040" w14:textId="7300FADD" w:rsidR="00887A09" w:rsidRDefault="00887A09" w:rsidP="00230508">
      <w:pPr>
        <w:jc w:val="center"/>
        <w:rPr>
          <w:rFonts w:ascii="Arial" w:eastAsia="Arial Unicode MS" w:hAnsi="Arial" w:cs="Arial"/>
          <w:b/>
          <w:sz w:val="56"/>
          <w:szCs w:val="56"/>
        </w:rPr>
      </w:pPr>
    </w:p>
    <w:p w14:paraId="07A4D49E" w14:textId="597D6D44" w:rsidR="00887A09" w:rsidRDefault="00887A09" w:rsidP="00230508">
      <w:pPr>
        <w:jc w:val="center"/>
        <w:rPr>
          <w:rFonts w:ascii="Arial" w:eastAsia="Arial Unicode MS" w:hAnsi="Arial" w:cs="Arial"/>
          <w:b/>
          <w:sz w:val="56"/>
          <w:szCs w:val="56"/>
        </w:rPr>
      </w:pPr>
    </w:p>
    <w:p w14:paraId="3BD5A890" w14:textId="77777777" w:rsidR="00887A09" w:rsidRDefault="00887A09" w:rsidP="00230508">
      <w:pPr>
        <w:jc w:val="center"/>
        <w:rPr>
          <w:rFonts w:ascii="Arial" w:eastAsia="Arial Unicode MS" w:hAnsi="Arial" w:cs="Arial"/>
          <w:b/>
          <w:sz w:val="56"/>
          <w:szCs w:val="56"/>
        </w:rPr>
      </w:pPr>
    </w:p>
    <w:p w14:paraId="210E980F" w14:textId="77777777" w:rsidR="00230508" w:rsidRPr="00995444" w:rsidRDefault="00230508" w:rsidP="0023050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5A86EF76" w14:textId="77777777" w:rsidR="00CA6A9C" w:rsidRDefault="00CA6A9C" w:rsidP="00C946E7">
      <w:pPr>
        <w:jc w:val="center"/>
        <w:rPr>
          <w:rFonts w:ascii="Arial" w:hAnsi="Arial" w:cs="Arial"/>
          <w:b/>
          <w:bCs/>
          <w:sz w:val="40"/>
          <w:szCs w:val="40"/>
        </w:rPr>
      </w:pPr>
    </w:p>
    <w:p w14:paraId="018A8841" w14:textId="77777777" w:rsidR="00CA6A9C" w:rsidRDefault="00CA6A9C" w:rsidP="00C946E7">
      <w:pPr>
        <w:jc w:val="center"/>
        <w:rPr>
          <w:rFonts w:ascii="Arial" w:hAnsi="Arial" w:cs="Arial"/>
          <w:b/>
          <w:bCs/>
          <w:sz w:val="40"/>
          <w:szCs w:val="40"/>
        </w:rPr>
      </w:pPr>
    </w:p>
    <w:p w14:paraId="3CA587F5" w14:textId="7FE73DB6" w:rsidR="00CA6A9C" w:rsidRDefault="00CA6A9C" w:rsidP="00C946E7">
      <w:pPr>
        <w:jc w:val="center"/>
        <w:rPr>
          <w:rFonts w:ascii="Arial" w:hAnsi="Arial" w:cs="Arial"/>
          <w:b/>
          <w:bCs/>
          <w:sz w:val="40"/>
          <w:szCs w:val="40"/>
        </w:rPr>
      </w:pPr>
      <w:r>
        <w:rPr>
          <w:noProof/>
        </w:rPr>
        <w:lastRenderedPageBreak/>
        <w:drawing>
          <wp:anchor distT="0" distB="0" distL="114300" distR="114300" simplePos="0" relativeHeight="251661312" behindDoc="1" locked="0" layoutInCell="1" allowOverlap="1" wp14:anchorId="653C273F" wp14:editId="323F1EEB">
            <wp:simplePos x="0" y="0"/>
            <wp:positionH relativeFrom="margin">
              <wp:posOffset>693683</wp:posOffset>
            </wp:positionH>
            <wp:positionV relativeFrom="paragraph">
              <wp:posOffset>372</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2"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5">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63CE9807" w14:textId="2D6B13E7" w:rsidR="00CA6A9C" w:rsidRDefault="00CA6A9C" w:rsidP="00C946E7">
      <w:pPr>
        <w:jc w:val="center"/>
        <w:rPr>
          <w:rFonts w:ascii="Arial" w:hAnsi="Arial" w:cs="Arial"/>
          <w:b/>
          <w:bCs/>
          <w:sz w:val="40"/>
          <w:szCs w:val="40"/>
        </w:rPr>
      </w:pPr>
    </w:p>
    <w:p w14:paraId="4B2F41F8" w14:textId="77777777" w:rsidR="00CA6A9C" w:rsidRDefault="00CA6A9C" w:rsidP="00C946E7">
      <w:pPr>
        <w:jc w:val="center"/>
        <w:rPr>
          <w:rFonts w:ascii="Arial" w:hAnsi="Arial" w:cs="Arial"/>
          <w:b/>
          <w:bCs/>
          <w:sz w:val="40"/>
          <w:szCs w:val="40"/>
        </w:rPr>
      </w:pPr>
    </w:p>
    <w:p w14:paraId="56403BD4" w14:textId="77777777" w:rsidR="00CA6A9C" w:rsidRDefault="00CA6A9C" w:rsidP="00C946E7">
      <w:pPr>
        <w:jc w:val="center"/>
        <w:rPr>
          <w:rFonts w:ascii="Arial" w:hAnsi="Arial" w:cs="Arial"/>
          <w:b/>
          <w:bCs/>
          <w:sz w:val="40"/>
          <w:szCs w:val="40"/>
        </w:rPr>
      </w:pPr>
    </w:p>
    <w:p w14:paraId="4216A4C4" w14:textId="77777777" w:rsidR="00CA6A9C" w:rsidRDefault="00CA6A9C" w:rsidP="00C946E7">
      <w:pPr>
        <w:jc w:val="center"/>
        <w:rPr>
          <w:rFonts w:ascii="Arial" w:hAnsi="Arial" w:cs="Arial"/>
          <w:b/>
          <w:bCs/>
          <w:sz w:val="40"/>
          <w:szCs w:val="40"/>
        </w:rPr>
      </w:pPr>
    </w:p>
    <w:p w14:paraId="3528EB7F" w14:textId="77777777" w:rsidR="00CA6A9C" w:rsidRDefault="00CA6A9C" w:rsidP="00C946E7">
      <w:pPr>
        <w:jc w:val="center"/>
        <w:rPr>
          <w:rFonts w:ascii="Arial" w:hAnsi="Arial" w:cs="Arial"/>
          <w:b/>
          <w:bCs/>
          <w:sz w:val="40"/>
          <w:szCs w:val="40"/>
        </w:rPr>
      </w:pPr>
    </w:p>
    <w:p w14:paraId="770C1CAA" w14:textId="77777777" w:rsidR="00CA6A9C" w:rsidRDefault="00CA6A9C" w:rsidP="00C946E7">
      <w:pPr>
        <w:jc w:val="center"/>
        <w:rPr>
          <w:rFonts w:ascii="Arial" w:hAnsi="Arial" w:cs="Arial"/>
          <w:b/>
          <w:bCs/>
          <w:sz w:val="40"/>
          <w:szCs w:val="40"/>
        </w:rPr>
      </w:pPr>
    </w:p>
    <w:p w14:paraId="0DC82B7F" w14:textId="7DDF3549" w:rsidR="00C946E7" w:rsidRPr="00C946E7" w:rsidRDefault="00C946E7" w:rsidP="00C946E7">
      <w:pPr>
        <w:jc w:val="center"/>
        <w:rPr>
          <w:rFonts w:ascii="Arial" w:hAnsi="Arial" w:cs="Arial"/>
          <w:b/>
          <w:bCs/>
          <w:sz w:val="40"/>
          <w:szCs w:val="40"/>
        </w:rPr>
      </w:pPr>
      <w:r w:rsidRPr="00C946E7">
        <w:rPr>
          <w:rFonts w:ascii="Arial" w:hAnsi="Arial" w:cs="Arial"/>
          <w:b/>
          <w:bCs/>
          <w:sz w:val="40"/>
          <w:szCs w:val="40"/>
        </w:rPr>
        <w:t>An investigation into the prevalence, risk factors and management strategies of Type 2 diabetes in UK adults</w:t>
      </w:r>
    </w:p>
    <w:p w14:paraId="53395511" w14:textId="77777777" w:rsidR="00C946E7" w:rsidRPr="00EE13B9" w:rsidRDefault="00C946E7" w:rsidP="00C946E7">
      <w:pPr>
        <w:jc w:val="center"/>
        <w:rPr>
          <w:rFonts w:ascii="Arial" w:hAnsi="Arial" w:cs="Arial"/>
          <w:b/>
          <w:bCs/>
          <w:sz w:val="32"/>
          <w:szCs w:val="32"/>
        </w:rPr>
      </w:pPr>
    </w:p>
    <w:p w14:paraId="3A45407F" w14:textId="77777777" w:rsidR="00C946E7" w:rsidRDefault="00C946E7" w:rsidP="00C946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56"/>
          <w:szCs w:val="56"/>
        </w:rPr>
      </w:pPr>
    </w:p>
    <w:p w14:paraId="47EC4274" w14:textId="2DEB6317" w:rsidR="00230508" w:rsidRDefault="00C53B1E" w:rsidP="0023050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 xml:space="preserve">Lydia Perkins </w:t>
      </w:r>
    </w:p>
    <w:p w14:paraId="40792146" w14:textId="01FE48F5" w:rsidR="00C53B1E" w:rsidRDefault="00C53B1E" w:rsidP="0023050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1341A045" w14:textId="0470E5BE" w:rsidR="00C53B1E" w:rsidRPr="00995444" w:rsidRDefault="00C53B1E" w:rsidP="0023050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Pr>
          <w:rFonts w:eastAsia="Arial Unicode MS" w:cs="Arial"/>
          <w:b/>
          <w:sz w:val="56"/>
          <w:szCs w:val="56"/>
        </w:rPr>
        <w:t>Student Number: 2240470</w:t>
      </w:r>
    </w:p>
    <w:p w14:paraId="4DBE2F29" w14:textId="77777777" w:rsidR="00230508" w:rsidRPr="00995444" w:rsidRDefault="00230508" w:rsidP="0023050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14241BA1" w14:textId="77777777" w:rsidR="00230508" w:rsidRPr="00995444" w:rsidRDefault="00230508" w:rsidP="0023050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484499E6" w14:textId="77777777" w:rsidR="00230508" w:rsidRPr="00995444" w:rsidRDefault="00230508" w:rsidP="0023050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0AD0DF0E" w14:textId="77777777" w:rsidR="00230508" w:rsidRPr="00995444" w:rsidRDefault="00230508" w:rsidP="0023050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0A09CF0A" w14:textId="77777777" w:rsidR="00230508" w:rsidRPr="00887A09" w:rsidRDefault="00230508" w:rsidP="0023050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40"/>
          <w:szCs w:val="40"/>
        </w:rPr>
      </w:pPr>
      <w:r w:rsidRPr="00887A09">
        <w:rPr>
          <w:rFonts w:ascii="Arial" w:eastAsia="Arial Unicode MS" w:hAnsi="Arial" w:cs="Arial"/>
          <w:sz w:val="40"/>
          <w:szCs w:val="40"/>
        </w:rPr>
        <w:t>Dissertation submitted as part of the requirements for the award BSc (Hons) Health and Social Care</w:t>
      </w:r>
    </w:p>
    <w:p w14:paraId="355879E4" w14:textId="77777777" w:rsidR="00230508" w:rsidRPr="00887A09" w:rsidRDefault="00230508" w:rsidP="00230508">
      <w:pPr>
        <w:rPr>
          <w:rFonts w:ascii="Arial" w:hAnsi="Arial" w:cs="Arial"/>
          <w:sz w:val="40"/>
          <w:szCs w:val="40"/>
        </w:rPr>
      </w:pPr>
    </w:p>
    <w:p w14:paraId="1E48EFB4" w14:textId="2DBB81A9" w:rsidR="00230508" w:rsidRDefault="00230508" w:rsidP="00230508">
      <w:pPr>
        <w:rPr>
          <w:rFonts w:ascii="Arial" w:hAnsi="Arial" w:cs="Arial"/>
          <w:sz w:val="40"/>
          <w:szCs w:val="40"/>
        </w:rPr>
      </w:pPr>
    </w:p>
    <w:p w14:paraId="0D6A019F" w14:textId="36CCE058" w:rsidR="00CA6A9C" w:rsidRDefault="00CA6A9C" w:rsidP="00230508">
      <w:pPr>
        <w:rPr>
          <w:rFonts w:ascii="Arial" w:hAnsi="Arial" w:cs="Arial"/>
          <w:sz w:val="40"/>
          <w:szCs w:val="40"/>
        </w:rPr>
      </w:pPr>
    </w:p>
    <w:p w14:paraId="6CC7508E" w14:textId="356A4774" w:rsidR="00CA6A9C" w:rsidRDefault="00CA6A9C" w:rsidP="00230508">
      <w:pPr>
        <w:rPr>
          <w:rFonts w:ascii="Arial" w:hAnsi="Arial" w:cs="Arial"/>
          <w:sz w:val="40"/>
          <w:szCs w:val="40"/>
        </w:rPr>
      </w:pPr>
    </w:p>
    <w:p w14:paraId="49440E53" w14:textId="52E6502E" w:rsidR="00CA6A9C" w:rsidRDefault="00CA6A9C" w:rsidP="00230508">
      <w:pPr>
        <w:rPr>
          <w:rFonts w:ascii="Arial" w:hAnsi="Arial" w:cs="Arial"/>
          <w:sz w:val="40"/>
          <w:szCs w:val="40"/>
        </w:rPr>
      </w:pPr>
    </w:p>
    <w:p w14:paraId="689EE03B" w14:textId="503933B8" w:rsidR="00CA6A9C" w:rsidRDefault="00CA6A9C" w:rsidP="00230508">
      <w:pPr>
        <w:rPr>
          <w:rFonts w:ascii="Arial" w:hAnsi="Arial" w:cs="Arial"/>
          <w:sz w:val="40"/>
          <w:szCs w:val="40"/>
        </w:rPr>
      </w:pPr>
    </w:p>
    <w:p w14:paraId="3D81FD59" w14:textId="77777777" w:rsidR="00C24FC7" w:rsidRDefault="00C24FC7" w:rsidP="00230508">
      <w:pPr>
        <w:rPr>
          <w:rFonts w:ascii="Arial" w:hAnsi="Arial" w:cs="Arial"/>
          <w:sz w:val="40"/>
          <w:szCs w:val="40"/>
        </w:rPr>
      </w:pPr>
    </w:p>
    <w:p w14:paraId="50A3D29B" w14:textId="20FFF470" w:rsidR="00CA6A9C" w:rsidRDefault="00CA6A9C" w:rsidP="00230508">
      <w:pPr>
        <w:rPr>
          <w:rFonts w:ascii="Arial" w:hAnsi="Arial" w:cs="Arial"/>
          <w:sz w:val="40"/>
          <w:szCs w:val="40"/>
        </w:rPr>
      </w:pPr>
    </w:p>
    <w:p w14:paraId="16514149" w14:textId="77777777" w:rsidR="00AA667A" w:rsidRPr="00887A09" w:rsidRDefault="00AA667A" w:rsidP="00230508">
      <w:pPr>
        <w:rPr>
          <w:rFonts w:ascii="Arial" w:hAnsi="Arial" w:cs="Arial"/>
          <w:sz w:val="40"/>
          <w:szCs w:val="40"/>
        </w:rPr>
      </w:pPr>
    </w:p>
    <w:p w14:paraId="57AC0C3A" w14:textId="3D793D3D" w:rsidR="00230508" w:rsidRPr="00CA6A9C" w:rsidRDefault="00230508" w:rsidP="00CA6A9C">
      <w:pPr>
        <w:tabs>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8"/>
          <w:szCs w:val="28"/>
          <w:u w:val="single"/>
        </w:rPr>
      </w:pPr>
      <w:r w:rsidRPr="00CA6A9C">
        <w:rPr>
          <w:rFonts w:ascii="Arial" w:eastAsia="Arial Unicode MS" w:hAnsi="Arial" w:cs="Arial"/>
          <w:b/>
          <w:sz w:val="28"/>
          <w:szCs w:val="28"/>
          <w:u w:val="single"/>
        </w:rPr>
        <w:t>ACKNOWLEDGEMENT</w:t>
      </w:r>
      <w:r w:rsidR="00887A09" w:rsidRPr="00CA6A9C">
        <w:rPr>
          <w:rFonts w:ascii="Arial" w:eastAsia="Arial Unicode MS" w:hAnsi="Arial" w:cs="Arial"/>
          <w:b/>
          <w:sz w:val="28"/>
          <w:szCs w:val="28"/>
          <w:u w:val="single"/>
        </w:rPr>
        <w:t>S</w:t>
      </w:r>
    </w:p>
    <w:p w14:paraId="5C3CD5CB" w14:textId="24E2A89C" w:rsidR="00887A09" w:rsidRDefault="00887A09" w:rsidP="00887A09">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8"/>
          <w:szCs w:val="28"/>
        </w:rPr>
      </w:pPr>
    </w:p>
    <w:p w14:paraId="65ADF1AE" w14:textId="77777777" w:rsidR="00DB5DCC" w:rsidRDefault="00887A09" w:rsidP="00887A09">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2"/>
          <w:szCs w:val="22"/>
        </w:rPr>
      </w:pPr>
      <w:r>
        <w:rPr>
          <w:rFonts w:ascii="Arial" w:eastAsia="Arial Unicode MS" w:hAnsi="Arial" w:cs="Arial"/>
          <w:bCs/>
          <w:sz w:val="22"/>
          <w:szCs w:val="22"/>
        </w:rPr>
        <w:t>I would like to express my sincere gratitude</w:t>
      </w:r>
      <w:r w:rsidR="00DB5DCC">
        <w:rPr>
          <w:rFonts w:ascii="Arial" w:eastAsia="Arial Unicode MS" w:hAnsi="Arial" w:cs="Arial"/>
          <w:bCs/>
          <w:sz w:val="22"/>
          <w:szCs w:val="22"/>
        </w:rPr>
        <w:t xml:space="preserve"> and thanks</w:t>
      </w:r>
      <w:r>
        <w:rPr>
          <w:rFonts w:ascii="Arial" w:eastAsia="Arial Unicode MS" w:hAnsi="Arial" w:cs="Arial"/>
          <w:bCs/>
          <w:sz w:val="22"/>
          <w:szCs w:val="22"/>
        </w:rPr>
        <w:t xml:space="preserve"> to </w:t>
      </w:r>
      <w:r w:rsidR="00DB5DCC">
        <w:rPr>
          <w:rFonts w:ascii="Arial" w:eastAsia="Arial Unicode MS" w:hAnsi="Arial" w:cs="Arial"/>
          <w:bCs/>
          <w:sz w:val="22"/>
          <w:szCs w:val="22"/>
        </w:rPr>
        <w:t xml:space="preserve">my lecturer </w:t>
      </w:r>
      <w:r>
        <w:rPr>
          <w:rFonts w:ascii="Arial" w:eastAsia="Arial Unicode MS" w:hAnsi="Arial" w:cs="Arial"/>
          <w:bCs/>
          <w:sz w:val="22"/>
          <w:szCs w:val="22"/>
        </w:rPr>
        <w:t>Chloe Harris for her invaluable guidance, support, encouragement and patience throughout the development of this dissertation.  Her expertise and consistent feedback have been instrumental in shaping the direction and quality of this work</w:t>
      </w:r>
      <w:r w:rsidR="00DB5DCC">
        <w:rPr>
          <w:rFonts w:ascii="Arial" w:eastAsia="Arial Unicode MS" w:hAnsi="Arial" w:cs="Arial"/>
          <w:bCs/>
          <w:sz w:val="22"/>
          <w:szCs w:val="22"/>
        </w:rPr>
        <w:t xml:space="preserve"> and allowed me to grow</w:t>
      </w:r>
      <w:r>
        <w:rPr>
          <w:rFonts w:ascii="Arial" w:eastAsia="Arial Unicode MS" w:hAnsi="Arial" w:cs="Arial"/>
          <w:bCs/>
          <w:sz w:val="22"/>
          <w:szCs w:val="22"/>
        </w:rPr>
        <w:t xml:space="preserve">. </w:t>
      </w:r>
      <w:r w:rsidR="00DB5DCC">
        <w:rPr>
          <w:rFonts w:ascii="Arial" w:eastAsia="Arial Unicode MS" w:hAnsi="Arial" w:cs="Arial"/>
          <w:bCs/>
          <w:sz w:val="22"/>
          <w:szCs w:val="22"/>
        </w:rPr>
        <w:t xml:space="preserve"> Your advice on both research as well as on my career have been priceless.</w:t>
      </w:r>
      <w:r>
        <w:rPr>
          <w:rFonts w:ascii="Arial" w:eastAsia="Arial Unicode MS" w:hAnsi="Arial" w:cs="Arial"/>
          <w:bCs/>
          <w:sz w:val="22"/>
          <w:szCs w:val="22"/>
        </w:rPr>
        <w:t xml:space="preserve"> </w:t>
      </w:r>
    </w:p>
    <w:p w14:paraId="5277ED02" w14:textId="77777777" w:rsidR="00DB5DCC" w:rsidRDefault="00DB5DCC" w:rsidP="00887A09">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2"/>
          <w:szCs w:val="22"/>
        </w:rPr>
      </w:pPr>
    </w:p>
    <w:p w14:paraId="266B36AD" w14:textId="073C707B" w:rsidR="00887A09" w:rsidRPr="00887A09" w:rsidRDefault="00887A09" w:rsidP="00887A09">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2"/>
          <w:szCs w:val="22"/>
        </w:rPr>
      </w:pPr>
      <w:r>
        <w:rPr>
          <w:rFonts w:ascii="Arial" w:eastAsia="Arial Unicode MS" w:hAnsi="Arial" w:cs="Arial"/>
          <w:bCs/>
          <w:sz w:val="22"/>
          <w:szCs w:val="22"/>
        </w:rPr>
        <w:t xml:space="preserve">I would also like to extend my heartfelt appreciation to my </w:t>
      </w:r>
      <w:r w:rsidR="00DB5DCC">
        <w:rPr>
          <w:rFonts w:ascii="Arial" w:eastAsia="Arial Unicode MS" w:hAnsi="Arial" w:cs="Arial"/>
          <w:bCs/>
          <w:sz w:val="22"/>
          <w:szCs w:val="22"/>
        </w:rPr>
        <w:t xml:space="preserve">mother and </w:t>
      </w:r>
      <w:r>
        <w:rPr>
          <w:rFonts w:ascii="Arial" w:eastAsia="Arial Unicode MS" w:hAnsi="Arial" w:cs="Arial"/>
          <w:bCs/>
          <w:sz w:val="22"/>
          <w:szCs w:val="22"/>
        </w:rPr>
        <w:t>daughter, whose unwavering support and motivation inspired me to remain focused and complete this dissertation within the required timeframe.</w:t>
      </w:r>
      <w:r w:rsidR="00DB5DCC">
        <w:rPr>
          <w:rFonts w:ascii="Arial" w:eastAsia="Arial Unicode MS" w:hAnsi="Arial" w:cs="Arial"/>
          <w:bCs/>
          <w:sz w:val="22"/>
          <w:szCs w:val="22"/>
        </w:rPr>
        <w:t xml:space="preserve">  Words cannot express how grateful I am for all the sacrifices that you’ve made on my behalf.  Your prayer for me was what sustained me thus far.  I would also like to thank all my friends who supported me in writing and encouraged me to strive towards my goal.</w:t>
      </w:r>
    </w:p>
    <w:p w14:paraId="1405B254" w14:textId="39970DEB" w:rsidR="00887A09" w:rsidRDefault="00887A09" w:rsidP="00887A09">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72FDBC32" w14:textId="77777777" w:rsidR="00887A09" w:rsidRPr="00887A09" w:rsidRDefault="00887A09" w:rsidP="00887A09">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p>
    <w:p w14:paraId="7E5DE9C1" w14:textId="77777777" w:rsidR="00230508" w:rsidRDefault="00230508" w:rsidP="00230508"/>
    <w:p w14:paraId="73DD8566" w14:textId="77777777" w:rsidR="00230508" w:rsidRDefault="00230508" w:rsidP="00230508"/>
    <w:p w14:paraId="145396AA" w14:textId="77777777" w:rsidR="00230508" w:rsidRDefault="00230508" w:rsidP="00230508"/>
    <w:p w14:paraId="65C7ADEE" w14:textId="77777777" w:rsidR="00230508" w:rsidRDefault="00230508" w:rsidP="00230508"/>
    <w:p w14:paraId="386869D0" w14:textId="37D36F02" w:rsidR="00230508" w:rsidRDefault="00230508" w:rsidP="00230508"/>
    <w:p w14:paraId="45566C61" w14:textId="1F88981C" w:rsidR="00CA6A9C" w:rsidRDefault="00CA6A9C" w:rsidP="00230508"/>
    <w:p w14:paraId="56403FF7" w14:textId="79E2BFBE" w:rsidR="00CA6A9C" w:rsidRDefault="00CA6A9C" w:rsidP="00230508"/>
    <w:p w14:paraId="0AE2D423" w14:textId="3AF0FCC9" w:rsidR="00CA6A9C" w:rsidRDefault="00CA6A9C" w:rsidP="00230508"/>
    <w:p w14:paraId="4A1E7C17" w14:textId="0E8B6CBA" w:rsidR="00CA6A9C" w:rsidRDefault="00CA6A9C" w:rsidP="00230508"/>
    <w:p w14:paraId="15D6E467" w14:textId="70050C2C" w:rsidR="00CA6A9C" w:rsidRDefault="00CA6A9C" w:rsidP="00230508"/>
    <w:p w14:paraId="0CB0DC23" w14:textId="77F9F0C5" w:rsidR="00CA6A9C" w:rsidRDefault="00CA6A9C" w:rsidP="00230508"/>
    <w:p w14:paraId="4A96AF66" w14:textId="11D3C362" w:rsidR="00CA6A9C" w:rsidRDefault="00CA6A9C" w:rsidP="00230508"/>
    <w:p w14:paraId="03FB4C97" w14:textId="5AB5E2FE" w:rsidR="00CA6A9C" w:rsidRDefault="00CA6A9C" w:rsidP="00230508"/>
    <w:p w14:paraId="0ED21593" w14:textId="2C926013" w:rsidR="00CA6A9C" w:rsidRDefault="00CA6A9C" w:rsidP="00230508"/>
    <w:p w14:paraId="067C912C" w14:textId="73D9F769" w:rsidR="00CA6A9C" w:rsidRDefault="00CA6A9C" w:rsidP="00230508"/>
    <w:p w14:paraId="0BF55A5A" w14:textId="5E97F50D" w:rsidR="00CA6A9C" w:rsidRDefault="00CA6A9C" w:rsidP="00230508"/>
    <w:p w14:paraId="06A0E312" w14:textId="6533D9DE" w:rsidR="00CA6A9C" w:rsidRDefault="00CA6A9C" w:rsidP="00230508"/>
    <w:p w14:paraId="1139F98F" w14:textId="7827A99A" w:rsidR="00CA6A9C" w:rsidRDefault="00CA6A9C" w:rsidP="00230508"/>
    <w:p w14:paraId="24A2842A" w14:textId="09B5059E" w:rsidR="00CA6A9C" w:rsidRDefault="00CA6A9C" w:rsidP="00230508"/>
    <w:p w14:paraId="00A54762" w14:textId="5FB02AEE" w:rsidR="00CA6A9C" w:rsidRDefault="00CA6A9C" w:rsidP="00230508"/>
    <w:p w14:paraId="046BCC60" w14:textId="368C2AA2" w:rsidR="00CA6A9C" w:rsidRDefault="00CA6A9C" w:rsidP="00230508"/>
    <w:p w14:paraId="3A4C65B0" w14:textId="1FE5ECCD" w:rsidR="00CA6A9C" w:rsidRDefault="00CA6A9C" w:rsidP="00230508"/>
    <w:p w14:paraId="52BA4279" w14:textId="4E94F92B" w:rsidR="00CA6A9C" w:rsidRDefault="00CA6A9C" w:rsidP="00230508"/>
    <w:p w14:paraId="4427BEF6" w14:textId="43D5C320" w:rsidR="00CA6A9C" w:rsidRDefault="00CA6A9C" w:rsidP="00230508"/>
    <w:p w14:paraId="7AAB81B5" w14:textId="209BE9DA" w:rsidR="00CA6A9C" w:rsidRDefault="00CA6A9C" w:rsidP="00230508"/>
    <w:p w14:paraId="32722027" w14:textId="5F4837B5" w:rsidR="00DB5DCC" w:rsidRDefault="00DB5DCC" w:rsidP="00230508"/>
    <w:p w14:paraId="1A46F250" w14:textId="77777777" w:rsidR="00023108" w:rsidRDefault="00023108" w:rsidP="0002310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14:paraId="266875D1" w14:textId="001E0232" w:rsidR="00230508" w:rsidRPr="00DB5DCC" w:rsidRDefault="00230508" w:rsidP="0002310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Cs/>
          <w:sz w:val="32"/>
          <w:szCs w:val="32"/>
          <w:u w:val="single"/>
        </w:rPr>
      </w:pPr>
      <w:r w:rsidRPr="00DB5DCC">
        <w:rPr>
          <w:rFonts w:ascii="Arial" w:eastAsia="Arial Unicode MS" w:hAnsi="Arial" w:cs="Arial"/>
          <w:bCs/>
          <w:sz w:val="32"/>
          <w:szCs w:val="32"/>
          <w:u w:val="single"/>
        </w:rPr>
        <w:lastRenderedPageBreak/>
        <w:t>ABSTRACT</w:t>
      </w:r>
    </w:p>
    <w:p w14:paraId="2598BFFF" w14:textId="700A6A2F" w:rsidR="00887A09" w:rsidRDefault="00887A09" w:rsidP="00887A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32"/>
          <w:szCs w:val="32"/>
        </w:rPr>
      </w:pPr>
    </w:p>
    <w:p w14:paraId="5A987107" w14:textId="4725B846" w:rsidR="00887A09" w:rsidRDefault="00887A09" w:rsidP="00887A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22"/>
          <w:szCs w:val="22"/>
        </w:rPr>
      </w:pPr>
      <w:r>
        <w:rPr>
          <w:rFonts w:ascii="Arial" w:eastAsia="Arial Unicode MS" w:hAnsi="Arial" w:cs="Arial"/>
          <w:sz w:val="22"/>
          <w:szCs w:val="22"/>
        </w:rPr>
        <w:t xml:space="preserve">This dissertation investigates the prevalence, risk factors and management strategies of type 2 diabetes mellitus (T2DM) among adults in the United Kingdom, addressing a growing public health concern with significant implications for health and social care systems.  The overall aim was to critically examine the scale of T2DM, identify key contributing factors, and evaluate the effectiveness of current prevention and management approaches, with a focus of informing </w:t>
      </w:r>
      <w:r w:rsidR="004B5309">
        <w:rPr>
          <w:rFonts w:ascii="Arial" w:eastAsia="Arial Unicode MS" w:hAnsi="Arial" w:cs="Arial"/>
          <w:sz w:val="22"/>
          <w:szCs w:val="22"/>
        </w:rPr>
        <w:t>evidence-based and equitable practice.  This research is important due to the increasing burden of T2DM on the NHS, its association with long-term complications, and its strong links to health inequalities, highlighting the need for improved prevention and care delivery.</w:t>
      </w:r>
    </w:p>
    <w:p w14:paraId="0D1B26CE" w14:textId="65AC6A5A" w:rsidR="004B5309" w:rsidRDefault="004B5309" w:rsidP="00887A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22"/>
          <w:szCs w:val="22"/>
        </w:rPr>
      </w:pPr>
    </w:p>
    <w:p w14:paraId="2278DD68" w14:textId="1C918EE3" w:rsidR="004B5309" w:rsidRDefault="004B5309" w:rsidP="00887A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22"/>
          <w:szCs w:val="22"/>
        </w:rPr>
      </w:pPr>
      <w:r>
        <w:rPr>
          <w:rFonts w:ascii="Arial" w:eastAsia="Arial Unicode MS" w:hAnsi="Arial" w:cs="Arial"/>
          <w:sz w:val="22"/>
          <w:szCs w:val="22"/>
        </w:rPr>
        <w:t>A desk-based, literature-based methodology was adopted, drawing on contemporary academic, policy and public health sources.  A structured search strategy was implemented across multiple databases, supported by defined inclusion and exclusion criteria and quality appraisal using the CRAAP framework.  The research employed thematic analysis to systematically identify, code and synthesise patterns within the literature, focusing on prevalence, risk factors and management strategies.</w:t>
      </w:r>
    </w:p>
    <w:p w14:paraId="17234AB9" w14:textId="3FF64DC9" w:rsidR="004B5309" w:rsidRDefault="004B5309" w:rsidP="00887A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22"/>
          <w:szCs w:val="22"/>
        </w:rPr>
      </w:pPr>
    </w:p>
    <w:p w14:paraId="6712E2CC" w14:textId="5C0A3D48" w:rsidR="004B5309" w:rsidRDefault="004B5309" w:rsidP="00887A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22"/>
          <w:szCs w:val="22"/>
        </w:rPr>
      </w:pPr>
      <w:r>
        <w:rPr>
          <w:rFonts w:ascii="Arial" w:eastAsia="Arial Unicode MS" w:hAnsi="Arial" w:cs="Arial"/>
          <w:sz w:val="22"/>
          <w:szCs w:val="22"/>
        </w:rPr>
        <w:t>Three key themes emerged.  First, the prevalence of T2DM in UK adults is rising, with evidence indicating increasing diagnosis and significant levels of undiagnosed cases.  Second, risk factors such as obesity, poor diet and physical inactivity are central, but are strongly shaped by socioeconomic deprivation and ethnicity, demonstrating that T2DM is a socially patterned condition.  Third, while management and prevention strategies, including NHS programmes and NICE guidelines, are evidence-based and increasingly comprehensive, their effectiveness is limited by issues of access, engagement and inequality.</w:t>
      </w:r>
    </w:p>
    <w:p w14:paraId="0FDDCFFF" w14:textId="4B811F23" w:rsidR="004B5309" w:rsidRDefault="004B5309" w:rsidP="00887A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22"/>
          <w:szCs w:val="22"/>
        </w:rPr>
      </w:pPr>
    </w:p>
    <w:p w14:paraId="33944FB7" w14:textId="2AB350EF" w:rsidR="004B5309" w:rsidRDefault="004B5309" w:rsidP="00887A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22"/>
          <w:szCs w:val="22"/>
        </w:rPr>
      </w:pPr>
      <w:r>
        <w:rPr>
          <w:rFonts w:ascii="Arial" w:eastAsia="Arial Unicode MS" w:hAnsi="Arial" w:cs="Arial"/>
          <w:sz w:val="22"/>
          <w:szCs w:val="22"/>
        </w:rPr>
        <w:t xml:space="preserve">Limitations of the study include reliance on secondary data and potential bias within </w:t>
      </w:r>
      <w:r w:rsidR="00AD1EAC">
        <w:rPr>
          <w:rFonts w:ascii="Arial" w:eastAsia="Arial Unicode MS" w:hAnsi="Arial" w:cs="Arial"/>
          <w:sz w:val="22"/>
          <w:szCs w:val="22"/>
        </w:rPr>
        <w:t>existing literature, alongside challenges in capturing real-world variability in practice.  Capacity constraints and inequitable access to services were identified as key barriers impacting implementation.</w:t>
      </w:r>
    </w:p>
    <w:p w14:paraId="3C349C2B" w14:textId="4957F211" w:rsidR="00AD1EAC" w:rsidRDefault="00AD1EAC" w:rsidP="00887A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22"/>
          <w:szCs w:val="22"/>
        </w:rPr>
      </w:pPr>
    </w:p>
    <w:p w14:paraId="49E1F90C" w14:textId="046229C1" w:rsidR="00230508" w:rsidRPr="00392095" w:rsidRDefault="00AD1EAC" w:rsidP="003920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22"/>
          <w:szCs w:val="22"/>
        </w:rPr>
      </w:pPr>
      <w:r>
        <w:rPr>
          <w:rFonts w:ascii="Arial" w:eastAsia="Arial Unicode MS" w:hAnsi="Arial" w:cs="Arial"/>
          <w:sz w:val="22"/>
          <w:szCs w:val="22"/>
        </w:rPr>
        <w:t>Recommendations include strengthening early identification through targeted screening, delivering culturally tailored lifestyle interventions, and prioritising upstream policy action addressing obesity and deprivation.  Overall, the findings emphasise the need for integrated, person-centred and inequality-focused approaches to improve outcomes in T2DM care</w:t>
      </w:r>
      <w:r w:rsidR="00392095">
        <w:rPr>
          <w:rFonts w:ascii="Arial" w:eastAsia="Arial Unicode MS" w:hAnsi="Arial" w:cs="Arial"/>
          <w:sz w:val="22"/>
          <w:szCs w:val="22"/>
        </w:rPr>
        <w:t>.</w:t>
      </w:r>
    </w:p>
    <w:p w14:paraId="7D1C308D" w14:textId="0D12E418" w:rsidR="00230508" w:rsidRDefault="00230508" w:rsidP="00230508">
      <w:pPr>
        <w:pStyle w:val="Heading1"/>
        <w:spacing w:line="360" w:lineRule="auto"/>
        <w:ind w:left="0"/>
        <w:jc w:val="center"/>
        <w:rPr>
          <w:rFonts w:cs="Arial"/>
          <w:b w:val="0"/>
          <w:bCs/>
          <w:u w:val="single"/>
        </w:rPr>
      </w:pPr>
      <w:r w:rsidRPr="00D66A80">
        <w:rPr>
          <w:rFonts w:cs="Arial"/>
          <w:b w:val="0"/>
          <w:bCs/>
          <w:u w:val="single"/>
        </w:rPr>
        <w:lastRenderedPageBreak/>
        <w:t>Table of Contents</w:t>
      </w:r>
    </w:p>
    <w:p w14:paraId="28C514A8" w14:textId="2BB643C1" w:rsidR="00D66A80" w:rsidRDefault="00D66A80" w:rsidP="00D66A80">
      <w:pPr>
        <w:pStyle w:val="Heading1"/>
        <w:spacing w:line="360" w:lineRule="auto"/>
        <w:ind w:left="0"/>
        <w:rPr>
          <w:rFonts w:cs="Arial"/>
          <w:b w:val="0"/>
          <w:bCs/>
          <w:u w:val="single"/>
        </w:rPr>
      </w:pPr>
    </w:p>
    <w:p w14:paraId="0A520AF9" w14:textId="4FEAD8FC" w:rsidR="00D66A80" w:rsidRDefault="00D66A80" w:rsidP="00EA38DD">
      <w:pPr>
        <w:pStyle w:val="Heading1"/>
        <w:spacing w:line="360" w:lineRule="auto"/>
        <w:ind w:left="0"/>
        <w:jc w:val="both"/>
        <w:rPr>
          <w:rFonts w:cs="Arial"/>
          <w:b w:val="0"/>
          <w:bCs/>
          <w:sz w:val="22"/>
          <w:szCs w:val="22"/>
        </w:rPr>
      </w:pPr>
      <w:r>
        <w:rPr>
          <w:rFonts w:cs="Arial"/>
          <w:b w:val="0"/>
          <w:bCs/>
          <w:sz w:val="22"/>
          <w:szCs w:val="22"/>
        </w:rPr>
        <w:t xml:space="preserve">Chapter </w:t>
      </w:r>
      <w:r w:rsidR="00A57F5C">
        <w:rPr>
          <w:rFonts w:cs="Arial"/>
          <w:b w:val="0"/>
          <w:bCs/>
          <w:sz w:val="22"/>
          <w:szCs w:val="22"/>
        </w:rPr>
        <w:t>1</w:t>
      </w:r>
      <w:r>
        <w:rPr>
          <w:rFonts w:cs="Arial"/>
          <w:b w:val="0"/>
          <w:bCs/>
          <w:sz w:val="22"/>
          <w:szCs w:val="22"/>
        </w:rPr>
        <w:t>: Introduction</w:t>
      </w:r>
    </w:p>
    <w:p w14:paraId="7F931C20" w14:textId="47CA4FCA" w:rsidR="00A57F5C" w:rsidRDefault="00A57F5C" w:rsidP="00A57F5C">
      <w:pPr>
        <w:pStyle w:val="Heading1"/>
        <w:numPr>
          <w:ilvl w:val="1"/>
          <w:numId w:val="38"/>
        </w:numPr>
        <w:spacing w:line="360" w:lineRule="auto"/>
        <w:jc w:val="both"/>
        <w:rPr>
          <w:rFonts w:cs="Arial"/>
          <w:b w:val="0"/>
          <w:bCs/>
          <w:sz w:val="22"/>
          <w:szCs w:val="22"/>
        </w:rPr>
      </w:pPr>
      <w:r>
        <w:rPr>
          <w:rFonts w:cs="Arial"/>
          <w:b w:val="0"/>
          <w:bCs/>
          <w:sz w:val="22"/>
          <w:szCs w:val="22"/>
        </w:rPr>
        <w:t>Introduction</w:t>
      </w:r>
    </w:p>
    <w:p w14:paraId="68C77B19" w14:textId="2ECF0CE2" w:rsidR="00A57F5C" w:rsidRDefault="00A57F5C" w:rsidP="00A57F5C">
      <w:pPr>
        <w:pStyle w:val="Heading1"/>
        <w:numPr>
          <w:ilvl w:val="1"/>
          <w:numId w:val="38"/>
        </w:numPr>
        <w:spacing w:line="360" w:lineRule="auto"/>
        <w:jc w:val="both"/>
        <w:rPr>
          <w:rFonts w:cs="Arial"/>
          <w:b w:val="0"/>
          <w:bCs/>
          <w:sz w:val="22"/>
          <w:szCs w:val="22"/>
        </w:rPr>
      </w:pPr>
      <w:r>
        <w:rPr>
          <w:rFonts w:cs="Arial"/>
          <w:b w:val="0"/>
          <w:bCs/>
          <w:sz w:val="22"/>
          <w:szCs w:val="22"/>
        </w:rPr>
        <w:t>Definition and Terminology</w:t>
      </w:r>
    </w:p>
    <w:p w14:paraId="582E09AD" w14:textId="49C97A61" w:rsidR="00A57F5C" w:rsidRDefault="00A57F5C" w:rsidP="00A57F5C">
      <w:pPr>
        <w:pStyle w:val="Heading1"/>
        <w:numPr>
          <w:ilvl w:val="1"/>
          <w:numId w:val="38"/>
        </w:numPr>
        <w:spacing w:line="360" w:lineRule="auto"/>
        <w:jc w:val="both"/>
        <w:rPr>
          <w:rFonts w:cs="Arial"/>
          <w:b w:val="0"/>
          <w:bCs/>
          <w:sz w:val="22"/>
          <w:szCs w:val="22"/>
        </w:rPr>
      </w:pPr>
      <w:r>
        <w:rPr>
          <w:rFonts w:cs="Arial"/>
          <w:b w:val="0"/>
          <w:bCs/>
          <w:sz w:val="22"/>
          <w:szCs w:val="22"/>
        </w:rPr>
        <w:t>Acronyms and Abbreviations</w:t>
      </w:r>
    </w:p>
    <w:p w14:paraId="5168C3EA" w14:textId="51DCAE41" w:rsidR="00A57F5C" w:rsidRDefault="00A57F5C" w:rsidP="00A57F5C">
      <w:pPr>
        <w:pStyle w:val="Heading1"/>
        <w:numPr>
          <w:ilvl w:val="1"/>
          <w:numId w:val="38"/>
        </w:numPr>
        <w:spacing w:line="360" w:lineRule="auto"/>
        <w:jc w:val="both"/>
        <w:rPr>
          <w:rFonts w:cs="Arial"/>
          <w:b w:val="0"/>
          <w:bCs/>
          <w:sz w:val="22"/>
          <w:szCs w:val="22"/>
        </w:rPr>
      </w:pPr>
      <w:r>
        <w:rPr>
          <w:rFonts w:cs="Arial"/>
          <w:b w:val="0"/>
          <w:bCs/>
          <w:sz w:val="22"/>
          <w:szCs w:val="22"/>
        </w:rPr>
        <w:t>Rationale for Research</w:t>
      </w:r>
    </w:p>
    <w:p w14:paraId="1A15D0FA" w14:textId="173CB5E5" w:rsidR="00A57F5C" w:rsidRDefault="00A57F5C" w:rsidP="00A57F5C">
      <w:pPr>
        <w:pStyle w:val="Heading1"/>
        <w:numPr>
          <w:ilvl w:val="1"/>
          <w:numId w:val="38"/>
        </w:numPr>
        <w:spacing w:line="360" w:lineRule="auto"/>
        <w:jc w:val="both"/>
        <w:rPr>
          <w:rFonts w:cs="Arial"/>
          <w:b w:val="0"/>
          <w:bCs/>
          <w:sz w:val="22"/>
          <w:szCs w:val="22"/>
        </w:rPr>
      </w:pPr>
      <w:r>
        <w:rPr>
          <w:rFonts w:cs="Arial"/>
          <w:b w:val="0"/>
          <w:bCs/>
          <w:sz w:val="22"/>
          <w:szCs w:val="22"/>
        </w:rPr>
        <w:t>Aim and Objectives</w:t>
      </w:r>
    </w:p>
    <w:p w14:paraId="0F1AC72C" w14:textId="4B2E9C2C" w:rsidR="00A57F5C" w:rsidRDefault="00A57F5C" w:rsidP="00A57F5C">
      <w:pPr>
        <w:pStyle w:val="Heading1"/>
        <w:numPr>
          <w:ilvl w:val="1"/>
          <w:numId w:val="38"/>
        </w:numPr>
        <w:spacing w:line="360" w:lineRule="auto"/>
        <w:jc w:val="both"/>
        <w:rPr>
          <w:rFonts w:cs="Arial"/>
          <w:b w:val="0"/>
          <w:bCs/>
          <w:sz w:val="22"/>
          <w:szCs w:val="22"/>
        </w:rPr>
      </w:pPr>
      <w:r>
        <w:rPr>
          <w:rFonts w:cs="Arial"/>
          <w:b w:val="0"/>
          <w:bCs/>
          <w:sz w:val="22"/>
          <w:szCs w:val="22"/>
        </w:rPr>
        <w:t>Conclusion</w:t>
      </w:r>
    </w:p>
    <w:p w14:paraId="09A0E292" w14:textId="7C20A179" w:rsidR="00A57F5C" w:rsidRDefault="00A57F5C" w:rsidP="00A57F5C">
      <w:pPr>
        <w:pStyle w:val="Heading1"/>
        <w:spacing w:line="360" w:lineRule="auto"/>
        <w:ind w:left="0"/>
        <w:jc w:val="both"/>
        <w:rPr>
          <w:rFonts w:cs="Arial"/>
          <w:b w:val="0"/>
          <w:bCs/>
          <w:sz w:val="22"/>
          <w:szCs w:val="22"/>
        </w:rPr>
      </w:pPr>
    </w:p>
    <w:p w14:paraId="0ADFA622" w14:textId="0FA2A811" w:rsidR="00A57F5C" w:rsidRDefault="00A57F5C" w:rsidP="00A57F5C">
      <w:pPr>
        <w:pStyle w:val="Heading1"/>
        <w:spacing w:line="360" w:lineRule="auto"/>
        <w:ind w:left="0"/>
        <w:jc w:val="both"/>
        <w:rPr>
          <w:rFonts w:cs="Arial"/>
          <w:b w:val="0"/>
          <w:bCs/>
          <w:sz w:val="22"/>
          <w:szCs w:val="22"/>
        </w:rPr>
      </w:pPr>
      <w:r>
        <w:rPr>
          <w:rFonts w:cs="Arial"/>
          <w:b w:val="0"/>
          <w:bCs/>
          <w:sz w:val="22"/>
          <w:szCs w:val="22"/>
        </w:rPr>
        <w:t>Chapter 2: Background Information and Analysis</w:t>
      </w:r>
    </w:p>
    <w:p w14:paraId="6E164F11" w14:textId="5BE83ED2" w:rsidR="00A57F5C" w:rsidRDefault="00A57F5C" w:rsidP="00A57F5C">
      <w:pPr>
        <w:pStyle w:val="Heading1"/>
        <w:spacing w:line="360" w:lineRule="auto"/>
        <w:ind w:left="0"/>
        <w:jc w:val="both"/>
        <w:rPr>
          <w:rFonts w:cs="Arial"/>
          <w:b w:val="0"/>
          <w:bCs/>
          <w:sz w:val="22"/>
          <w:szCs w:val="22"/>
        </w:rPr>
      </w:pPr>
      <w:r>
        <w:rPr>
          <w:rFonts w:cs="Arial"/>
          <w:b w:val="0"/>
          <w:bCs/>
          <w:sz w:val="22"/>
          <w:szCs w:val="22"/>
        </w:rPr>
        <w:t>2.1 Introduction</w:t>
      </w:r>
    </w:p>
    <w:p w14:paraId="77BEDD12" w14:textId="40B7F79F" w:rsidR="00A57F5C" w:rsidRDefault="00A57F5C" w:rsidP="00A57F5C">
      <w:pPr>
        <w:pStyle w:val="Heading1"/>
        <w:spacing w:line="360" w:lineRule="auto"/>
        <w:ind w:left="0"/>
        <w:jc w:val="both"/>
        <w:rPr>
          <w:rFonts w:cs="Arial"/>
          <w:b w:val="0"/>
          <w:bCs/>
          <w:sz w:val="22"/>
          <w:szCs w:val="22"/>
        </w:rPr>
      </w:pPr>
      <w:r>
        <w:rPr>
          <w:rFonts w:cs="Arial"/>
          <w:b w:val="0"/>
          <w:bCs/>
          <w:sz w:val="22"/>
          <w:szCs w:val="22"/>
        </w:rPr>
        <w:t>2.2 Historical Background</w:t>
      </w:r>
    </w:p>
    <w:p w14:paraId="6CA36A8C" w14:textId="20EE1F3D" w:rsidR="00A57F5C" w:rsidRDefault="00A57F5C" w:rsidP="00A57F5C">
      <w:pPr>
        <w:pStyle w:val="Heading1"/>
        <w:spacing w:line="360" w:lineRule="auto"/>
        <w:ind w:left="0"/>
        <w:jc w:val="both"/>
        <w:rPr>
          <w:rFonts w:cs="Arial"/>
          <w:b w:val="0"/>
          <w:bCs/>
          <w:sz w:val="22"/>
          <w:szCs w:val="22"/>
        </w:rPr>
      </w:pPr>
      <w:r>
        <w:rPr>
          <w:rFonts w:cs="Arial"/>
          <w:b w:val="0"/>
          <w:bCs/>
          <w:sz w:val="22"/>
          <w:szCs w:val="22"/>
        </w:rPr>
        <w:t>2.3 Theoretical Background</w:t>
      </w:r>
    </w:p>
    <w:p w14:paraId="6A313DED" w14:textId="4FF66233" w:rsidR="00A57F5C" w:rsidRDefault="00A57F5C" w:rsidP="00A57F5C">
      <w:pPr>
        <w:pStyle w:val="Heading1"/>
        <w:spacing w:line="360" w:lineRule="auto"/>
        <w:ind w:left="0"/>
        <w:jc w:val="both"/>
        <w:rPr>
          <w:rFonts w:cs="Arial"/>
          <w:b w:val="0"/>
          <w:bCs/>
          <w:sz w:val="22"/>
          <w:szCs w:val="22"/>
        </w:rPr>
      </w:pPr>
      <w:r>
        <w:rPr>
          <w:rFonts w:cs="Arial"/>
          <w:b w:val="0"/>
          <w:bCs/>
          <w:sz w:val="22"/>
          <w:szCs w:val="22"/>
        </w:rPr>
        <w:t>2.4 International Context</w:t>
      </w:r>
    </w:p>
    <w:p w14:paraId="3A222F5F" w14:textId="3D10BF8B" w:rsidR="00A57F5C" w:rsidRDefault="00A57F5C" w:rsidP="00A57F5C">
      <w:pPr>
        <w:pStyle w:val="Heading1"/>
        <w:spacing w:line="360" w:lineRule="auto"/>
        <w:ind w:left="0"/>
        <w:jc w:val="both"/>
        <w:rPr>
          <w:rFonts w:cs="Arial"/>
          <w:b w:val="0"/>
          <w:bCs/>
          <w:sz w:val="22"/>
          <w:szCs w:val="22"/>
        </w:rPr>
      </w:pPr>
      <w:r>
        <w:rPr>
          <w:rFonts w:cs="Arial"/>
          <w:b w:val="0"/>
          <w:bCs/>
          <w:sz w:val="22"/>
          <w:szCs w:val="22"/>
        </w:rPr>
        <w:t>2.5 National and Local Context</w:t>
      </w:r>
    </w:p>
    <w:p w14:paraId="46910FC3" w14:textId="10BD980C" w:rsidR="00A57F5C" w:rsidRDefault="00A57F5C" w:rsidP="00A57F5C">
      <w:pPr>
        <w:pStyle w:val="Heading1"/>
        <w:spacing w:line="360" w:lineRule="auto"/>
        <w:ind w:left="0"/>
        <w:jc w:val="both"/>
        <w:rPr>
          <w:rFonts w:cs="Arial"/>
          <w:b w:val="0"/>
          <w:bCs/>
          <w:sz w:val="22"/>
          <w:szCs w:val="22"/>
        </w:rPr>
      </w:pPr>
      <w:r>
        <w:rPr>
          <w:rFonts w:cs="Arial"/>
          <w:b w:val="0"/>
          <w:bCs/>
          <w:sz w:val="22"/>
          <w:szCs w:val="22"/>
        </w:rPr>
        <w:t>2.6 Conclusion and Transition to Methodology</w:t>
      </w:r>
    </w:p>
    <w:p w14:paraId="0582C042" w14:textId="04165416" w:rsidR="00A57F5C" w:rsidRDefault="00A57F5C" w:rsidP="00A57F5C">
      <w:pPr>
        <w:pStyle w:val="Heading1"/>
        <w:spacing w:line="360" w:lineRule="auto"/>
        <w:ind w:left="0"/>
        <w:jc w:val="both"/>
        <w:rPr>
          <w:rFonts w:cs="Arial"/>
          <w:b w:val="0"/>
          <w:bCs/>
          <w:sz w:val="22"/>
          <w:szCs w:val="22"/>
        </w:rPr>
      </w:pPr>
    </w:p>
    <w:p w14:paraId="67A474A1" w14:textId="6140AF61" w:rsidR="00A57F5C" w:rsidRDefault="00A57F5C" w:rsidP="00A57F5C">
      <w:pPr>
        <w:pStyle w:val="Heading1"/>
        <w:spacing w:line="360" w:lineRule="auto"/>
        <w:ind w:left="0"/>
        <w:jc w:val="both"/>
        <w:rPr>
          <w:rFonts w:cs="Arial"/>
          <w:b w:val="0"/>
          <w:bCs/>
          <w:sz w:val="22"/>
          <w:szCs w:val="22"/>
        </w:rPr>
      </w:pPr>
      <w:r>
        <w:rPr>
          <w:rFonts w:cs="Arial"/>
          <w:b w:val="0"/>
          <w:bCs/>
          <w:sz w:val="22"/>
          <w:szCs w:val="22"/>
        </w:rPr>
        <w:t>Chapter 3: Methodology</w:t>
      </w:r>
    </w:p>
    <w:p w14:paraId="6FAD11D0" w14:textId="16DFCA04" w:rsidR="00A57F5C" w:rsidRDefault="00A57F5C" w:rsidP="00A57F5C">
      <w:pPr>
        <w:pStyle w:val="Heading1"/>
        <w:spacing w:line="360" w:lineRule="auto"/>
        <w:ind w:left="0"/>
        <w:jc w:val="both"/>
        <w:rPr>
          <w:rFonts w:cs="Arial"/>
          <w:b w:val="0"/>
          <w:bCs/>
          <w:sz w:val="22"/>
          <w:szCs w:val="22"/>
        </w:rPr>
      </w:pPr>
      <w:r>
        <w:rPr>
          <w:rFonts w:cs="Arial"/>
          <w:b w:val="0"/>
          <w:bCs/>
          <w:sz w:val="22"/>
          <w:szCs w:val="22"/>
        </w:rPr>
        <w:t>3.1 Introduction</w:t>
      </w:r>
    </w:p>
    <w:p w14:paraId="2255B141" w14:textId="0C19DB17" w:rsidR="00A57F5C" w:rsidRDefault="00A57F5C" w:rsidP="00A57F5C">
      <w:pPr>
        <w:pStyle w:val="Heading1"/>
        <w:spacing w:line="360" w:lineRule="auto"/>
        <w:ind w:left="0"/>
        <w:jc w:val="both"/>
        <w:rPr>
          <w:rFonts w:cs="Arial"/>
          <w:b w:val="0"/>
          <w:bCs/>
          <w:sz w:val="22"/>
          <w:szCs w:val="22"/>
        </w:rPr>
      </w:pPr>
      <w:r>
        <w:rPr>
          <w:rFonts w:cs="Arial"/>
          <w:b w:val="0"/>
          <w:bCs/>
          <w:sz w:val="22"/>
          <w:szCs w:val="22"/>
        </w:rPr>
        <w:t>3.2 Search Strategy</w:t>
      </w:r>
    </w:p>
    <w:p w14:paraId="56F6AA0A" w14:textId="218276F4" w:rsidR="00A57F5C" w:rsidRDefault="00A57F5C" w:rsidP="00A57F5C">
      <w:pPr>
        <w:pStyle w:val="Heading1"/>
        <w:spacing w:line="360" w:lineRule="auto"/>
        <w:ind w:left="0"/>
        <w:jc w:val="both"/>
        <w:rPr>
          <w:rFonts w:cs="Arial"/>
          <w:b w:val="0"/>
          <w:bCs/>
          <w:sz w:val="22"/>
          <w:szCs w:val="22"/>
        </w:rPr>
      </w:pPr>
      <w:r>
        <w:rPr>
          <w:rFonts w:cs="Arial"/>
          <w:b w:val="0"/>
          <w:bCs/>
          <w:sz w:val="22"/>
          <w:szCs w:val="22"/>
        </w:rPr>
        <w:t>3.3 Data Collection (Databases and Sources)</w:t>
      </w:r>
    </w:p>
    <w:p w14:paraId="251A3826" w14:textId="26D1E39C" w:rsidR="00A57F5C" w:rsidRDefault="00A57F5C" w:rsidP="00A57F5C">
      <w:pPr>
        <w:pStyle w:val="Heading1"/>
        <w:spacing w:line="360" w:lineRule="auto"/>
        <w:ind w:left="0"/>
        <w:jc w:val="both"/>
        <w:rPr>
          <w:rFonts w:cs="Arial"/>
          <w:b w:val="0"/>
          <w:bCs/>
          <w:sz w:val="22"/>
          <w:szCs w:val="22"/>
        </w:rPr>
      </w:pPr>
      <w:r>
        <w:rPr>
          <w:rFonts w:cs="Arial"/>
          <w:b w:val="0"/>
          <w:bCs/>
          <w:sz w:val="22"/>
          <w:szCs w:val="22"/>
        </w:rPr>
        <w:t>3.4 Research Validation (CRAPP Test)</w:t>
      </w:r>
    </w:p>
    <w:p w14:paraId="5D15AE36" w14:textId="7442E4D8" w:rsidR="00A57F5C" w:rsidRDefault="00A57F5C" w:rsidP="00A57F5C">
      <w:pPr>
        <w:pStyle w:val="Heading1"/>
        <w:spacing w:line="360" w:lineRule="auto"/>
        <w:ind w:left="0"/>
        <w:jc w:val="both"/>
        <w:rPr>
          <w:rFonts w:cs="Arial"/>
          <w:b w:val="0"/>
          <w:bCs/>
          <w:sz w:val="22"/>
          <w:szCs w:val="22"/>
        </w:rPr>
      </w:pPr>
      <w:r>
        <w:rPr>
          <w:rFonts w:cs="Arial"/>
          <w:b w:val="0"/>
          <w:bCs/>
          <w:sz w:val="22"/>
          <w:szCs w:val="22"/>
        </w:rPr>
        <w:t>3.5 Inclusion and Exclusion Criteria</w:t>
      </w:r>
    </w:p>
    <w:p w14:paraId="4552379E" w14:textId="7A97DF94" w:rsidR="00A57F5C" w:rsidRDefault="00A57F5C" w:rsidP="00A57F5C">
      <w:pPr>
        <w:pStyle w:val="Heading1"/>
        <w:spacing w:line="360" w:lineRule="auto"/>
        <w:ind w:left="0"/>
        <w:jc w:val="both"/>
        <w:rPr>
          <w:rFonts w:cs="Arial"/>
          <w:b w:val="0"/>
          <w:bCs/>
          <w:sz w:val="22"/>
          <w:szCs w:val="22"/>
        </w:rPr>
      </w:pPr>
      <w:r>
        <w:rPr>
          <w:rFonts w:cs="Arial"/>
          <w:b w:val="0"/>
          <w:bCs/>
          <w:sz w:val="22"/>
          <w:szCs w:val="22"/>
        </w:rPr>
        <w:t>3.6 Data Analysis (Thematic Analysis)</w:t>
      </w:r>
    </w:p>
    <w:p w14:paraId="2F6923A2" w14:textId="65C27683" w:rsidR="00A57F5C" w:rsidRDefault="00A57F5C" w:rsidP="00A57F5C">
      <w:pPr>
        <w:pStyle w:val="Heading1"/>
        <w:spacing w:line="360" w:lineRule="auto"/>
        <w:ind w:left="0"/>
        <w:jc w:val="both"/>
        <w:rPr>
          <w:rFonts w:cs="Arial"/>
          <w:b w:val="0"/>
          <w:bCs/>
          <w:sz w:val="22"/>
          <w:szCs w:val="22"/>
        </w:rPr>
      </w:pPr>
      <w:r>
        <w:rPr>
          <w:rFonts w:cs="Arial"/>
          <w:b w:val="0"/>
          <w:bCs/>
          <w:sz w:val="22"/>
          <w:szCs w:val="22"/>
        </w:rPr>
        <w:t>3.7 Ethical Considerations</w:t>
      </w:r>
    </w:p>
    <w:p w14:paraId="704964E4" w14:textId="39865F4C" w:rsidR="00A57F5C" w:rsidRDefault="00A57F5C" w:rsidP="00A57F5C">
      <w:pPr>
        <w:pStyle w:val="Heading1"/>
        <w:spacing w:line="360" w:lineRule="auto"/>
        <w:ind w:left="0"/>
        <w:jc w:val="both"/>
        <w:rPr>
          <w:rFonts w:cs="Arial"/>
          <w:b w:val="0"/>
          <w:bCs/>
          <w:sz w:val="22"/>
          <w:szCs w:val="22"/>
        </w:rPr>
      </w:pPr>
      <w:r>
        <w:rPr>
          <w:rFonts w:cs="Arial"/>
          <w:b w:val="0"/>
          <w:bCs/>
          <w:sz w:val="22"/>
          <w:szCs w:val="22"/>
        </w:rPr>
        <w:t>3.8 Chapter Conclusion</w:t>
      </w:r>
    </w:p>
    <w:p w14:paraId="7302B847" w14:textId="4A647B8C" w:rsidR="00A57F5C" w:rsidRDefault="00A57F5C" w:rsidP="00A57F5C">
      <w:pPr>
        <w:pStyle w:val="Heading1"/>
        <w:spacing w:line="360" w:lineRule="auto"/>
        <w:ind w:left="0"/>
        <w:jc w:val="both"/>
        <w:rPr>
          <w:rFonts w:cs="Arial"/>
          <w:b w:val="0"/>
          <w:bCs/>
          <w:sz w:val="22"/>
          <w:szCs w:val="22"/>
        </w:rPr>
      </w:pPr>
    </w:p>
    <w:p w14:paraId="0BE4782A" w14:textId="4CBBA7CE" w:rsidR="00A57F5C" w:rsidRDefault="00A57F5C" w:rsidP="00A57F5C">
      <w:pPr>
        <w:pStyle w:val="Heading1"/>
        <w:spacing w:line="360" w:lineRule="auto"/>
        <w:ind w:left="0"/>
        <w:jc w:val="both"/>
        <w:rPr>
          <w:rFonts w:cs="Arial"/>
          <w:b w:val="0"/>
          <w:bCs/>
          <w:sz w:val="22"/>
          <w:szCs w:val="22"/>
        </w:rPr>
      </w:pPr>
      <w:r>
        <w:rPr>
          <w:rFonts w:cs="Arial"/>
          <w:b w:val="0"/>
          <w:bCs/>
          <w:sz w:val="22"/>
          <w:szCs w:val="22"/>
        </w:rPr>
        <w:t>Chapter 4: Findings and Discussion</w:t>
      </w:r>
    </w:p>
    <w:p w14:paraId="56215B5B" w14:textId="6D26DEBF" w:rsidR="00A57F5C" w:rsidRDefault="00A57F5C" w:rsidP="00A57F5C">
      <w:pPr>
        <w:pStyle w:val="Heading1"/>
        <w:spacing w:line="360" w:lineRule="auto"/>
        <w:ind w:left="0"/>
        <w:jc w:val="both"/>
        <w:rPr>
          <w:rFonts w:cs="Arial"/>
          <w:b w:val="0"/>
          <w:bCs/>
          <w:sz w:val="22"/>
          <w:szCs w:val="22"/>
        </w:rPr>
      </w:pPr>
      <w:r>
        <w:rPr>
          <w:rFonts w:cs="Arial"/>
          <w:b w:val="0"/>
          <w:bCs/>
          <w:sz w:val="22"/>
          <w:szCs w:val="22"/>
        </w:rPr>
        <w:t>4.1 Introduction</w:t>
      </w:r>
    </w:p>
    <w:p w14:paraId="073C3CE7" w14:textId="0C15A4BE" w:rsidR="00A57F5C" w:rsidRDefault="00A57F5C" w:rsidP="00A57F5C">
      <w:pPr>
        <w:pStyle w:val="Heading1"/>
        <w:spacing w:line="360" w:lineRule="auto"/>
        <w:ind w:left="0"/>
        <w:jc w:val="both"/>
        <w:rPr>
          <w:rFonts w:cs="Arial"/>
          <w:b w:val="0"/>
          <w:bCs/>
          <w:sz w:val="22"/>
          <w:szCs w:val="22"/>
        </w:rPr>
      </w:pPr>
      <w:r>
        <w:rPr>
          <w:rFonts w:cs="Arial"/>
          <w:b w:val="0"/>
          <w:bCs/>
          <w:sz w:val="22"/>
          <w:szCs w:val="22"/>
        </w:rPr>
        <w:t>4.2 Thematic Analysis</w:t>
      </w:r>
    </w:p>
    <w:p w14:paraId="355DB569" w14:textId="4B14150D" w:rsidR="00A57F5C" w:rsidRDefault="00A57F5C" w:rsidP="00A57F5C">
      <w:pPr>
        <w:pStyle w:val="Heading1"/>
        <w:spacing w:line="360" w:lineRule="auto"/>
        <w:ind w:left="0"/>
        <w:jc w:val="both"/>
        <w:rPr>
          <w:rFonts w:cs="Arial"/>
          <w:b w:val="0"/>
          <w:bCs/>
          <w:sz w:val="22"/>
          <w:szCs w:val="22"/>
        </w:rPr>
      </w:pPr>
      <w:r>
        <w:rPr>
          <w:rFonts w:cs="Arial"/>
          <w:b w:val="0"/>
          <w:bCs/>
          <w:sz w:val="22"/>
          <w:szCs w:val="22"/>
        </w:rPr>
        <w:t>4.3 Theme 1: Rising Prevalence of Type 2 Diabetes</w:t>
      </w:r>
    </w:p>
    <w:p w14:paraId="5C786FF5" w14:textId="4ADB51FE" w:rsidR="00A57F5C" w:rsidRDefault="00A57F5C" w:rsidP="00A57F5C">
      <w:pPr>
        <w:pStyle w:val="Heading1"/>
        <w:spacing w:line="360" w:lineRule="auto"/>
        <w:ind w:left="0"/>
        <w:jc w:val="both"/>
        <w:rPr>
          <w:rFonts w:cs="Arial"/>
          <w:b w:val="0"/>
          <w:bCs/>
          <w:sz w:val="22"/>
          <w:szCs w:val="22"/>
        </w:rPr>
      </w:pPr>
      <w:r>
        <w:rPr>
          <w:rFonts w:cs="Arial"/>
          <w:b w:val="0"/>
          <w:bCs/>
          <w:sz w:val="22"/>
          <w:szCs w:val="22"/>
        </w:rPr>
        <w:t>4.4 Theme 2: Lifestyle and Socioeconomic Risk Factors</w:t>
      </w:r>
    </w:p>
    <w:p w14:paraId="5AE56D71" w14:textId="3199DB46" w:rsidR="00A57F5C" w:rsidRDefault="00A57F5C" w:rsidP="00A57F5C">
      <w:pPr>
        <w:pStyle w:val="Heading1"/>
        <w:spacing w:line="360" w:lineRule="auto"/>
        <w:ind w:left="0"/>
        <w:jc w:val="both"/>
        <w:rPr>
          <w:rFonts w:cs="Arial"/>
          <w:b w:val="0"/>
          <w:bCs/>
          <w:sz w:val="22"/>
          <w:szCs w:val="22"/>
        </w:rPr>
      </w:pPr>
      <w:r>
        <w:rPr>
          <w:rFonts w:cs="Arial"/>
          <w:b w:val="0"/>
          <w:bCs/>
          <w:sz w:val="22"/>
          <w:szCs w:val="22"/>
        </w:rPr>
        <w:t>4.5 Theme 3: Management and Prevention Strategies</w:t>
      </w:r>
    </w:p>
    <w:p w14:paraId="767DEA89" w14:textId="062584DC" w:rsidR="00A57F5C" w:rsidRDefault="00A57F5C" w:rsidP="00A57F5C">
      <w:pPr>
        <w:pStyle w:val="Heading1"/>
        <w:spacing w:line="360" w:lineRule="auto"/>
        <w:ind w:left="0"/>
        <w:jc w:val="both"/>
        <w:rPr>
          <w:rFonts w:cs="Arial"/>
          <w:b w:val="0"/>
          <w:bCs/>
          <w:sz w:val="22"/>
          <w:szCs w:val="22"/>
        </w:rPr>
      </w:pPr>
      <w:r>
        <w:rPr>
          <w:rFonts w:cs="Arial"/>
          <w:b w:val="0"/>
          <w:bCs/>
          <w:sz w:val="22"/>
          <w:szCs w:val="22"/>
        </w:rPr>
        <w:t>4.6 Chapter Conclusion</w:t>
      </w:r>
    </w:p>
    <w:p w14:paraId="68669CEC" w14:textId="439F01FF" w:rsidR="00A57F5C" w:rsidRDefault="00A57F5C" w:rsidP="00A57F5C">
      <w:pPr>
        <w:pStyle w:val="Heading1"/>
        <w:spacing w:line="360" w:lineRule="auto"/>
        <w:ind w:left="0"/>
        <w:jc w:val="both"/>
        <w:rPr>
          <w:rFonts w:cs="Arial"/>
          <w:b w:val="0"/>
          <w:bCs/>
          <w:sz w:val="22"/>
          <w:szCs w:val="22"/>
        </w:rPr>
      </w:pPr>
    </w:p>
    <w:p w14:paraId="461C5B91" w14:textId="3D93293E" w:rsidR="00A57F5C" w:rsidRDefault="00A57F5C" w:rsidP="00A57F5C">
      <w:pPr>
        <w:pStyle w:val="Heading1"/>
        <w:spacing w:line="360" w:lineRule="auto"/>
        <w:ind w:left="0"/>
        <w:jc w:val="both"/>
        <w:rPr>
          <w:rFonts w:cs="Arial"/>
          <w:b w:val="0"/>
          <w:bCs/>
          <w:sz w:val="22"/>
          <w:szCs w:val="22"/>
        </w:rPr>
      </w:pPr>
      <w:r>
        <w:rPr>
          <w:rFonts w:cs="Arial"/>
          <w:b w:val="0"/>
          <w:bCs/>
          <w:sz w:val="22"/>
          <w:szCs w:val="22"/>
        </w:rPr>
        <w:lastRenderedPageBreak/>
        <w:t>Chapter 5: Conclusion and Recommendations</w:t>
      </w:r>
    </w:p>
    <w:p w14:paraId="51A2107B" w14:textId="7CB3805A" w:rsidR="00023108" w:rsidRDefault="00023108" w:rsidP="00A57F5C">
      <w:pPr>
        <w:pStyle w:val="Heading1"/>
        <w:spacing w:line="360" w:lineRule="auto"/>
        <w:ind w:left="0"/>
        <w:jc w:val="both"/>
        <w:rPr>
          <w:rFonts w:cs="Arial"/>
          <w:b w:val="0"/>
          <w:bCs/>
          <w:sz w:val="22"/>
          <w:szCs w:val="22"/>
        </w:rPr>
      </w:pPr>
      <w:r>
        <w:rPr>
          <w:rFonts w:cs="Arial"/>
          <w:b w:val="0"/>
          <w:bCs/>
          <w:sz w:val="22"/>
          <w:szCs w:val="22"/>
        </w:rPr>
        <w:t>5.1 Overall Conclusion</w:t>
      </w:r>
    </w:p>
    <w:p w14:paraId="0D500990" w14:textId="6613CA44" w:rsidR="00023108" w:rsidRDefault="00023108" w:rsidP="00A57F5C">
      <w:pPr>
        <w:pStyle w:val="Heading1"/>
        <w:spacing w:line="360" w:lineRule="auto"/>
        <w:ind w:left="0"/>
        <w:jc w:val="both"/>
        <w:rPr>
          <w:rFonts w:cs="Arial"/>
          <w:b w:val="0"/>
          <w:bCs/>
          <w:sz w:val="22"/>
          <w:szCs w:val="22"/>
        </w:rPr>
      </w:pPr>
      <w:r>
        <w:rPr>
          <w:rFonts w:cs="Arial"/>
          <w:b w:val="0"/>
          <w:bCs/>
          <w:sz w:val="22"/>
          <w:szCs w:val="22"/>
        </w:rPr>
        <w:t>5.2 Recommendations</w:t>
      </w:r>
    </w:p>
    <w:p w14:paraId="20437D2E" w14:textId="24F9F662" w:rsidR="00023108" w:rsidRDefault="00023108" w:rsidP="00A57F5C">
      <w:pPr>
        <w:pStyle w:val="Heading1"/>
        <w:spacing w:line="360" w:lineRule="auto"/>
        <w:ind w:left="0"/>
        <w:jc w:val="both"/>
        <w:rPr>
          <w:rFonts w:cs="Arial"/>
          <w:b w:val="0"/>
          <w:bCs/>
          <w:sz w:val="22"/>
          <w:szCs w:val="22"/>
        </w:rPr>
      </w:pPr>
      <w:r>
        <w:rPr>
          <w:rFonts w:cs="Arial"/>
          <w:b w:val="0"/>
          <w:bCs/>
          <w:sz w:val="22"/>
          <w:szCs w:val="22"/>
        </w:rPr>
        <w:t xml:space="preserve">. Reference List </w:t>
      </w:r>
    </w:p>
    <w:p w14:paraId="246DD29D" w14:textId="616AFF91" w:rsidR="00023108" w:rsidRDefault="00023108" w:rsidP="00A57F5C">
      <w:pPr>
        <w:pStyle w:val="Heading1"/>
        <w:spacing w:line="360" w:lineRule="auto"/>
        <w:ind w:left="0"/>
        <w:jc w:val="both"/>
        <w:rPr>
          <w:rFonts w:cs="Arial"/>
          <w:b w:val="0"/>
          <w:bCs/>
          <w:sz w:val="22"/>
          <w:szCs w:val="22"/>
        </w:rPr>
      </w:pPr>
      <w:r>
        <w:rPr>
          <w:rFonts w:cs="Arial"/>
          <w:b w:val="0"/>
          <w:bCs/>
          <w:sz w:val="22"/>
          <w:szCs w:val="22"/>
        </w:rPr>
        <w:t>. Appendices</w:t>
      </w:r>
    </w:p>
    <w:p w14:paraId="60DB37E3" w14:textId="54FBF3FA" w:rsidR="00023108" w:rsidRDefault="00023108" w:rsidP="00A57F5C">
      <w:pPr>
        <w:pStyle w:val="Heading1"/>
        <w:spacing w:line="360" w:lineRule="auto"/>
        <w:ind w:left="0"/>
        <w:jc w:val="both"/>
        <w:rPr>
          <w:rFonts w:cs="Arial"/>
          <w:b w:val="0"/>
          <w:bCs/>
          <w:sz w:val="22"/>
          <w:szCs w:val="22"/>
        </w:rPr>
      </w:pPr>
    </w:p>
    <w:p w14:paraId="60CBA8F7" w14:textId="77777777" w:rsidR="00023108" w:rsidRDefault="00023108" w:rsidP="00A57F5C">
      <w:pPr>
        <w:pStyle w:val="Heading1"/>
        <w:spacing w:line="360" w:lineRule="auto"/>
        <w:ind w:left="0"/>
        <w:jc w:val="both"/>
        <w:rPr>
          <w:rFonts w:cs="Arial"/>
          <w:b w:val="0"/>
          <w:bCs/>
          <w:sz w:val="22"/>
          <w:szCs w:val="22"/>
        </w:rPr>
      </w:pPr>
    </w:p>
    <w:p w14:paraId="7FAF9350" w14:textId="77777777" w:rsidR="00A57F5C" w:rsidRDefault="00A57F5C" w:rsidP="00A57F5C">
      <w:pPr>
        <w:pStyle w:val="Heading1"/>
        <w:spacing w:line="360" w:lineRule="auto"/>
        <w:ind w:left="0"/>
        <w:jc w:val="both"/>
        <w:rPr>
          <w:rFonts w:cs="Arial"/>
          <w:b w:val="0"/>
          <w:bCs/>
          <w:sz w:val="22"/>
          <w:szCs w:val="22"/>
        </w:rPr>
      </w:pPr>
    </w:p>
    <w:p w14:paraId="2BA20CFA" w14:textId="38B42B05" w:rsidR="00EA38DD" w:rsidRDefault="00EA38DD" w:rsidP="00EA38DD">
      <w:pPr>
        <w:pStyle w:val="Heading1"/>
        <w:spacing w:line="360" w:lineRule="auto"/>
        <w:ind w:left="0"/>
        <w:jc w:val="both"/>
        <w:rPr>
          <w:rFonts w:cs="Arial"/>
          <w:u w:val="single"/>
        </w:rPr>
      </w:pPr>
    </w:p>
    <w:p w14:paraId="72E3308F" w14:textId="10CAE4AC" w:rsidR="00EA38DD" w:rsidRDefault="00EA38DD" w:rsidP="00EA38DD">
      <w:pPr>
        <w:pStyle w:val="Heading1"/>
        <w:spacing w:line="360" w:lineRule="auto"/>
        <w:ind w:left="0"/>
        <w:jc w:val="both"/>
        <w:rPr>
          <w:rFonts w:cs="Arial"/>
          <w:u w:val="single"/>
        </w:rPr>
      </w:pPr>
    </w:p>
    <w:p w14:paraId="52B364BD" w14:textId="472C80B9" w:rsidR="00EA38DD" w:rsidRDefault="00EA38DD" w:rsidP="00EA38DD">
      <w:pPr>
        <w:pStyle w:val="Heading1"/>
        <w:spacing w:line="360" w:lineRule="auto"/>
        <w:ind w:left="0"/>
        <w:jc w:val="both"/>
        <w:rPr>
          <w:rFonts w:cs="Arial"/>
          <w:u w:val="single"/>
        </w:rPr>
      </w:pPr>
    </w:p>
    <w:p w14:paraId="11531FC9" w14:textId="3CF72F0C" w:rsidR="00EA38DD" w:rsidRDefault="00EA38DD" w:rsidP="00EA38DD">
      <w:pPr>
        <w:pStyle w:val="Heading1"/>
        <w:spacing w:line="360" w:lineRule="auto"/>
        <w:ind w:left="0"/>
        <w:jc w:val="both"/>
        <w:rPr>
          <w:rFonts w:cs="Arial"/>
          <w:u w:val="single"/>
        </w:rPr>
      </w:pPr>
    </w:p>
    <w:p w14:paraId="71D4AEB5" w14:textId="073F3D4F" w:rsidR="00EA38DD" w:rsidRDefault="00EA38DD" w:rsidP="00EA38DD">
      <w:pPr>
        <w:pStyle w:val="Heading1"/>
        <w:spacing w:line="360" w:lineRule="auto"/>
        <w:ind w:left="0"/>
        <w:jc w:val="both"/>
        <w:rPr>
          <w:rFonts w:cs="Arial"/>
          <w:u w:val="single"/>
        </w:rPr>
      </w:pPr>
    </w:p>
    <w:p w14:paraId="201FB460" w14:textId="7B5794F2" w:rsidR="00EA38DD" w:rsidRDefault="00EA38DD" w:rsidP="00EA38DD">
      <w:pPr>
        <w:pStyle w:val="Heading1"/>
        <w:spacing w:line="360" w:lineRule="auto"/>
        <w:ind w:left="0"/>
        <w:jc w:val="both"/>
        <w:rPr>
          <w:rFonts w:cs="Arial"/>
          <w:u w:val="single"/>
        </w:rPr>
      </w:pPr>
    </w:p>
    <w:p w14:paraId="69FA1274" w14:textId="39A2E6CD" w:rsidR="00EA38DD" w:rsidRDefault="00EA38DD" w:rsidP="00EA38DD">
      <w:pPr>
        <w:pStyle w:val="Heading1"/>
        <w:spacing w:line="360" w:lineRule="auto"/>
        <w:ind w:left="0"/>
        <w:jc w:val="both"/>
        <w:rPr>
          <w:rFonts w:cs="Arial"/>
          <w:u w:val="single"/>
        </w:rPr>
      </w:pPr>
    </w:p>
    <w:p w14:paraId="397D0736" w14:textId="0C8A7A10" w:rsidR="00EA38DD" w:rsidRDefault="00EA38DD" w:rsidP="00EA38DD">
      <w:pPr>
        <w:pStyle w:val="Heading1"/>
        <w:spacing w:line="360" w:lineRule="auto"/>
        <w:ind w:left="0"/>
        <w:jc w:val="both"/>
        <w:rPr>
          <w:rFonts w:cs="Arial"/>
          <w:u w:val="single"/>
        </w:rPr>
      </w:pPr>
    </w:p>
    <w:p w14:paraId="37796A51" w14:textId="47F0693C" w:rsidR="00EA38DD" w:rsidRDefault="00EA38DD" w:rsidP="00EA38DD">
      <w:pPr>
        <w:pStyle w:val="Heading1"/>
        <w:spacing w:line="360" w:lineRule="auto"/>
        <w:ind w:left="0"/>
        <w:jc w:val="both"/>
        <w:rPr>
          <w:rFonts w:cs="Arial"/>
          <w:u w:val="single"/>
        </w:rPr>
      </w:pPr>
    </w:p>
    <w:p w14:paraId="6D020B65" w14:textId="027C116A" w:rsidR="00EA38DD" w:rsidRDefault="00EA38DD" w:rsidP="00EA38DD">
      <w:pPr>
        <w:pStyle w:val="Heading1"/>
        <w:spacing w:line="360" w:lineRule="auto"/>
        <w:ind w:left="0"/>
        <w:jc w:val="both"/>
        <w:rPr>
          <w:rFonts w:cs="Arial"/>
          <w:u w:val="single"/>
        </w:rPr>
      </w:pPr>
    </w:p>
    <w:p w14:paraId="6CB4BC63" w14:textId="6CAC1A99" w:rsidR="00EA38DD" w:rsidRDefault="00EA38DD" w:rsidP="00EA38DD">
      <w:pPr>
        <w:pStyle w:val="Heading1"/>
        <w:spacing w:line="360" w:lineRule="auto"/>
        <w:ind w:left="0"/>
        <w:jc w:val="both"/>
        <w:rPr>
          <w:rFonts w:cs="Arial"/>
          <w:u w:val="single"/>
        </w:rPr>
      </w:pPr>
    </w:p>
    <w:p w14:paraId="2185616F" w14:textId="14F7B0ED" w:rsidR="00EA38DD" w:rsidRDefault="00EA38DD" w:rsidP="00EA38DD">
      <w:pPr>
        <w:pStyle w:val="Heading1"/>
        <w:spacing w:line="360" w:lineRule="auto"/>
        <w:ind w:left="0"/>
        <w:jc w:val="both"/>
        <w:rPr>
          <w:rFonts w:cs="Arial"/>
          <w:u w:val="single"/>
        </w:rPr>
      </w:pPr>
    </w:p>
    <w:p w14:paraId="7D4B2027" w14:textId="461D70E1" w:rsidR="00EA38DD" w:rsidRDefault="00EA38DD" w:rsidP="00EA38DD">
      <w:pPr>
        <w:pStyle w:val="Heading1"/>
        <w:spacing w:line="360" w:lineRule="auto"/>
        <w:ind w:left="0"/>
        <w:jc w:val="both"/>
        <w:rPr>
          <w:rFonts w:cs="Arial"/>
          <w:u w:val="single"/>
        </w:rPr>
      </w:pPr>
    </w:p>
    <w:p w14:paraId="72803330" w14:textId="3B38B545" w:rsidR="00EA38DD" w:rsidRDefault="00EA38DD" w:rsidP="00EA38DD">
      <w:pPr>
        <w:pStyle w:val="Heading1"/>
        <w:spacing w:line="360" w:lineRule="auto"/>
        <w:ind w:left="0"/>
        <w:jc w:val="both"/>
        <w:rPr>
          <w:rFonts w:cs="Arial"/>
          <w:u w:val="single"/>
        </w:rPr>
      </w:pPr>
    </w:p>
    <w:p w14:paraId="098EE339" w14:textId="49AFBC4D" w:rsidR="00EA38DD" w:rsidRDefault="00EA38DD" w:rsidP="00EA38DD">
      <w:pPr>
        <w:pStyle w:val="Heading1"/>
        <w:spacing w:line="360" w:lineRule="auto"/>
        <w:ind w:left="0"/>
        <w:jc w:val="both"/>
        <w:rPr>
          <w:rFonts w:cs="Arial"/>
          <w:u w:val="single"/>
        </w:rPr>
      </w:pPr>
    </w:p>
    <w:p w14:paraId="75D7B175" w14:textId="6EBFCD63" w:rsidR="00EA38DD" w:rsidRDefault="00EA38DD" w:rsidP="00EA38DD">
      <w:pPr>
        <w:pStyle w:val="Heading1"/>
        <w:spacing w:line="360" w:lineRule="auto"/>
        <w:ind w:left="0"/>
        <w:jc w:val="both"/>
        <w:rPr>
          <w:rFonts w:cs="Arial"/>
          <w:u w:val="single"/>
        </w:rPr>
      </w:pPr>
    </w:p>
    <w:p w14:paraId="4F3740C8" w14:textId="15BD0F34" w:rsidR="00EA38DD" w:rsidRDefault="00EA38DD" w:rsidP="00EA38DD">
      <w:pPr>
        <w:pStyle w:val="Heading1"/>
        <w:spacing w:line="360" w:lineRule="auto"/>
        <w:ind w:left="0"/>
        <w:jc w:val="both"/>
        <w:rPr>
          <w:rFonts w:cs="Arial"/>
          <w:u w:val="single"/>
        </w:rPr>
      </w:pPr>
    </w:p>
    <w:p w14:paraId="10FCE981" w14:textId="5196A266" w:rsidR="00EA38DD" w:rsidRDefault="00EA38DD" w:rsidP="00EA38DD">
      <w:pPr>
        <w:pStyle w:val="Heading1"/>
        <w:spacing w:line="360" w:lineRule="auto"/>
        <w:ind w:left="0"/>
        <w:jc w:val="both"/>
        <w:rPr>
          <w:rFonts w:cs="Arial"/>
          <w:u w:val="single"/>
        </w:rPr>
      </w:pPr>
    </w:p>
    <w:p w14:paraId="1AE10729" w14:textId="45DC7D25" w:rsidR="00EA38DD" w:rsidRDefault="00EA38DD" w:rsidP="00EA38DD">
      <w:pPr>
        <w:pStyle w:val="Heading1"/>
        <w:spacing w:line="360" w:lineRule="auto"/>
        <w:ind w:left="0"/>
        <w:jc w:val="both"/>
        <w:rPr>
          <w:rFonts w:cs="Arial"/>
          <w:u w:val="single"/>
        </w:rPr>
      </w:pPr>
    </w:p>
    <w:p w14:paraId="56599FC5" w14:textId="77777777" w:rsidR="00EA38DD" w:rsidRPr="00EA38DD" w:rsidRDefault="00EA38DD" w:rsidP="00EA38DD">
      <w:pPr>
        <w:pStyle w:val="Heading1"/>
        <w:spacing w:line="360" w:lineRule="auto"/>
        <w:ind w:left="0"/>
        <w:jc w:val="both"/>
        <w:rPr>
          <w:rFonts w:cs="Arial"/>
          <w:u w:val="single"/>
        </w:rPr>
      </w:pPr>
    </w:p>
    <w:p w14:paraId="4BA7151D" w14:textId="38CD57F5" w:rsidR="00EA38DD" w:rsidRPr="00EA38DD" w:rsidRDefault="00EA38DD" w:rsidP="00EA38DD">
      <w:pPr>
        <w:pStyle w:val="Heading1"/>
        <w:spacing w:line="360" w:lineRule="auto"/>
        <w:ind w:left="0"/>
        <w:jc w:val="center"/>
        <w:rPr>
          <w:rFonts w:cs="Arial"/>
          <w:b w:val="0"/>
          <w:bCs/>
        </w:rPr>
      </w:pPr>
      <w:r w:rsidRPr="00EA38DD">
        <w:rPr>
          <w:rFonts w:cs="Arial"/>
          <w:u w:val="single"/>
        </w:rPr>
        <w:lastRenderedPageBreak/>
        <w:t>List of Tables and Graphs</w:t>
      </w:r>
    </w:p>
    <w:p w14:paraId="3D7F8058" w14:textId="77777777" w:rsidR="00230508" w:rsidRDefault="00230508" w:rsidP="00230508"/>
    <w:p w14:paraId="5F6B71D4" w14:textId="77777777" w:rsidR="00230508" w:rsidRDefault="00230508" w:rsidP="00230508"/>
    <w:p w14:paraId="37FAC542" w14:textId="77777777" w:rsidR="00230508" w:rsidRDefault="00230508" w:rsidP="00230508"/>
    <w:p w14:paraId="2A6E3664" w14:textId="12E964CA" w:rsidR="00230508" w:rsidRDefault="00CD51F4" w:rsidP="00230508">
      <w:r>
        <w:t>Table 1: Acronyms and Abbreviations</w:t>
      </w:r>
    </w:p>
    <w:p w14:paraId="5E9F8F92" w14:textId="2A53ABEE" w:rsidR="00CD51F4" w:rsidRDefault="00CD51F4" w:rsidP="00230508"/>
    <w:p w14:paraId="66F7A5C5" w14:textId="755FEBC8" w:rsidR="00CD51F4" w:rsidRDefault="00CD51F4" w:rsidP="00230508">
      <w:r>
        <w:t>Table 2: Theme 1, Theme 2 and Theme 3</w:t>
      </w:r>
    </w:p>
    <w:p w14:paraId="2EC16716" w14:textId="4C9C7A6D" w:rsidR="00CD51F4" w:rsidRDefault="00CD51F4" w:rsidP="00230508"/>
    <w:p w14:paraId="2A1193B9" w14:textId="4D2285C5" w:rsidR="00CD51F4" w:rsidRDefault="00CD51F4" w:rsidP="00230508">
      <w:r>
        <w:t>Table 3: Source tracking table</w:t>
      </w:r>
    </w:p>
    <w:p w14:paraId="59E8AC84" w14:textId="4E2F3432" w:rsidR="00CD51F4" w:rsidRDefault="00CD51F4" w:rsidP="00230508"/>
    <w:p w14:paraId="21531083" w14:textId="404622AA" w:rsidR="00CD51F4" w:rsidRDefault="00CD51F4" w:rsidP="00CD51F4">
      <w:pPr>
        <w:spacing w:line="360" w:lineRule="auto"/>
      </w:pPr>
      <w:r>
        <w:t>Table 4: Project results summary table</w:t>
      </w:r>
    </w:p>
    <w:p w14:paraId="28765463" w14:textId="5DAC9E03" w:rsidR="00CD51F4" w:rsidRDefault="00CD51F4" w:rsidP="00CD51F4">
      <w:pPr>
        <w:spacing w:line="360" w:lineRule="auto"/>
      </w:pPr>
      <w:r>
        <w:t xml:space="preserve">                                   </w:t>
      </w:r>
    </w:p>
    <w:p w14:paraId="69F05143" w14:textId="77777777" w:rsidR="00CD51F4" w:rsidRPr="00CD51F4" w:rsidRDefault="00CD51F4" w:rsidP="00CD51F4">
      <w:pPr>
        <w:pStyle w:val="Heading1"/>
        <w:ind w:left="0"/>
        <w:rPr>
          <w:rFonts w:cs="Arial"/>
          <w:b w:val="0"/>
          <w:bCs/>
          <w:sz w:val="22"/>
          <w:szCs w:val="22"/>
        </w:rPr>
      </w:pPr>
      <w:r w:rsidRPr="00CD51F4">
        <w:rPr>
          <w:rFonts w:cs="Arial"/>
          <w:b w:val="0"/>
          <w:bCs/>
          <w:sz w:val="22"/>
          <w:szCs w:val="22"/>
        </w:rPr>
        <w:t>Graph 1: Prevalence of doctor-diagnosed diabetes by age</w:t>
      </w:r>
    </w:p>
    <w:p w14:paraId="58718D6F" w14:textId="436A6BA1" w:rsidR="00CD51F4" w:rsidRDefault="00CD51F4" w:rsidP="00230508"/>
    <w:p w14:paraId="4286CA28" w14:textId="77777777" w:rsidR="00CD51F4" w:rsidRDefault="00CD51F4" w:rsidP="00230508"/>
    <w:p w14:paraId="612963C2" w14:textId="77777777" w:rsidR="00230508" w:rsidRDefault="00230508" w:rsidP="00230508"/>
    <w:p w14:paraId="0BE4E39E" w14:textId="77777777" w:rsidR="00230508" w:rsidRDefault="00230508" w:rsidP="00230508"/>
    <w:p w14:paraId="66FCEB94" w14:textId="77777777" w:rsidR="00230508" w:rsidRDefault="00230508" w:rsidP="00230508"/>
    <w:p w14:paraId="0FE67C0A" w14:textId="77777777" w:rsidR="00230508" w:rsidRDefault="00230508" w:rsidP="00230508"/>
    <w:p w14:paraId="183134FF" w14:textId="77777777" w:rsidR="00230508" w:rsidRDefault="00230508" w:rsidP="00230508"/>
    <w:p w14:paraId="32CAD84E" w14:textId="77777777" w:rsidR="00230508" w:rsidRDefault="00230508" w:rsidP="00230508"/>
    <w:p w14:paraId="2AD8EE9F" w14:textId="77777777" w:rsidR="00230508" w:rsidRDefault="00230508" w:rsidP="00230508"/>
    <w:p w14:paraId="5F470BC6" w14:textId="77777777" w:rsidR="00230508" w:rsidRDefault="00230508" w:rsidP="00230508"/>
    <w:p w14:paraId="439B85BE" w14:textId="77777777" w:rsidR="00230508" w:rsidRDefault="00230508" w:rsidP="00230508"/>
    <w:p w14:paraId="4066A98F" w14:textId="77777777" w:rsidR="00230508" w:rsidRDefault="00230508" w:rsidP="00230508"/>
    <w:p w14:paraId="3D839D21" w14:textId="77777777" w:rsidR="00230508" w:rsidRDefault="00230508" w:rsidP="00230508"/>
    <w:p w14:paraId="7D2FCE15" w14:textId="77777777" w:rsidR="00230508" w:rsidRDefault="00230508" w:rsidP="00230508"/>
    <w:p w14:paraId="2E01E654" w14:textId="77777777" w:rsidR="00230508" w:rsidRDefault="00230508" w:rsidP="00230508"/>
    <w:p w14:paraId="19EDF12B" w14:textId="77777777" w:rsidR="00230508" w:rsidRDefault="00230508" w:rsidP="00230508"/>
    <w:p w14:paraId="5849D17E" w14:textId="77777777" w:rsidR="00230508" w:rsidRDefault="00230508" w:rsidP="00230508"/>
    <w:p w14:paraId="22F6A492" w14:textId="77777777" w:rsidR="00230508" w:rsidRDefault="00230508" w:rsidP="00230508"/>
    <w:p w14:paraId="6B1427B0" w14:textId="77777777" w:rsidR="00230508" w:rsidRDefault="00230508" w:rsidP="00230508"/>
    <w:p w14:paraId="7F43830B" w14:textId="77777777" w:rsidR="00230508" w:rsidRDefault="00230508" w:rsidP="00230508"/>
    <w:p w14:paraId="5C0743CA" w14:textId="77777777" w:rsidR="00230508" w:rsidRDefault="00230508" w:rsidP="00230508"/>
    <w:p w14:paraId="1DC093E5" w14:textId="77777777" w:rsidR="00230508" w:rsidRDefault="00230508" w:rsidP="00230508">
      <w:pPr>
        <w:pStyle w:val="Heading1"/>
        <w:ind w:left="0"/>
      </w:pPr>
    </w:p>
    <w:p w14:paraId="7FF6872A" w14:textId="77777777" w:rsidR="00230508" w:rsidRDefault="00230508" w:rsidP="00230508">
      <w:pPr>
        <w:pStyle w:val="Heading1"/>
        <w:ind w:left="0"/>
      </w:pPr>
    </w:p>
    <w:p w14:paraId="2FAC4155" w14:textId="77777777" w:rsidR="00230508" w:rsidRDefault="00230508" w:rsidP="00230508">
      <w:pPr>
        <w:pStyle w:val="Heading1"/>
        <w:ind w:left="0"/>
      </w:pPr>
    </w:p>
    <w:p w14:paraId="7E532315" w14:textId="77777777" w:rsidR="00230508" w:rsidRDefault="00230508" w:rsidP="00230508">
      <w:pPr>
        <w:pStyle w:val="Heading1"/>
        <w:ind w:left="0"/>
      </w:pPr>
    </w:p>
    <w:p w14:paraId="79AF7C2A" w14:textId="77777777" w:rsidR="00230508" w:rsidRDefault="00230508"/>
    <w:p w14:paraId="681923C2" w14:textId="77777777" w:rsidR="00230508" w:rsidRDefault="00230508"/>
    <w:p w14:paraId="1C36B1D9" w14:textId="77777777" w:rsidR="00230508" w:rsidRDefault="00230508"/>
    <w:p w14:paraId="487F4D58" w14:textId="77777777" w:rsidR="00230508" w:rsidRDefault="00230508"/>
    <w:p w14:paraId="2BC390DF" w14:textId="77777777" w:rsidR="00230508" w:rsidRDefault="00230508"/>
    <w:p w14:paraId="06DF01A6" w14:textId="77777777" w:rsidR="00230508" w:rsidRDefault="00230508"/>
    <w:p w14:paraId="515B92A4" w14:textId="77777777" w:rsidR="00230508" w:rsidRDefault="00230508"/>
    <w:p w14:paraId="3A5D2C10" w14:textId="77777777" w:rsidR="00450917" w:rsidRDefault="00450917" w:rsidP="002B7685">
      <w:pPr>
        <w:spacing w:line="360" w:lineRule="auto"/>
        <w:jc w:val="both"/>
      </w:pPr>
    </w:p>
    <w:p w14:paraId="79D1B28B" w14:textId="699CAB1B" w:rsidR="00CB6C56" w:rsidRPr="00E52633" w:rsidRDefault="00BE5F92" w:rsidP="0040739A">
      <w:pPr>
        <w:spacing w:line="360" w:lineRule="auto"/>
        <w:jc w:val="both"/>
        <w:rPr>
          <w:rFonts w:ascii="Arial" w:hAnsi="Arial" w:cs="Arial"/>
          <w:b/>
          <w:bCs/>
          <w:sz w:val="32"/>
          <w:szCs w:val="32"/>
        </w:rPr>
      </w:pPr>
      <w:r w:rsidRPr="00E52633">
        <w:rPr>
          <w:rFonts w:ascii="Arial" w:hAnsi="Arial" w:cs="Arial"/>
          <w:b/>
          <w:bCs/>
          <w:sz w:val="32"/>
          <w:szCs w:val="32"/>
        </w:rPr>
        <w:lastRenderedPageBreak/>
        <w:t>CHAPTER 1</w:t>
      </w:r>
    </w:p>
    <w:p w14:paraId="4FBD1C89" w14:textId="24FC86B8" w:rsidR="00BE5F92" w:rsidRPr="00C7380B" w:rsidRDefault="00BE5F92" w:rsidP="0040739A">
      <w:pPr>
        <w:spacing w:line="360" w:lineRule="auto"/>
        <w:jc w:val="both"/>
        <w:rPr>
          <w:rFonts w:ascii="Arial" w:hAnsi="Arial" w:cs="Arial"/>
          <w:b/>
          <w:bCs/>
          <w:sz w:val="22"/>
          <w:szCs w:val="22"/>
        </w:rPr>
      </w:pPr>
    </w:p>
    <w:p w14:paraId="613D0212" w14:textId="3B1E4D19" w:rsidR="00BE5F92" w:rsidRPr="00E52633" w:rsidRDefault="00BE5F92" w:rsidP="0040739A">
      <w:pPr>
        <w:pStyle w:val="ListParagraph"/>
        <w:numPr>
          <w:ilvl w:val="1"/>
          <w:numId w:val="1"/>
        </w:numPr>
        <w:spacing w:line="360" w:lineRule="auto"/>
        <w:jc w:val="both"/>
        <w:rPr>
          <w:rFonts w:ascii="Arial" w:hAnsi="Arial" w:cs="Arial"/>
          <w:b/>
          <w:bCs/>
          <w:sz w:val="28"/>
          <w:szCs w:val="28"/>
        </w:rPr>
      </w:pPr>
      <w:r w:rsidRPr="00E52633">
        <w:rPr>
          <w:rFonts w:ascii="Arial" w:hAnsi="Arial" w:cs="Arial"/>
          <w:b/>
          <w:bCs/>
          <w:sz w:val="28"/>
          <w:szCs w:val="28"/>
        </w:rPr>
        <w:t>Introduction</w:t>
      </w:r>
    </w:p>
    <w:p w14:paraId="7B2EA5AA" w14:textId="6914A492" w:rsidR="00BE5F92" w:rsidRPr="000416C7" w:rsidRDefault="00BE5F92" w:rsidP="0040739A">
      <w:pPr>
        <w:spacing w:line="360" w:lineRule="auto"/>
        <w:jc w:val="both"/>
        <w:rPr>
          <w:rFonts w:ascii="Arial" w:hAnsi="Arial" w:cs="Arial"/>
          <w:sz w:val="22"/>
          <w:szCs w:val="22"/>
        </w:rPr>
      </w:pPr>
      <w:r w:rsidRPr="000416C7">
        <w:rPr>
          <w:rFonts w:ascii="Arial" w:hAnsi="Arial" w:cs="Arial"/>
          <w:sz w:val="22"/>
          <w:szCs w:val="22"/>
        </w:rPr>
        <w:t xml:space="preserve">Type 2 diabetes mellitus (T2DM) represents one of the most significant public health challenges affecting UK adults, with prevalence rising steadily over recent decades.  Characterised by insulin resistance and relative insulin deficiency, T2DM is strongly associated with lifestyle, socioeconomic, and genetic factors </w:t>
      </w:r>
      <w:r w:rsidR="002B7685" w:rsidRPr="000416C7">
        <w:rPr>
          <w:rFonts w:ascii="Arial" w:hAnsi="Arial" w:cs="Arial"/>
          <w:color w:val="000000"/>
          <w:sz w:val="22"/>
          <w:szCs w:val="22"/>
        </w:rPr>
        <w:t>(Reed, Bain and Kanamarlapudi, 2021)</w:t>
      </w:r>
      <w:r w:rsidRPr="000416C7">
        <w:rPr>
          <w:rFonts w:ascii="Arial" w:hAnsi="Arial" w:cs="Arial"/>
          <w:sz w:val="22"/>
          <w:szCs w:val="22"/>
        </w:rPr>
        <w:t xml:space="preserve">.  In the UK, approximately 4.3 million people are currently living with diabetes, of which around 90% have type 2 diabetes, placing considerable strain on health care systems and long-term patient outcomes </w:t>
      </w:r>
      <w:r w:rsidR="002B7685" w:rsidRPr="000416C7">
        <w:rPr>
          <w:rFonts w:ascii="Arial" w:hAnsi="Arial" w:cs="Arial"/>
          <w:color w:val="000000"/>
          <w:sz w:val="22"/>
          <w:szCs w:val="22"/>
        </w:rPr>
        <w:t>(Diabetes UK, 2023)</w:t>
      </w:r>
      <w:r w:rsidR="002B7685" w:rsidRPr="000416C7">
        <w:rPr>
          <w:rFonts w:ascii="Arial" w:hAnsi="Arial" w:cs="Arial"/>
          <w:sz w:val="22"/>
          <w:szCs w:val="22"/>
        </w:rPr>
        <w:t>.</w:t>
      </w:r>
    </w:p>
    <w:p w14:paraId="2F546C27" w14:textId="54C5E850" w:rsidR="00BE5F92" w:rsidRPr="000416C7" w:rsidRDefault="00BE5F92" w:rsidP="0040739A">
      <w:pPr>
        <w:pStyle w:val="ListParagraph"/>
        <w:spacing w:line="360" w:lineRule="auto"/>
        <w:ind w:left="360"/>
        <w:jc w:val="both"/>
        <w:rPr>
          <w:rFonts w:ascii="Arial" w:hAnsi="Arial" w:cs="Arial"/>
          <w:sz w:val="22"/>
          <w:szCs w:val="22"/>
        </w:rPr>
      </w:pPr>
    </w:p>
    <w:p w14:paraId="476E1E3A" w14:textId="3664BFFE" w:rsidR="00BE5F92" w:rsidRPr="000416C7" w:rsidRDefault="00BE5F92" w:rsidP="0040739A">
      <w:pPr>
        <w:spacing w:line="360" w:lineRule="auto"/>
        <w:jc w:val="both"/>
        <w:rPr>
          <w:rFonts w:ascii="Arial" w:hAnsi="Arial" w:cs="Arial"/>
          <w:sz w:val="22"/>
          <w:szCs w:val="22"/>
        </w:rPr>
      </w:pPr>
      <w:r w:rsidRPr="000416C7">
        <w:rPr>
          <w:rFonts w:ascii="Arial" w:hAnsi="Arial" w:cs="Arial"/>
          <w:sz w:val="22"/>
          <w:szCs w:val="22"/>
        </w:rPr>
        <w:t xml:space="preserve">Historically, T2DM was considered a disease of older age; however, contemporary trends demonstrate increasing diagnoses among younger adults, driven by rising obesity rates, physical inactivity, and health inequalities </w:t>
      </w:r>
      <w:r w:rsidR="002B7685" w:rsidRPr="000416C7">
        <w:rPr>
          <w:rFonts w:ascii="Arial" w:hAnsi="Arial" w:cs="Arial"/>
          <w:color w:val="000000"/>
          <w:sz w:val="22"/>
          <w:szCs w:val="22"/>
        </w:rPr>
        <w:t>(He et al., 2024)</w:t>
      </w:r>
      <w:r w:rsidR="002B7685" w:rsidRPr="000416C7">
        <w:rPr>
          <w:rFonts w:ascii="Arial" w:hAnsi="Arial" w:cs="Arial"/>
          <w:sz w:val="22"/>
          <w:szCs w:val="22"/>
        </w:rPr>
        <w:t xml:space="preserve">. </w:t>
      </w:r>
      <w:r w:rsidRPr="000416C7">
        <w:rPr>
          <w:rFonts w:ascii="Arial" w:hAnsi="Arial" w:cs="Arial"/>
          <w:sz w:val="22"/>
          <w:szCs w:val="22"/>
        </w:rPr>
        <w:t>Socioeconomic deprivation, ethnicity, diet, and sedentary lifestyles have been identified as key contributors to disease risk, highlighting the complex and multifactorial</w:t>
      </w:r>
      <w:r w:rsidR="00420404" w:rsidRPr="000416C7">
        <w:rPr>
          <w:rFonts w:ascii="Arial" w:hAnsi="Arial" w:cs="Arial"/>
          <w:sz w:val="22"/>
          <w:szCs w:val="22"/>
        </w:rPr>
        <w:t xml:space="preserve"> nature of T2DM </w:t>
      </w:r>
      <w:r w:rsidR="002B7685" w:rsidRPr="000416C7">
        <w:rPr>
          <w:rFonts w:ascii="Arial" w:hAnsi="Arial" w:cs="Arial"/>
          <w:color w:val="000000"/>
          <w:sz w:val="22"/>
          <w:szCs w:val="22"/>
        </w:rPr>
        <w:t>(Kyrou et al., 2020)</w:t>
      </w:r>
      <w:r w:rsidR="002B7685" w:rsidRPr="000416C7">
        <w:rPr>
          <w:rFonts w:ascii="Arial" w:hAnsi="Arial" w:cs="Arial"/>
          <w:sz w:val="22"/>
          <w:szCs w:val="22"/>
        </w:rPr>
        <w:t xml:space="preserve">. </w:t>
      </w:r>
      <w:r w:rsidR="00420404" w:rsidRPr="000416C7">
        <w:rPr>
          <w:rFonts w:ascii="Arial" w:hAnsi="Arial" w:cs="Arial"/>
          <w:sz w:val="22"/>
          <w:szCs w:val="22"/>
        </w:rPr>
        <w:t>Alongside this, management strategies have evolved from a sole focus on pharmacological treatment to more holistic approaches incorporating lifestyle modification, patient education, and self-management support.</w:t>
      </w:r>
    </w:p>
    <w:p w14:paraId="79F6A4CA" w14:textId="061CE07B" w:rsidR="00420404" w:rsidRPr="000416C7" w:rsidRDefault="00420404" w:rsidP="0040739A">
      <w:pPr>
        <w:pStyle w:val="ListParagraph"/>
        <w:spacing w:line="360" w:lineRule="auto"/>
        <w:ind w:left="360"/>
        <w:jc w:val="both"/>
        <w:rPr>
          <w:rFonts w:ascii="Arial" w:hAnsi="Arial" w:cs="Arial"/>
          <w:sz w:val="22"/>
          <w:szCs w:val="22"/>
        </w:rPr>
      </w:pPr>
    </w:p>
    <w:p w14:paraId="60E92D89" w14:textId="730DC109" w:rsidR="00205DB7" w:rsidRPr="000416C7" w:rsidRDefault="00420404" w:rsidP="0040739A">
      <w:pPr>
        <w:spacing w:line="360" w:lineRule="auto"/>
        <w:jc w:val="both"/>
        <w:rPr>
          <w:rFonts w:ascii="Arial" w:hAnsi="Arial" w:cs="Arial"/>
          <w:sz w:val="22"/>
          <w:szCs w:val="22"/>
        </w:rPr>
      </w:pPr>
      <w:r w:rsidRPr="000416C7">
        <w:rPr>
          <w:rFonts w:ascii="Arial" w:hAnsi="Arial" w:cs="Arial"/>
          <w:sz w:val="22"/>
          <w:szCs w:val="22"/>
        </w:rPr>
        <w:t>Despite national guidelines and structured programmes such as the NHS Diabetes</w:t>
      </w:r>
    </w:p>
    <w:p w14:paraId="2AB86487" w14:textId="0B1A25A0" w:rsidR="00205DB7" w:rsidRPr="000416C7" w:rsidRDefault="00420404" w:rsidP="0040739A">
      <w:pPr>
        <w:spacing w:line="360" w:lineRule="auto"/>
        <w:jc w:val="both"/>
        <w:rPr>
          <w:rFonts w:ascii="Arial" w:hAnsi="Arial" w:cs="Arial"/>
          <w:sz w:val="22"/>
          <w:szCs w:val="22"/>
        </w:rPr>
      </w:pPr>
      <w:r w:rsidRPr="000416C7">
        <w:rPr>
          <w:rFonts w:ascii="Arial" w:hAnsi="Arial" w:cs="Arial"/>
          <w:sz w:val="22"/>
          <w:szCs w:val="22"/>
        </w:rPr>
        <w:t>Prevention Programme, disparities in disease prevalence, access to care, and</w:t>
      </w:r>
    </w:p>
    <w:p w14:paraId="46C33106" w14:textId="07591E81" w:rsidR="00205DB7" w:rsidRPr="000416C7" w:rsidRDefault="00420404" w:rsidP="0040739A">
      <w:pPr>
        <w:spacing w:line="360" w:lineRule="auto"/>
        <w:jc w:val="both"/>
        <w:rPr>
          <w:rFonts w:ascii="Arial" w:hAnsi="Arial" w:cs="Arial"/>
          <w:sz w:val="22"/>
          <w:szCs w:val="22"/>
        </w:rPr>
      </w:pPr>
      <w:r w:rsidRPr="000416C7">
        <w:rPr>
          <w:rFonts w:ascii="Arial" w:hAnsi="Arial" w:cs="Arial"/>
          <w:sz w:val="22"/>
          <w:szCs w:val="22"/>
        </w:rPr>
        <w:t>management outcomes persist across UK populations</w:t>
      </w:r>
      <w:r w:rsidR="00205DB7" w:rsidRPr="000416C7">
        <w:rPr>
          <w:rFonts w:ascii="Arial" w:hAnsi="Arial" w:cs="Arial"/>
          <w:sz w:val="22"/>
          <w:szCs w:val="22"/>
        </w:rPr>
        <w:t xml:space="preserve"> </w:t>
      </w:r>
      <w:r w:rsidR="00205DB7" w:rsidRPr="000416C7">
        <w:rPr>
          <w:rFonts w:ascii="Arial" w:hAnsi="Arial" w:cs="Arial"/>
          <w:color w:val="000000"/>
          <w:sz w:val="22"/>
          <w:szCs w:val="22"/>
        </w:rPr>
        <w:t>(McManus et al., 2022)</w:t>
      </w:r>
      <w:r w:rsidR="00205DB7" w:rsidRPr="000416C7">
        <w:rPr>
          <w:rFonts w:ascii="Arial" w:hAnsi="Arial" w:cs="Arial"/>
          <w:sz w:val="22"/>
          <w:szCs w:val="22"/>
        </w:rPr>
        <w:t>.</w:t>
      </w:r>
      <w:r w:rsidRPr="000416C7">
        <w:rPr>
          <w:rFonts w:ascii="Arial" w:hAnsi="Arial" w:cs="Arial"/>
          <w:sz w:val="22"/>
          <w:szCs w:val="22"/>
        </w:rPr>
        <w:t xml:space="preserve">  This</w:t>
      </w:r>
    </w:p>
    <w:p w14:paraId="3E2D5003" w14:textId="00F3E1C1" w:rsidR="00205DB7" w:rsidRPr="000416C7" w:rsidRDefault="00420404" w:rsidP="0040739A">
      <w:pPr>
        <w:spacing w:line="360" w:lineRule="auto"/>
        <w:jc w:val="both"/>
        <w:rPr>
          <w:rFonts w:ascii="Arial" w:hAnsi="Arial" w:cs="Arial"/>
          <w:sz w:val="22"/>
          <w:szCs w:val="22"/>
        </w:rPr>
      </w:pPr>
      <w:r w:rsidRPr="000416C7">
        <w:rPr>
          <w:rFonts w:ascii="Arial" w:hAnsi="Arial" w:cs="Arial"/>
          <w:sz w:val="22"/>
          <w:szCs w:val="22"/>
        </w:rPr>
        <w:t>underscores the need for continued research into both modified risk factors and the</w:t>
      </w:r>
    </w:p>
    <w:p w14:paraId="1CDC9558" w14:textId="27286702" w:rsidR="00420404" w:rsidRPr="000416C7" w:rsidRDefault="00420404" w:rsidP="0040739A">
      <w:pPr>
        <w:spacing w:line="360" w:lineRule="auto"/>
        <w:jc w:val="both"/>
        <w:rPr>
          <w:rFonts w:ascii="Arial" w:hAnsi="Arial" w:cs="Arial"/>
          <w:sz w:val="22"/>
          <w:szCs w:val="22"/>
        </w:rPr>
      </w:pPr>
      <w:r w:rsidRPr="000416C7">
        <w:rPr>
          <w:rFonts w:ascii="Arial" w:hAnsi="Arial" w:cs="Arial"/>
          <w:sz w:val="22"/>
          <w:szCs w:val="22"/>
        </w:rPr>
        <w:t>effectiveness of current management strategies.</w:t>
      </w:r>
    </w:p>
    <w:p w14:paraId="2062D83B" w14:textId="0B0E1B57" w:rsidR="00420404" w:rsidRPr="000416C7" w:rsidRDefault="00420404" w:rsidP="0040739A">
      <w:pPr>
        <w:pStyle w:val="ListParagraph"/>
        <w:spacing w:line="360" w:lineRule="auto"/>
        <w:ind w:left="360"/>
        <w:jc w:val="both"/>
        <w:rPr>
          <w:rFonts w:ascii="Arial" w:hAnsi="Arial" w:cs="Arial"/>
          <w:sz w:val="22"/>
          <w:szCs w:val="22"/>
        </w:rPr>
      </w:pPr>
    </w:p>
    <w:p w14:paraId="6FB059F8" w14:textId="77777777" w:rsidR="00086967" w:rsidRPr="00E52633" w:rsidRDefault="00420404" w:rsidP="0040739A">
      <w:pPr>
        <w:spacing w:line="360" w:lineRule="auto"/>
        <w:jc w:val="both"/>
        <w:rPr>
          <w:rFonts w:ascii="Arial" w:hAnsi="Arial" w:cs="Arial"/>
          <w:b/>
          <w:bCs/>
          <w:sz w:val="28"/>
          <w:szCs w:val="28"/>
        </w:rPr>
      </w:pPr>
      <w:r w:rsidRPr="00E52633">
        <w:rPr>
          <w:rFonts w:ascii="Arial" w:hAnsi="Arial" w:cs="Arial"/>
          <w:b/>
          <w:bCs/>
          <w:sz w:val="28"/>
          <w:szCs w:val="28"/>
        </w:rPr>
        <w:t>Aim of the Dissertation:</w:t>
      </w:r>
    </w:p>
    <w:p w14:paraId="034054D8" w14:textId="6D68FC9F" w:rsidR="00412A1F" w:rsidRPr="000416C7" w:rsidRDefault="00420404" w:rsidP="0040739A">
      <w:pPr>
        <w:spacing w:line="360" w:lineRule="auto"/>
        <w:jc w:val="both"/>
        <w:rPr>
          <w:rFonts w:ascii="Arial" w:hAnsi="Arial" w:cs="Arial"/>
          <w:sz w:val="22"/>
          <w:szCs w:val="22"/>
        </w:rPr>
      </w:pPr>
      <w:r w:rsidRPr="000416C7">
        <w:rPr>
          <w:rFonts w:ascii="Arial" w:hAnsi="Arial" w:cs="Arial"/>
          <w:sz w:val="22"/>
          <w:szCs w:val="22"/>
        </w:rPr>
        <w:t>The primary aim of this dissertation is to investigate the prevalence, risk factors, and</w:t>
      </w:r>
    </w:p>
    <w:p w14:paraId="006C6D3F" w14:textId="52EACAD8" w:rsidR="00420404" w:rsidRPr="000416C7" w:rsidRDefault="00420404" w:rsidP="0040739A">
      <w:pPr>
        <w:spacing w:line="360" w:lineRule="auto"/>
        <w:jc w:val="both"/>
        <w:rPr>
          <w:rFonts w:ascii="Arial" w:hAnsi="Arial" w:cs="Arial"/>
          <w:sz w:val="22"/>
          <w:szCs w:val="22"/>
        </w:rPr>
      </w:pPr>
      <w:r w:rsidRPr="000416C7">
        <w:rPr>
          <w:rFonts w:ascii="Arial" w:hAnsi="Arial" w:cs="Arial"/>
          <w:sz w:val="22"/>
          <w:szCs w:val="22"/>
        </w:rPr>
        <w:t>management strategies of type 2 diabetes among UK adults.</w:t>
      </w:r>
    </w:p>
    <w:p w14:paraId="6DF18B4A" w14:textId="47A80F35" w:rsidR="00420404" w:rsidRPr="00086967" w:rsidRDefault="00420404" w:rsidP="0040739A">
      <w:pPr>
        <w:spacing w:line="360" w:lineRule="auto"/>
        <w:jc w:val="both"/>
        <w:rPr>
          <w:rFonts w:ascii="Arial" w:hAnsi="Arial" w:cs="Arial"/>
          <w:sz w:val="22"/>
          <w:szCs w:val="22"/>
        </w:rPr>
      </w:pPr>
      <w:r w:rsidRPr="00086967">
        <w:rPr>
          <w:rFonts w:ascii="Arial" w:hAnsi="Arial" w:cs="Arial"/>
          <w:sz w:val="22"/>
          <w:szCs w:val="22"/>
        </w:rPr>
        <w:t>This research seeks to enhance understanding of how biological, lifestyle, and social determinants contribute to T2DM development and progression, while critically evaluating findings aim to inform evidence-based practice and contribute to improving prevention strategies, clinical outcomes, and health equity within adult diabetes care.</w:t>
      </w:r>
    </w:p>
    <w:p w14:paraId="155C2F1C" w14:textId="0C880A42" w:rsidR="00886C26" w:rsidRPr="000416C7" w:rsidRDefault="00886C26" w:rsidP="0040739A">
      <w:pPr>
        <w:pStyle w:val="ListParagraph"/>
        <w:spacing w:line="360" w:lineRule="auto"/>
        <w:ind w:left="360"/>
        <w:jc w:val="both"/>
        <w:rPr>
          <w:rFonts w:ascii="Arial" w:hAnsi="Arial" w:cs="Arial"/>
          <w:sz w:val="22"/>
          <w:szCs w:val="22"/>
        </w:rPr>
      </w:pPr>
    </w:p>
    <w:p w14:paraId="59FE4B95" w14:textId="578BBCAA" w:rsidR="00886C26" w:rsidRPr="00E52633" w:rsidRDefault="00886C26" w:rsidP="0040739A">
      <w:pPr>
        <w:pStyle w:val="ListParagraph"/>
        <w:numPr>
          <w:ilvl w:val="1"/>
          <w:numId w:val="1"/>
        </w:numPr>
        <w:spacing w:line="360" w:lineRule="auto"/>
        <w:jc w:val="both"/>
        <w:rPr>
          <w:rFonts w:ascii="Arial" w:hAnsi="Arial" w:cs="Arial"/>
          <w:b/>
          <w:bCs/>
          <w:sz w:val="28"/>
          <w:szCs w:val="28"/>
        </w:rPr>
      </w:pPr>
      <w:r w:rsidRPr="00E52633">
        <w:rPr>
          <w:rFonts w:ascii="Arial" w:hAnsi="Arial" w:cs="Arial"/>
          <w:b/>
          <w:bCs/>
          <w:sz w:val="28"/>
          <w:szCs w:val="28"/>
        </w:rPr>
        <w:t>DEFINITION AND TERMINOLOGY</w:t>
      </w:r>
    </w:p>
    <w:p w14:paraId="517A7F1D" w14:textId="636B60D6" w:rsidR="00886C26" w:rsidRPr="000416C7" w:rsidRDefault="00886C26" w:rsidP="0040739A">
      <w:pPr>
        <w:spacing w:line="360" w:lineRule="auto"/>
        <w:jc w:val="both"/>
        <w:rPr>
          <w:rFonts w:ascii="Arial" w:hAnsi="Arial" w:cs="Arial"/>
          <w:sz w:val="22"/>
          <w:szCs w:val="22"/>
        </w:rPr>
      </w:pPr>
    </w:p>
    <w:p w14:paraId="296EE1C3" w14:textId="1412F063" w:rsidR="00886C26" w:rsidRPr="000416C7" w:rsidRDefault="00886C26" w:rsidP="0040739A">
      <w:pPr>
        <w:spacing w:line="360" w:lineRule="auto"/>
        <w:jc w:val="both"/>
        <w:rPr>
          <w:rFonts w:ascii="Arial" w:hAnsi="Arial" w:cs="Arial"/>
          <w:sz w:val="22"/>
          <w:szCs w:val="22"/>
        </w:rPr>
      </w:pPr>
      <w:r w:rsidRPr="000416C7">
        <w:rPr>
          <w:rFonts w:ascii="Arial" w:hAnsi="Arial" w:cs="Arial"/>
          <w:sz w:val="22"/>
          <w:szCs w:val="22"/>
        </w:rPr>
        <w:t xml:space="preserve">Type 2 diabetes mellitus (T2DM) is a chronic metabolic disorder characterised by insulin resistance and a relative deficiency in insulin secretion, resulting in persistent hyperglycaemia </w:t>
      </w:r>
      <w:r w:rsidR="002B7685" w:rsidRPr="000416C7">
        <w:rPr>
          <w:rFonts w:ascii="Arial" w:hAnsi="Arial" w:cs="Arial"/>
          <w:color w:val="000000"/>
          <w:sz w:val="22"/>
          <w:szCs w:val="22"/>
        </w:rPr>
        <w:t>(Goyal, Jialal and Singhal, 2023)</w:t>
      </w:r>
      <w:r w:rsidRPr="000416C7">
        <w:rPr>
          <w:rFonts w:ascii="Arial" w:hAnsi="Arial" w:cs="Arial"/>
          <w:sz w:val="22"/>
          <w:szCs w:val="22"/>
        </w:rPr>
        <w:t xml:space="preserve">.  This condition forms the central focus of the dissertation, as it accounts for approximately 90% of diabetes cases in UK adults and represents a major public health concern </w:t>
      </w:r>
      <w:r w:rsidR="002B7685" w:rsidRPr="000416C7">
        <w:rPr>
          <w:rFonts w:ascii="Arial" w:hAnsi="Arial" w:cs="Arial"/>
          <w:color w:val="000000"/>
          <w:sz w:val="22"/>
          <w:szCs w:val="22"/>
        </w:rPr>
        <w:t>(Au-Yeung et al., 2024)</w:t>
      </w:r>
      <w:r w:rsidRPr="000416C7">
        <w:rPr>
          <w:rFonts w:ascii="Arial" w:hAnsi="Arial" w:cs="Arial"/>
          <w:sz w:val="22"/>
          <w:szCs w:val="22"/>
        </w:rPr>
        <w:t>.</w:t>
      </w:r>
    </w:p>
    <w:p w14:paraId="54CBEE67" w14:textId="2E85B811" w:rsidR="00886C26" w:rsidRPr="000416C7" w:rsidRDefault="00886C26" w:rsidP="0040739A">
      <w:pPr>
        <w:pStyle w:val="ListParagraph"/>
        <w:spacing w:line="360" w:lineRule="auto"/>
        <w:ind w:left="360"/>
        <w:jc w:val="both"/>
        <w:rPr>
          <w:rFonts w:ascii="Arial" w:hAnsi="Arial" w:cs="Arial"/>
          <w:sz w:val="22"/>
          <w:szCs w:val="22"/>
        </w:rPr>
      </w:pPr>
    </w:p>
    <w:p w14:paraId="5AF32510" w14:textId="7A70EBE7" w:rsidR="00886C26" w:rsidRPr="000416C7" w:rsidRDefault="00886C26" w:rsidP="0040739A">
      <w:pPr>
        <w:spacing w:line="360" w:lineRule="auto"/>
        <w:jc w:val="both"/>
        <w:rPr>
          <w:rFonts w:ascii="Arial" w:hAnsi="Arial" w:cs="Arial"/>
          <w:sz w:val="22"/>
          <w:szCs w:val="22"/>
        </w:rPr>
      </w:pPr>
      <w:r w:rsidRPr="000416C7">
        <w:rPr>
          <w:rFonts w:ascii="Arial" w:hAnsi="Arial" w:cs="Arial"/>
          <w:sz w:val="22"/>
          <w:szCs w:val="22"/>
        </w:rPr>
        <w:t>Prevalence refers to the proportions of individuals within a population who have a specific condition at a given time</w:t>
      </w:r>
      <w:r w:rsidR="002B7685" w:rsidRPr="000416C7">
        <w:rPr>
          <w:rFonts w:ascii="Arial" w:hAnsi="Arial" w:cs="Arial"/>
          <w:sz w:val="22"/>
          <w:szCs w:val="22"/>
        </w:rPr>
        <w:t xml:space="preserve"> </w:t>
      </w:r>
      <w:r w:rsidR="002B7685" w:rsidRPr="000416C7">
        <w:rPr>
          <w:rFonts w:ascii="Arial" w:hAnsi="Arial" w:cs="Arial"/>
          <w:color w:val="000000"/>
          <w:sz w:val="22"/>
          <w:szCs w:val="22"/>
        </w:rPr>
        <w:t>(National Institute of Mental Health, 2020)</w:t>
      </w:r>
      <w:r w:rsidRPr="000416C7">
        <w:rPr>
          <w:rFonts w:ascii="Arial" w:hAnsi="Arial" w:cs="Arial"/>
          <w:sz w:val="22"/>
          <w:szCs w:val="22"/>
        </w:rPr>
        <w:t>.  In this research, prevalence is used to quantify the burden of T2DM among UK adults and to identify population groups disproportionately affected by condition.</w:t>
      </w:r>
    </w:p>
    <w:p w14:paraId="3424532A" w14:textId="70974BDF" w:rsidR="00886C26" w:rsidRPr="000416C7" w:rsidRDefault="00886C26" w:rsidP="0040739A">
      <w:pPr>
        <w:pStyle w:val="ListParagraph"/>
        <w:spacing w:line="360" w:lineRule="auto"/>
        <w:ind w:left="360"/>
        <w:jc w:val="both"/>
        <w:rPr>
          <w:rFonts w:ascii="Arial" w:hAnsi="Arial" w:cs="Arial"/>
          <w:sz w:val="22"/>
          <w:szCs w:val="22"/>
        </w:rPr>
      </w:pPr>
    </w:p>
    <w:p w14:paraId="77468D24" w14:textId="6A87D8E8" w:rsidR="00886C26" w:rsidRPr="000416C7" w:rsidRDefault="00886C26" w:rsidP="0040739A">
      <w:pPr>
        <w:spacing w:line="360" w:lineRule="auto"/>
        <w:jc w:val="both"/>
        <w:rPr>
          <w:rFonts w:ascii="Arial" w:hAnsi="Arial" w:cs="Arial"/>
          <w:sz w:val="22"/>
          <w:szCs w:val="22"/>
        </w:rPr>
      </w:pPr>
      <w:r w:rsidRPr="000416C7">
        <w:rPr>
          <w:rFonts w:ascii="Arial" w:hAnsi="Arial" w:cs="Arial"/>
          <w:sz w:val="22"/>
          <w:szCs w:val="22"/>
        </w:rPr>
        <w:t>Risk factors are characteristics or exposures that increase an individual’s likelihood of developing a disease.  For T2DM, these include non-modifiable factors such as age, ethnicity, and genetic predisposition, as well as modifiable fa</w:t>
      </w:r>
      <w:r w:rsidR="00D2317F" w:rsidRPr="000416C7">
        <w:rPr>
          <w:rFonts w:ascii="Arial" w:hAnsi="Arial" w:cs="Arial"/>
          <w:sz w:val="22"/>
          <w:szCs w:val="22"/>
        </w:rPr>
        <w:t>ctors including obesity, physical inactivity, poor diet,</w:t>
      </w:r>
      <w:r w:rsidR="008A3D91">
        <w:rPr>
          <w:rFonts w:ascii="Arial" w:hAnsi="Arial" w:cs="Arial"/>
          <w:sz w:val="22"/>
          <w:szCs w:val="22"/>
        </w:rPr>
        <w:t xml:space="preserve"> </w:t>
      </w:r>
      <w:r w:rsidR="00D2317F" w:rsidRPr="000416C7">
        <w:rPr>
          <w:rFonts w:ascii="Arial" w:hAnsi="Arial" w:cs="Arial"/>
          <w:sz w:val="22"/>
          <w:szCs w:val="22"/>
        </w:rPr>
        <w:t>and</w:t>
      </w:r>
      <w:r w:rsidR="008A3D91">
        <w:rPr>
          <w:rFonts w:ascii="Arial" w:hAnsi="Arial" w:cs="Arial"/>
          <w:sz w:val="22"/>
          <w:szCs w:val="22"/>
        </w:rPr>
        <w:t xml:space="preserve"> </w:t>
      </w:r>
      <w:r w:rsidR="00D2317F" w:rsidRPr="000416C7">
        <w:rPr>
          <w:rFonts w:ascii="Arial" w:hAnsi="Arial" w:cs="Arial"/>
          <w:sz w:val="22"/>
          <w:szCs w:val="22"/>
        </w:rPr>
        <w:t>socioeconomic deprivation</w:t>
      </w:r>
      <w:r w:rsidR="0040081B" w:rsidRPr="000416C7">
        <w:rPr>
          <w:rFonts w:ascii="Arial" w:hAnsi="Arial" w:cs="Arial"/>
          <w:sz w:val="22"/>
          <w:szCs w:val="22"/>
        </w:rPr>
        <w:t xml:space="preserve"> </w:t>
      </w:r>
      <w:r w:rsidR="0040081B" w:rsidRPr="000416C7">
        <w:rPr>
          <w:rFonts w:ascii="Arial" w:hAnsi="Arial" w:cs="Arial"/>
          <w:color w:val="000000"/>
          <w:sz w:val="22"/>
          <w:szCs w:val="22"/>
        </w:rPr>
        <w:t>(Ismail, Materwala and Kaabi, 2021)</w:t>
      </w:r>
      <w:r w:rsidR="00D2317F" w:rsidRPr="000416C7">
        <w:rPr>
          <w:rFonts w:ascii="Arial" w:hAnsi="Arial" w:cs="Arial"/>
          <w:sz w:val="22"/>
          <w:szCs w:val="22"/>
        </w:rPr>
        <w:t>.  Understanding these risk factors is essential for informing prevention strategies and reducing disease incidence.</w:t>
      </w:r>
    </w:p>
    <w:p w14:paraId="7BA55FCC" w14:textId="125903B5" w:rsidR="00D2317F" w:rsidRPr="000416C7" w:rsidRDefault="00D2317F" w:rsidP="0040739A">
      <w:pPr>
        <w:pStyle w:val="ListParagraph"/>
        <w:spacing w:line="360" w:lineRule="auto"/>
        <w:ind w:left="360"/>
        <w:jc w:val="both"/>
        <w:rPr>
          <w:rFonts w:ascii="Arial" w:hAnsi="Arial" w:cs="Arial"/>
          <w:sz w:val="22"/>
          <w:szCs w:val="22"/>
        </w:rPr>
      </w:pPr>
    </w:p>
    <w:p w14:paraId="7BEFEE1F" w14:textId="1474A58D" w:rsidR="00D2317F" w:rsidRPr="000416C7" w:rsidRDefault="00D2317F" w:rsidP="0040739A">
      <w:pPr>
        <w:spacing w:line="360" w:lineRule="auto"/>
        <w:jc w:val="both"/>
        <w:rPr>
          <w:rFonts w:ascii="Arial" w:hAnsi="Arial" w:cs="Arial"/>
          <w:sz w:val="22"/>
          <w:szCs w:val="22"/>
        </w:rPr>
      </w:pPr>
      <w:r w:rsidRPr="000416C7">
        <w:rPr>
          <w:rFonts w:ascii="Arial" w:hAnsi="Arial" w:cs="Arial"/>
          <w:sz w:val="22"/>
          <w:szCs w:val="22"/>
        </w:rPr>
        <w:t>Management strategies encompass the approach used to prevent complications and control disease progression.  In the context of T2DM, management includes lifestyle modification, pharmacological treatment, blood glucose monitoring, and structured education programmes</w:t>
      </w:r>
      <w:r w:rsidR="008F7EC6" w:rsidRPr="000416C7">
        <w:rPr>
          <w:rFonts w:ascii="Arial" w:hAnsi="Arial" w:cs="Arial"/>
          <w:sz w:val="22"/>
          <w:szCs w:val="22"/>
        </w:rPr>
        <w:t xml:space="preserve"> </w:t>
      </w:r>
      <w:r w:rsidR="008F7EC6" w:rsidRPr="000416C7">
        <w:rPr>
          <w:rFonts w:ascii="Arial" w:hAnsi="Arial" w:cs="Arial"/>
          <w:color w:val="000000"/>
          <w:sz w:val="22"/>
          <w:szCs w:val="22"/>
        </w:rPr>
        <w:t>(Ofori and Unachukwu, 2014)</w:t>
      </w:r>
      <w:r w:rsidRPr="000416C7">
        <w:rPr>
          <w:rFonts w:ascii="Arial" w:hAnsi="Arial" w:cs="Arial"/>
          <w:sz w:val="22"/>
          <w:szCs w:val="22"/>
        </w:rPr>
        <w:t>.  Effective management is critical to reducing morbidity, mortality, and healthcare costs associated with the condition.</w:t>
      </w:r>
    </w:p>
    <w:p w14:paraId="086A8444" w14:textId="7960CB4A" w:rsidR="005F2669" w:rsidRPr="000416C7" w:rsidRDefault="005F2669" w:rsidP="0040739A">
      <w:pPr>
        <w:pStyle w:val="ListParagraph"/>
        <w:spacing w:line="360" w:lineRule="auto"/>
        <w:ind w:left="360"/>
        <w:jc w:val="both"/>
        <w:rPr>
          <w:rFonts w:ascii="Arial" w:hAnsi="Arial" w:cs="Arial"/>
          <w:sz w:val="22"/>
          <w:szCs w:val="22"/>
        </w:rPr>
      </w:pPr>
    </w:p>
    <w:p w14:paraId="1163C4A1" w14:textId="390BCFCA" w:rsidR="005F2669" w:rsidRPr="000416C7" w:rsidRDefault="005F2669" w:rsidP="0040739A">
      <w:pPr>
        <w:spacing w:line="360" w:lineRule="auto"/>
        <w:jc w:val="both"/>
        <w:rPr>
          <w:rFonts w:ascii="Arial" w:hAnsi="Arial" w:cs="Arial"/>
          <w:sz w:val="22"/>
          <w:szCs w:val="22"/>
        </w:rPr>
      </w:pPr>
      <w:r w:rsidRPr="000416C7">
        <w:rPr>
          <w:rFonts w:ascii="Arial" w:hAnsi="Arial" w:cs="Arial"/>
          <w:sz w:val="22"/>
          <w:szCs w:val="22"/>
        </w:rPr>
        <w:t>Health inequalities describe systematic differences in health outcomes between population groups</w:t>
      </w:r>
      <w:r w:rsidR="008F7EC6" w:rsidRPr="000416C7">
        <w:rPr>
          <w:rFonts w:ascii="Arial" w:hAnsi="Arial" w:cs="Arial"/>
          <w:sz w:val="22"/>
          <w:szCs w:val="22"/>
        </w:rPr>
        <w:t xml:space="preserve"> </w:t>
      </w:r>
      <w:r w:rsidR="008F7EC6" w:rsidRPr="000416C7">
        <w:rPr>
          <w:rFonts w:ascii="Arial" w:hAnsi="Arial" w:cs="Arial"/>
          <w:color w:val="000000"/>
          <w:sz w:val="22"/>
          <w:szCs w:val="22"/>
        </w:rPr>
        <w:t>(NHS England, 2023)</w:t>
      </w:r>
      <w:r w:rsidRPr="000416C7">
        <w:rPr>
          <w:rFonts w:ascii="Arial" w:hAnsi="Arial" w:cs="Arial"/>
          <w:sz w:val="22"/>
          <w:szCs w:val="22"/>
        </w:rPr>
        <w:t>.  This concept is particularly relevant to T2DM research, as prevalence and outcomes vary significantly according to socioeconomic status, ethnicity, and geographical location within the UK.</w:t>
      </w:r>
    </w:p>
    <w:p w14:paraId="7273D76A" w14:textId="611BE309" w:rsidR="005F2669" w:rsidRPr="000416C7" w:rsidRDefault="005F2669" w:rsidP="0040739A">
      <w:pPr>
        <w:pStyle w:val="ListParagraph"/>
        <w:spacing w:line="360" w:lineRule="auto"/>
        <w:ind w:left="360"/>
        <w:jc w:val="both"/>
        <w:rPr>
          <w:rFonts w:ascii="Arial" w:hAnsi="Arial" w:cs="Arial"/>
          <w:sz w:val="22"/>
          <w:szCs w:val="22"/>
        </w:rPr>
      </w:pPr>
    </w:p>
    <w:p w14:paraId="05E1AEE8" w14:textId="1458B557" w:rsidR="005F2669" w:rsidRDefault="005F2669" w:rsidP="0040739A">
      <w:pPr>
        <w:spacing w:line="360" w:lineRule="auto"/>
        <w:jc w:val="both"/>
        <w:rPr>
          <w:rFonts w:ascii="Arial" w:hAnsi="Arial" w:cs="Arial"/>
          <w:sz w:val="22"/>
          <w:szCs w:val="22"/>
        </w:rPr>
      </w:pPr>
      <w:r w:rsidRPr="00086967">
        <w:rPr>
          <w:rFonts w:ascii="Arial" w:hAnsi="Arial" w:cs="Arial"/>
          <w:sz w:val="22"/>
          <w:szCs w:val="22"/>
        </w:rPr>
        <w:t>Clear definition of these terms ensures conceptual consistency throughout the dissertation and enables readers to critically engage with the analysis and findings presented.</w:t>
      </w:r>
    </w:p>
    <w:p w14:paraId="2A318F17" w14:textId="4A4B3FF2" w:rsidR="004C50C0" w:rsidRDefault="004C50C0" w:rsidP="0040739A">
      <w:pPr>
        <w:spacing w:line="360" w:lineRule="auto"/>
        <w:jc w:val="both"/>
        <w:rPr>
          <w:rFonts w:ascii="Arial" w:hAnsi="Arial" w:cs="Arial"/>
          <w:sz w:val="22"/>
          <w:szCs w:val="22"/>
        </w:rPr>
      </w:pPr>
    </w:p>
    <w:p w14:paraId="43E0F18B" w14:textId="77777777" w:rsidR="004C50C0" w:rsidRDefault="004C50C0" w:rsidP="0040739A">
      <w:pPr>
        <w:spacing w:line="360" w:lineRule="auto"/>
        <w:jc w:val="both"/>
        <w:rPr>
          <w:rFonts w:ascii="Arial" w:hAnsi="Arial" w:cs="Arial"/>
          <w:sz w:val="22"/>
          <w:szCs w:val="22"/>
        </w:rPr>
      </w:pPr>
    </w:p>
    <w:p w14:paraId="0CE15FF8" w14:textId="5AC4AC82" w:rsidR="00F2658C" w:rsidRDefault="00F2658C" w:rsidP="008A3D91">
      <w:pPr>
        <w:spacing w:line="360" w:lineRule="auto"/>
        <w:rPr>
          <w:rFonts w:ascii="Arial" w:hAnsi="Arial" w:cs="Arial"/>
          <w:sz w:val="22"/>
          <w:szCs w:val="22"/>
        </w:rPr>
      </w:pPr>
    </w:p>
    <w:p w14:paraId="461AD64F" w14:textId="5EE9FEAC" w:rsidR="006D393E" w:rsidRDefault="006D393E" w:rsidP="00086967">
      <w:pPr>
        <w:spacing w:line="360" w:lineRule="auto"/>
        <w:jc w:val="both"/>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F2658C" w14:paraId="25C8694A" w14:textId="77777777" w:rsidTr="00F2658C">
        <w:tc>
          <w:tcPr>
            <w:tcW w:w="4508" w:type="dxa"/>
          </w:tcPr>
          <w:p w14:paraId="5647076B" w14:textId="7E9A1B17" w:rsidR="00F2658C" w:rsidRDefault="00F2658C" w:rsidP="00086967">
            <w:pPr>
              <w:spacing w:line="360" w:lineRule="auto"/>
              <w:jc w:val="both"/>
              <w:rPr>
                <w:rFonts w:ascii="Arial" w:hAnsi="Arial" w:cs="Arial"/>
                <w:sz w:val="22"/>
                <w:szCs w:val="22"/>
              </w:rPr>
            </w:pPr>
            <w:r>
              <w:rPr>
                <w:rFonts w:ascii="Arial" w:hAnsi="Arial" w:cs="Arial"/>
                <w:sz w:val="22"/>
                <w:szCs w:val="22"/>
              </w:rPr>
              <w:lastRenderedPageBreak/>
              <w:t>ACRONYMS</w:t>
            </w:r>
          </w:p>
        </w:tc>
        <w:tc>
          <w:tcPr>
            <w:tcW w:w="4508" w:type="dxa"/>
          </w:tcPr>
          <w:p w14:paraId="7DF4720D" w14:textId="2F156139" w:rsidR="00F2658C" w:rsidRDefault="00F2658C" w:rsidP="00086967">
            <w:pPr>
              <w:spacing w:line="360" w:lineRule="auto"/>
              <w:jc w:val="both"/>
              <w:rPr>
                <w:rFonts w:ascii="Arial" w:hAnsi="Arial" w:cs="Arial"/>
                <w:sz w:val="22"/>
                <w:szCs w:val="22"/>
              </w:rPr>
            </w:pPr>
            <w:r>
              <w:rPr>
                <w:rFonts w:ascii="Arial" w:hAnsi="Arial" w:cs="Arial"/>
                <w:sz w:val="22"/>
                <w:szCs w:val="22"/>
              </w:rPr>
              <w:t>ABBREVIATIONS</w:t>
            </w:r>
          </w:p>
        </w:tc>
      </w:tr>
      <w:tr w:rsidR="00F2658C" w14:paraId="6F36E5AF" w14:textId="77777777" w:rsidTr="00F2658C">
        <w:tc>
          <w:tcPr>
            <w:tcW w:w="4508" w:type="dxa"/>
          </w:tcPr>
          <w:p w14:paraId="147C0C6F" w14:textId="2B555574" w:rsidR="00F2658C" w:rsidRDefault="00F2658C" w:rsidP="00086967">
            <w:pPr>
              <w:spacing w:line="360" w:lineRule="auto"/>
              <w:jc w:val="both"/>
              <w:rPr>
                <w:rFonts w:ascii="Arial" w:hAnsi="Arial" w:cs="Arial"/>
                <w:sz w:val="22"/>
                <w:szCs w:val="22"/>
              </w:rPr>
            </w:pPr>
            <w:r>
              <w:rPr>
                <w:rFonts w:ascii="Arial" w:hAnsi="Arial" w:cs="Arial"/>
                <w:sz w:val="22"/>
                <w:szCs w:val="22"/>
              </w:rPr>
              <w:t>T2DM</w:t>
            </w:r>
          </w:p>
        </w:tc>
        <w:tc>
          <w:tcPr>
            <w:tcW w:w="4508" w:type="dxa"/>
          </w:tcPr>
          <w:p w14:paraId="75F5BBEA" w14:textId="0EC12B16" w:rsidR="00F2658C" w:rsidRDefault="00F2658C" w:rsidP="00086967">
            <w:pPr>
              <w:spacing w:line="360" w:lineRule="auto"/>
              <w:jc w:val="both"/>
              <w:rPr>
                <w:rFonts w:ascii="Arial" w:hAnsi="Arial" w:cs="Arial"/>
                <w:sz w:val="22"/>
                <w:szCs w:val="22"/>
              </w:rPr>
            </w:pPr>
            <w:r>
              <w:rPr>
                <w:rFonts w:ascii="Arial" w:hAnsi="Arial" w:cs="Arial"/>
                <w:sz w:val="22"/>
                <w:szCs w:val="22"/>
              </w:rPr>
              <w:t>Type 2 diabetes mellitus</w:t>
            </w:r>
          </w:p>
        </w:tc>
      </w:tr>
      <w:tr w:rsidR="00F2658C" w14:paraId="0DAECEA4" w14:textId="77777777" w:rsidTr="00F2658C">
        <w:tc>
          <w:tcPr>
            <w:tcW w:w="4508" w:type="dxa"/>
          </w:tcPr>
          <w:p w14:paraId="28165726" w14:textId="69958110" w:rsidR="00F2658C" w:rsidRDefault="00F2658C" w:rsidP="00086967">
            <w:pPr>
              <w:spacing w:line="360" w:lineRule="auto"/>
              <w:jc w:val="both"/>
              <w:rPr>
                <w:rFonts w:ascii="Arial" w:hAnsi="Arial" w:cs="Arial"/>
                <w:sz w:val="22"/>
                <w:szCs w:val="22"/>
              </w:rPr>
            </w:pPr>
            <w:r>
              <w:rPr>
                <w:rFonts w:ascii="Arial" w:hAnsi="Arial" w:cs="Arial"/>
                <w:sz w:val="22"/>
                <w:szCs w:val="22"/>
              </w:rPr>
              <w:t>BMI</w:t>
            </w:r>
          </w:p>
        </w:tc>
        <w:tc>
          <w:tcPr>
            <w:tcW w:w="4508" w:type="dxa"/>
          </w:tcPr>
          <w:p w14:paraId="7C1A07EB" w14:textId="0DE572EA" w:rsidR="00F2658C" w:rsidRDefault="00F2658C" w:rsidP="00086967">
            <w:pPr>
              <w:spacing w:line="360" w:lineRule="auto"/>
              <w:jc w:val="both"/>
              <w:rPr>
                <w:rFonts w:ascii="Arial" w:hAnsi="Arial" w:cs="Arial"/>
                <w:sz w:val="22"/>
                <w:szCs w:val="22"/>
              </w:rPr>
            </w:pPr>
            <w:r>
              <w:rPr>
                <w:rFonts w:ascii="Arial" w:hAnsi="Arial" w:cs="Arial"/>
                <w:sz w:val="22"/>
                <w:szCs w:val="22"/>
              </w:rPr>
              <w:t>Body mass index</w:t>
            </w:r>
          </w:p>
        </w:tc>
      </w:tr>
      <w:tr w:rsidR="00F2658C" w14:paraId="78C1511D" w14:textId="77777777" w:rsidTr="00F2658C">
        <w:tc>
          <w:tcPr>
            <w:tcW w:w="4508" w:type="dxa"/>
          </w:tcPr>
          <w:p w14:paraId="063A1E42" w14:textId="4A3B8BD5" w:rsidR="00F2658C" w:rsidRDefault="00F2658C" w:rsidP="00086967">
            <w:pPr>
              <w:spacing w:line="360" w:lineRule="auto"/>
              <w:jc w:val="both"/>
              <w:rPr>
                <w:rFonts w:ascii="Arial" w:hAnsi="Arial" w:cs="Arial"/>
                <w:sz w:val="22"/>
                <w:szCs w:val="22"/>
              </w:rPr>
            </w:pPr>
            <w:r>
              <w:rPr>
                <w:rFonts w:ascii="Arial" w:hAnsi="Arial" w:cs="Arial"/>
                <w:sz w:val="22"/>
                <w:szCs w:val="22"/>
              </w:rPr>
              <w:t>HbA1c</w:t>
            </w:r>
          </w:p>
        </w:tc>
        <w:tc>
          <w:tcPr>
            <w:tcW w:w="4508" w:type="dxa"/>
          </w:tcPr>
          <w:p w14:paraId="7EA771AF" w14:textId="06EAFB9F" w:rsidR="00F2658C" w:rsidRDefault="00F2658C" w:rsidP="00086967">
            <w:pPr>
              <w:spacing w:line="360" w:lineRule="auto"/>
              <w:jc w:val="both"/>
              <w:rPr>
                <w:rFonts w:ascii="Arial" w:hAnsi="Arial" w:cs="Arial"/>
                <w:sz w:val="22"/>
                <w:szCs w:val="22"/>
              </w:rPr>
            </w:pPr>
            <w:r>
              <w:rPr>
                <w:rFonts w:ascii="Arial" w:hAnsi="Arial" w:cs="Arial"/>
                <w:sz w:val="22"/>
                <w:szCs w:val="22"/>
              </w:rPr>
              <w:t>Glycated haemoglobin</w:t>
            </w:r>
          </w:p>
        </w:tc>
      </w:tr>
      <w:tr w:rsidR="00F2658C" w14:paraId="10B09B3C" w14:textId="77777777" w:rsidTr="00F2658C">
        <w:tc>
          <w:tcPr>
            <w:tcW w:w="4508" w:type="dxa"/>
          </w:tcPr>
          <w:p w14:paraId="2B51C032" w14:textId="6EEF6B79" w:rsidR="00F2658C" w:rsidRDefault="00F2658C" w:rsidP="00086967">
            <w:pPr>
              <w:spacing w:line="360" w:lineRule="auto"/>
              <w:jc w:val="both"/>
              <w:rPr>
                <w:rFonts w:ascii="Arial" w:hAnsi="Arial" w:cs="Arial"/>
                <w:sz w:val="22"/>
                <w:szCs w:val="22"/>
              </w:rPr>
            </w:pPr>
            <w:r>
              <w:rPr>
                <w:rFonts w:ascii="Arial" w:hAnsi="Arial" w:cs="Arial"/>
                <w:sz w:val="22"/>
                <w:szCs w:val="22"/>
              </w:rPr>
              <w:t>NHS</w:t>
            </w:r>
          </w:p>
        </w:tc>
        <w:tc>
          <w:tcPr>
            <w:tcW w:w="4508" w:type="dxa"/>
          </w:tcPr>
          <w:p w14:paraId="7A46FEF9" w14:textId="39CE7899" w:rsidR="00F2658C" w:rsidRDefault="00F2658C" w:rsidP="00086967">
            <w:pPr>
              <w:spacing w:line="360" w:lineRule="auto"/>
              <w:jc w:val="both"/>
              <w:rPr>
                <w:rFonts w:ascii="Arial" w:hAnsi="Arial" w:cs="Arial"/>
                <w:sz w:val="22"/>
                <w:szCs w:val="22"/>
              </w:rPr>
            </w:pPr>
            <w:r>
              <w:rPr>
                <w:rFonts w:ascii="Arial" w:hAnsi="Arial" w:cs="Arial"/>
                <w:sz w:val="22"/>
                <w:szCs w:val="22"/>
              </w:rPr>
              <w:t>National Health Service</w:t>
            </w:r>
          </w:p>
        </w:tc>
      </w:tr>
      <w:tr w:rsidR="00F2658C" w14:paraId="01CE5146" w14:textId="77777777" w:rsidTr="00F2658C">
        <w:tc>
          <w:tcPr>
            <w:tcW w:w="4508" w:type="dxa"/>
          </w:tcPr>
          <w:p w14:paraId="623FFB2D" w14:textId="1F20DF38" w:rsidR="00F2658C" w:rsidRDefault="00F2658C" w:rsidP="00086967">
            <w:pPr>
              <w:spacing w:line="360" w:lineRule="auto"/>
              <w:jc w:val="both"/>
              <w:rPr>
                <w:rFonts w:ascii="Arial" w:hAnsi="Arial" w:cs="Arial"/>
                <w:sz w:val="22"/>
                <w:szCs w:val="22"/>
              </w:rPr>
            </w:pPr>
            <w:r>
              <w:rPr>
                <w:rFonts w:ascii="Arial" w:hAnsi="Arial" w:cs="Arial"/>
                <w:sz w:val="22"/>
                <w:szCs w:val="22"/>
              </w:rPr>
              <w:t>WHO</w:t>
            </w:r>
          </w:p>
        </w:tc>
        <w:tc>
          <w:tcPr>
            <w:tcW w:w="4508" w:type="dxa"/>
          </w:tcPr>
          <w:p w14:paraId="4B93D7E5" w14:textId="68AF9814" w:rsidR="00F2658C" w:rsidRDefault="00F2658C" w:rsidP="00086967">
            <w:pPr>
              <w:spacing w:line="360" w:lineRule="auto"/>
              <w:jc w:val="both"/>
              <w:rPr>
                <w:rFonts w:ascii="Arial" w:hAnsi="Arial" w:cs="Arial"/>
                <w:sz w:val="22"/>
                <w:szCs w:val="22"/>
              </w:rPr>
            </w:pPr>
            <w:r>
              <w:rPr>
                <w:rFonts w:ascii="Arial" w:hAnsi="Arial" w:cs="Arial"/>
                <w:sz w:val="22"/>
                <w:szCs w:val="22"/>
              </w:rPr>
              <w:t>World Health Organisation</w:t>
            </w:r>
          </w:p>
        </w:tc>
      </w:tr>
      <w:tr w:rsidR="00F2658C" w14:paraId="0D39EF2E" w14:textId="77777777" w:rsidTr="00F2658C">
        <w:tc>
          <w:tcPr>
            <w:tcW w:w="4508" w:type="dxa"/>
          </w:tcPr>
          <w:p w14:paraId="63109F2D" w14:textId="0E297CF2" w:rsidR="00F2658C" w:rsidRDefault="00F2658C" w:rsidP="00086967">
            <w:pPr>
              <w:spacing w:line="360" w:lineRule="auto"/>
              <w:jc w:val="both"/>
              <w:rPr>
                <w:rFonts w:ascii="Arial" w:hAnsi="Arial" w:cs="Arial"/>
                <w:sz w:val="22"/>
                <w:szCs w:val="22"/>
              </w:rPr>
            </w:pPr>
            <w:r>
              <w:rPr>
                <w:rFonts w:ascii="Arial" w:hAnsi="Arial" w:cs="Arial"/>
                <w:sz w:val="22"/>
                <w:szCs w:val="22"/>
              </w:rPr>
              <w:t>PHE</w:t>
            </w:r>
          </w:p>
        </w:tc>
        <w:tc>
          <w:tcPr>
            <w:tcW w:w="4508" w:type="dxa"/>
          </w:tcPr>
          <w:p w14:paraId="0FB77CC3" w14:textId="4FFE1133" w:rsidR="00F2658C" w:rsidRDefault="00F2658C" w:rsidP="00086967">
            <w:pPr>
              <w:spacing w:line="360" w:lineRule="auto"/>
              <w:jc w:val="both"/>
              <w:rPr>
                <w:rFonts w:ascii="Arial" w:hAnsi="Arial" w:cs="Arial"/>
                <w:sz w:val="22"/>
                <w:szCs w:val="22"/>
              </w:rPr>
            </w:pPr>
            <w:r>
              <w:rPr>
                <w:rFonts w:ascii="Arial" w:hAnsi="Arial" w:cs="Arial"/>
                <w:sz w:val="22"/>
                <w:szCs w:val="22"/>
              </w:rPr>
              <w:t>Public Health England</w:t>
            </w:r>
          </w:p>
        </w:tc>
      </w:tr>
    </w:tbl>
    <w:p w14:paraId="4C6519F5" w14:textId="43F31143" w:rsidR="005F2669" w:rsidRDefault="006D393E" w:rsidP="009D328D">
      <w:r>
        <w:t>Table 1.</w:t>
      </w:r>
    </w:p>
    <w:p w14:paraId="17B0DA8E" w14:textId="76BD3932" w:rsidR="00BE3F9C" w:rsidRPr="00C7380B" w:rsidRDefault="00BE3F9C" w:rsidP="008A3D91">
      <w:pPr>
        <w:pStyle w:val="ListParagraph"/>
        <w:ind w:left="360"/>
        <w:jc w:val="both"/>
        <w:rPr>
          <w:rFonts w:ascii="Arial" w:hAnsi="Arial" w:cs="Arial"/>
          <w:b/>
          <w:bCs/>
          <w:sz w:val="22"/>
          <w:szCs w:val="22"/>
        </w:rPr>
      </w:pPr>
    </w:p>
    <w:p w14:paraId="54483B88" w14:textId="2EDA1643" w:rsidR="00BE3F9C" w:rsidRPr="00E52633" w:rsidRDefault="00BE3F9C" w:rsidP="008A3D91">
      <w:pPr>
        <w:pStyle w:val="ListParagraph"/>
        <w:numPr>
          <w:ilvl w:val="1"/>
          <w:numId w:val="1"/>
        </w:numPr>
        <w:spacing w:line="360" w:lineRule="auto"/>
        <w:jc w:val="both"/>
        <w:rPr>
          <w:rFonts w:ascii="Arial" w:hAnsi="Arial" w:cs="Arial"/>
          <w:b/>
          <w:bCs/>
          <w:sz w:val="28"/>
          <w:szCs w:val="28"/>
        </w:rPr>
      </w:pPr>
      <w:r w:rsidRPr="00E52633">
        <w:rPr>
          <w:rFonts w:ascii="Arial" w:hAnsi="Arial" w:cs="Arial"/>
          <w:b/>
          <w:bCs/>
          <w:sz w:val="28"/>
          <w:szCs w:val="28"/>
        </w:rPr>
        <w:t>Rationale for Research</w:t>
      </w:r>
    </w:p>
    <w:p w14:paraId="529D4DE5" w14:textId="0FA9026B" w:rsidR="00BE3F9C" w:rsidRPr="001C7347" w:rsidRDefault="00BE3F9C" w:rsidP="008A3D91">
      <w:pPr>
        <w:spacing w:line="360" w:lineRule="auto"/>
        <w:jc w:val="both"/>
        <w:rPr>
          <w:rFonts w:ascii="Arial" w:hAnsi="Arial" w:cs="Arial"/>
          <w:sz w:val="22"/>
          <w:szCs w:val="22"/>
        </w:rPr>
      </w:pPr>
      <w:r w:rsidRPr="001C7347">
        <w:rPr>
          <w:rFonts w:ascii="Arial" w:hAnsi="Arial" w:cs="Arial"/>
          <w:sz w:val="22"/>
          <w:szCs w:val="22"/>
        </w:rPr>
        <w:t xml:space="preserve">Type 2 diabetes mellitus (T2DM) was selected as the focus of this dissertation due to its escalating prevalence and substantial impact on adult health outcomes in the UK.  Current evidence indicates that T2DM accounts for the majority of diabetes diagnoses and represents a leading cause of cardiovascular disease, renal failure, and premature mortality </w:t>
      </w:r>
      <w:r w:rsidR="00D57939" w:rsidRPr="001C7347">
        <w:rPr>
          <w:rFonts w:ascii="Arial" w:hAnsi="Arial" w:cs="Arial"/>
          <w:color w:val="000000"/>
          <w:sz w:val="22"/>
          <w:szCs w:val="22"/>
        </w:rPr>
        <w:t>(Gavina et al., 2022)</w:t>
      </w:r>
      <w:r w:rsidRPr="001C7347">
        <w:rPr>
          <w:rFonts w:ascii="Arial" w:hAnsi="Arial" w:cs="Arial"/>
          <w:sz w:val="22"/>
          <w:szCs w:val="22"/>
        </w:rPr>
        <w:t>.  The growing burden of T2DM places increasing pressure on healthcare services, particularly the NHS England, making it a priority area for research and policy development.</w:t>
      </w:r>
    </w:p>
    <w:p w14:paraId="4092EA74" w14:textId="5F393C68" w:rsidR="00BE3F9C" w:rsidRDefault="00BE3F9C" w:rsidP="008A3D91">
      <w:pPr>
        <w:pStyle w:val="ListParagraph"/>
        <w:spacing w:line="360" w:lineRule="auto"/>
        <w:ind w:left="360"/>
        <w:jc w:val="both"/>
      </w:pPr>
    </w:p>
    <w:p w14:paraId="31CF3A93" w14:textId="4C4D772D" w:rsidR="00BE3F9C" w:rsidRPr="001C7347" w:rsidRDefault="00BE3F9C" w:rsidP="008A3D91">
      <w:pPr>
        <w:spacing w:line="360" w:lineRule="auto"/>
        <w:jc w:val="both"/>
        <w:rPr>
          <w:rFonts w:ascii="Arial" w:hAnsi="Arial" w:cs="Arial"/>
          <w:sz w:val="22"/>
          <w:szCs w:val="22"/>
        </w:rPr>
      </w:pPr>
      <w:r w:rsidRPr="001C7347">
        <w:rPr>
          <w:rFonts w:ascii="Arial" w:hAnsi="Arial" w:cs="Arial"/>
          <w:sz w:val="22"/>
          <w:szCs w:val="22"/>
        </w:rPr>
        <w:t>Despite extensive literature examining T2DM, contemporary trends reveal persistent challenges in prevention and management</w:t>
      </w:r>
      <w:r w:rsidR="00D57939" w:rsidRPr="001C7347">
        <w:rPr>
          <w:rFonts w:ascii="Arial" w:hAnsi="Arial" w:cs="Arial"/>
          <w:sz w:val="22"/>
          <w:szCs w:val="22"/>
        </w:rPr>
        <w:t xml:space="preserve"> </w:t>
      </w:r>
      <w:r w:rsidR="00D57939" w:rsidRPr="001C7347">
        <w:rPr>
          <w:rFonts w:ascii="Arial" w:hAnsi="Arial" w:cs="Arial"/>
          <w:color w:val="000000"/>
          <w:sz w:val="22"/>
          <w:szCs w:val="22"/>
        </w:rPr>
        <w:t>(Reed, Bain and Kanamarlapudi, 2021)</w:t>
      </w:r>
      <w:r w:rsidRPr="001C7347">
        <w:rPr>
          <w:rFonts w:ascii="Arial" w:hAnsi="Arial" w:cs="Arial"/>
          <w:sz w:val="22"/>
          <w:szCs w:val="22"/>
        </w:rPr>
        <w:t xml:space="preserve">.  Rising obesity rates, sedentary lifestyles, population ageing, and widening socioeconomic inequalities have contributed to increased incidence, particularly among disadvantaged and ethnically diverse communities </w:t>
      </w:r>
      <w:r w:rsidR="00D57939" w:rsidRPr="001C7347">
        <w:rPr>
          <w:rFonts w:ascii="Arial" w:hAnsi="Arial" w:cs="Arial"/>
          <w:color w:val="000000"/>
          <w:sz w:val="22"/>
          <w:szCs w:val="22"/>
        </w:rPr>
        <w:t>(Anekwe et al., 2020)</w:t>
      </w:r>
      <w:r w:rsidR="00D57939" w:rsidRPr="001C7347">
        <w:rPr>
          <w:rFonts w:ascii="Arial" w:hAnsi="Arial" w:cs="Arial"/>
          <w:sz w:val="22"/>
          <w:szCs w:val="22"/>
        </w:rPr>
        <w:t xml:space="preserve">.  </w:t>
      </w:r>
      <w:r w:rsidRPr="001C7347">
        <w:rPr>
          <w:rFonts w:ascii="Arial" w:hAnsi="Arial" w:cs="Arial"/>
          <w:sz w:val="22"/>
          <w:szCs w:val="22"/>
        </w:rPr>
        <w:t xml:space="preserve">While national strategies emphasise early intervention and lifestyle modification, evidence </w:t>
      </w:r>
      <w:r w:rsidR="00DC0130">
        <w:rPr>
          <w:rFonts w:ascii="Arial" w:hAnsi="Arial" w:cs="Arial"/>
          <w:sz w:val="22"/>
          <w:szCs w:val="22"/>
        </w:rPr>
        <w:t>highlights</w:t>
      </w:r>
      <w:r w:rsidRPr="001C7347">
        <w:rPr>
          <w:rFonts w:ascii="Arial" w:hAnsi="Arial" w:cs="Arial"/>
          <w:sz w:val="22"/>
          <w:szCs w:val="22"/>
        </w:rPr>
        <w:t xml:space="preserve"> that uptake and effectiveness of these programmes remain inconsistent across regions and population groups.</w:t>
      </w:r>
    </w:p>
    <w:p w14:paraId="11586EC8" w14:textId="089EA8A8" w:rsidR="00BE3F9C" w:rsidRDefault="00BE3F9C" w:rsidP="008A3D91">
      <w:pPr>
        <w:pStyle w:val="ListParagraph"/>
        <w:spacing w:line="360" w:lineRule="auto"/>
        <w:ind w:left="360"/>
        <w:jc w:val="both"/>
      </w:pPr>
    </w:p>
    <w:p w14:paraId="49B8D8C6" w14:textId="0D9C57D6" w:rsidR="00BE3F9C" w:rsidRPr="001C7347" w:rsidRDefault="00BE3F9C" w:rsidP="008A3D91">
      <w:pPr>
        <w:spacing w:line="360" w:lineRule="auto"/>
        <w:jc w:val="both"/>
        <w:rPr>
          <w:rFonts w:ascii="Arial" w:hAnsi="Arial" w:cs="Arial"/>
          <w:sz w:val="22"/>
          <w:szCs w:val="22"/>
        </w:rPr>
      </w:pPr>
      <w:r w:rsidRPr="001C7347">
        <w:rPr>
          <w:rFonts w:ascii="Arial" w:hAnsi="Arial" w:cs="Arial"/>
          <w:sz w:val="22"/>
          <w:szCs w:val="22"/>
        </w:rPr>
        <w:t xml:space="preserve">A key research gap lies in the limited integration of prevalence data with an in-depth </w:t>
      </w:r>
      <w:r w:rsidR="00F81BF9" w:rsidRPr="001C7347">
        <w:rPr>
          <w:rFonts w:ascii="Arial" w:hAnsi="Arial" w:cs="Arial"/>
          <w:sz w:val="22"/>
          <w:szCs w:val="22"/>
        </w:rPr>
        <w:t>exploration of modifiable risk factors and real-world management</w:t>
      </w:r>
      <w:r w:rsidR="004E49CA" w:rsidRPr="001C7347">
        <w:rPr>
          <w:rFonts w:ascii="Arial" w:hAnsi="Arial" w:cs="Arial"/>
          <w:sz w:val="22"/>
          <w:szCs w:val="22"/>
        </w:rPr>
        <w:t xml:space="preserve"> strategies within UK adult populations</w:t>
      </w:r>
      <w:r w:rsidR="00D57939" w:rsidRPr="001C7347">
        <w:rPr>
          <w:rFonts w:ascii="Arial" w:hAnsi="Arial" w:cs="Arial"/>
          <w:sz w:val="22"/>
          <w:szCs w:val="22"/>
        </w:rPr>
        <w:t xml:space="preserve"> </w:t>
      </w:r>
      <w:r w:rsidR="00D57939" w:rsidRPr="001C7347">
        <w:rPr>
          <w:rFonts w:ascii="Arial" w:hAnsi="Arial" w:cs="Arial"/>
          <w:color w:val="000000"/>
          <w:sz w:val="22"/>
          <w:szCs w:val="22"/>
        </w:rPr>
        <w:t>(Tulchinsky and Varavikova, 2014)</w:t>
      </w:r>
      <w:r w:rsidR="004E49CA" w:rsidRPr="001C7347">
        <w:rPr>
          <w:rFonts w:ascii="Arial" w:hAnsi="Arial" w:cs="Arial"/>
          <w:sz w:val="22"/>
          <w:szCs w:val="22"/>
        </w:rPr>
        <w:t>.  Much of the existing literature focuses either on epidemiological trends or clinical management in isolation, with insufficient attention to how social determinants influence both disease development and long-term outcomes.  Additionally, there is ongoing debate regarding the adequacy of current prevention programmes in addressing health inequalities</w:t>
      </w:r>
      <w:r w:rsidR="00D57939" w:rsidRPr="001C7347">
        <w:rPr>
          <w:rFonts w:ascii="Arial" w:hAnsi="Arial" w:cs="Arial"/>
          <w:sz w:val="22"/>
          <w:szCs w:val="22"/>
        </w:rPr>
        <w:t xml:space="preserve"> </w:t>
      </w:r>
      <w:r w:rsidR="00D57939" w:rsidRPr="001C7347">
        <w:rPr>
          <w:rFonts w:ascii="Arial" w:hAnsi="Arial" w:cs="Arial"/>
          <w:color w:val="000000"/>
          <w:sz w:val="22"/>
          <w:szCs w:val="22"/>
        </w:rPr>
        <w:t>(Holt</w:t>
      </w:r>
      <w:r w:rsidR="00D57939" w:rsidRPr="001C7347">
        <w:rPr>
          <w:rFonts w:ascii="Cambria Math" w:hAnsi="Cambria Math" w:cs="Cambria Math"/>
          <w:color w:val="000000"/>
          <w:sz w:val="22"/>
          <w:szCs w:val="22"/>
        </w:rPr>
        <w:t>‐</w:t>
      </w:r>
      <w:r w:rsidR="00D57939" w:rsidRPr="001C7347">
        <w:rPr>
          <w:rFonts w:ascii="Arial" w:hAnsi="Arial" w:cs="Arial"/>
          <w:color w:val="000000"/>
          <w:sz w:val="22"/>
          <w:szCs w:val="22"/>
        </w:rPr>
        <w:t>Lunstad, 2024)</w:t>
      </w:r>
      <w:r w:rsidR="00D57939" w:rsidRPr="001C7347">
        <w:rPr>
          <w:rFonts w:ascii="Arial" w:hAnsi="Arial" w:cs="Arial"/>
          <w:sz w:val="22"/>
          <w:szCs w:val="22"/>
        </w:rPr>
        <w:t>.</w:t>
      </w:r>
    </w:p>
    <w:p w14:paraId="07C22E2A" w14:textId="3F71C25F" w:rsidR="004E49CA" w:rsidRDefault="004E49CA" w:rsidP="008A3D91">
      <w:pPr>
        <w:pStyle w:val="ListParagraph"/>
        <w:spacing w:line="360" w:lineRule="auto"/>
        <w:ind w:left="360"/>
        <w:jc w:val="both"/>
      </w:pPr>
    </w:p>
    <w:p w14:paraId="2A373B5C" w14:textId="09902067" w:rsidR="000129EE" w:rsidRPr="001C7347" w:rsidRDefault="004E49CA" w:rsidP="008A3D91">
      <w:pPr>
        <w:spacing w:line="360" w:lineRule="auto"/>
        <w:jc w:val="both"/>
        <w:rPr>
          <w:rFonts w:ascii="Arial" w:hAnsi="Arial" w:cs="Arial"/>
          <w:sz w:val="22"/>
          <w:szCs w:val="22"/>
        </w:rPr>
      </w:pPr>
      <w:r w:rsidRPr="001C7347">
        <w:rPr>
          <w:rFonts w:ascii="Arial" w:hAnsi="Arial" w:cs="Arial"/>
          <w:sz w:val="22"/>
          <w:szCs w:val="22"/>
        </w:rPr>
        <w:t xml:space="preserve">This dissertation aims to address these gaps by synthesising evidence on prevalence, risk factors, and management strategies, offering a holistic understanding of T2DM in UK adults.  By doing so, the research seeks to inform more targeted, equitable, and effective approaches </w:t>
      </w:r>
      <w:r w:rsidRPr="001C7347">
        <w:rPr>
          <w:rFonts w:ascii="Arial" w:hAnsi="Arial" w:cs="Arial"/>
          <w:sz w:val="22"/>
          <w:szCs w:val="22"/>
        </w:rPr>
        <w:lastRenderedPageBreak/>
        <w:t>to prevention and management within adult diabetes care.</w:t>
      </w:r>
      <w:r w:rsidR="000129EE">
        <w:rPr>
          <w:rFonts w:ascii="Arial" w:hAnsi="Arial" w:cs="Arial"/>
          <w:sz w:val="22"/>
          <w:szCs w:val="22"/>
        </w:rPr>
        <w:t xml:space="preserve">  However, there remains a need to critically evaluate how current prevention and management strategies address inequalities in outcomes across different population groups within the UK.</w:t>
      </w:r>
    </w:p>
    <w:p w14:paraId="0C59B92F" w14:textId="6921F5CC" w:rsidR="00CD4BA6" w:rsidRPr="00E52633" w:rsidRDefault="00CD4BA6" w:rsidP="008A3D91">
      <w:pPr>
        <w:pStyle w:val="ListParagraph"/>
        <w:spacing w:line="360" w:lineRule="auto"/>
        <w:ind w:left="360"/>
        <w:jc w:val="both"/>
        <w:rPr>
          <w:sz w:val="28"/>
          <w:szCs w:val="28"/>
        </w:rPr>
      </w:pPr>
    </w:p>
    <w:p w14:paraId="56DF7603" w14:textId="2697E225" w:rsidR="00CD4BA6" w:rsidRPr="00E52633" w:rsidRDefault="00CD4BA6" w:rsidP="008A3D91">
      <w:pPr>
        <w:pStyle w:val="ListParagraph"/>
        <w:numPr>
          <w:ilvl w:val="1"/>
          <w:numId w:val="1"/>
        </w:numPr>
        <w:spacing w:line="360" w:lineRule="auto"/>
        <w:jc w:val="both"/>
        <w:rPr>
          <w:rFonts w:ascii="Arial" w:hAnsi="Arial" w:cs="Arial"/>
          <w:b/>
          <w:bCs/>
          <w:sz w:val="28"/>
          <w:szCs w:val="28"/>
        </w:rPr>
      </w:pPr>
      <w:r w:rsidRPr="00E52633">
        <w:rPr>
          <w:rFonts w:ascii="Arial" w:hAnsi="Arial" w:cs="Arial"/>
          <w:b/>
          <w:bCs/>
          <w:sz w:val="28"/>
          <w:szCs w:val="28"/>
        </w:rPr>
        <w:t>AIM</w:t>
      </w:r>
      <w:r w:rsidR="00D92969" w:rsidRPr="00E52633">
        <w:rPr>
          <w:rFonts w:ascii="Arial" w:hAnsi="Arial" w:cs="Arial"/>
          <w:b/>
          <w:bCs/>
          <w:sz w:val="28"/>
          <w:szCs w:val="28"/>
        </w:rPr>
        <w:t xml:space="preserve"> and Objectives</w:t>
      </w:r>
    </w:p>
    <w:p w14:paraId="3587676F" w14:textId="77777777" w:rsidR="00665AC3" w:rsidRPr="00665AC3" w:rsidRDefault="00665AC3" w:rsidP="008A3D91">
      <w:pPr>
        <w:spacing w:line="360" w:lineRule="auto"/>
        <w:jc w:val="both"/>
        <w:rPr>
          <w:rFonts w:ascii="Arial" w:hAnsi="Arial" w:cs="Arial"/>
          <w:b/>
          <w:bCs/>
          <w:sz w:val="22"/>
          <w:szCs w:val="22"/>
        </w:rPr>
      </w:pPr>
    </w:p>
    <w:p w14:paraId="41A7323F" w14:textId="22534CA4" w:rsidR="00901B9A" w:rsidRPr="00901B9A" w:rsidRDefault="00CD4BA6" w:rsidP="008A3D91">
      <w:pPr>
        <w:spacing w:line="360" w:lineRule="auto"/>
        <w:jc w:val="both"/>
        <w:rPr>
          <w:rFonts w:ascii="Arial" w:hAnsi="Arial" w:cs="Arial"/>
          <w:color w:val="000000" w:themeColor="text1"/>
          <w:sz w:val="22"/>
          <w:szCs w:val="22"/>
        </w:rPr>
      </w:pPr>
      <w:r w:rsidRPr="001C7347">
        <w:rPr>
          <w:rFonts w:ascii="Arial" w:hAnsi="Arial" w:cs="Arial"/>
          <w:sz w:val="22"/>
          <w:szCs w:val="22"/>
        </w:rPr>
        <w:t xml:space="preserve">The </w:t>
      </w:r>
      <w:r w:rsidR="00736986" w:rsidRPr="001C7347">
        <w:rPr>
          <w:rFonts w:ascii="Arial" w:hAnsi="Arial" w:cs="Arial"/>
          <w:sz w:val="22"/>
          <w:szCs w:val="22"/>
        </w:rPr>
        <w:t xml:space="preserve">overarching aim of this dissertation is to explore the prevalence, risk factors, and management strategies of type 2 diabetes mellitus (T2DM) among adults in the United Kingdom, with a critical evaluation of current health and social care responses.  T2DM continues to represent a major public health challenge, accounting for the majority of diabetes cases and contributing significantly to </w:t>
      </w:r>
      <w:r w:rsidR="00736986" w:rsidRPr="001C7347">
        <w:rPr>
          <w:rFonts w:ascii="Arial" w:hAnsi="Arial" w:cs="Arial"/>
          <w:color w:val="000000" w:themeColor="text1"/>
          <w:sz w:val="22"/>
          <w:szCs w:val="22"/>
        </w:rPr>
        <w:t>morbidity, mortality, and healthcare expenditure within the NHS England</w:t>
      </w:r>
      <w:r w:rsidR="00D57939" w:rsidRPr="001C7347">
        <w:rPr>
          <w:rFonts w:ascii="Arial" w:hAnsi="Arial" w:cs="Arial"/>
          <w:color w:val="000000" w:themeColor="text1"/>
          <w:sz w:val="22"/>
          <w:szCs w:val="22"/>
        </w:rPr>
        <w:t xml:space="preserve"> (England, 2025).</w:t>
      </w:r>
      <w:r w:rsidR="00EE3689" w:rsidRPr="001C7347">
        <w:rPr>
          <w:rFonts w:ascii="Arial" w:hAnsi="Arial" w:cs="Arial"/>
          <w:color w:val="000000" w:themeColor="text1"/>
          <w:sz w:val="22"/>
          <w:szCs w:val="22"/>
        </w:rPr>
        <w:t xml:space="preserve"> </w:t>
      </w:r>
    </w:p>
    <w:p w14:paraId="6D95C153" w14:textId="2526815E" w:rsidR="00736986" w:rsidRPr="001C7347" w:rsidRDefault="00736986" w:rsidP="008A3D91">
      <w:pPr>
        <w:pStyle w:val="ListParagraph"/>
        <w:spacing w:line="360" w:lineRule="auto"/>
        <w:ind w:left="360"/>
        <w:jc w:val="both"/>
        <w:rPr>
          <w:rFonts w:ascii="Arial" w:hAnsi="Arial" w:cs="Arial"/>
          <w:color w:val="000000" w:themeColor="text1"/>
          <w:sz w:val="22"/>
          <w:szCs w:val="22"/>
        </w:rPr>
      </w:pPr>
    </w:p>
    <w:p w14:paraId="513DC27F" w14:textId="1352ADDF" w:rsidR="00736986" w:rsidRPr="001C7347" w:rsidRDefault="00736986" w:rsidP="008A3D91">
      <w:pPr>
        <w:spacing w:line="360" w:lineRule="auto"/>
        <w:jc w:val="both"/>
        <w:rPr>
          <w:rFonts w:ascii="Arial" w:hAnsi="Arial" w:cs="Arial"/>
          <w:sz w:val="22"/>
          <w:szCs w:val="22"/>
        </w:rPr>
      </w:pPr>
      <w:r w:rsidRPr="001C7347">
        <w:rPr>
          <w:rFonts w:ascii="Arial" w:hAnsi="Arial" w:cs="Arial"/>
          <w:sz w:val="22"/>
          <w:szCs w:val="22"/>
        </w:rPr>
        <w:t>This research seeks to examine the distribution and scale of T2DM within UK adult populations, while identifying key modifiable and non-modifiable risk factors that influence disease development and progression.  In addition, the dissertation aims to critically assess existing management strategies, including lifestyle interventions, pharmacological treatments, and structured education programmes, to determine their effectiveness in supporting long-term glycaemic control and reducing complications.</w:t>
      </w:r>
    </w:p>
    <w:p w14:paraId="65E4F516" w14:textId="1B9B4C39" w:rsidR="00736986" w:rsidRDefault="00736986" w:rsidP="008A3D91">
      <w:pPr>
        <w:pStyle w:val="ListParagraph"/>
        <w:spacing w:line="360" w:lineRule="auto"/>
        <w:ind w:left="360"/>
        <w:jc w:val="both"/>
      </w:pPr>
    </w:p>
    <w:p w14:paraId="2FC7EA85" w14:textId="55A87DFE" w:rsidR="00736986" w:rsidRPr="001C7347" w:rsidRDefault="00736986" w:rsidP="008A3D91">
      <w:pPr>
        <w:spacing w:line="360" w:lineRule="auto"/>
        <w:jc w:val="both"/>
        <w:rPr>
          <w:rFonts w:ascii="Arial" w:hAnsi="Arial" w:cs="Arial"/>
          <w:sz w:val="22"/>
          <w:szCs w:val="22"/>
        </w:rPr>
      </w:pPr>
      <w:r w:rsidRPr="001C7347">
        <w:rPr>
          <w:rFonts w:ascii="Arial" w:hAnsi="Arial" w:cs="Arial"/>
          <w:sz w:val="22"/>
          <w:szCs w:val="22"/>
        </w:rPr>
        <w:t>A further objective is to evaluate how social determinants of health, such as socioeconomic status, ethnicity, and access to healthcare services, shape both prevalence and management outcomes.  By synthesising current evidence, this research aims to identify gaps in existing approaches and highlight opportunities for improvement in prevention and care delivery.  Ultimately, the findings seek to contribute</w:t>
      </w:r>
      <w:r w:rsidR="006615CC" w:rsidRPr="001C7347">
        <w:rPr>
          <w:rFonts w:ascii="Arial" w:hAnsi="Arial" w:cs="Arial"/>
          <w:sz w:val="22"/>
          <w:szCs w:val="22"/>
        </w:rPr>
        <w:t xml:space="preserve"> to evidence-based practice and inform more </w:t>
      </w:r>
      <w:r w:rsidR="00411DF3">
        <w:rPr>
          <w:rFonts w:ascii="Arial" w:hAnsi="Arial" w:cs="Arial"/>
          <w:sz w:val="22"/>
          <w:szCs w:val="22"/>
        </w:rPr>
        <w:t>equitable, person-centred strategies to enhance long-term health outcomes for adults living with type 2 diabetes in the UK.</w:t>
      </w:r>
    </w:p>
    <w:p w14:paraId="74BF05BF" w14:textId="755B58FB" w:rsidR="001B055C" w:rsidRDefault="001B055C" w:rsidP="00BE5F92">
      <w:pPr>
        <w:pStyle w:val="ListParagraph"/>
        <w:ind w:left="360"/>
      </w:pPr>
    </w:p>
    <w:p w14:paraId="0EC37618" w14:textId="0E4CC5DD" w:rsidR="001B055C" w:rsidRPr="001C7347" w:rsidRDefault="001B055C" w:rsidP="001B055C">
      <w:pPr>
        <w:spacing w:line="360" w:lineRule="auto"/>
        <w:ind w:left="360"/>
        <w:rPr>
          <w:rFonts w:ascii="Arial" w:hAnsi="Arial" w:cs="Arial"/>
          <w:sz w:val="22"/>
          <w:szCs w:val="22"/>
        </w:rPr>
      </w:pPr>
      <w:r w:rsidRPr="001C7347">
        <w:rPr>
          <w:rFonts w:ascii="Arial" w:hAnsi="Arial" w:cs="Arial"/>
          <w:sz w:val="22"/>
          <w:szCs w:val="22"/>
        </w:rPr>
        <w:t>Objectives</w:t>
      </w:r>
    </w:p>
    <w:p w14:paraId="7B963CA0" w14:textId="1D63FEFD" w:rsidR="001B055C" w:rsidRPr="003928D3" w:rsidRDefault="00411DF3" w:rsidP="001B055C">
      <w:pPr>
        <w:pStyle w:val="ListParagraph"/>
        <w:numPr>
          <w:ilvl w:val="0"/>
          <w:numId w:val="3"/>
        </w:numPr>
        <w:spacing w:line="360" w:lineRule="auto"/>
        <w:jc w:val="both"/>
        <w:rPr>
          <w:rFonts w:ascii="Arial" w:hAnsi="Arial" w:cs="Arial"/>
          <w:sz w:val="22"/>
          <w:szCs w:val="22"/>
        </w:rPr>
      </w:pPr>
      <w:r>
        <w:rPr>
          <w:rFonts w:ascii="Arial" w:hAnsi="Arial" w:cs="Arial"/>
          <w:sz w:val="22"/>
          <w:szCs w:val="22"/>
        </w:rPr>
        <w:t>Analyse the prevalence, causes, and risk factors associated with type 2 diabetes in UK adults.</w:t>
      </w:r>
    </w:p>
    <w:p w14:paraId="4DA0B205" w14:textId="77777777" w:rsidR="001B055C" w:rsidRPr="00A469F8" w:rsidRDefault="001B055C" w:rsidP="001B055C">
      <w:pPr>
        <w:spacing w:line="360" w:lineRule="auto"/>
        <w:ind w:left="360"/>
        <w:jc w:val="both"/>
        <w:rPr>
          <w:rFonts w:ascii="Arial" w:hAnsi="Arial" w:cs="Arial"/>
          <w:sz w:val="22"/>
          <w:szCs w:val="22"/>
        </w:rPr>
      </w:pPr>
    </w:p>
    <w:p w14:paraId="28DA593D" w14:textId="27D58F54" w:rsidR="001B055C" w:rsidRPr="003928D3" w:rsidRDefault="00411DF3" w:rsidP="001B055C">
      <w:pPr>
        <w:pStyle w:val="ListParagraph"/>
        <w:numPr>
          <w:ilvl w:val="0"/>
          <w:numId w:val="3"/>
        </w:numPr>
        <w:spacing w:line="360" w:lineRule="auto"/>
        <w:jc w:val="both"/>
        <w:rPr>
          <w:rFonts w:ascii="Arial" w:hAnsi="Arial" w:cs="Arial"/>
          <w:sz w:val="22"/>
          <w:szCs w:val="22"/>
        </w:rPr>
      </w:pPr>
      <w:r>
        <w:rPr>
          <w:rFonts w:ascii="Arial" w:hAnsi="Arial" w:cs="Arial"/>
          <w:sz w:val="22"/>
          <w:szCs w:val="22"/>
        </w:rPr>
        <w:t>Evaluate current policies, interventions, and healthcare practices aimed at prevention and management.</w:t>
      </w:r>
    </w:p>
    <w:p w14:paraId="5B9E3075" w14:textId="77777777" w:rsidR="001B055C" w:rsidRPr="00A469F8" w:rsidRDefault="001B055C" w:rsidP="001B055C">
      <w:pPr>
        <w:spacing w:line="360" w:lineRule="auto"/>
        <w:ind w:left="360"/>
        <w:jc w:val="both"/>
        <w:rPr>
          <w:rFonts w:ascii="Arial" w:hAnsi="Arial" w:cs="Arial"/>
          <w:sz w:val="22"/>
          <w:szCs w:val="22"/>
        </w:rPr>
      </w:pPr>
    </w:p>
    <w:p w14:paraId="5EB5D44A" w14:textId="0B469F95" w:rsidR="001B055C" w:rsidRPr="003928D3" w:rsidRDefault="00411DF3" w:rsidP="001B055C">
      <w:pPr>
        <w:pStyle w:val="ListParagraph"/>
        <w:numPr>
          <w:ilvl w:val="0"/>
          <w:numId w:val="3"/>
        </w:numPr>
        <w:spacing w:line="360" w:lineRule="auto"/>
        <w:jc w:val="both"/>
        <w:rPr>
          <w:rFonts w:ascii="Arial" w:hAnsi="Arial" w:cs="Arial"/>
          <w:sz w:val="22"/>
          <w:szCs w:val="22"/>
        </w:rPr>
      </w:pPr>
      <w:r>
        <w:rPr>
          <w:rFonts w:ascii="Arial" w:hAnsi="Arial" w:cs="Arial"/>
          <w:sz w:val="22"/>
          <w:szCs w:val="22"/>
        </w:rPr>
        <w:lastRenderedPageBreak/>
        <w:t>Assess the effectiveness of health promotion and community-based strategies targeting lifestyle factors.</w:t>
      </w:r>
    </w:p>
    <w:p w14:paraId="009E0848" w14:textId="77777777" w:rsidR="001B055C" w:rsidRPr="00A469F8" w:rsidRDefault="001B055C" w:rsidP="001B055C">
      <w:pPr>
        <w:spacing w:line="360" w:lineRule="auto"/>
        <w:ind w:left="360"/>
        <w:jc w:val="both"/>
        <w:rPr>
          <w:rFonts w:ascii="Arial" w:hAnsi="Arial" w:cs="Arial"/>
          <w:sz w:val="22"/>
          <w:szCs w:val="22"/>
        </w:rPr>
      </w:pPr>
    </w:p>
    <w:p w14:paraId="49B06D20" w14:textId="53A752DE" w:rsidR="001B055C" w:rsidRPr="003928D3" w:rsidRDefault="00411DF3" w:rsidP="001B055C">
      <w:pPr>
        <w:pStyle w:val="ListParagraph"/>
        <w:numPr>
          <w:ilvl w:val="0"/>
          <w:numId w:val="3"/>
        </w:numPr>
        <w:spacing w:line="360" w:lineRule="auto"/>
        <w:jc w:val="both"/>
        <w:rPr>
          <w:rFonts w:ascii="Arial" w:hAnsi="Arial" w:cs="Arial"/>
          <w:sz w:val="22"/>
          <w:szCs w:val="22"/>
        </w:rPr>
      </w:pPr>
      <w:r>
        <w:rPr>
          <w:rFonts w:ascii="Arial" w:hAnsi="Arial" w:cs="Arial"/>
          <w:sz w:val="22"/>
          <w:szCs w:val="22"/>
        </w:rPr>
        <w:t>Recommend evidence-based improvements to healthcare delivery, education, and policy to reduce disease burden.</w:t>
      </w:r>
    </w:p>
    <w:p w14:paraId="4C718533" w14:textId="77777777" w:rsidR="001B055C" w:rsidRPr="00E52633" w:rsidRDefault="001B055C" w:rsidP="00BE5F92">
      <w:pPr>
        <w:pStyle w:val="ListParagraph"/>
        <w:ind w:left="360"/>
        <w:rPr>
          <w:sz w:val="28"/>
          <w:szCs w:val="28"/>
        </w:rPr>
      </w:pPr>
    </w:p>
    <w:p w14:paraId="1A08B4A7" w14:textId="6C1D2E2F" w:rsidR="001B055C" w:rsidRPr="00E52633" w:rsidRDefault="001B055C" w:rsidP="001B055C">
      <w:pPr>
        <w:spacing w:line="360" w:lineRule="auto"/>
        <w:rPr>
          <w:rFonts w:ascii="Arial" w:hAnsi="Arial" w:cs="Arial"/>
          <w:b/>
          <w:bCs/>
          <w:sz w:val="28"/>
          <w:szCs w:val="28"/>
        </w:rPr>
      </w:pPr>
      <w:r w:rsidRPr="00E52633">
        <w:rPr>
          <w:rFonts w:ascii="Arial" w:hAnsi="Arial" w:cs="Arial"/>
          <w:b/>
          <w:bCs/>
          <w:sz w:val="28"/>
          <w:szCs w:val="28"/>
        </w:rPr>
        <w:t>1.5 Conclusion</w:t>
      </w:r>
    </w:p>
    <w:p w14:paraId="3681A69A" w14:textId="2CF87F96" w:rsidR="00FF3D32" w:rsidRPr="001C7347" w:rsidRDefault="00FF3D32" w:rsidP="008A3D91">
      <w:pPr>
        <w:spacing w:line="360" w:lineRule="auto"/>
        <w:jc w:val="both"/>
        <w:rPr>
          <w:rFonts w:ascii="Arial" w:hAnsi="Arial" w:cs="Arial"/>
          <w:sz w:val="22"/>
          <w:szCs w:val="22"/>
        </w:rPr>
      </w:pPr>
      <w:r w:rsidRPr="001C7347">
        <w:rPr>
          <w:rFonts w:ascii="Arial" w:hAnsi="Arial" w:cs="Arial"/>
          <w:sz w:val="22"/>
          <w:szCs w:val="22"/>
        </w:rPr>
        <w:t>This introductory chapter has established type 2 diabetes mellitus as a critical and escalating public health issue affecting UK adults.  It has outlined the rising prevalence of T2DM, identified key modifiable risk factors, and highlighted persistent health inequalities influencing disease outcomes.  Definitions and terminology were clarified to ensure conceptual consistency, while the rationale for the research emphasised gaps in prevention and management approaches within current health and social care systems.  Collectively, this chapter reinforces the importance of the research aim and objectives in advancing understanding, informing evidence-based practice, and supporting more equitable, effective strategies for the prevention and management of T2DM in the UK.</w:t>
      </w:r>
    </w:p>
    <w:p w14:paraId="5E1EF492" w14:textId="70320D9F" w:rsidR="00FF3D32" w:rsidRDefault="00FF3D32" w:rsidP="008A3D91">
      <w:pPr>
        <w:spacing w:line="360" w:lineRule="auto"/>
        <w:jc w:val="both"/>
      </w:pPr>
    </w:p>
    <w:p w14:paraId="4B4174B0" w14:textId="14D0CE35" w:rsidR="00FF3D32" w:rsidRPr="001C7347" w:rsidRDefault="00FF3D32" w:rsidP="008A3D91">
      <w:pPr>
        <w:spacing w:line="360" w:lineRule="auto"/>
        <w:jc w:val="both"/>
        <w:rPr>
          <w:rFonts w:ascii="Arial" w:hAnsi="Arial" w:cs="Arial"/>
          <w:sz w:val="22"/>
          <w:szCs w:val="22"/>
        </w:rPr>
      </w:pPr>
      <w:r w:rsidRPr="001C7347">
        <w:rPr>
          <w:rFonts w:ascii="Arial" w:hAnsi="Arial" w:cs="Arial"/>
          <w:sz w:val="22"/>
          <w:szCs w:val="22"/>
        </w:rPr>
        <w:t>The following chapter builds upon this foundation by examining the epidemiological background of type 2 diabetes in UK adults.  It critically analyses prevalence data, explores biological, lifestyle, and social risk factors, and evaluates current management strategies to contextualise the scale, complexity, and challenges of T2DM within contemporary health and social care practice.</w:t>
      </w:r>
    </w:p>
    <w:p w14:paraId="29837DBA" w14:textId="347B246F" w:rsidR="00D016A3" w:rsidRPr="00665AC3" w:rsidRDefault="00D016A3" w:rsidP="008A3D91">
      <w:pPr>
        <w:spacing w:line="360" w:lineRule="auto"/>
        <w:jc w:val="both"/>
        <w:rPr>
          <w:rFonts w:ascii="Arial" w:hAnsi="Arial" w:cs="Arial"/>
          <w:sz w:val="22"/>
          <w:szCs w:val="22"/>
        </w:rPr>
      </w:pPr>
    </w:p>
    <w:p w14:paraId="73318452" w14:textId="5F6CD16B" w:rsidR="00D016A3" w:rsidRPr="00E52633" w:rsidRDefault="00D016A3" w:rsidP="008A3D91">
      <w:pPr>
        <w:spacing w:line="360" w:lineRule="auto"/>
        <w:jc w:val="both"/>
        <w:rPr>
          <w:rFonts w:ascii="Arial" w:hAnsi="Arial" w:cs="Arial"/>
          <w:b/>
          <w:bCs/>
          <w:sz w:val="32"/>
          <w:szCs w:val="32"/>
        </w:rPr>
      </w:pPr>
      <w:r w:rsidRPr="00E52633">
        <w:rPr>
          <w:rFonts w:ascii="Arial" w:hAnsi="Arial" w:cs="Arial"/>
          <w:b/>
          <w:bCs/>
          <w:sz w:val="32"/>
          <w:szCs w:val="32"/>
        </w:rPr>
        <w:t>Chapter 2</w:t>
      </w:r>
    </w:p>
    <w:p w14:paraId="6CAAD2DB" w14:textId="77777777" w:rsidR="00A662B2" w:rsidRPr="00665AC3" w:rsidRDefault="00A662B2" w:rsidP="008A3D91">
      <w:pPr>
        <w:spacing w:line="360" w:lineRule="auto"/>
        <w:jc w:val="both"/>
        <w:rPr>
          <w:rFonts w:ascii="Arial" w:hAnsi="Arial" w:cs="Arial"/>
          <w:b/>
          <w:bCs/>
          <w:sz w:val="22"/>
          <w:szCs w:val="22"/>
        </w:rPr>
      </w:pPr>
    </w:p>
    <w:p w14:paraId="62C9774A" w14:textId="7C226674" w:rsidR="00D016A3" w:rsidRPr="00E52633" w:rsidRDefault="00D016A3" w:rsidP="008A3D91">
      <w:pPr>
        <w:spacing w:line="360" w:lineRule="auto"/>
        <w:jc w:val="both"/>
        <w:rPr>
          <w:rFonts w:ascii="Arial" w:hAnsi="Arial" w:cs="Arial"/>
          <w:b/>
          <w:bCs/>
          <w:sz w:val="28"/>
          <w:szCs w:val="28"/>
        </w:rPr>
      </w:pPr>
      <w:r w:rsidRPr="00E52633">
        <w:rPr>
          <w:rFonts w:ascii="Arial" w:hAnsi="Arial" w:cs="Arial"/>
          <w:b/>
          <w:bCs/>
          <w:sz w:val="28"/>
          <w:szCs w:val="28"/>
        </w:rPr>
        <w:t>BACKGROUND INFORMATION AND ANALYSIS</w:t>
      </w:r>
    </w:p>
    <w:p w14:paraId="4EC17417" w14:textId="6E8F6B3F" w:rsidR="00D016A3" w:rsidRPr="00665AC3" w:rsidRDefault="00D016A3" w:rsidP="008A3D91">
      <w:pPr>
        <w:spacing w:line="360" w:lineRule="auto"/>
        <w:jc w:val="both"/>
        <w:rPr>
          <w:rFonts w:ascii="Arial" w:hAnsi="Arial" w:cs="Arial"/>
          <w:b/>
          <w:bCs/>
          <w:sz w:val="22"/>
          <w:szCs w:val="22"/>
        </w:rPr>
      </w:pPr>
    </w:p>
    <w:p w14:paraId="0F124860" w14:textId="5844D40C" w:rsidR="00D016A3" w:rsidRPr="00E52633" w:rsidRDefault="00D016A3" w:rsidP="008A3D91">
      <w:pPr>
        <w:spacing w:line="360" w:lineRule="auto"/>
        <w:jc w:val="both"/>
        <w:rPr>
          <w:rFonts w:ascii="Arial" w:hAnsi="Arial" w:cs="Arial"/>
          <w:b/>
          <w:bCs/>
          <w:sz w:val="28"/>
          <w:szCs w:val="28"/>
        </w:rPr>
      </w:pPr>
      <w:r w:rsidRPr="00E52633">
        <w:rPr>
          <w:rFonts w:ascii="Arial" w:hAnsi="Arial" w:cs="Arial"/>
          <w:b/>
          <w:bCs/>
          <w:sz w:val="28"/>
          <w:szCs w:val="28"/>
        </w:rPr>
        <w:t>2.1 INTRODUCTION</w:t>
      </w:r>
    </w:p>
    <w:p w14:paraId="6387BE0D" w14:textId="0F9D6123" w:rsidR="007A606C" w:rsidRPr="001C7347" w:rsidRDefault="007A606C" w:rsidP="008A3D91">
      <w:pPr>
        <w:spacing w:line="360" w:lineRule="auto"/>
        <w:jc w:val="both"/>
        <w:rPr>
          <w:rFonts w:ascii="Arial" w:hAnsi="Arial" w:cs="Arial"/>
          <w:sz w:val="22"/>
          <w:szCs w:val="22"/>
        </w:rPr>
      </w:pPr>
      <w:r w:rsidRPr="001C7347">
        <w:rPr>
          <w:rFonts w:ascii="Arial" w:hAnsi="Arial" w:cs="Arial"/>
          <w:sz w:val="22"/>
          <w:szCs w:val="22"/>
        </w:rPr>
        <w:t xml:space="preserve">The purpose of the background chapter is to establish a comprehensive foundation for investigating the prevalence, risk factors, and management strategies of type 2 diabetes mellitus (T2DM) in UK adults.  This chapter situates the research topic within its broader historical, theoretical, and contextual framework, enabling a clear understanding of how T2DM has evolved into a major public health concern.  By outlining the historical development of the condition, the chapter demonstrates how shifts in lifestyle, population demographics, and healthcare systems have shaped contemporary disease pattern.  Theoretical perspectives </w:t>
      </w:r>
      <w:r w:rsidRPr="001C7347">
        <w:rPr>
          <w:rFonts w:ascii="Arial" w:hAnsi="Arial" w:cs="Arial"/>
          <w:sz w:val="22"/>
          <w:szCs w:val="22"/>
        </w:rPr>
        <w:lastRenderedPageBreak/>
        <w:t>relevant to chronic disease development and management are introduced to underpin the analytical lens of the study.  Additionally, the chapter explores international and national contexts to highlight how T2DM is addressed globally and within the UK, acknowledging policy, socioeconomic, and health system influences.  Collectively, this chapter provides essential contextual grounding, justifying the research focus and informing subsequent methodological decisions without introducing analytical theme</w:t>
      </w:r>
      <w:r w:rsidR="00E3555E" w:rsidRPr="001C7347">
        <w:rPr>
          <w:rFonts w:ascii="Arial" w:hAnsi="Arial" w:cs="Arial"/>
          <w:sz w:val="22"/>
          <w:szCs w:val="22"/>
        </w:rPr>
        <w:t>s.</w:t>
      </w:r>
    </w:p>
    <w:p w14:paraId="23A42527" w14:textId="6B320DCD" w:rsidR="00E3555E" w:rsidRDefault="00E3555E" w:rsidP="008A3D91">
      <w:pPr>
        <w:spacing w:line="360" w:lineRule="auto"/>
        <w:jc w:val="both"/>
      </w:pPr>
    </w:p>
    <w:p w14:paraId="7A4859FF" w14:textId="2CDFEA56" w:rsidR="00E3555E" w:rsidRPr="00E52633" w:rsidRDefault="00E3555E" w:rsidP="008A3D91">
      <w:pPr>
        <w:spacing w:line="360" w:lineRule="auto"/>
        <w:jc w:val="both"/>
        <w:rPr>
          <w:rFonts w:ascii="Arial" w:hAnsi="Arial" w:cs="Arial"/>
          <w:b/>
          <w:bCs/>
          <w:sz w:val="28"/>
          <w:szCs w:val="28"/>
        </w:rPr>
      </w:pPr>
      <w:r w:rsidRPr="00E52633">
        <w:rPr>
          <w:rFonts w:ascii="Arial" w:hAnsi="Arial" w:cs="Arial"/>
          <w:b/>
          <w:bCs/>
          <w:sz w:val="28"/>
          <w:szCs w:val="28"/>
        </w:rPr>
        <w:t>2.2 Historical Background</w:t>
      </w:r>
    </w:p>
    <w:p w14:paraId="252DBF3C" w14:textId="43100E18" w:rsidR="00E3555E" w:rsidRPr="001C7347" w:rsidRDefault="00E3555E" w:rsidP="008A3D91">
      <w:pPr>
        <w:spacing w:line="360" w:lineRule="auto"/>
        <w:jc w:val="both"/>
        <w:rPr>
          <w:rFonts w:ascii="Arial" w:hAnsi="Arial" w:cs="Arial"/>
          <w:sz w:val="22"/>
          <w:szCs w:val="22"/>
        </w:rPr>
      </w:pPr>
      <w:r w:rsidRPr="001C7347">
        <w:rPr>
          <w:rFonts w:ascii="Arial" w:hAnsi="Arial" w:cs="Arial"/>
          <w:sz w:val="22"/>
          <w:szCs w:val="22"/>
        </w:rPr>
        <w:t>Type 2 diabetes mellitus has undergone a significant transformation in both understanding and prevalence over time</w:t>
      </w:r>
      <w:r w:rsidR="00055EF2" w:rsidRPr="001C7347">
        <w:rPr>
          <w:rFonts w:ascii="Arial" w:hAnsi="Arial" w:cs="Arial"/>
          <w:sz w:val="22"/>
          <w:szCs w:val="22"/>
        </w:rPr>
        <w:t xml:space="preserve"> </w:t>
      </w:r>
      <w:r w:rsidR="00055EF2" w:rsidRPr="001C7347">
        <w:rPr>
          <w:rFonts w:ascii="Arial" w:hAnsi="Arial" w:cs="Arial"/>
          <w:color w:val="000000"/>
          <w:sz w:val="22"/>
          <w:szCs w:val="22"/>
        </w:rPr>
        <w:t>(Hossain, Al</w:t>
      </w:r>
      <w:r w:rsidR="00055EF2" w:rsidRPr="001C7347">
        <w:rPr>
          <w:rFonts w:ascii="Cambria Math" w:hAnsi="Cambria Math" w:cs="Cambria Math"/>
          <w:color w:val="000000"/>
          <w:sz w:val="22"/>
          <w:szCs w:val="22"/>
        </w:rPr>
        <w:t>‐</w:t>
      </w:r>
      <w:r w:rsidR="00055EF2" w:rsidRPr="001C7347">
        <w:rPr>
          <w:rFonts w:ascii="Arial" w:hAnsi="Arial" w:cs="Arial"/>
          <w:color w:val="000000"/>
          <w:sz w:val="22"/>
          <w:szCs w:val="22"/>
        </w:rPr>
        <w:t>Mamun and Islam, 2024)</w:t>
      </w:r>
      <w:r w:rsidRPr="001C7347">
        <w:rPr>
          <w:rFonts w:ascii="Arial" w:hAnsi="Arial" w:cs="Arial"/>
          <w:sz w:val="22"/>
          <w:szCs w:val="22"/>
        </w:rPr>
        <w:t xml:space="preserve">.  Early descriptions of diabetes date back to ancient Egyptian and Indian </w:t>
      </w:r>
      <w:r w:rsidR="00D269D0" w:rsidRPr="001C7347">
        <w:rPr>
          <w:rFonts w:ascii="Arial" w:hAnsi="Arial" w:cs="Arial"/>
          <w:sz w:val="22"/>
          <w:szCs w:val="22"/>
        </w:rPr>
        <w:t>medical texts, where the condition was recognised through symptoms such as excessive urination and sweet-tasting urine.  However, for centuries, diabetes was perceived as a rare and fatal disease with limited therapeutic options.  It was not until the late nineteenth and early twentieth centuries that distinctions between type 1 and type2 diabetes began to emerge, driven by advances in physiology and endocrinology</w:t>
      </w:r>
      <w:r w:rsidR="00BC3301" w:rsidRPr="001C7347">
        <w:rPr>
          <w:rFonts w:ascii="Arial" w:hAnsi="Arial" w:cs="Arial"/>
          <w:sz w:val="22"/>
          <w:szCs w:val="22"/>
        </w:rPr>
        <w:t xml:space="preserve"> </w:t>
      </w:r>
      <w:r w:rsidR="00BC3301" w:rsidRPr="001C7347">
        <w:rPr>
          <w:rFonts w:ascii="Arial" w:hAnsi="Arial" w:cs="Arial"/>
          <w:color w:val="000000"/>
          <w:sz w:val="22"/>
          <w:szCs w:val="22"/>
        </w:rPr>
        <w:t>(Karamanou, 2016)</w:t>
      </w:r>
      <w:r w:rsidR="00BC3301" w:rsidRPr="001C7347">
        <w:rPr>
          <w:rFonts w:ascii="Arial" w:hAnsi="Arial" w:cs="Arial"/>
          <w:sz w:val="22"/>
          <w:szCs w:val="22"/>
        </w:rPr>
        <w:t>.</w:t>
      </w:r>
    </w:p>
    <w:p w14:paraId="50B2DF22" w14:textId="7927006D" w:rsidR="00FC3E38" w:rsidRDefault="00FC3E38" w:rsidP="008A3D91">
      <w:pPr>
        <w:spacing w:line="360" w:lineRule="auto"/>
        <w:jc w:val="both"/>
      </w:pPr>
    </w:p>
    <w:p w14:paraId="68485712" w14:textId="2751FE2D" w:rsidR="00FC3E38" w:rsidRPr="001C7347" w:rsidRDefault="00FC3E38" w:rsidP="008A3D91">
      <w:pPr>
        <w:spacing w:line="360" w:lineRule="auto"/>
        <w:jc w:val="both"/>
        <w:rPr>
          <w:rFonts w:ascii="Arial" w:hAnsi="Arial" w:cs="Arial"/>
          <w:sz w:val="22"/>
          <w:szCs w:val="22"/>
        </w:rPr>
      </w:pPr>
      <w:r w:rsidRPr="001C7347">
        <w:rPr>
          <w:rFonts w:ascii="Arial" w:hAnsi="Arial" w:cs="Arial"/>
          <w:sz w:val="22"/>
          <w:szCs w:val="22"/>
        </w:rPr>
        <w:t xml:space="preserve">A pivotal milestone occurred in 1921 with the discovery of insulin by Frederick Banting and Charles Best, revolutionising diabetes management and dramatically improving </w:t>
      </w:r>
      <w:r w:rsidR="00F576EF" w:rsidRPr="001C7347">
        <w:rPr>
          <w:rFonts w:ascii="Arial" w:hAnsi="Arial" w:cs="Arial"/>
          <w:sz w:val="22"/>
          <w:szCs w:val="22"/>
        </w:rPr>
        <w:t>survival rates</w:t>
      </w:r>
      <w:r w:rsidR="000C7F47" w:rsidRPr="001C7347">
        <w:rPr>
          <w:rFonts w:ascii="Arial" w:hAnsi="Arial" w:cs="Arial"/>
          <w:sz w:val="22"/>
          <w:szCs w:val="22"/>
        </w:rPr>
        <w:t xml:space="preserve"> </w:t>
      </w:r>
      <w:r w:rsidR="000C7F47" w:rsidRPr="001C7347">
        <w:rPr>
          <w:rFonts w:ascii="Arial" w:hAnsi="Arial" w:cs="Arial"/>
          <w:color w:val="000000"/>
          <w:sz w:val="22"/>
          <w:szCs w:val="22"/>
        </w:rPr>
        <w:t>(Vecchio et al., 2018)</w:t>
      </w:r>
      <w:r w:rsidR="000C7F47" w:rsidRPr="001C7347">
        <w:rPr>
          <w:rFonts w:ascii="Arial" w:hAnsi="Arial" w:cs="Arial"/>
          <w:sz w:val="22"/>
          <w:szCs w:val="22"/>
        </w:rPr>
        <w:t>.  While insulin was initially used for all forms of diabetes, subsequent research revealed that many adults with diabetes exhibited insulin resistance rather than absolute insulin resistance rather than absolute insulin deficiency, leading to the classification of type 2 diabetes.  Throughout the mid-twentieth century, T2DM increasingly became associated with ageing, obesity, and sedentary lifestyles, particularly in industrialised nations</w:t>
      </w:r>
      <w:r w:rsidR="005C540E" w:rsidRPr="001C7347">
        <w:rPr>
          <w:rFonts w:ascii="Arial" w:hAnsi="Arial" w:cs="Arial"/>
          <w:sz w:val="22"/>
          <w:szCs w:val="22"/>
        </w:rPr>
        <w:t xml:space="preserve"> </w:t>
      </w:r>
      <w:r w:rsidR="005C540E" w:rsidRPr="001C7347">
        <w:rPr>
          <w:rFonts w:ascii="Arial" w:hAnsi="Arial" w:cs="Arial"/>
          <w:color w:val="000000"/>
          <w:sz w:val="22"/>
          <w:szCs w:val="22"/>
        </w:rPr>
        <w:t>(American Diabetes Association, 2010)</w:t>
      </w:r>
      <w:r w:rsidR="005C540E" w:rsidRPr="001C7347">
        <w:rPr>
          <w:rFonts w:ascii="Arial" w:hAnsi="Arial" w:cs="Arial"/>
          <w:sz w:val="22"/>
          <w:szCs w:val="22"/>
        </w:rPr>
        <w:t>.</w:t>
      </w:r>
    </w:p>
    <w:p w14:paraId="3BBAA77B" w14:textId="02B7E644" w:rsidR="00D1372C" w:rsidRPr="001C7347" w:rsidRDefault="00D1372C" w:rsidP="008A3D91">
      <w:pPr>
        <w:spacing w:line="360" w:lineRule="auto"/>
        <w:jc w:val="both"/>
        <w:rPr>
          <w:rFonts w:ascii="Arial" w:hAnsi="Arial" w:cs="Arial"/>
          <w:sz w:val="22"/>
          <w:szCs w:val="22"/>
        </w:rPr>
      </w:pPr>
    </w:p>
    <w:p w14:paraId="6409643E" w14:textId="1F95EE5E" w:rsidR="00D1372C" w:rsidRPr="001C7347" w:rsidRDefault="00412A1F" w:rsidP="008A3D91">
      <w:pPr>
        <w:spacing w:line="360" w:lineRule="auto"/>
        <w:jc w:val="both"/>
        <w:rPr>
          <w:rFonts w:ascii="Arial" w:hAnsi="Arial" w:cs="Arial"/>
          <w:sz w:val="22"/>
          <w:szCs w:val="22"/>
        </w:rPr>
      </w:pPr>
      <w:r w:rsidRPr="001C7347">
        <w:rPr>
          <w:rFonts w:ascii="Arial" w:hAnsi="Arial" w:cs="Arial"/>
          <w:sz w:val="22"/>
          <w:szCs w:val="22"/>
        </w:rPr>
        <w:t>The latter half of the twentieth century marked a critical shift as globalisation, urbanisation, and dietary changes contributed to rising obesity rates and</w:t>
      </w:r>
      <w:r w:rsidR="00ED4286" w:rsidRPr="001C7347">
        <w:rPr>
          <w:rFonts w:ascii="Arial" w:hAnsi="Arial" w:cs="Arial"/>
          <w:sz w:val="22"/>
          <w:szCs w:val="22"/>
        </w:rPr>
        <w:t>, consequently, increased T2DM prevalence</w:t>
      </w:r>
      <w:r w:rsidR="008C0282" w:rsidRPr="001C7347">
        <w:rPr>
          <w:rFonts w:ascii="Arial" w:hAnsi="Arial" w:cs="Arial"/>
          <w:sz w:val="22"/>
          <w:szCs w:val="22"/>
        </w:rPr>
        <w:t xml:space="preserve"> </w:t>
      </w:r>
      <w:r w:rsidR="008C0282" w:rsidRPr="001C7347">
        <w:rPr>
          <w:rFonts w:ascii="Arial" w:hAnsi="Arial" w:cs="Arial"/>
          <w:color w:val="000000"/>
          <w:sz w:val="22"/>
          <w:szCs w:val="22"/>
        </w:rPr>
        <w:t>(Hu, 2011)</w:t>
      </w:r>
      <w:r w:rsidR="00ED4286" w:rsidRPr="001C7347">
        <w:rPr>
          <w:rFonts w:ascii="Arial" w:hAnsi="Arial" w:cs="Arial"/>
          <w:sz w:val="22"/>
          <w:szCs w:val="22"/>
        </w:rPr>
        <w:t>.  Epidemiological studies in 1980s and 1990s highlighted strong associations between socioeconomic deprivation, ethnicity, and disease risk, reframing T2DM as a condition influenced by social determinants of health rather than solely individual behaviour</w:t>
      </w:r>
      <w:r w:rsidR="008C0282" w:rsidRPr="001C7347">
        <w:rPr>
          <w:rFonts w:ascii="Arial" w:hAnsi="Arial" w:cs="Arial"/>
          <w:sz w:val="22"/>
          <w:szCs w:val="22"/>
        </w:rPr>
        <w:t xml:space="preserve"> </w:t>
      </w:r>
      <w:r w:rsidR="008C0282" w:rsidRPr="001C7347">
        <w:rPr>
          <w:rFonts w:ascii="Arial" w:hAnsi="Arial" w:cs="Arial"/>
          <w:color w:val="000000"/>
          <w:sz w:val="22"/>
          <w:szCs w:val="22"/>
        </w:rPr>
        <w:t>(Au-Yeung et al., 2024)</w:t>
      </w:r>
      <w:r w:rsidR="00ED4286" w:rsidRPr="001C7347">
        <w:rPr>
          <w:rFonts w:ascii="Arial" w:hAnsi="Arial" w:cs="Arial"/>
          <w:sz w:val="22"/>
          <w:szCs w:val="22"/>
        </w:rPr>
        <w:t xml:space="preserve">.  </w:t>
      </w:r>
      <w:r w:rsidR="005011E5" w:rsidRPr="001C7347">
        <w:rPr>
          <w:rFonts w:ascii="Arial" w:hAnsi="Arial" w:cs="Arial"/>
          <w:sz w:val="22"/>
          <w:szCs w:val="22"/>
        </w:rPr>
        <w:t>Organisations such as World Health Organisation played a central role in recognising T2DM as a global epidemic, promoting international surveillance and prevention strategies.</w:t>
      </w:r>
    </w:p>
    <w:p w14:paraId="0B54EFAB" w14:textId="547B2206" w:rsidR="005011E5" w:rsidRDefault="005011E5" w:rsidP="008A3D91">
      <w:pPr>
        <w:spacing w:line="360" w:lineRule="auto"/>
        <w:jc w:val="both"/>
      </w:pPr>
    </w:p>
    <w:p w14:paraId="12D53525" w14:textId="5EC6ACAA" w:rsidR="005011E5" w:rsidRPr="001C7347" w:rsidRDefault="005011E5" w:rsidP="008A3D91">
      <w:pPr>
        <w:spacing w:line="360" w:lineRule="auto"/>
        <w:jc w:val="both"/>
        <w:rPr>
          <w:rFonts w:ascii="Arial" w:hAnsi="Arial" w:cs="Arial"/>
          <w:sz w:val="22"/>
          <w:szCs w:val="22"/>
        </w:rPr>
      </w:pPr>
      <w:r w:rsidRPr="001C7347">
        <w:rPr>
          <w:rFonts w:ascii="Arial" w:hAnsi="Arial" w:cs="Arial"/>
          <w:sz w:val="22"/>
          <w:szCs w:val="22"/>
        </w:rPr>
        <w:lastRenderedPageBreak/>
        <w:t xml:space="preserve">In the UK, the increasing burden of T2DM became evident </w:t>
      </w:r>
      <w:r w:rsidRPr="001C7347">
        <w:rPr>
          <w:rFonts w:ascii="Arial" w:hAnsi="Arial" w:cs="Arial"/>
          <w:sz w:val="22"/>
          <w:szCs w:val="22"/>
        </w:rPr>
        <w:tab/>
        <w:t>in the early 2000s, coinciding with rising healthcare costs and long-term complications such as cardiovascular disease and renal failure.  These developments shifted policy priorities towards prevention, early diagnosis, and long-term management</w:t>
      </w:r>
      <w:r w:rsidR="008C0282" w:rsidRPr="001C7347">
        <w:rPr>
          <w:rFonts w:ascii="Arial" w:hAnsi="Arial" w:cs="Arial"/>
          <w:sz w:val="22"/>
          <w:szCs w:val="22"/>
        </w:rPr>
        <w:t xml:space="preserve"> </w:t>
      </w:r>
      <w:r w:rsidR="008C0282" w:rsidRPr="001C7347">
        <w:rPr>
          <w:rFonts w:ascii="Arial" w:hAnsi="Arial" w:cs="Arial"/>
          <w:color w:val="000000"/>
          <w:sz w:val="22"/>
          <w:szCs w:val="22"/>
        </w:rPr>
        <w:t>(Sattar, 2019)</w:t>
      </w:r>
      <w:r w:rsidRPr="001C7347">
        <w:rPr>
          <w:rFonts w:ascii="Arial" w:hAnsi="Arial" w:cs="Arial"/>
          <w:sz w:val="22"/>
          <w:szCs w:val="22"/>
        </w:rPr>
        <w:t>.  As a result, T2DM is now understood as a complex, multifactorial chronic condition shaped by biological, behavioural, and structural factors, setting the stage for contemporary research into its prevalence, risk factors, and management strategies</w:t>
      </w:r>
      <w:r w:rsidR="009302F3" w:rsidRPr="001C7347">
        <w:rPr>
          <w:rFonts w:ascii="Arial" w:hAnsi="Arial" w:cs="Arial"/>
          <w:sz w:val="22"/>
          <w:szCs w:val="22"/>
        </w:rPr>
        <w:t xml:space="preserve"> </w:t>
      </w:r>
      <w:r w:rsidR="009302F3" w:rsidRPr="001C7347">
        <w:rPr>
          <w:rFonts w:ascii="Arial" w:hAnsi="Arial" w:cs="Arial"/>
          <w:color w:val="000000"/>
          <w:sz w:val="22"/>
          <w:szCs w:val="22"/>
        </w:rPr>
        <w:t>(Wu et al., 2014)</w:t>
      </w:r>
      <w:r w:rsidRPr="001C7347">
        <w:rPr>
          <w:rFonts w:ascii="Arial" w:hAnsi="Arial" w:cs="Arial"/>
          <w:sz w:val="22"/>
          <w:szCs w:val="22"/>
        </w:rPr>
        <w:t>.</w:t>
      </w:r>
    </w:p>
    <w:p w14:paraId="2D4B6EEE" w14:textId="41EB634C" w:rsidR="005011E5" w:rsidRDefault="005011E5" w:rsidP="008A3D91">
      <w:pPr>
        <w:spacing w:line="360" w:lineRule="auto"/>
        <w:jc w:val="both"/>
      </w:pPr>
    </w:p>
    <w:p w14:paraId="7E4D3558" w14:textId="5F4006E8" w:rsidR="005011E5" w:rsidRPr="00E52633" w:rsidRDefault="005011E5" w:rsidP="008A3D91">
      <w:pPr>
        <w:spacing w:line="360" w:lineRule="auto"/>
        <w:jc w:val="both"/>
        <w:rPr>
          <w:rFonts w:ascii="Arial" w:hAnsi="Arial" w:cs="Arial"/>
          <w:b/>
          <w:bCs/>
          <w:sz w:val="28"/>
          <w:szCs w:val="28"/>
        </w:rPr>
      </w:pPr>
      <w:r w:rsidRPr="00E52633">
        <w:rPr>
          <w:rFonts w:ascii="Arial" w:hAnsi="Arial" w:cs="Arial"/>
          <w:b/>
          <w:bCs/>
          <w:sz w:val="28"/>
          <w:szCs w:val="28"/>
        </w:rPr>
        <w:t>THEORETICAL BACKGROUND</w:t>
      </w:r>
    </w:p>
    <w:p w14:paraId="3655E4C6" w14:textId="096FD7AC" w:rsidR="005011E5" w:rsidRPr="005E6063" w:rsidRDefault="005011E5" w:rsidP="008A3D91">
      <w:pPr>
        <w:spacing w:line="360" w:lineRule="auto"/>
        <w:jc w:val="both"/>
        <w:rPr>
          <w:rFonts w:ascii="Arial" w:hAnsi="Arial" w:cs="Arial"/>
          <w:sz w:val="22"/>
          <w:szCs w:val="22"/>
        </w:rPr>
      </w:pPr>
      <w:r w:rsidRPr="005E6063">
        <w:rPr>
          <w:rFonts w:ascii="Arial" w:hAnsi="Arial" w:cs="Arial"/>
          <w:sz w:val="22"/>
          <w:szCs w:val="22"/>
        </w:rPr>
        <w:t>Several key theories and conceptual frameworks underpin the understanding of type 2 diabetes mellitus.  Central to this research area is the biomedical model, which explains T2DM through physiological mechanisms such as insulins resistance, pancreatic B-cell dysfunction, and glucose metabolism dysregulation</w:t>
      </w:r>
      <w:r w:rsidR="003B503B" w:rsidRPr="005E6063">
        <w:rPr>
          <w:rFonts w:ascii="Arial" w:hAnsi="Arial" w:cs="Arial"/>
          <w:sz w:val="22"/>
          <w:szCs w:val="22"/>
        </w:rPr>
        <w:t xml:space="preserve"> </w:t>
      </w:r>
      <w:r w:rsidR="003B503B" w:rsidRPr="005E6063">
        <w:rPr>
          <w:rFonts w:ascii="Arial" w:hAnsi="Arial" w:cs="Arial"/>
          <w:color w:val="000000"/>
          <w:sz w:val="22"/>
          <w:szCs w:val="22"/>
        </w:rPr>
        <w:t>(Galicia-Garcia et al., 2020)</w:t>
      </w:r>
      <w:r w:rsidRPr="005E6063">
        <w:rPr>
          <w:rFonts w:ascii="Arial" w:hAnsi="Arial" w:cs="Arial"/>
          <w:sz w:val="22"/>
          <w:szCs w:val="22"/>
        </w:rPr>
        <w:t xml:space="preserve">.  This model has been fundamental in guiding pharmacological interventions and clinical management strategies, including the use of oral hypoglycaemic </w:t>
      </w:r>
      <w:r w:rsidR="001B2E76" w:rsidRPr="005E6063">
        <w:rPr>
          <w:rFonts w:ascii="Arial" w:hAnsi="Arial" w:cs="Arial"/>
          <w:sz w:val="22"/>
          <w:szCs w:val="22"/>
        </w:rPr>
        <w:t>agents and insulin therapy.</w:t>
      </w:r>
      <w:r w:rsidR="00411DF3" w:rsidRPr="005E6063">
        <w:rPr>
          <w:rFonts w:ascii="Arial" w:hAnsi="Arial" w:cs="Arial"/>
          <w:sz w:val="22"/>
          <w:szCs w:val="22"/>
        </w:rPr>
        <w:t xml:space="preserve">  While the biomedical model supports accurate diagnosis and treatment, it may overlook wider social, behavioural and environmental factors that significantly influence the development and management of type 2 diabetes</w:t>
      </w:r>
      <w:r w:rsidR="005E6063" w:rsidRPr="005E6063">
        <w:rPr>
          <w:rFonts w:ascii="Arial" w:hAnsi="Arial" w:cs="Arial"/>
          <w:sz w:val="22"/>
          <w:szCs w:val="22"/>
        </w:rPr>
        <w:t xml:space="preserve"> </w:t>
      </w:r>
      <w:r w:rsidR="005E6063" w:rsidRPr="005E6063">
        <w:rPr>
          <w:rFonts w:ascii="Arial" w:hAnsi="Arial" w:cs="Arial"/>
          <w:color w:val="000000"/>
          <w:sz w:val="22"/>
          <w:szCs w:val="22"/>
        </w:rPr>
        <w:t>(Khalil et al., 2025)</w:t>
      </w:r>
      <w:r w:rsidR="00411DF3" w:rsidRPr="005E6063">
        <w:rPr>
          <w:rFonts w:ascii="Arial" w:hAnsi="Arial" w:cs="Arial"/>
          <w:sz w:val="22"/>
          <w:szCs w:val="22"/>
        </w:rPr>
        <w:t>.</w:t>
      </w:r>
    </w:p>
    <w:p w14:paraId="3A619361" w14:textId="4C5FB0FA" w:rsidR="001B2E76" w:rsidRDefault="001B2E76" w:rsidP="008A3D91">
      <w:pPr>
        <w:spacing w:line="360" w:lineRule="auto"/>
        <w:jc w:val="both"/>
      </w:pPr>
    </w:p>
    <w:p w14:paraId="0E153E44" w14:textId="372FE155" w:rsidR="001B2E76" w:rsidRPr="001C7347" w:rsidRDefault="001B2E76" w:rsidP="008A3D91">
      <w:pPr>
        <w:spacing w:line="360" w:lineRule="auto"/>
        <w:jc w:val="both"/>
        <w:rPr>
          <w:rFonts w:ascii="Arial" w:hAnsi="Arial" w:cs="Arial"/>
          <w:sz w:val="22"/>
          <w:szCs w:val="22"/>
        </w:rPr>
      </w:pPr>
      <w:r w:rsidRPr="001C7347">
        <w:rPr>
          <w:rFonts w:ascii="Arial" w:hAnsi="Arial" w:cs="Arial"/>
          <w:sz w:val="22"/>
          <w:szCs w:val="22"/>
        </w:rPr>
        <w:t>Completing this approach is biopsychosocial model, which recognises that T2DM development and management are influenced by psychological factors, social environments, and behavioural patterns alongside biological processes</w:t>
      </w:r>
      <w:r w:rsidR="003B503B" w:rsidRPr="001C7347">
        <w:rPr>
          <w:rFonts w:ascii="Arial" w:hAnsi="Arial" w:cs="Arial"/>
          <w:sz w:val="22"/>
          <w:szCs w:val="22"/>
        </w:rPr>
        <w:t xml:space="preserve"> </w:t>
      </w:r>
      <w:r w:rsidR="003B503B" w:rsidRPr="001C7347">
        <w:rPr>
          <w:rFonts w:ascii="Arial" w:hAnsi="Arial" w:cs="Arial"/>
          <w:color w:val="000000"/>
          <w:sz w:val="22"/>
          <w:szCs w:val="22"/>
        </w:rPr>
        <w:t>(Abdullah et al., 2020)</w:t>
      </w:r>
      <w:r w:rsidRPr="001C7347">
        <w:rPr>
          <w:rFonts w:ascii="Arial" w:hAnsi="Arial" w:cs="Arial"/>
          <w:sz w:val="22"/>
          <w:szCs w:val="22"/>
        </w:rPr>
        <w:t>.  This model has informed research exploring lifestyle medication, health beliefs, and patient adherence, emphasising the role of education and self-management in long-term outcomes.  Closely related is the social determinants of health framework, which highlights how factors such as income, education, ethnicity, and access to healthcare shape disease risk and progression.  This perspective is particularly relevant in the UK context, where health inequalities significantly influence T2DM prevalence.</w:t>
      </w:r>
    </w:p>
    <w:p w14:paraId="30773914" w14:textId="68D59333" w:rsidR="001B2E76" w:rsidRDefault="001B2E76" w:rsidP="008A3D91">
      <w:pPr>
        <w:spacing w:line="360" w:lineRule="auto"/>
        <w:jc w:val="both"/>
      </w:pPr>
    </w:p>
    <w:p w14:paraId="4218084D" w14:textId="2D2FBDA9" w:rsidR="00BF0068" w:rsidRPr="001C7347" w:rsidRDefault="001B2E76" w:rsidP="008A3D91">
      <w:pPr>
        <w:spacing w:line="360" w:lineRule="auto"/>
        <w:jc w:val="both"/>
        <w:rPr>
          <w:rFonts w:ascii="Arial" w:hAnsi="Arial" w:cs="Arial"/>
          <w:sz w:val="22"/>
          <w:szCs w:val="22"/>
        </w:rPr>
      </w:pPr>
      <w:r w:rsidRPr="001C7347">
        <w:rPr>
          <w:rFonts w:ascii="Arial" w:hAnsi="Arial" w:cs="Arial"/>
          <w:sz w:val="22"/>
          <w:szCs w:val="22"/>
        </w:rPr>
        <w:t>Behavioural change theories, including the Health Belief Model and Social Cognitive Theory, have also been widely applied in diabetes research</w:t>
      </w:r>
      <w:r w:rsidR="003B503B" w:rsidRPr="001C7347">
        <w:rPr>
          <w:rFonts w:ascii="Arial" w:hAnsi="Arial" w:cs="Arial"/>
          <w:sz w:val="22"/>
          <w:szCs w:val="22"/>
        </w:rPr>
        <w:t xml:space="preserve"> </w:t>
      </w:r>
      <w:r w:rsidR="003B503B" w:rsidRPr="001C7347">
        <w:rPr>
          <w:rFonts w:ascii="Arial" w:hAnsi="Arial" w:cs="Arial"/>
          <w:color w:val="000000"/>
          <w:sz w:val="22"/>
          <w:szCs w:val="22"/>
        </w:rPr>
        <w:t>(Alyafei and Carr, 2024)</w:t>
      </w:r>
      <w:r w:rsidRPr="001C7347">
        <w:rPr>
          <w:rFonts w:ascii="Arial" w:hAnsi="Arial" w:cs="Arial"/>
          <w:sz w:val="22"/>
          <w:szCs w:val="22"/>
        </w:rPr>
        <w:t>.  These theories explain how perceptions of risk, self-efficacy, and social support affect lifestyle behaviours such as diet and physical activity</w:t>
      </w:r>
      <w:r w:rsidR="00BF0068" w:rsidRPr="001C7347">
        <w:rPr>
          <w:rFonts w:ascii="Arial" w:hAnsi="Arial" w:cs="Arial"/>
          <w:sz w:val="22"/>
          <w:szCs w:val="22"/>
        </w:rPr>
        <w:t>.  Previous studies have utilised these frameworks to design and evaluate interventions aimed at improving glycaemic control and reducing complications</w:t>
      </w:r>
      <w:r w:rsidR="003B503B" w:rsidRPr="001C7347">
        <w:rPr>
          <w:rFonts w:ascii="Arial" w:hAnsi="Arial" w:cs="Arial"/>
          <w:sz w:val="22"/>
          <w:szCs w:val="22"/>
        </w:rPr>
        <w:t xml:space="preserve"> </w:t>
      </w:r>
      <w:r w:rsidR="003B503B" w:rsidRPr="001C7347">
        <w:rPr>
          <w:rFonts w:ascii="Arial" w:hAnsi="Arial" w:cs="Arial"/>
          <w:color w:val="000000"/>
          <w:sz w:val="22"/>
          <w:szCs w:val="22"/>
        </w:rPr>
        <w:t>(Hamidi et al., 2022)</w:t>
      </w:r>
      <w:r w:rsidR="00BF0068" w:rsidRPr="001C7347">
        <w:rPr>
          <w:rFonts w:ascii="Arial" w:hAnsi="Arial" w:cs="Arial"/>
          <w:sz w:val="22"/>
          <w:szCs w:val="22"/>
        </w:rPr>
        <w:t>.</w:t>
      </w:r>
    </w:p>
    <w:p w14:paraId="2BB4256B" w14:textId="77777777" w:rsidR="00BF0068" w:rsidRDefault="00BF0068" w:rsidP="008A3D91">
      <w:pPr>
        <w:spacing w:line="360" w:lineRule="auto"/>
        <w:jc w:val="both"/>
      </w:pPr>
    </w:p>
    <w:p w14:paraId="631DE44B" w14:textId="1508C023" w:rsidR="00BF0068" w:rsidRPr="00CE253A" w:rsidRDefault="00BF0068" w:rsidP="008A3D91">
      <w:pPr>
        <w:spacing w:line="360" w:lineRule="auto"/>
        <w:jc w:val="both"/>
        <w:rPr>
          <w:rFonts w:ascii="Arial" w:hAnsi="Arial" w:cs="Arial"/>
          <w:sz w:val="22"/>
          <w:szCs w:val="22"/>
        </w:rPr>
      </w:pPr>
      <w:r w:rsidRPr="00CE253A">
        <w:rPr>
          <w:rFonts w:ascii="Arial" w:hAnsi="Arial" w:cs="Arial"/>
          <w:sz w:val="22"/>
          <w:szCs w:val="22"/>
        </w:rPr>
        <w:lastRenderedPageBreak/>
        <w:t>Despite their contributions, these theories have limitations.  The biomedical model had been criticised for its narrow focus on physiological mechanisms, often overlooking social and environmental constraints faced by individuals</w:t>
      </w:r>
      <w:r w:rsidR="003B503B" w:rsidRPr="00CE253A">
        <w:rPr>
          <w:rFonts w:ascii="Arial" w:hAnsi="Arial" w:cs="Arial"/>
          <w:sz w:val="22"/>
          <w:szCs w:val="22"/>
        </w:rPr>
        <w:t xml:space="preserve"> </w:t>
      </w:r>
      <w:r w:rsidR="003B503B" w:rsidRPr="00CE253A">
        <w:rPr>
          <w:rFonts w:ascii="Arial" w:hAnsi="Arial" w:cs="Arial"/>
          <w:color w:val="000000"/>
          <w:sz w:val="22"/>
          <w:szCs w:val="22"/>
        </w:rPr>
        <w:t>(Wade and Halligan, 2004</w:t>
      </w:r>
      <w:r w:rsidR="009D328D" w:rsidRPr="00CE253A">
        <w:rPr>
          <w:rFonts w:ascii="Arial" w:hAnsi="Arial" w:cs="Arial"/>
          <w:color w:val="000000"/>
          <w:sz w:val="22"/>
          <w:szCs w:val="22"/>
        </w:rPr>
        <w:t>), (Pianese and Bordoni, 2025)</w:t>
      </w:r>
      <w:r w:rsidRPr="00CE253A">
        <w:rPr>
          <w:rFonts w:ascii="Arial" w:hAnsi="Arial" w:cs="Arial"/>
          <w:sz w:val="22"/>
          <w:szCs w:val="22"/>
        </w:rPr>
        <w:t>.  Behavioural models, while useful for intervention design, may overemphasise personal responsibility and fail to account for structural barriers such as food insecurity or limited access to healthcare</w:t>
      </w:r>
      <w:r w:rsidR="00D56324" w:rsidRPr="00CE253A">
        <w:rPr>
          <w:rFonts w:ascii="Arial" w:hAnsi="Arial" w:cs="Arial"/>
          <w:sz w:val="22"/>
          <w:szCs w:val="22"/>
        </w:rPr>
        <w:t xml:space="preserve"> </w:t>
      </w:r>
      <w:r w:rsidR="00D56324" w:rsidRPr="00CE253A">
        <w:rPr>
          <w:rFonts w:ascii="Arial" w:hAnsi="Arial" w:cs="Arial"/>
          <w:color w:val="000000"/>
          <w:sz w:val="22"/>
          <w:szCs w:val="22"/>
        </w:rPr>
        <w:t>(Beyera, O’Brien and Campbell, 2021)</w:t>
      </w:r>
      <w:r w:rsidRPr="00CE253A">
        <w:rPr>
          <w:rFonts w:ascii="Arial" w:hAnsi="Arial" w:cs="Arial"/>
          <w:sz w:val="22"/>
          <w:szCs w:val="22"/>
        </w:rPr>
        <w:t>.  The biopsychosocial model offers a more holistic perspective but can be challenging to operationalise consistently in research and practice.</w:t>
      </w:r>
    </w:p>
    <w:p w14:paraId="0A9B47E7" w14:textId="77777777" w:rsidR="00BF0068" w:rsidRPr="001C7347" w:rsidRDefault="00BF0068" w:rsidP="008A3D91">
      <w:pPr>
        <w:spacing w:line="360" w:lineRule="auto"/>
        <w:jc w:val="both"/>
        <w:rPr>
          <w:rFonts w:ascii="Arial" w:hAnsi="Arial" w:cs="Arial"/>
          <w:sz w:val="22"/>
          <w:szCs w:val="22"/>
        </w:rPr>
      </w:pPr>
    </w:p>
    <w:p w14:paraId="647CEAAF" w14:textId="34F42479" w:rsidR="001B2E76" w:rsidRPr="001C7347" w:rsidRDefault="00BF0068" w:rsidP="008A3D91">
      <w:pPr>
        <w:spacing w:line="360" w:lineRule="auto"/>
        <w:jc w:val="both"/>
        <w:rPr>
          <w:rFonts w:ascii="Arial" w:hAnsi="Arial" w:cs="Arial"/>
          <w:sz w:val="22"/>
          <w:szCs w:val="22"/>
        </w:rPr>
      </w:pPr>
      <w:r w:rsidRPr="001C7347">
        <w:rPr>
          <w:rFonts w:ascii="Arial" w:hAnsi="Arial" w:cs="Arial"/>
          <w:sz w:val="22"/>
          <w:szCs w:val="22"/>
        </w:rPr>
        <w:t>Ongoing debates centre on balancing individual-level interventions with populations with population-level strategies.  Critics argue that without addressing wider socioeconomic inequalities, theoretical models risk oversimplifying the complexity of T2DM</w:t>
      </w:r>
      <w:r w:rsidR="00D56324" w:rsidRPr="001C7347">
        <w:rPr>
          <w:rFonts w:ascii="Arial" w:hAnsi="Arial" w:cs="Arial"/>
          <w:sz w:val="22"/>
          <w:szCs w:val="22"/>
        </w:rPr>
        <w:t xml:space="preserve"> </w:t>
      </w:r>
      <w:r w:rsidR="00D56324" w:rsidRPr="001C7347">
        <w:rPr>
          <w:rFonts w:ascii="Arial" w:hAnsi="Arial" w:cs="Arial"/>
          <w:color w:val="000000"/>
          <w:sz w:val="22"/>
          <w:szCs w:val="22"/>
        </w:rPr>
        <w:t>(Barry et al., 2023)</w:t>
      </w:r>
      <w:r w:rsidRPr="001C7347">
        <w:rPr>
          <w:rFonts w:ascii="Arial" w:hAnsi="Arial" w:cs="Arial"/>
          <w:sz w:val="22"/>
          <w:szCs w:val="22"/>
        </w:rPr>
        <w:t xml:space="preserve">.  Therefore, integrating multiple theoretical perspectives is increasingly advocated to provide a more comprehensive understanding </w:t>
      </w:r>
      <w:r w:rsidR="002848AB" w:rsidRPr="001C7347">
        <w:rPr>
          <w:rFonts w:ascii="Arial" w:hAnsi="Arial" w:cs="Arial"/>
          <w:sz w:val="22"/>
          <w:szCs w:val="22"/>
        </w:rPr>
        <w:t>of disease development and management, strengthening the conceptual foundation of this research.</w:t>
      </w:r>
    </w:p>
    <w:p w14:paraId="1CCFC272" w14:textId="69634057" w:rsidR="002848AB" w:rsidRDefault="002848AB" w:rsidP="008A3D91">
      <w:pPr>
        <w:spacing w:line="360" w:lineRule="auto"/>
        <w:jc w:val="both"/>
      </w:pPr>
    </w:p>
    <w:p w14:paraId="1FA83AE6" w14:textId="79061645" w:rsidR="002848AB" w:rsidRPr="00665AC3" w:rsidRDefault="002848AB" w:rsidP="008A3D91">
      <w:pPr>
        <w:spacing w:line="360" w:lineRule="auto"/>
        <w:jc w:val="both"/>
        <w:rPr>
          <w:rFonts w:ascii="Arial" w:hAnsi="Arial" w:cs="Arial"/>
          <w:b/>
          <w:bCs/>
          <w:sz w:val="22"/>
          <w:szCs w:val="22"/>
        </w:rPr>
      </w:pPr>
      <w:r w:rsidRPr="00665AC3">
        <w:rPr>
          <w:rFonts w:ascii="Arial" w:hAnsi="Arial" w:cs="Arial"/>
          <w:b/>
          <w:bCs/>
          <w:sz w:val="22"/>
          <w:szCs w:val="22"/>
        </w:rPr>
        <w:t>INTERNATIONAL CONTEXT</w:t>
      </w:r>
    </w:p>
    <w:p w14:paraId="799143E2" w14:textId="75453346" w:rsidR="002848AB" w:rsidRPr="001C7347" w:rsidRDefault="002848AB" w:rsidP="008A3D91">
      <w:pPr>
        <w:spacing w:line="360" w:lineRule="auto"/>
        <w:jc w:val="both"/>
        <w:rPr>
          <w:rFonts w:ascii="Arial" w:hAnsi="Arial" w:cs="Arial"/>
          <w:sz w:val="22"/>
          <w:szCs w:val="22"/>
        </w:rPr>
      </w:pPr>
      <w:r w:rsidRPr="001C7347">
        <w:rPr>
          <w:rFonts w:ascii="Arial" w:hAnsi="Arial" w:cs="Arial"/>
          <w:sz w:val="22"/>
          <w:szCs w:val="22"/>
        </w:rPr>
        <w:t xml:space="preserve">Globally, type 2 diabetes mellitus is recognised as a major public health </w:t>
      </w:r>
      <w:r w:rsidR="00B439CC" w:rsidRPr="001C7347">
        <w:rPr>
          <w:rFonts w:ascii="Arial" w:hAnsi="Arial" w:cs="Arial"/>
          <w:sz w:val="22"/>
          <w:szCs w:val="22"/>
        </w:rPr>
        <w:t>challenge, with prevalence increasing across both high-income and low-to middle income countries.  Internationally, T2DM is closely linked to urbanisation, dietary transitions, and reduced physical activity</w:t>
      </w:r>
      <w:r w:rsidR="00D56324" w:rsidRPr="001C7347">
        <w:rPr>
          <w:rFonts w:ascii="Arial" w:hAnsi="Arial" w:cs="Arial"/>
          <w:sz w:val="22"/>
          <w:szCs w:val="22"/>
        </w:rPr>
        <w:t xml:space="preserve"> </w:t>
      </w:r>
      <w:r w:rsidR="00D56324" w:rsidRPr="001C7347">
        <w:rPr>
          <w:rFonts w:ascii="Arial" w:hAnsi="Arial" w:cs="Arial"/>
          <w:color w:val="000000"/>
          <w:sz w:val="22"/>
          <w:szCs w:val="22"/>
        </w:rPr>
        <w:t>(Hossain, Al</w:t>
      </w:r>
      <w:r w:rsidR="00D56324" w:rsidRPr="001C7347">
        <w:rPr>
          <w:rFonts w:ascii="Cambria Math" w:hAnsi="Cambria Math" w:cs="Cambria Math"/>
          <w:color w:val="000000"/>
          <w:sz w:val="22"/>
          <w:szCs w:val="22"/>
        </w:rPr>
        <w:t>‐</w:t>
      </w:r>
      <w:r w:rsidR="00D56324" w:rsidRPr="001C7347">
        <w:rPr>
          <w:rFonts w:ascii="Arial" w:hAnsi="Arial" w:cs="Arial"/>
          <w:color w:val="000000"/>
          <w:sz w:val="22"/>
          <w:szCs w:val="22"/>
        </w:rPr>
        <w:t>Mamun and Islam, 2024)</w:t>
      </w:r>
      <w:r w:rsidR="00B439CC" w:rsidRPr="001C7347">
        <w:rPr>
          <w:rFonts w:ascii="Arial" w:hAnsi="Arial" w:cs="Arial"/>
          <w:sz w:val="22"/>
          <w:szCs w:val="22"/>
        </w:rPr>
        <w:t>.  The World Health Organisation has identified diabetes as one of the fastest-growing non-communicable diseases, promoting coordinated global action plans focused on prevention and early intervention</w:t>
      </w:r>
      <w:r w:rsidR="00D56324" w:rsidRPr="001C7347">
        <w:rPr>
          <w:rFonts w:ascii="Arial" w:hAnsi="Arial" w:cs="Arial"/>
          <w:sz w:val="22"/>
          <w:szCs w:val="22"/>
        </w:rPr>
        <w:t xml:space="preserve"> </w:t>
      </w:r>
      <w:r w:rsidR="00D56324" w:rsidRPr="001C7347">
        <w:rPr>
          <w:rFonts w:ascii="Arial" w:hAnsi="Arial" w:cs="Arial"/>
          <w:color w:val="000000"/>
          <w:sz w:val="22"/>
          <w:szCs w:val="22"/>
        </w:rPr>
        <w:t>(World Health Organization, 2024)</w:t>
      </w:r>
      <w:r w:rsidR="00B439CC" w:rsidRPr="001C7347">
        <w:rPr>
          <w:rFonts w:ascii="Arial" w:hAnsi="Arial" w:cs="Arial"/>
          <w:sz w:val="22"/>
          <w:szCs w:val="22"/>
        </w:rPr>
        <w:t>.</w:t>
      </w:r>
    </w:p>
    <w:p w14:paraId="671A32A4" w14:textId="73159863" w:rsidR="00B439CC" w:rsidRDefault="00B439CC" w:rsidP="008A3D91">
      <w:pPr>
        <w:spacing w:line="360" w:lineRule="auto"/>
        <w:jc w:val="both"/>
      </w:pPr>
    </w:p>
    <w:p w14:paraId="1E8413DD" w14:textId="50734EF3" w:rsidR="00B439CC" w:rsidRPr="001C7347" w:rsidRDefault="00B439CC" w:rsidP="008A3D91">
      <w:pPr>
        <w:spacing w:line="360" w:lineRule="auto"/>
        <w:jc w:val="both"/>
        <w:rPr>
          <w:rFonts w:ascii="Arial" w:hAnsi="Arial" w:cs="Arial"/>
          <w:sz w:val="22"/>
          <w:szCs w:val="22"/>
        </w:rPr>
      </w:pPr>
      <w:r w:rsidRPr="001C7347">
        <w:rPr>
          <w:rFonts w:ascii="Arial" w:hAnsi="Arial" w:cs="Arial"/>
          <w:sz w:val="22"/>
          <w:szCs w:val="22"/>
        </w:rPr>
        <w:t>Approaches to T2DM management vary internationally.  High-income countries</w:t>
      </w:r>
      <w:r w:rsidR="00D66D52" w:rsidRPr="001C7347">
        <w:rPr>
          <w:rFonts w:ascii="Arial" w:hAnsi="Arial" w:cs="Arial"/>
          <w:sz w:val="22"/>
          <w:szCs w:val="22"/>
        </w:rPr>
        <w:t xml:space="preserve"> often prioritise structured screening programmes, pharmacological treatment, and multidisciplinary care.  In contrast, </w:t>
      </w:r>
      <w:r w:rsidR="004F0E51" w:rsidRPr="001C7347">
        <w:rPr>
          <w:rFonts w:ascii="Arial" w:hAnsi="Arial" w:cs="Arial"/>
          <w:sz w:val="22"/>
          <w:szCs w:val="22"/>
        </w:rPr>
        <w:t>lower-income regions may face challenges related to limited healthcare infrastructure, delayed diagnosis, and restricted access to medication</w:t>
      </w:r>
      <w:r w:rsidR="00427C44" w:rsidRPr="001C7347">
        <w:rPr>
          <w:rFonts w:ascii="Arial" w:hAnsi="Arial" w:cs="Arial"/>
          <w:sz w:val="22"/>
          <w:szCs w:val="22"/>
        </w:rPr>
        <w:t xml:space="preserve"> </w:t>
      </w:r>
      <w:r w:rsidR="00427C44" w:rsidRPr="001C7347">
        <w:rPr>
          <w:rFonts w:ascii="Arial" w:hAnsi="Arial" w:cs="Arial"/>
          <w:color w:val="000000"/>
          <w:sz w:val="22"/>
          <w:szCs w:val="22"/>
        </w:rPr>
        <w:t>(Sugandh et al., 2023)</w:t>
      </w:r>
      <w:r w:rsidR="004F0E51" w:rsidRPr="001C7347">
        <w:rPr>
          <w:rFonts w:ascii="Arial" w:hAnsi="Arial" w:cs="Arial"/>
          <w:sz w:val="22"/>
          <w:szCs w:val="22"/>
        </w:rPr>
        <w:t>.  Despite these differences, global initiatives emphasise lifestyle modification and community-based prevention strategies.</w:t>
      </w:r>
    </w:p>
    <w:p w14:paraId="297AF863" w14:textId="6D97BC56" w:rsidR="004F0E51" w:rsidRDefault="004F0E51" w:rsidP="0040739A">
      <w:pPr>
        <w:spacing w:line="360" w:lineRule="auto"/>
      </w:pPr>
    </w:p>
    <w:p w14:paraId="71212F4B" w14:textId="5FA95424" w:rsidR="004F0E51" w:rsidRPr="007A406A" w:rsidRDefault="004F0E51" w:rsidP="0040739A">
      <w:pPr>
        <w:spacing w:line="360" w:lineRule="auto"/>
        <w:rPr>
          <w:rFonts w:ascii="Arial" w:hAnsi="Arial" w:cs="Arial"/>
          <w:sz w:val="22"/>
          <w:szCs w:val="22"/>
        </w:rPr>
      </w:pPr>
      <w:r w:rsidRPr="007A406A">
        <w:rPr>
          <w:rFonts w:ascii="Arial" w:hAnsi="Arial" w:cs="Arial"/>
          <w:sz w:val="22"/>
          <w:szCs w:val="22"/>
        </w:rPr>
        <w:t xml:space="preserve">Comparative analysis reveals that countries such as Finland and Japan have achieved notable success through population-level interventions promoting healthy diets and physical activity.  Conversely, rapidly developing nations, including India and China, report escalating T2DM rates due to urban lifestyles and nutritional changes.  International collaborations, </w:t>
      </w:r>
      <w:r w:rsidRPr="007A406A">
        <w:rPr>
          <w:rFonts w:ascii="Arial" w:hAnsi="Arial" w:cs="Arial"/>
          <w:sz w:val="22"/>
          <w:szCs w:val="22"/>
        </w:rPr>
        <w:lastRenderedPageBreak/>
        <w:t>such as global diabetes surveillance programmes, aim to standardise data collection and inform policy responses</w:t>
      </w:r>
      <w:r w:rsidR="00016F6F" w:rsidRPr="007A406A">
        <w:rPr>
          <w:rFonts w:ascii="Arial" w:hAnsi="Arial" w:cs="Arial"/>
          <w:sz w:val="22"/>
          <w:szCs w:val="22"/>
        </w:rPr>
        <w:t xml:space="preserve"> </w:t>
      </w:r>
      <w:r w:rsidR="00016F6F" w:rsidRPr="007A406A">
        <w:rPr>
          <w:rFonts w:ascii="Arial" w:hAnsi="Arial" w:cs="Arial"/>
          <w:color w:val="000000"/>
          <w:sz w:val="22"/>
          <w:szCs w:val="22"/>
        </w:rPr>
        <w:t>(Galaviz et al., 2019)</w:t>
      </w:r>
      <w:r w:rsidRPr="007A406A">
        <w:rPr>
          <w:rFonts w:ascii="Arial" w:hAnsi="Arial" w:cs="Arial"/>
          <w:sz w:val="22"/>
          <w:szCs w:val="22"/>
        </w:rPr>
        <w:t>.</w:t>
      </w:r>
      <w:r w:rsidR="00661C41">
        <w:rPr>
          <w:rFonts w:ascii="Arial" w:hAnsi="Arial" w:cs="Arial"/>
          <w:sz w:val="22"/>
          <w:szCs w:val="22"/>
        </w:rPr>
        <w:t xml:space="preserve">  In contrast to the UK, countries such as Finland adopt a </w:t>
      </w:r>
      <w:r w:rsidR="00661C41" w:rsidRPr="0040739A">
        <w:rPr>
          <w:rFonts w:ascii="Arial" w:hAnsi="Arial" w:cs="Arial"/>
          <w:sz w:val="22"/>
          <w:szCs w:val="22"/>
        </w:rPr>
        <w:t>more prevention-focused,</w:t>
      </w:r>
      <w:r w:rsidR="0040739A" w:rsidRPr="0040739A">
        <w:rPr>
          <w:rFonts w:ascii="Arial" w:hAnsi="Arial" w:cs="Arial"/>
          <w:sz w:val="22"/>
          <w:szCs w:val="22"/>
        </w:rPr>
        <w:t xml:space="preserve"> </w:t>
      </w:r>
      <w:r w:rsidR="00661C41" w:rsidRPr="0040739A">
        <w:rPr>
          <w:rFonts w:ascii="Arial" w:hAnsi="Arial" w:cs="Arial"/>
          <w:sz w:val="22"/>
          <w:szCs w:val="22"/>
        </w:rPr>
        <w:t>population-level approach, highlighting potential gaps in consistency and reach of UK diabetes prevention strategies.</w:t>
      </w:r>
    </w:p>
    <w:p w14:paraId="36653AED" w14:textId="6492733B" w:rsidR="004F0E51" w:rsidRDefault="004F0E51" w:rsidP="0040739A">
      <w:pPr>
        <w:spacing w:line="360" w:lineRule="auto"/>
      </w:pPr>
    </w:p>
    <w:p w14:paraId="615B962B" w14:textId="7D6063EA" w:rsidR="004F0E51" w:rsidRPr="007A406A" w:rsidRDefault="004F0E51" w:rsidP="0040739A">
      <w:pPr>
        <w:spacing w:line="360" w:lineRule="auto"/>
        <w:rPr>
          <w:rFonts w:ascii="Arial" w:hAnsi="Arial" w:cs="Arial"/>
          <w:sz w:val="22"/>
          <w:szCs w:val="22"/>
        </w:rPr>
      </w:pPr>
      <w:r w:rsidRPr="007A406A">
        <w:rPr>
          <w:rFonts w:ascii="Arial" w:hAnsi="Arial" w:cs="Arial"/>
          <w:sz w:val="22"/>
          <w:szCs w:val="22"/>
        </w:rPr>
        <w:t>Case studies illustrate both successes and challenges.  For example, large-scale prevention programmes in Scandinavia have reduced incidence rates through early lifestyle interventions, while resource-limited settings continue to struggle with late presentation and complications</w:t>
      </w:r>
      <w:r w:rsidR="00CC7B16" w:rsidRPr="007A406A">
        <w:rPr>
          <w:rFonts w:ascii="Arial" w:hAnsi="Arial" w:cs="Arial"/>
          <w:sz w:val="22"/>
          <w:szCs w:val="22"/>
        </w:rPr>
        <w:t xml:space="preserve"> </w:t>
      </w:r>
      <w:r w:rsidR="00CC7B16" w:rsidRPr="007A406A">
        <w:rPr>
          <w:rFonts w:ascii="Arial" w:hAnsi="Arial" w:cs="Arial"/>
          <w:color w:val="000000"/>
          <w:sz w:val="22"/>
          <w:szCs w:val="22"/>
        </w:rPr>
        <w:t>(Fritzell and Fors, 2025)</w:t>
      </w:r>
      <w:r w:rsidRPr="007A406A">
        <w:rPr>
          <w:rFonts w:ascii="Arial" w:hAnsi="Arial" w:cs="Arial"/>
          <w:sz w:val="22"/>
          <w:szCs w:val="22"/>
        </w:rPr>
        <w:t>.  These international perspectives highlight the importance of adaptable, contex</w:t>
      </w:r>
      <w:r w:rsidR="008D026B" w:rsidRPr="007A406A">
        <w:rPr>
          <w:rFonts w:ascii="Arial" w:hAnsi="Arial" w:cs="Arial"/>
          <w:sz w:val="22"/>
          <w:szCs w:val="22"/>
        </w:rPr>
        <w:t>t specific strategies and provide valuable insights fir evaluating UK-based approaches.</w:t>
      </w:r>
    </w:p>
    <w:p w14:paraId="5B1BEBE1" w14:textId="5934FE70" w:rsidR="008D026B" w:rsidRPr="00E52633" w:rsidRDefault="008D026B" w:rsidP="0040739A">
      <w:pPr>
        <w:spacing w:line="360" w:lineRule="auto"/>
        <w:rPr>
          <w:sz w:val="28"/>
          <w:szCs w:val="28"/>
        </w:rPr>
      </w:pPr>
    </w:p>
    <w:p w14:paraId="16BAC519" w14:textId="162815FE" w:rsidR="00045DA2" w:rsidRPr="00E52633" w:rsidRDefault="008D026B" w:rsidP="008A3D91">
      <w:pPr>
        <w:spacing w:line="360" w:lineRule="auto"/>
        <w:jc w:val="both"/>
        <w:rPr>
          <w:rFonts w:ascii="Arial" w:hAnsi="Arial" w:cs="Arial"/>
          <w:b/>
          <w:bCs/>
          <w:sz w:val="28"/>
          <w:szCs w:val="28"/>
        </w:rPr>
      </w:pPr>
      <w:r w:rsidRPr="00E52633">
        <w:rPr>
          <w:rFonts w:ascii="Arial" w:hAnsi="Arial" w:cs="Arial"/>
          <w:b/>
          <w:bCs/>
          <w:sz w:val="28"/>
          <w:szCs w:val="28"/>
        </w:rPr>
        <w:t>NATIONAL AND LOCAL UK CONTEXT</w:t>
      </w:r>
    </w:p>
    <w:p w14:paraId="70428798" w14:textId="2E4B5CCA" w:rsidR="008D026B" w:rsidRPr="007A406A" w:rsidRDefault="008D026B" w:rsidP="008A3D91">
      <w:pPr>
        <w:spacing w:line="360" w:lineRule="auto"/>
        <w:jc w:val="both"/>
        <w:rPr>
          <w:rFonts w:ascii="Arial" w:hAnsi="Arial" w:cs="Arial"/>
          <w:sz w:val="22"/>
          <w:szCs w:val="22"/>
        </w:rPr>
      </w:pPr>
      <w:r w:rsidRPr="007A406A">
        <w:rPr>
          <w:rFonts w:ascii="Arial" w:hAnsi="Arial" w:cs="Arial"/>
          <w:sz w:val="22"/>
          <w:szCs w:val="22"/>
        </w:rPr>
        <w:t>Within the UK, type 2 diabetes mellitus represents a significant and growing public health concern</w:t>
      </w:r>
      <w:r w:rsidR="003646DE" w:rsidRPr="007A406A">
        <w:rPr>
          <w:rFonts w:ascii="Arial" w:hAnsi="Arial" w:cs="Arial"/>
          <w:sz w:val="22"/>
          <w:szCs w:val="22"/>
        </w:rPr>
        <w:t xml:space="preserve"> </w:t>
      </w:r>
      <w:r w:rsidR="003646DE" w:rsidRPr="007A406A">
        <w:rPr>
          <w:rFonts w:ascii="Arial" w:hAnsi="Arial" w:cs="Arial"/>
          <w:color w:val="000000"/>
          <w:sz w:val="22"/>
          <w:szCs w:val="22"/>
        </w:rPr>
        <w:t>(Au-Yeung et al., 2024)</w:t>
      </w:r>
      <w:r w:rsidRPr="007A406A">
        <w:rPr>
          <w:rFonts w:ascii="Arial" w:hAnsi="Arial" w:cs="Arial"/>
          <w:sz w:val="22"/>
          <w:szCs w:val="22"/>
        </w:rPr>
        <w:t>.  Rising prevalence is strongly associated with ageing populations, obesity, and socioeconomic deprivation.  Nationally, T2DM places substantial pressure on healthcare services, particularly due to its long-term complications.  NHS England has prioritised diabetes prevention and management through structured care pathway and early intervention initiatives</w:t>
      </w:r>
      <w:r w:rsidR="003646DE" w:rsidRPr="007A406A">
        <w:rPr>
          <w:rFonts w:ascii="Arial" w:hAnsi="Arial" w:cs="Arial"/>
          <w:sz w:val="22"/>
          <w:szCs w:val="22"/>
        </w:rPr>
        <w:t xml:space="preserve"> </w:t>
      </w:r>
      <w:r w:rsidR="003646DE" w:rsidRPr="007A406A">
        <w:rPr>
          <w:rFonts w:ascii="Arial" w:hAnsi="Arial" w:cs="Arial"/>
          <w:color w:val="000000"/>
          <w:sz w:val="22"/>
          <w:szCs w:val="22"/>
        </w:rPr>
        <w:t>(NHS England, 2019)</w:t>
      </w:r>
      <w:r w:rsidRPr="007A406A">
        <w:rPr>
          <w:rFonts w:ascii="Arial" w:hAnsi="Arial" w:cs="Arial"/>
          <w:sz w:val="22"/>
          <w:szCs w:val="22"/>
        </w:rPr>
        <w:t>.</w:t>
      </w:r>
    </w:p>
    <w:p w14:paraId="28BC3F41" w14:textId="58D35C8E" w:rsidR="008D026B" w:rsidRPr="007A406A" w:rsidRDefault="008D026B" w:rsidP="008A3D91">
      <w:pPr>
        <w:spacing w:line="360" w:lineRule="auto"/>
        <w:jc w:val="both"/>
        <w:rPr>
          <w:rFonts w:ascii="Arial" w:hAnsi="Arial" w:cs="Arial"/>
          <w:sz w:val="22"/>
          <w:szCs w:val="22"/>
        </w:rPr>
      </w:pPr>
    </w:p>
    <w:p w14:paraId="3F92996A" w14:textId="7B1F1A1F" w:rsidR="008D026B" w:rsidRPr="007A406A" w:rsidRDefault="008D026B" w:rsidP="008A3D91">
      <w:pPr>
        <w:spacing w:line="360" w:lineRule="auto"/>
        <w:jc w:val="both"/>
        <w:rPr>
          <w:rFonts w:ascii="Arial" w:hAnsi="Arial" w:cs="Arial"/>
          <w:sz w:val="22"/>
          <w:szCs w:val="22"/>
        </w:rPr>
      </w:pPr>
      <w:r w:rsidRPr="007A406A">
        <w:rPr>
          <w:rFonts w:ascii="Arial" w:hAnsi="Arial" w:cs="Arial"/>
          <w:sz w:val="22"/>
          <w:szCs w:val="22"/>
        </w:rPr>
        <w:t>Key national policies include the NHS Long Term Plan and the Diabetes Prevention Programme, which focus on reducing incidence through lifestyle modification and early identification of high-risk individuals</w:t>
      </w:r>
      <w:r w:rsidR="00596877" w:rsidRPr="007A406A">
        <w:rPr>
          <w:rFonts w:ascii="Arial" w:hAnsi="Arial" w:cs="Arial"/>
          <w:sz w:val="22"/>
          <w:szCs w:val="22"/>
        </w:rPr>
        <w:t xml:space="preserve"> </w:t>
      </w:r>
      <w:r w:rsidR="00596877" w:rsidRPr="007A406A">
        <w:rPr>
          <w:rFonts w:ascii="Arial" w:hAnsi="Arial" w:cs="Arial"/>
          <w:color w:val="000000"/>
          <w:sz w:val="22"/>
          <w:szCs w:val="22"/>
        </w:rPr>
        <w:t>(NHS England, 2023)</w:t>
      </w:r>
      <w:r w:rsidRPr="007A406A">
        <w:rPr>
          <w:rFonts w:ascii="Arial" w:hAnsi="Arial" w:cs="Arial"/>
          <w:sz w:val="22"/>
          <w:szCs w:val="22"/>
        </w:rPr>
        <w:t>.  These policies emphasis integrated care, patient education, and multidisciplinary working.</w:t>
      </w:r>
      <w:r w:rsidR="00664248">
        <w:rPr>
          <w:rFonts w:ascii="Arial" w:hAnsi="Arial" w:cs="Arial"/>
          <w:sz w:val="22"/>
          <w:szCs w:val="22"/>
        </w:rPr>
        <w:t xml:space="preserve">  However, implementation may vary across regions, which can lead to differences un access, engagement and health outcomes.</w:t>
      </w:r>
      <w:r w:rsidRPr="007A406A">
        <w:rPr>
          <w:rFonts w:ascii="Arial" w:hAnsi="Arial" w:cs="Arial"/>
          <w:sz w:val="22"/>
          <w:szCs w:val="22"/>
        </w:rPr>
        <w:t xml:space="preserve"> Legislative frameworks addressing public health, such as obesity and sugar reduction strategies, further influence national responses to T2DM</w:t>
      </w:r>
      <w:r w:rsidR="003F0DB8" w:rsidRPr="007A406A">
        <w:rPr>
          <w:rFonts w:ascii="Arial" w:hAnsi="Arial" w:cs="Arial"/>
          <w:sz w:val="22"/>
          <w:szCs w:val="22"/>
        </w:rPr>
        <w:t xml:space="preserve"> </w:t>
      </w:r>
      <w:r w:rsidR="003F0DB8" w:rsidRPr="007A406A">
        <w:rPr>
          <w:rFonts w:ascii="Arial" w:hAnsi="Arial" w:cs="Arial"/>
          <w:color w:val="000000"/>
          <w:sz w:val="22"/>
          <w:szCs w:val="22"/>
        </w:rPr>
        <w:t>(Dailah, 2024)</w:t>
      </w:r>
      <w:r w:rsidRPr="007A406A">
        <w:rPr>
          <w:rFonts w:ascii="Arial" w:hAnsi="Arial" w:cs="Arial"/>
          <w:sz w:val="22"/>
          <w:szCs w:val="22"/>
        </w:rPr>
        <w:t>.</w:t>
      </w:r>
    </w:p>
    <w:p w14:paraId="2E674C76" w14:textId="4BED09A8" w:rsidR="008D026B" w:rsidRDefault="008D026B" w:rsidP="008A3D91">
      <w:pPr>
        <w:spacing w:line="360" w:lineRule="auto"/>
        <w:jc w:val="both"/>
      </w:pPr>
    </w:p>
    <w:p w14:paraId="5F98541C" w14:textId="044A508E" w:rsidR="008D026B" w:rsidRPr="00AF5B89" w:rsidRDefault="008D026B" w:rsidP="008A3D91">
      <w:pPr>
        <w:spacing w:line="360" w:lineRule="auto"/>
        <w:jc w:val="both"/>
        <w:rPr>
          <w:rFonts w:ascii="Arial" w:hAnsi="Arial" w:cs="Arial"/>
          <w:sz w:val="22"/>
          <w:szCs w:val="22"/>
        </w:rPr>
      </w:pPr>
      <w:r w:rsidRPr="00AF5B89">
        <w:rPr>
          <w:rFonts w:ascii="Arial" w:hAnsi="Arial" w:cs="Arial"/>
          <w:sz w:val="22"/>
          <w:szCs w:val="22"/>
        </w:rPr>
        <w:t>At a local level, implementation varies across regions, reflecting differences in population demographics and resource allocation.  Integrated Care Systems (ICSs) play a central role in coordinating diabetes services, tailoring interventions to local needs</w:t>
      </w:r>
      <w:r w:rsidR="00B378CE" w:rsidRPr="00AF5B89">
        <w:rPr>
          <w:rFonts w:ascii="Arial" w:hAnsi="Arial" w:cs="Arial"/>
          <w:sz w:val="22"/>
          <w:szCs w:val="22"/>
        </w:rPr>
        <w:t xml:space="preserve"> </w:t>
      </w:r>
      <w:r w:rsidR="00B378CE" w:rsidRPr="00AF5B89">
        <w:rPr>
          <w:rFonts w:ascii="Arial" w:hAnsi="Arial" w:cs="Arial"/>
          <w:color w:val="000000"/>
          <w:sz w:val="22"/>
          <w:szCs w:val="22"/>
        </w:rPr>
        <w:t>(Bliss, Williamson and Alayo, 2023)</w:t>
      </w:r>
      <w:r w:rsidRPr="00AF5B89">
        <w:rPr>
          <w:rFonts w:ascii="Arial" w:hAnsi="Arial" w:cs="Arial"/>
          <w:sz w:val="22"/>
          <w:szCs w:val="22"/>
        </w:rPr>
        <w:t>.  Areas with higher deprivation and greater ethnic diversity often experience dispropo</w:t>
      </w:r>
      <w:r w:rsidR="003016EE" w:rsidRPr="00AF5B89">
        <w:rPr>
          <w:rFonts w:ascii="Arial" w:hAnsi="Arial" w:cs="Arial"/>
          <w:sz w:val="22"/>
          <w:szCs w:val="22"/>
        </w:rPr>
        <w:t>rtionately higher prevalence rates, promoting targeted community-based initiatives</w:t>
      </w:r>
      <w:r w:rsidR="00B378CE" w:rsidRPr="00AF5B89">
        <w:rPr>
          <w:rFonts w:ascii="Arial" w:hAnsi="Arial" w:cs="Arial"/>
          <w:sz w:val="22"/>
          <w:szCs w:val="22"/>
        </w:rPr>
        <w:t xml:space="preserve"> </w:t>
      </w:r>
      <w:r w:rsidR="00B378CE" w:rsidRPr="00AF5B89">
        <w:rPr>
          <w:rFonts w:ascii="Arial" w:hAnsi="Arial" w:cs="Arial"/>
          <w:color w:val="000000"/>
          <w:sz w:val="22"/>
          <w:szCs w:val="22"/>
        </w:rPr>
        <w:t>(Bansal et al., 2022)</w:t>
      </w:r>
      <w:r w:rsidR="003016EE" w:rsidRPr="00AF5B89">
        <w:rPr>
          <w:rFonts w:ascii="Arial" w:hAnsi="Arial" w:cs="Arial"/>
          <w:sz w:val="22"/>
          <w:szCs w:val="22"/>
        </w:rPr>
        <w:t>.</w:t>
      </w:r>
      <w:r w:rsidR="000D1A74" w:rsidRPr="00AF5B89">
        <w:rPr>
          <w:rFonts w:ascii="Arial" w:hAnsi="Arial" w:cs="Arial"/>
          <w:sz w:val="22"/>
          <w:szCs w:val="22"/>
        </w:rPr>
        <w:t xml:space="preserve">  For example, the Healthier You: NHS Diabetes Prevention Programme has been delivered locally across ICS regions, including the Black Country and West Birmingham ICS, where interventions are adapted to address higher-risk South Asian </w:t>
      </w:r>
      <w:r w:rsidR="000D1A74" w:rsidRPr="00AF5B89">
        <w:rPr>
          <w:rFonts w:ascii="Arial" w:hAnsi="Arial" w:cs="Arial"/>
          <w:sz w:val="22"/>
          <w:szCs w:val="22"/>
        </w:rPr>
        <w:lastRenderedPageBreak/>
        <w:t>populations through culturally appropriate dietary advice and community engagement strategies</w:t>
      </w:r>
      <w:r w:rsidR="00AF5B89" w:rsidRPr="00AF5B89">
        <w:rPr>
          <w:rFonts w:ascii="Arial" w:hAnsi="Arial" w:cs="Arial"/>
          <w:sz w:val="22"/>
          <w:szCs w:val="22"/>
        </w:rPr>
        <w:t xml:space="preserve"> </w:t>
      </w:r>
      <w:r w:rsidR="00AF5B89" w:rsidRPr="00AF5B89">
        <w:rPr>
          <w:rFonts w:ascii="Arial" w:hAnsi="Arial" w:cs="Arial"/>
          <w:color w:val="000000"/>
          <w:sz w:val="22"/>
          <w:szCs w:val="22"/>
        </w:rPr>
        <w:t>(England, 2023)</w:t>
      </w:r>
      <w:r w:rsidR="000D1A74" w:rsidRPr="00AF5B89">
        <w:rPr>
          <w:rFonts w:ascii="Arial" w:hAnsi="Arial" w:cs="Arial"/>
          <w:sz w:val="22"/>
          <w:szCs w:val="22"/>
        </w:rPr>
        <w:t>.  Similarly, in London, the Diabetes Transformation Programme has supported borough-level initiatives such as enhanced primary care screening and structured education programmes (e.g., DESMOND), aimed at early detection and self-management</w:t>
      </w:r>
      <w:r w:rsidR="00AF5B89" w:rsidRPr="00AF5B89">
        <w:rPr>
          <w:rFonts w:ascii="Arial" w:hAnsi="Arial" w:cs="Arial"/>
          <w:sz w:val="22"/>
          <w:szCs w:val="22"/>
        </w:rPr>
        <w:t xml:space="preserve"> </w:t>
      </w:r>
      <w:r w:rsidR="00AF5B89" w:rsidRPr="00AF5B89">
        <w:rPr>
          <w:rFonts w:ascii="Arial" w:hAnsi="Arial" w:cs="Arial"/>
          <w:color w:val="000000"/>
          <w:sz w:val="22"/>
          <w:szCs w:val="22"/>
        </w:rPr>
        <w:t>(DESMOND, 2023)</w:t>
      </w:r>
      <w:r w:rsidR="000D1A74" w:rsidRPr="00AF5B89">
        <w:rPr>
          <w:rFonts w:ascii="Arial" w:hAnsi="Arial" w:cs="Arial"/>
          <w:sz w:val="22"/>
          <w:szCs w:val="22"/>
        </w:rPr>
        <w:t>.</w:t>
      </w:r>
    </w:p>
    <w:p w14:paraId="43610F0A" w14:textId="7D8ACCEB" w:rsidR="003016EE" w:rsidRDefault="003016EE" w:rsidP="008A3D91">
      <w:pPr>
        <w:spacing w:line="360" w:lineRule="auto"/>
        <w:jc w:val="both"/>
      </w:pPr>
    </w:p>
    <w:p w14:paraId="50E44EDA" w14:textId="35F8049D" w:rsidR="003016EE" w:rsidRPr="004E780F" w:rsidRDefault="003016EE" w:rsidP="008A3D91">
      <w:pPr>
        <w:spacing w:line="360" w:lineRule="auto"/>
        <w:jc w:val="both"/>
        <w:rPr>
          <w:rFonts w:ascii="Arial" w:hAnsi="Arial" w:cs="Arial"/>
          <w:sz w:val="22"/>
          <w:szCs w:val="22"/>
        </w:rPr>
      </w:pPr>
      <w:r w:rsidRPr="004E780F">
        <w:rPr>
          <w:rFonts w:ascii="Arial" w:hAnsi="Arial" w:cs="Arial"/>
          <w:sz w:val="22"/>
          <w:szCs w:val="22"/>
        </w:rPr>
        <w:t>Local programmes may include culturally tailored education, primary care-led screening, and partnerships with voluntary organisations.</w:t>
      </w:r>
      <w:r w:rsidR="00EC0515" w:rsidRPr="004E780F">
        <w:rPr>
          <w:rFonts w:ascii="Arial" w:hAnsi="Arial" w:cs="Arial"/>
          <w:sz w:val="22"/>
          <w:szCs w:val="22"/>
        </w:rPr>
        <w:t xml:space="preserve"> For instance, regional initiatives such as the ‘Living Well Taking Control’ programme-commissioned in several area including the Midlands-provide beh</w:t>
      </w:r>
      <w:r w:rsidR="00411EA7" w:rsidRPr="004E780F">
        <w:rPr>
          <w:rFonts w:ascii="Arial" w:hAnsi="Arial" w:cs="Arial"/>
          <w:sz w:val="22"/>
          <w:szCs w:val="22"/>
        </w:rPr>
        <w:t>a</w:t>
      </w:r>
      <w:r w:rsidR="00EC0515" w:rsidRPr="004E780F">
        <w:rPr>
          <w:rFonts w:ascii="Arial" w:hAnsi="Arial" w:cs="Arial"/>
          <w:sz w:val="22"/>
          <w:szCs w:val="22"/>
        </w:rPr>
        <w:t>vio</w:t>
      </w:r>
      <w:r w:rsidR="00B63C96" w:rsidRPr="004E780F">
        <w:rPr>
          <w:rFonts w:ascii="Arial" w:hAnsi="Arial" w:cs="Arial"/>
          <w:sz w:val="22"/>
          <w:szCs w:val="22"/>
        </w:rPr>
        <w:t>u</w:t>
      </w:r>
      <w:r w:rsidR="00EC0515" w:rsidRPr="004E780F">
        <w:rPr>
          <w:rFonts w:ascii="Arial" w:hAnsi="Arial" w:cs="Arial"/>
          <w:sz w:val="22"/>
          <w:szCs w:val="22"/>
        </w:rPr>
        <w:t>ral interventions focusing on weight management and physical activity, while community-led schemes delivered through organisations such as Diab</w:t>
      </w:r>
      <w:r w:rsidR="00411EA7" w:rsidRPr="004E780F">
        <w:rPr>
          <w:rFonts w:ascii="Arial" w:hAnsi="Arial" w:cs="Arial"/>
          <w:sz w:val="22"/>
          <w:szCs w:val="22"/>
        </w:rPr>
        <w:t>e</w:t>
      </w:r>
      <w:r w:rsidR="00EC0515" w:rsidRPr="004E780F">
        <w:rPr>
          <w:rFonts w:ascii="Arial" w:hAnsi="Arial" w:cs="Arial"/>
          <w:sz w:val="22"/>
          <w:szCs w:val="22"/>
        </w:rPr>
        <w:t>tes</w:t>
      </w:r>
      <w:r w:rsidR="00AF5B89" w:rsidRPr="004E780F">
        <w:rPr>
          <w:rFonts w:ascii="Arial" w:hAnsi="Arial" w:cs="Arial"/>
          <w:sz w:val="22"/>
          <w:szCs w:val="22"/>
        </w:rPr>
        <w:t xml:space="preserve"> </w:t>
      </w:r>
      <w:r w:rsidR="00EC0515" w:rsidRPr="004E780F">
        <w:rPr>
          <w:rFonts w:ascii="Arial" w:hAnsi="Arial" w:cs="Arial"/>
          <w:sz w:val="22"/>
          <w:szCs w:val="22"/>
        </w:rPr>
        <w:t>UK local groups offer peer support and education tailored to specific populations</w:t>
      </w:r>
      <w:r w:rsidR="00600F43" w:rsidRPr="004E780F">
        <w:rPr>
          <w:rFonts w:ascii="Arial" w:hAnsi="Arial" w:cs="Arial"/>
          <w:sz w:val="22"/>
          <w:szCs w:val="22"/>
        </w:rPr>
        <w:t xml:space="preserve"> </w:t>
      </w:r>
      <w:r w:rsidR="00600F43" w:rsidRPr="004E780F">
        <w:rPr>
          <w:rFonts w:ascii="Arial" w:hAnsi="Arial" w:cs="Arial"/>
          <w:color w:val="000000"/>
          <w:sz w:val="22"/>
          <w:szCs w:val="22"/>
        </w:rPr>
        <w:t>(Smith et al., 2019)</w:t>
      </w:r>
      <w:r w:rsidR="00EC0515" w:rsidRPr="004E780F">
        <w:rPr>
          <w:rFonts w:ascii="Arial" w:hAnsi="Arial" w:cs="Arial"/>
          <w:sz w:val="22"/>
          <w:szCs w:val="22"/>
        </w:rPr>
        <w:t>.</w:t>
      </w:r>
      <w:r w:rsidRPr="004E780F">
        <w:rPr>
          <w:rFonts w:ascii="Arial" w:hAnsi="Arial" w:cs="Arial"/>
          <w:sz w:val="22"/>
          <w:szCs w:val="22"/>
        </w:rPr>
        <w:t xml:space="preserve">  However, regional variation persists in service accessibility and outcomes.  Understanding these national and local contexts is essential for evaluating current management strategies and identifying areas for improvement within the UK healthcare system</w:t>
      </w:r>
      <w:r w:rsidR="006A59F5" w:rsidRPr="004E780F">
        <w:rPr>
          <w:rFonts w:ascii="Arial" w:hAnsi="Arial" w:cs="Arial"/>
          <w:sz w:val="22"/>
          <w:szCs w:val="22"/>
        </w:rPr>
        <w:t xml:space="preserve"> </w:t>
      </w:r>
      <w:r w:rsidR="006A59F5" w:rsidRPr="004E780F">
        <w:rPr>
          <w:rFonts w:ascii="Arial" w:hAnsi="Arial" w:cs="Arial"/>
          <w:color w:val="000000"/>
          <w:sz w:val="22"/>
          <w:szCs w:val="22"/>
        </w:rPr>
        <w:t>(Hayes et al., 2012)</w:t>
      </w:r>
      <w:r w:rsidRPr="004E780F">
        <w:rPr>
          <w:rFonts w:ascii="Arial" w:hAnsi="Arial" w:cs="Arial"/>
          <w:sz w:val="22"/>
          <w:szCs w:val="22"/>
        </w:rPr>
        <w:t>.</w:t>
      </w:r>
      <w:r w:rsidR="00447029" w:rsidRPr="004E780F">
        <w:rPr>
          <w:rFonts w:ascii="Arial" w:hAnsi="Arial" w:cs="Arial"/>
          <w:sz w:val="22"/>
          <w:szCs w:val="22"/>
        </w:rPr>
        <w:t xml:space="preserve"> </w:t>
      </w:r>
    </w:p>
    <w:p w14:paraId="6D2A9434" w14:textId="15846DFA" w:rsidR="003016EE" w:rsidRPr="00E52633" w:rsidRDefault="003016EE" w:rsidP="008A3D91">
      <w:pPr>
        <w:spacing w:line="360" w:lineRule="auto"/>
        <w:jc w:val="both"/>
        <w:rPr>
          <w:b/>
          <w:bCs/>
          <w:sz w:val="28"/>
          <w:szCs w:val="28"/>
        </w:rPr>
      </w:pPr>
    </w:p>
    <w:p w14:paraId="147BD6A1" w14:textId="111973E2" w:rsidR="003016EE" w:rsidRPr="00E52633" w:rsidRDefault="003016EE" w:rsidP="008A3D91">
      <w:pPr>
        <w:spacing w:line="360" w:lineRule="auto"/>
        <w:jc w:val="both"/>
        <w:rPr>
          <w:rFonts w:ascii="Arial" w:hAnsi="Arial" w:cs="Arial"/>
          <w:b/>
          <w:bCs/>
          <w:sz w:val="28"/>
          <w:szCs w:val="28"/>
        </w:rPr>
      </w:pPr>
      <w:r w:rsidRPr="00E52633">
        <w:rPr>
          <w:rFonts w:ascii="Arial" w:hAnsi="Arial" w:cs="Arial"/>
          <w:b/>
          <w:bCs/>
          <w:sz w:val="28"/>
          <w:szCs w:val="28"/>
        </w:rPr>
        <w:t>CONCLUSION AND TRANSITION TO METHODOLOGY</w:t>
      </w:r>
    </w:p>
    <w:p w14:paraId="187F629F" w14:textId="3139ECB5" w:rsidR="003016EE" w:rsidRPr="007A406A" w:rsidRDefault="003016EE" w:rsidP="008A3D91">
      <w:pPr>
        <w:spacing w:line="360" w:lineRule="auto"/>
        <w:jc w:val="both"/>
        <w:rPr>
          <w:rFonts w:ascii="Arial" w:hAnsi="Arial" w:cs="Arial"/>
          <w:sz w:val="22"/>
          <w:szCs w:val="22"/>
        </w:rPr>
      </w:pPr>
      <w:r w:rsidRPr="007A406A">
        <w:rPr>
          <w:rFonts w:ascii="Arial" w:hAnsi="Arial" w:cs="Arial"/>
          <w:sz w:val="22"/>
          <w:szCs w:val="22"/>
        </w:rPr>
        <w:t>This background chapter has provided a comprehensive overview of type 2 diabetes mellitus, examining its historical development, theoretical foundations, and international, national, and local contexts.  The discussion has demonstrated how T2DM has evolved from a re</w:t>
      </w:r>
      <w:r w:rsidR="00655FB4" w:rsidRPr="007A406A">
        <w:rPr>
          <w:rFonts w:ascii="Arial" w:hAnsi="Arial" w:cs="Arial"/>
          <w:sz w:val="22"/>
          <w:szCs w:val="22"/>
        </w:rPr>
        <w:t>latively rare condition to a major global and UK public health challenge shaped by biological, behavioural, and socioeconomic factors.  By exploring key theories and policy frameworks, the chapter has established a robust conceptual and contextual basis for the study.</w:t>
      </w:r>
    </w:p>
    <w:p w14:paraId="163AA75C" w14:textId="63333276" w:rsidR="00655FB4" w:rsidRDefault="00655FB4" w:rsidP="008A3D91">
      <w:pPr>
        <w:spacing w:line="360" w:lineRule="auto"/>
        <w:jc w:val="both"/>
      </w:pPr>
    </w:p>
    <w:p w14:paraId="7549AA36" w14:textId="0D30BC88" w:rsidR="004C3695" w:rsidRDefault="00655FB4" w:rsidP="008A3D91">
      <w:pPr>
        <w:spacing w:line="360" w:lineRule="auto"/>
        <w:jc w:val="both"/>
        <w:rPr>
          <w:rFonts w:ascii="Arial" w:hAnsi="Arial" w:cs="Arial"/>
          <w:sz w:val="22"/>
          <w:szCs w:val="22"/>
        </w:rPr>
      </w:pPr>
      <w:r w:rsidRPr="007A406A">
        <w:rPr>
          <w:rFonts w:ascii="Arial" w:hAnsi="Arial" w:cs="Arial"/>
          <w:sz w:val="22"/>
          <w:szCs w:val="22"/>
        </w:rPr>
        <w:t xml:space="preserve">This foundational knowledge directly informs the next </w:t>
      </w:r>
      <w:r w:rsidR="00A87228" w:rsidRPr="007A406A">
        <w:rPr>
          <w:rFonts w:ascii="Arial" w:hAnsi="Arial" w:cs="Arial"/>
          <w:sz w:val="22"/>
          <w:szCs w:val="22"/>
        </w:rPr>
        <w:t>chapter</w:t>
      </w:r>
      <w:r w:rsidR="004D6302" w:rsidRPr="007A406A">
        <w:rPr>
          <w:rFonts w:ascii="Arial" w:hAnsi="Arial" w:cs="Arial"/>
          <w:sz w:val="22"/>
          <w:szCs w:val="22"/>
        </w:rPr>
        <w:t xml:space="preserve"> on methodology.  Understanding the complexity and multifactorial nature of T2DM supports the selection of appropriate research methods, data sources, and analytical approaches.  The subsequent methodology chapter will build on this background to justify the research design and methods used to investigate prevalence, risk factors, and management strategies in UK adults.</w:t>
      </w:r>
    </w:p>
    <w:p w14:paraId="21BD77D0" w14:textId="77777777" w:rsidR="00E52633" w:rsidRPr="00D62622" w:rsidRDefault="00E52633" w:rsidP="008A3D91">
      <w:pPr>
        <w:spacing w:line="360" w:lineRule="auto"/>
        <w:jc w:val="both"/>
        <w:rPr>
          <w:rFonts w:ascii="Arial" w:hAnsi="Arial" w:cs="Arial"/>
          <w:sz w:val="22"/>
          <w:szCs w:val="22"/>
        </w:rPr>
      </w:pPr>
    </w:p>
    <w:p w14:paraId="736F98D5" w14:textId="4B80A312" w:rsidR="001C34F5" w:rsidRPr="00E52633" w:rsidRDefault="00D1448E" w:rsidP="008A3D91">
      <w:pPr>
        <w:spacing w:line="360" w:lineRule="auto"/>
        <w:jc w:val="both"/>
        <w:rPr>
          <w:rFonts w:ascii="Arial" w:hAnsi="Arial" w:cs="Arial"/>
          <w:b/>
          <w:bCs/>
          <w:color w:val="000000" w:themeColor="text1"/>
          <w:sz w:val="32"/>
          <w:szCs w:val="32"/>
        </w:rPr>
      </w:pPr>
      <w:r w:rsidRPr="00E52633">
        <w:rPr>
          <w:rFonts w:ascii="Arial" w:hAnsi="Arial" w:cs="Arial"/>
          <w:b/>
          <w:bCs/>
          <w:color w:val="000000" w:themeColor="text1"/>
          <w:sz w:val="32"/>
          <w:szCs w:val="32"/>
        </w:rPr>
        <w:t>CHAPTER 3</w:t>
      </w:r>
    </w:p>
    <w:p w14:paraId="5EE8B473" w14:textId="77777777" w:rsidR="00F0752A" w:rsidRPr="00E52633" w:rsidRDefault="001C34F5" w:rsidP="008A3D91">
      <w:pPr>
        <w:pStyle w:val="Heading2"/>
        <w:jc w:val="both"/>
        <w:rPr>
          <w:rFonts w:ascii="Arial" w:hAnsi="Arial" w:cs="Arial"/>
          <w:b/>
          <w:bCs/>
          <w:color w:val="000000" w:themeColor="text1"/>
          <w:sz w:val="28"/>
          <w:szCs w:val="28"/>
        </w:rPr>
      </w:pPr>
      <w:r w:rsidRPr="00E52633">
        <w:rPr>
          <w:rFonts w:ascii="Arial" w:hAnsi="Arial" w:cs="Arial"/>
          <w:b/>
          <w:bCs/>
          <w:color w:val="000000" w:themeColor="text1"/>
          <w:sz w:val="28"/>
          <w:szCs w:val="28"/>
        </w:rPr>
        <w:lastRenderedPageBreak/>
        <w:t xml:space="preserve">3.1 – Introduction </w:t>
      </w:r>
    </w:p>
    <w:p w14:paraId="613CD401" w14:textId="77777777" w:rsidR="00F0752A" w:rsidRPr="00E52633" w:rsidRDefault="00F0752A" w:rsidP="008A3D91">
      <w:pPr>
        <w:pStyle w:val="Heading2"/>
        <w:jc w:val="both"/>
        <w:rPr>
          <w:rFonts w:ascii="Arial" w:hAnsi="Arial" w:cs="Arial"/>
          <w:color w:val="000000" w:themeColor="text1"/>
          <w:sz w:val="28"/>
          <w:szCs w:val="28"/>
        </w:rPr>
      </w:pPr>
    </w:p>
    <w:p w14:paraId="136C1A09" w14:textId="0992D688" w:rsidR="001C34F5" w:rsidRPr="00E52633" w:rsidRDefault="001C34F5" w:rsidP="008A3D91">
      <w:pPr>
        <w:pStyle w:val="Heading2"/>
        <w:jc w:val="both"/>
        <w:rPr>
          <w:rStyle w:val="Strong"/>
          <w:rFonts w:ascii="Arial" w:hAnsi="Arial" w:cs="Arial"/>
          <w:b w:val="0"/>
          <w:bCs w:val="0"/>
          <w:color w:val="000000" w:themeColor="text1"/>
          <w:sz w:val="28"/>
          <w:szCs w:val="28"/>
        </w:rPr>
      </w:pPr>
      <w:r w:rsidRPr="00E52633">
        <w:rPr>
          <w:rStyle w:val="Strong"/>
          <w:rFonts w:ascii="Arial" w:eastAsia="Calibri Light" w:hAnsi="Arial" w:cs="Arial"/>
          <w:color w:val="000000" w:themeColor="text1"/>
          <w:sz w:val="28"/>
          <w:szCs w:val="28"/>
        </w:rPr>
        <w:t>Purpose of the Chapter:</w:t>
      </w:r>
    </w:p>
    <w:p w14:paraId="500DEBFD" w14:textId="3665B3F9" w:rsidR="00F0752A" w:rsidRDefault="00F0752A" w:rsidP="008A3D91">
      <w:pPr>
        <w:pStyle w:val="NormalWeb"/>
        <w:spacing w:line="360" w:lineRule="auto"/>
        <w:jc w:val="both"/>
        <w:rPr>
          <w:rStyle w:val="Strong"/>
          <w:rFonts w:ascii="Arial" w:eastAsia="Calibri Light" w:hAnsi="Arial" w:cs="Arial"/>
          <w:b w:val="0"/>
          <w:bCs w:val="0"/>
          <w:sz w:val="22"/>
          <w:szCs w:val="22"/>
        </w:rPr>
      </w:pPr>
      <w:r>
        <w:rPr>
          <w:rStyle w:val="Strong"/>
          <w:rFonts w:ascii="Arial" w:eastAsia="Calibri Light" w:hAnsi="Arial" w:cs="Arial"/>
          <w:b w:val="0"/>
          <w:bCs w:val="0"/>
          <w:sz w:val="22"/>
          <w:szCs w:val="22"/>
        </w:rPr>
        <w:t>This chapter outlines the methodological approach used to conduct the research for this dissertation.  The study adopted a desk-based, literature-based methodology, drawing upon existing academic and policy literature to investigate the prevalence, risk factors, and management strategies of type 2 diabetes mellitus (T2DM) among adults in the United Kingdom.  As no primary data collection was undertaken, the research relied on systematic identification, selection, and analysis of relevant secondary sources.</w:t>
      </w:r>
    </w:p>
    <w:p w14:paraId="0899A211" w14:textId="08EB1BFA" w:rsidR="001331BF" w:rsidRPr="001331BF" w:rsidRDefault="001331BF" w:rsidP="008A3D91">
      <w:pPr>
        <w:pStyle w:val="NormalWeb"/>
        <w:spacing w:line="360" w:lineRule="auto"/>
        <w:jc w:val="both"/>
        <w:rPr>
          <w:rFonts w:ascii="Arial" w:eastAsia="Calibri Light" w:hAnsi="Arial" w:cs="Arial"/>
          <w:sz w:val="22"/>
          <w:szCs w:val="22"/>
        </w:rPr>
      </w:pPr>
      <w:r>
        <w:rPr>
          <w:rStyle w:val="Strong"/>
          <w:rFonts w:ascii="Arial" w:eastAsia="Calibri Light" w:hAnsi="Arial" w:cs="Arial"/>
          <w:b w:val="0"/>
          <w:bCs w:val="0"/>
          <w:sz w:val="22"/>
          <w:szCs w:val="22"/>
        </w:rPr>
        <w:t>An academic methodology poster was produced as part of this project, providing a visual overview of the research process, including search strategy, validation techniques, and analytical methods.  This chapter expands on the key components presented within that poster, offering a detailed explanation of how the literature was located, evaluated and analysed.</w:t>
      </w:r>
    </w:p>
    <w:p w14:paraId="07717F4B" w14:textId="77777777" w:rsidR="00400A32" w:rsidRPr="00E52633" w:rsidRDefault="001C34F5" w:rsidP="008A3D91">
      <w:pPr>
        <w:pStyle w:val="NormalWeb"/>
        <w:spacing w:line="360" w:lineRule="auto"/>
        <w:jc w:val="both"/>
        <w:rPr>
          <w:rStyle w:val="Strong"/>
          <w:rFonts w:ascii="Arial" w:eastAsia="Calibri Light" w:hAnsi="Arial" w:cs="Arial"/>
          <w:sz w:val="28"/>
          <w:szCs w:val="28"/>
        </w:rPr>
      </w:pPr>
      <w:r w:rsidRPr="00E52633">
        <w:rPr>
          <w:rStyle w:val="Strong"/>
          <w:rFonts w:ascii="Arial" w:eastAsia="Calibri Light" w:hAnsi="Arial" w:cs="Arial"/>
          <w:sz w:val="28"/>
          <w:szCs w:val="28"/>
        </w:rPr>
        <w:t>Connection to the Dissertation:</w:t>
      </w:r>
    </w:p>
    <w:p w14:paraId="4B8CA197" w14:textId="64937161" w:rsidR="001331BF" w:rsidRPr="00400A32" w:rsidRDefault="001331BF" w:rsidP="008A3D91">
      <w:pPr>
        <w:pStyle w:val="NormalWeb"/>
        <w:spacing w:line="360" w:lineRule="auto"/>
        <w:jc w:val="both"/>
        <w:rPr>
          <w:rStyle w:val="Strong"/>
          <w:rFonts w:ascii="Arial" w:eastAsia="Calibri Light" w:hAnsi="Arial" w:cs="Arial"/>
          <w:sz w:val="22"/>
          <w:szCs w:val="22"/>
        </w:rPr>
      </w:pPr>
      <w:r>
        <w:rPr>
          <w:rStyle w:val="Strong"/>
          <w:rFonts w:ascii="Arial" w:eastAsia="Calibri Light" w:hAnsi="Arial" w:cs="Arial"/>
          <w:b w:val="0"/>
          <w:bCs w:val="0"/>
          <w:sz w:val="22"/>
          <w:szCs w:val="22"/>
        </w:rPr>
        <w:t>The methodological approach described in this chapter is essential in identifying credible sources that form the basis of the thematic findings presented in Chapter 4, where patterns and insights from the literature are critically examined.</w:t>
      </w:r>
    </w:p>
    <w:p w14:paraId="374C17D8" w14:textId="52D4CEAF" w:rsidR="001C34F5" w:rsidRPr="00E52633" w:rsidRDefault="001C34F5" w:rsidP="008A3D91">
      <w:pPr>
        <w:pStyle w:val="Heading2"/>
        <w:jc w:val="both"/>
        <w:rPr>
          <w:rFonts w:ascii="Arial" w:hAnsi="Arial" w:cs="Arial"/>
          <w:b/>
          <w:bCs/>
          <w:color w:val="000000" w:themeColor="text1"/>
          <w:sz w:val="32"/>
          <w:szCs w:val="32"/>
        </w:rPr>
      </w:pPr>
      <w:r w:rsidRPr="00E52633">
        <w:rPr>
          <w:rFonts w:ascii="Arial" w:hAnsi="Arial" w:cs="Arial"/>
          <w:b/>
          <w:bCs/>
          <w:color w:val="000000" w:themeColor="text1"/>
          <w:sz w:val="32"/>
          <w:szCs w:val="32"/>
        </w:rPr>
        <w:t xml:space="preserve">3.2 – Search Strategy  </w:t>
      </w:r>
    </w:p>
    <w:p w14:paraId="7C73E36F" w14:textId="77777777" w:rsidR="001331BF" w:rsidRPr="00E52633" w:rsidRDefault="001331BF" w:rsidP="008A3D91">
      <w:pPr>
        <w:jc w:val="both"/>
        <w:rPr>
          <w:rFonts w:ascii="Arial" w:hAnsi="Arial" w:cs="Arial"/>
          <w:color w:val="000000" w:themeColor="text1"/>
          <w:sz w:val="28"/>
          <w:szCs w:val="28"/>
        </w:rPr>
      </w:pPr>
    </w:p>
    <w:p w14:paraId="7D3B83DE" w14:textId="7DF25CDF" w:rsidR="001C34F5" w:rsidRPr="00E52633" w:rsidRDefault="001C34F5" w:rsidP="008A3D91">
      <w:pPr>
        <w:jc w:val="both"/>
        <w:rPr>
          <w:rFonts w:ascii="Arial" w:hAnsi="Arial" w:cs="Arial"/>
          <w:b/>
          <w:bCs/>
          <w:color w:val="000000" w:themeColor="text1"/>
          <w:sz w:val="28"/>
          <w:szCs w:val="28"/>
        </w:rPr>
      </w:pPr>
      <w:r w:rsidRPr="00E52633">
        <w:rPr>
          <w:rFonts w:ascii="Arial" w:hAnsi="Arial" w:cs="Arial"/>
          <w:b/>
          <w:bCs/>
          <w:color w:val="000000" w:themeColor="text1"/>
          <w:sz w:val="28"/>
          <w:szCs w:val="28"/>
        </w:rPr>
        <w:t>Developing Keywords:</w:t>
      </w:r>
    </w:p>
    <w:p w14:paraId="55E1DA96" w14:textId="383B618F" w:rsidR="001331BF" w:rsidRDefault="001331BF" w:rsidP="008A3D91">
      <w:pPr>
        <w:jc w:val="both"/>
        <w:rPr>
          <w:rFonts w:ascii="Arial" w:hAnsi="Arial" w:cs="Arial"/>
          <w:sz w:val="22"/>
          <w:szCs w:val="22"/>
        </w:rPr>
      </w:pPr>
    </w:p>
    <w:p w14:paraId="591A8264" w14:textId="2D0B2C75" w:rsidR="001331BF" w:rsidRPr="001331BF" w:rsidRDefault="001331BF" w:rsidP="008A3D91">
      <w:pPr>
        <w:spacing w:line="360" w:lineRule="auto"/>
        <w:jc w:val="both"/>
        <w:rPr>
          <w:rFonts w:ascii="Arial" w:hAnsi="Arial" w:cs="Arial"/>
          <w:sz w:val="22"/>
          <w:szCs w:val="22"/>
        </w:rPr>
      </w:pPr>
      <w:r>
        <w:rPr>
          <w:rFonts w:ascii="Arial" w:hAnsi="Arial" w:cs="Arial"/>
          <w:sz w:val="22"/>
          <w:szCs w:val="22"/>
        </w:rPr>
        <w:t>The search strategy was developed using key terms derived directly from the dissertation title and research aim.  Core keywords included “type 2 diabetes,” “prevalence,” “risk factors,” “management strategies,” and “UK adults.”  To ensure comprehensive coverage of the literature, these terms were expanded to include professional and technical synonyms such as “T2DM,” “epide</w:t>
      </w:r>
      <w:r w:rsidR="003045FF">
        <w:rPr>
          <w:rFonts w:ascii="Arial" w:hAnsi="Arial" w:cs="Arial"/>
          <w:sz w:val="22"/>
          <w:szCs w:val="22"/>
        </w:rPr>
        <w:t>miology,” “glycaemic control,” “lifestyle intervention,” and “diabetes prevention.”</w:t>
      </w:r>
    </w:p>
    <w:p w14:paraId="1F43370A" w14:textId="77777777" w:rsidR="001331BF" w:rsidRDefault="001331BF" w:rsidP="008A3D91">
      <w:pPr>
        <w:jc w:val="both"/>
      </w:pPr>
    </w:p>
    <w:p w14:paraId="4A214A73" w14:textId="20B5422C" w:rsidR="001C34F5" w:rsidRPr="00E52633" w:rsidRDefault="001C34F5" w:rsidP="008A3D91">
      <w:pPr>
        <w:jc w:val="both"/>
        <w:rPr>
          <w:rFonts w:ascii="Arial" w:hAnsi="Arial" w:cs="Arial"/>
          <w:b/>
          <w:bCs/>
          <w:sz w:val="28"/>
          <w:szCs w:val="28"/>
        </w:rPr>
      </w:pPr>
      <w:r w:rsidRPr="00E52633">
        <w:rPr>
          <w:rFonts w:ascii="Arial" w:hAnsi="Arial" w:cs="Arial"/>
          <w:b/>
          <w:bCs/>
          <w:sz w:val="28"/>
          <w:szCs w:val="28"/>
        </w:rPr>
        <w:t>Boolean Operators:</w:t>
      </w:r>
    </w:p>
    <w:p w14:paraId="64B85844" w14:textId="0F1F1115" w:rsidR="003045FF" w:rsidRDefault="003045FF" w:rsidP="008A3D91">
      <w:pPr>
        <w:jc w:val="both"/>
        <w:rPr>
          <w:rFonts w:ascii="Arial" w:hAnsi="Arial" w:cs="Arial"/>
          <w:b/>
          <w:bCs/>
          <w:sz w:val="22"/>
          <w:szCs w:val="22"/>
        </w:rPr>
      </w:pPr>
    </w:p>
    <w:p w14:paraId="35DF0714" w14:textId="106ECCDA" w:rsidR="003045FF" w:rsidRPr="003045FF" w:rsidRDefault="003045FF" w:rsidP="008A3D91">
      <w:pPr>
        <w:spacing w:line="360" w:lineRule="auto"/>
        <w:jc w:val="both"/>
        <w:rPr>
          <w:rFonts w:ascii="Arial" w:hAnsi="Arial" w:cs="Arial"/>
          <w:sz w:val="22"/>
          <w:szCs w:val="22"/>
        </w:rPr>
      </w:pPr>
      <w:r>
        <w:rPr>
          <w:rFonts w:ascii="Arial" w:hAnsi="Arial" w:cs="Arial"/>
          <w:sz w:val="22"/>
          <w:szCs w:val="22"/>
        </w:rPr>
        <w:t xml:space="preserve">Boolean operators were used to refine the search process and improve the relevance of results.  For example, searches such as “type 2 diabetes AND prevalence AND UK,” and </w:t>
      </w:r>
      <w:r>
        <w:rPr>
          <w:rFonts w:ascii="Arial" w:hAnsi="Arial" w:cs="Arial"/>
          <w:sz w:val="22"/>
          <w:szCs w:val="22"/>
        </w:rPr>
        <w:lastRenderedPageBreak/>
        <w:t>“T2DM AND risk factors OR lifestyle behaviours” were conducted.  The NOT operator was occasionally used to exclude unrelated studies.</w:t>
      </w:r>
    </w:p>
    <w:p w14:paraId="685FEC4E" w14:textId="77777777" w:rsidR="001C34F5" w:rsidRPr="003045FF" w:rsidRDefault="001C34F5" w:rsidP="008A3D91">
      <w:pPr>
        <w:spacing w:line="360" w:lineRule="auto"/>
        <w:jc w:val="both"/>
        <w:rPr>
          <w:rFonts w:ascii="Aptos" w:hAnsi="Aptos"/>
        </w:rPr>
      </w:pPr>
    </w:p>
    <w:p w14:paraId="42F94B6C" w14:textId="05B58E4E" w:rsidR="001C34F5" w:rsidRPr="00E52633" w:rsidRDefault="001C34F5" w:rsidP="008A3D91">
      <w:pPr>
        <w:jc w:val="both"/>
        <w:rPr>
          <w:rFonts w:ascii="Arial" w:hAnsi="Arial" w:cs="Arial"/>
          <w:b/>
          <w:bCs/>
          <w:sz w:val="28"/>
          <w:szCs w:val="28"/>
        </w:rPr>
      </w:pPr>
      <w:r w:rsidRPr="00E52633">
        <w:rPr>
          <w:rFonts w:ascii="Arial" w:hAnsi="Arial" w:cs="Arial"/>
          <w:b/>
          <w:bCs/>
          <w:sz w:val="28"/>
          <w:szCs w:val="28"/>
        </w:rPr>
        <w:t>Structured Search Plan:</w:t>
      </w:r>
    </w:p>
    <w:p w14:paraId="6BDB3734" w14:textId="77777777" w:rsidR="00EE505C" w:rsidRDefault="00EE505C" w:rsidP="008A3D91">
      <w:pPr>
        <w:spacing w:line="360" w:lineRule="auto"/>
        <w:jc w:val="both"/>
        <w:rPr>
          <w:rFonts w:ascii="Arial" w:hAnsi="Arial" w:cs="Arial"/>
          <w:sz w:val="22"/>
          <w:szCs w:val="22"/>
        </w:rPr>
      </w:pPr>
    </w:p>
    <w:p w14:paraId="582FD38D" w14:textId="0F7A8F61" w:rsidR="001C34F5" w:rsidRDefault="003045FF" w:rsidP="008A3D91">
      <w:pPr>
        <w:spacing w:line="360" w:lineRule="auto"/>
        <w:jc w:val="both"/>
        <w:rPr>
          <w:rFonts w:ascii="Arial" w:hAnsi="Arial" w:cs="Arial"/>
          <w:sz w:val="22"/>
          <w:szCs w:val="22"/>
        </w:rPr>
      </w:pPr>
      <w:r>
        <w:rPr>
          <w:rFonts w:ascii="Arial" w:hAnsi="Arial" w:cs="Arial"/>
          <w:sz w:val="22"/>
          <w:szCs w:val="22"/>
        </w:rPr>
        <w:t>A structured search plan was implemented to organise the search process, enabling the researcher to record useful keyword combinations and ensure consistence across databases.</w:t>
      </w:r>
    </w:p>
    <w:p w14:paraId="38ED44ED" w14:textId="77777777" w:rsidR="003045FF" w:rsidRPr="003045FF" w:rsidRDefault="003045FF" w:rsidP="008A3D91">
      <w:pPr>
        <w:spacing w:line="360" w:lineRule="auto"/>
        <w:jc w:val="both"/>
        <w:rPr>
          <w:rFonts w:ascii="Arial" w:hAnsi="Arial" w:cs="Arial"/>
          <w:sz w:val="22"/>
          <w:szCs w:val="22"/>
        </w:rPr>
      </w:pPr>
    </w:p>
    <w:p w14:paraId="3DD3B0C0" w14:textId="4D672CB0" w:rsidR="001C34F5" w:rsidRPr="00E52633" w:rsidRDefault="001C34F5" w:rsidP="008A3D91">
      <w:pPr>
        <w:pStyle w:val="Heading2"/>
        <w:numPr>
          <w:ilvl w:val="1"/>
          <w:numId w:val="11"/>
        </w:numPr>
        <w:spacing w:line="360" w:lineRule="auto"/>
        <w:jc w:val="both"/>
        <w:rPr>
          <w:rFonts w:ascii="Arial" w:hAnsi="Arial" w:cs="Arial"/>
          <w:b/>
          <w:bCs/>
          <w:color w:val="000000" w:themeColor="text1"/>
          <w:sz w:val="32"/>
          <w:szCs w:val="32"/>
        </w:rPr>
      </w:pPr>
      <w:r w:rsidRPr="00E52633">
        <w:rPr>
          <w:rFonts w:ascii="Arial" w:hAnsi="Arial" w:cs="Arial"/>
          <w:b/>
          <w:bCs/>
          <w:color w:val="000000" w:themeColor="text1"/>
          <w:sz w:val="32"/>
          <w:szCs w:val="32"/>
        </w:rPr>
        <w:t xml:space="preserve">– Searching for Information </w:t>
      </w:r>
    </w:p>
    <w:p w14:paraId="7D307822" w14:textId="3F5F30D5" w:rsidR="001C34F5" w:rsidRDefault="001C34F5" w:rsidP="008A3D91">
      <w:pPr>
        <w:jc w:val="both"/>
        <w:rPr>
          <w:rFonts w:ascii="Arial" w:hAnsi="Arial" w:cs="Arial"/>
          <w:b/>
          <w:bCs/>
          <w:sz w:val="28"/>
          <w:szCs w:val="28"/>
        </w:rPr>
      </w:pPr>
      <w:r w:rsidRPr="00E52633">
        <w:rPr>
          <w:rFonts w:ascii="Arial" w:hAnsi="Arial" w:cs="Arial"/>
          <w:b/>
          <w:bCs/>
          <w:sz w:val="28"/>
          <w:szCs w:val="28"/>
        </w:rPr>
        <w:t>Databases and Platforms:</w:t>
      </w:r>
    </w:p>
    <w:p w14:paraId="41E13B36" w14:textId="77777777" w:rsidR="00045DA2" w:rsidRPr="00E52633" w:rsidRDefault="00045DA2" w:rsidP="008A3D91">
      <w:pPr>
        <w:jc w:val="both"/>
        <w:rPr>
          <w:rFonts w:ascii="Arial" w:hAnsi="Arial" w:cs="Arial"/>
          <w:b/>
          <w:bCs/>
          <w:sz w:val="28"/>
          <w:szCs w:val="28"/>
        </w:rPr>
      </w:pPr>
    </w:p>
    <w:p w14:paraId="21D51834" w14:textId="21F2DCE5" w:rsidR="003045FF" w:rsidRPr="003045FF" w:rsidRDefault="003045FF" w:rsidP="008A3D91">
      <w:pPr>
        <w:spacing w:line="360" w:lineRule="auto"/>
        <w:jc w:val="both"/>
        <w:rPr>
          <w:rFonts w:ascii="Arial" w:hAnsi="Arial" w:cs="Arial"/>
          <w:sz w:val="22"/>
          <w:szCs w:val="22"/>
        </w:rPr>
      </w:pPr>
      <w:r>
        <w:rPr>
          <w:rFonts w:ascii="Arial" w:hAnsi="Arial" w:cs="Arial"/>
          <w:sz w:val="22"/>
          <w:szCs w:val="22"/>
        </w:rPr>
        <w:t>Academic literature was primarily sourced through reputable academic databases including Google Scholar, PubMed,</w:t>
      </w:r>
      <w:r w:rsidR="005A3FDD">
        <w:rPr>
          <w:rFonts w:ascii="Arial" w:hAnsi="Arial" w:cs="Arial"/>
          <w:sz w:val="22"/>
          <w:szCs w:val="22"/>
        </w:rPr>
        <w:t xml:space="preserve"> ScienceDirect</w:t>
      </w:r>
      <w:r>
        <w:rPr>
          <w:rFonts w:ascii="Arial" w:hAnsi="Arial" w:cs="Arial"/>
          <w:sz w:val="22"/>
          <w:szCs w:val="22"/>
        </w:rPr>
        <w:t xml:space="preserve"> and UWTSD library.  These platforms were selected due to their accessibility and extensive coverage or peer-reviewed medical</w:t>
      </w:r>
      <w:r w:rsidR="005A3FDD">
        <w:rPr>
          <w:rFonts w:ascii="Arial" w:hAnsi="Arial" w:cs="Arial"/>
          <w:sz w:val="22"/>
          <w:szCs w:val="22"/>
        </w:rPr>
        <w:t>, public health, and social science research relevant to diabetes.  Google Scholar provided broad access to multidisciplinary literature, while PubMed was particularly useful for identifying biomedical and epidemiological studies relating to diabetes prevalence and clinical management.  ScienceDirect and UWTSD library offered access to high-quality academic journals covering public health, healthcare policy, and chronic disease management.</w:t>
      </w:r>
    </w:p>
    <w:p w14:paraId="735F162B" w14:textId="77777777" w:rsidR="005A3FDD" w:rsidRDefault="005A3FDD" w:rsidP="008A3D91">
      <w:pPr>
        <w:jc w:val="both"/>
      </w:pPr>
    </w:p>
    <w:p w14:paraId="1D77D1F5" w14:textId="60D88490" w:rsidR="001C34F5" w:rsidRDefault="001C34F5" w:rsidP="008A3D91">
      <w:pPr>
        <w:jc w:val="both"/>
        <w:rPr>
          <w:rFonts w:ascii="Arial" w:hAnsi="Arial" w:cs="Arial"/>
          <w:b/>
          <w:bCs/>
          <w:sz w:val="28"/>
          <w:szCs w:val="28"/>
        </w:rPr>
      </w:pPr>
      <w:r w:rsidRPr="00E52633">
        <w:rPr>
          <w:rFonts w:ascii="Arial" w:hAnsi="Arial" w:cs="Arial"/>
          <w:b/>
          <w:bCs/>
          <w:sz w:val="28"/>
          <w:szCs w:val="28"/>
        </w:rPr>
        <w:t>Using Filters:</w:t>
      </w:r>
    </w:p>
    <w:p w14:paraId="6D62690B" w14:textId="77777777" w:rsidR="00045DA2" w:rsidRPr="00E52633" w:rsidRDefault="00045DA2" w:rsidP="008A3D91">
      <w:pPr>
        <w:jc w:val="both"/>
        <w:rPr>
          <w:rFonts w:ascii="Arial" w:hAnsi="Arial" w:cs="Arial"/>
          <w:b/>
          <w:bCs/>
          <w:sz w:val="28"/>
          <w:szCs w:val="28"/>
        </w:rPr>
      </w:pPr>
    </w:p>
    <w:p w14:paraId="441093D7" w14:textId="245E2B28" w:rsidR="005A3FDD" w:rsidRPr="005A3FDD" w:rsidRDefault="005A3FDD" w:rsidP="008A3D91">
      <w:pPr>
        <w:spacing w:line="360" w:lineRule="auto"/>
        <w:jc w:val="both"/>
        <w:rPr>
          <w:rFonts w:ascii="Arial" w:hAnsi="Arial" w:cs="Arial"/>
          <w:sz w:val="22"/>
          <w:szCs w:val="22"/>
        </w:rPr>
      </w:pPr>
      <w:r>
        <w:rPr>
          <w:rFonts w:ascii="Arial" w:hAnsi="Arial" w:cs="Arial"/>
          <w:sz w:val="22"/>
          <w:szCs w:val="22"/>
        </w:rPr>
        <w:t>To improve the relevance and quality of search results, several filters were applied during the search process.  These included limiting results to peer-reviewed journals articles, publications within the last ten years, and studies written in English.  Where possible, research focusing specifically on UK adult populations was prioritised to ensure relevance to the research</w:t>
      </w:r>
      <w:r w:rsidR="00420791">
        <w:rPr>
          <w:rFonts w:ascii="Arial" w:hAnsi="Arial" w:cs="Arial"/>
          <w:sz w:val="22"/>
          <w:szCs w:val="22"/>
        </w:rPr>
        <w:t xml:space="preserve"> context.</w:t>
      </w:r>
    </w:p>
    <w:p w14:paraId="25E8DADE" w14:textId="77777777" w:rsidR="00420791" w:rsidRPr="00E52633" w:rsidRDefault="00420791" w:rsidP="008A3D91">
      <w:pPr>
        <w:jc w:val="both"/>
        <w:rPr>
          <w:rFonts w:ascii="Arial" w:hAnsi="Arial" w:cs="Arial"/>
          <w:sz w:val="28"/>
          <w:szCs w:val="28"/>
        </w:rPr>
      </w:pPr>
    </w:p>
    <w:p w14:paraId="08BB43D4" w14:textId="7364B7F0" w:rsidR="001C34F5" w:rsidRDefault="001C34F5" w:rsidP="008A3D91">
      <w:pPr>
        <w:jc w:val="both"/>
        <w:rPr>
          <w:rFonts w:ascii="Arial" w:hAnsi="Arial" w:cs="Arial"/>
          <w:b/>
          <w:bCs/>
          <w:sz w:val="28"/>
          <w:szCs w:val="28"/>
        </w:rPr>
      </w:pPr>
      <w:r w:rsidRPr="00E52633">
        <w:rPr>
          <w:rFonts w:ascii="Arial" w:hAnsi="Arial" w:cs="Arial"/>
          <w:b/>
          <w:bCs/>
          <w:sz w:val="28"/>
          <w:szCs w:val="28"/>
        </w:rPr>
        <w:t>Search Process:</w:t>
      </w:r>
    </w:p>
    <w:p w14:paraId="79F17695" w14:textId="77777777" w:rsidR="00045DA2" w:rsidRPr="00E52633" w:rsidRDefault="00045DA2" w:rsidP="008A3D91">
      <w:pPr>
        <w:jc w:val="both"/>
        <w:rPr>
          <w:rFonts w:ascii="Arial" w:hAnsi="Arial" w:cs="Arial"/>
          <w:b/>
          <w:bCs/>
          <w:sz w:val="28"/>
          <w:szCs w:val="28"/>
        </w:rPr>
      </w:pPr>
    </w:p>
    <w:p w14:paraId="1EA7479B" w14:textId="72FBB5FE" w:rsidR="00420791" w:rsidRDefault="00420791" w:rsidP="008A3D91">
      <w:pPr>
        <w:spacing w:line="360" w:lineRule="auto"/>
        <w:jc w:val="both"/>
        <w:rPr>
          <w:rFonts w:ascii="Arial" w:hAnsi="Arial" w:cs="Arial"/>
          <w:sz w:val="22"/>
          <w:szCs w:val="22"/>
        </w:rPr>
      </w:pPr>
      <w:r>
        <w:rPr>
          <w:rFonts w:ascii="Arial" w:hAnsi="Arial" w:cs="Arial"/>
          <w:sz w:val="22"/>
          <w:szCs w:val="22"/>
        </w:rPr>
        <w:t>The search process was iterative, meaning that search terms and combinations were adjusted as literature review progressed.  For example, additional terms such as “health inequalities,” “obesity,” and “diabetes prevention programme” were incorporated when these concepts repeatedly appeared within relevant studies.</w:t>
      </w:r>
    </w:p>
    <w:p w14:paraId="3D81B4A1" w14:textId="59563D7F" w:rsidR="00420791" w:rsidRPr="004D44D5" w:rsidRDefault="004D44D5" w:rsidP="008A3D91">
      <w:pPr>
        <w:spacing w:line="360" w:lineRule="auto"/>
        <w:jc w:val="both"/>
        <w:rPr>
          <w:rFonts w:ascii="Arial" w:hAnsi="Arial" w:cs="Arial"/>
          <w:color w:val="FF0000"/>
          <w:sz w:val="22"/>
          <w:szCs w:val="22"/>
        </w:rPr>
      </w:pPr>
      <w:r>
        <w:rPr>
          <w:rFonts w:ascii="Arial" w:hAnsi="Arial" w:cs="Arial"/>
          <w:sz w:val="22"/>
          <w:szCs w:val="22"/>
        </w:rPr>
        <w:t>To maintain organisation throughout the research process, a source tracking table was developed to systematically record key study details</w:t>
      </w:r>
      <w:r w:rsidR="00420791">
        <w:rPr>
          <w:rFonts w:ascii="Arial" w:hAnsi="Arial" w:cs="Arial"/>
          <w:sz w:val="22"/>
          <w:szCs w:val="22"/>
        </w:rPr>
        <w:t xml:space="preserve">, including author, publication year, </w:t>
      </w:r>
      <w:r w:rsidR="00420791" w:rsidRPr="00A24EF0">
        <w:rPr>
          <w:rFonts w:ascii="Arial" w:hAnsi="Arial" w:cs="Arial"/>
          <w:color w:val="000000" w:themeColor="text1"/>
          <w:sz w:val="22"/>
          <w:szCs w:val="22"/>
        </w:rPr>
        <w:t xml:space="preserve">research focus, and key findings. </w:t>
      </w:r>
      <w:r w:rsidR="004A530C" w:rsidRPr="00A24EF0">
        <w:rPr>
          <w:rFonts w:ascii="Arial" w:hAnsi="Arial" w:cs="Arial"/>
          <w:color w:val="000000" w:themeColor="text1"/>
          <w:sz w:val="22"/>
          <w:szCs w:val="22"/>
        </w:rPr>
        <w:t xml:space="preserve">This helped ensure transparency in the selection process </w:t>
      </w:r>
      <w:r w:rsidR="004A530C" w:rsidRPr="00A24EF0">
        <w:rPr>
          <w:rFonts w:ascii="Arial" w:hAnsi="Arial" w:cs="Arial"/>
          <w:color w:val="000000" w:themeColor="text1"/>
          <w:sz w:val="22"/>
          <w:szCs w:val="22"/>
        </w:rPr>
        <w:lastRenderedPageBreak/>
        <w:t>and supported the subsequent analysis of literature.</w:t>
      </w:r>
      <w:r w:rsidRPr="00A24EF0">
        <w:rPr>
          <w:rFonts w:ascii="Arial" w:hAnsi="Arial" w:cs="Arial"/>
          <w:color w:val="000000" w:themeColor="text1"/>
          <w:sz w:val="22"/>
          <w:szCs w:val="22"/>
        </w:rPr>
        <w:t xml:space="preserve">  A total </w:t>
      </w:r>
      <w:r w:rsidR="00A24EF0" w:rsidRPr="00A24EF0">
        <w:rPr>
          <w:rFonts w:ascii="Arial" w:hAnsi="Arial" w:cs="Arial"/>
          <w:color w:val="000000" w:themeColor="text1"/>
          <w:sz w:val="22"/>
          <w:szCs w:val="22"/>
        </w:rPr>
        <w:t xml:space="preserve">of </w:t>
      </w:r>
      <w:r w:rsidRPr="00A24EF0">
        <w:rPr>
          <w:rFonts w:ascii="Arial" w:hAnsi="Arial" w:cs="Arial"/>
          <w:color w:val="000000" w:themeColor="text1"/>
          <w:sz w:val="22"/>
          <w:szCs w:val="22"/>
        </w:rPr>
        <w:t>10 studies were initially identified through database searching.  Following the application of inclusion and exclusion criteria 10 s</w:t>
      </w:r>
      <w:r w:rsidR="00A24EF0" w:rsidRPr="00A24EF0">
        <w:rPr>
          <w:rFonts w:ascii="Arial" w:hAnsi="Arial" w:cs="Arial"/>
          <w:color w:val="000000" w:themeColor="text1"/>
          <w:sz w:val="22"/>
          <w:szCs w:val="22"/>
        </w:rPr>
        <w:t>ources</w:t>
      </w:r>
      <w:r w:rsidRPr="00A24EF0">
        <w:rPr>
          <w:rFonts w:ascii="Arial" w:hAnsi="Arial" w:cs="Arial"/>
          <w:color w:val="000000" w:themeColor="text1"/>
          <w:sz w:val="22"/>
          <w:szCs w:val="22"/>
        </w:rPr>
        <w:t xml:space="preserve"> were retained for final analysis</w:t>
      </w:r>
      <w:r w:rsidR="00F86226" w:rsidRPr="00A24EF0">
        <w:rPr>
          <w:rFonts w:ascii="Arial" w:hAnsi="Arial" w:cs="Arial"/>
          <w:color w:val="000000" w:themeColor="text1"/>
          <w:sz w:val="22"/>
          <w:szCs w:val="22"/>
        </w:rPr>
        <w:t>.  These comprised</w:t>
      </w:r>
      <w:r w:rsidR="00A24EF0" w:rsidRPr="00A24EF0">
        <w:rPr>
          <w:rFonts w:ascii="Arial" w:hAnsi="Arial" w:cs="Arial"/>
          <w:color w:val="000000" w:themeColor="text1"/>
          <w:sz w:val="22"/>
          <w:szCs w:val="22"/>
        </w:rPr>
        <w:t xml:space="preserve"> peer-reviewed</w:t>
      </w:r>
      <w:r w:rsidR="00F86226" w:rsidRPr="00A24EF0">
        <w:rPr>
          <w:rFonts w:ascii="Arial" w:hAnsi="Arial" w:cs="Arial"/>
          <w:color w:val="000000" w:themeColor="text1"/>
          <w:sz w:val="22"/>
          <w:szCs w:val="22"/>
        </w:rPr>
        <w:t xml:space="preserve"> journal articles, policy documents, government reports and public health sources relevant to the prevalence, risk factors and management of type 2 diabetes in UK adults.</w:t>
      </w:r>
    </w:p>
    <w:p w14:paraId="3AB20A78" w14:textId="5B223C6B" w:rsidR="00420791" w:rsidRPr="00420791" w:rsidRDefault="00420791" w:rsidP="008A3D91">
      <w:pPr>
        <w:jc w:val="both"/>
        <w:rPr>
          <w:rFonts w:ascii="Arial" w:hAnsi="Arial" w:cs="Arial"/>
          <w:sz w:val="22"/>
          <w:szCs w:val="22"/>
        </w:rPr>
      </w:pPr>
    </w:p>
    <w:p w14:paraId="4608D00C" w14:textId="77777777" w:rsidR="00420791" w:rsidRPr="00F84C23" w:rsidRDefault="00420791" w:rsidP="008A3D91">
      <w:pPr>
        <w:jc w:val="both"/>
      </w:pPr>
    </w:p>
    <w:p w14:paraId="30C4430F" w14:textId="77777777" w:rsidR="00112A83" w:rsidRPr="00E52633" w:rsidRDefault="001C34F5" w:rsidP="008A3D91">
      <w:pPr>
        <w:pStyle w:val="Heading2"/>
        <w:numPr>
          <w:ilvl w:val="1"/>
          <w:numId w:val="11"/>
        </w:numPr>
        <w:spacing w:line="360" w:lineRule="auto"/>
        <w:jc w:val="both"/>
        <w:rPr>
          <w:rFonts w:ascii="Arial" w:hAnsi="Arial" w:cs="Arial"/>
          <w:b/>
          <w:bCs/>
          <w:color w:val="000000" w:themeColor="text1"/>
          <w:sz w:val="32"/>
          <w:szCs w:val="32"/>
        </w:rPr>
      </w:pPr>
      <w:r w:rsidRPr="00E52633">
        <w:rPr>
          <w:rFonts w:ascii="Arial" w:hAnsi="Arial" w:cs="Arial"/>
          <w:b/>
          <w:bCs/>
          <w:color w:val="000000" w:themeColor="text1"/>
          <w:sz w:val="32"/>
          <w:szCs w:val="32"/>
        </w:rPr>
        <w:t xml:space="preserve">– Research Validation </w:t>
      </w:r>
    </w:p>
    <w:p w14:paraId="2B1797A6" w14:textId="6D7BE103" w:rsidR="001C34F5" w:rsidRPr="00E52633" w:rsidRDefault="001C34F5" w:rsidP="008A3D91">
      <w:pPr>
        <w:pStyle w:val="Heading2"/>
        <w:spacing w:line="360" w:lineRule="auto"/>
        <w:jc w:val="both"/>
        <w:rPr>
          <w:rFonts w:ascii="Arial" w:hAnsi="Arial" w:cs="Arial"/>
          <w:b/>
          <w:bCs/>
          <w:color w:val="000000" w:themeColor="text1"/>
          <w:sz w:val="28"/>
          <w:szCs w:val="28"/>
        </w:rPr>
      </w:pPr>
      <w:r w:rsidRPr="00E52633">
        <w:rPr>
          <w:rFonts w:ascii="Arial" w:hAnsi="Arial" w:cs="Arial"/>
          <w:b/>
          <w:bCs/>
          <w:color w:val="000000" w:themeColor="text1"/>
          <w:sz w:val="28"/>
          <w:szCs w:val="28"/>
        </w:rPr>
        <w:t>Skimming Techniques:</w:t>
      </w:r>
    </w:p>
    <w:p w14:paraId="4F1E320C" w14:textId="7B5E6D43" w:rsidR="00112A83" w:rsidRDefault="00112A83" w:rsidP="008A3D91">
      <w:pPr>
        <w:spacing w:line="360" w:lineRule="auto"/>
        <w:jc w:val="both"/>
        <w:rPr>
          <w:rFonts w:ascii="Arial" w:hAnsi="Arial" w:cs="Arial"/>
          <w:sz w:val="22"/>
          <w:szCs w:val="22"/>
        </w:rPr>
      </w:pPr>
      <w:r>
        <w:rPr>
          <w:rFonts w:ascii="Arial" w:hAnsi="Arial" w:cs="Arial"/>
          <w:sz w:val="22"/>
          <w:szCs w:val="22"/>
        </w:rPr>
        <w:t>Once potential sources were identified, a validation process was undertaken to determine their relevance and reliability.  Initially, skimming techniques were used to quickly assess whether an article was suitable for inclusion.  This involved reviewing key sections such as the title, abstract, introduction, and conclusion, enabling the researcher to determine whether the study addressed topics relevant to type 2 diabetes prevalence, risk factors, or management strategies within adult populations.</w:t>
      </w:r>
    </w:p>
    <w:p w14:paraId="70929E5F" w14:textId="77777777" w:rsidR="007502B1" w:rsidRPr="003E495D" w:rsidRDefault="007502B1" w:rsidP="008A3D91">
      <w:pPr>
        <w:spacing w:line="360" w:lineRule="auto"/>
        <w:jc w:val="both"/>
        <w:rPr>
          <w:rFonts w:ascii="Arial" w:hAnsi="Arial" w:cs="Arial"/>
          <w:sz w:val="22"/>
          <w:szCs w:val="22"/>
        </w:rPr>
      </w:pPr>
    </w:p>
    <w:p w14:paraId="76390E17" w14:textId="3CFAE622" w:rsidR="001C34F5" w:rsidRPr="00E52633" w:rsidRDefault="001C34F5" w:rsidP="008A3D91">
      <w:pPr>
        <w:jc w:val="both"/>
        <w:rPr>
          <w:rFonts w:ascii="Arial" w:hAnsi="Arial" w:cs="Arial"/>
          <w:b/>
          <w:bCs/>
          <w:sz w:val="28"/>
          <w:szCs w:val="28"/>
        </w:rPr>
      </w:pPr>
      <w:r w:rsidRPr="00E52633">
        <w:rPr>
          <w:rFonts w:ascii="Arial" w:hAnsi="Arial" w:cs="Arial"/>
          <w:b/>
          <w:bCs/>
          <w:sz w:val="28"/>
          <w:szCs w:val="28"/>
        </w:rPr>
        <w:t>CRAAP Test Application:</w:t>
      </w:r>
    </w:p>
    <w:p w14:paraId="005B6A3E" w14:textId="4E076F5D" w:rsidR="00112A83" w:rsidRDefault="00112A83" w:rsidP="008A3D91">
      <w:pPr>
        <w:jc w:val="both"/>
        <w:rPr>
          <w:rFonts w:ascii="Arial" w:hAnsi="Arial" w:cs="Arial"/>
          <w:sz w:val="22"/>
          <w:szCs w:val="22"/>
        </w:rPr>
      </w:pPr>
    </w:p>
    <w:p w14:paraId="0E482E63" w14:textId="3BB9DFB9" w:rsidR="00112A83" w:rsidRPr="00112A83" w:rsidRDefault="00112A83" w:rsidP="008A3D91">
      <w:pPr>
        <w:spacing w:line="360" w:lineRule="auto"/>
        <w:jc w:val="both"/>
        <w:rPr>
          <w:rFonts w:ascii="Arial" w:hAnsi="Arial" w:cs="Arial"/>
          <w:sz w:val="22"/>
          <w:szCs w:val="22"/>
        </w:rPr>
      </w:pPr>
      <w:r>
        <w:rPr>
          <w:rFonts w:ascii="Arial" w:hAnsi="Arial" w:cs="Arial"/>
          <w:sz w:val="22"/>
          <w:szCs w:val="22"/>
        </w:rPr>
        <w:t xml:space="preserve">To further assess the quality of sources, the CRAPP test was applied.  This framework evaluates sources based on Currency, Relevance, Authority, Accuracy, and Purpose.  Currency ensured that information reflected current knowledge and practices, while relevance confirmed alignment with the research question.  Authority considered the credibility </w:t>
      </w:r>
      <w:r w:rsidR="00522E90">
        <w:rPr>
          <w:rFonts w:ascii="Arial" w:hAnsi="Arial" w:cs="Arial"/>
          <w:sz w:val="22"/>
          <w:szCs w:val="22"/>
        </w:rPr>
        <w:t>of authors and publication journals, and accuracy assessed whether claims were supported by evidence.</w:t>
      </w:r>
    </w:p>
    <w:p w14:paraId="66544D05" w14:textId="77777777" w:rsidR="00522E90" w:rsidRPr="00E52633" w:rsidRDefault="00522E90" w:rsidP="008A3D91">
      <w:pPr>
        <w:jc w:val="both"/>
        <w:rPr>
          <w:sz w:val="28"/>
          <w:szCs w:val="28"/>
        </w:rPr>
      </w:pPr>
    </w:p>
    <w:p w14:paraId="05CE96C1" w14:textId="011FEBCB" w:rsidR="001C34F5" w:rsidRPr="00E52633" w:rsidRDefault="001C34F5" w:rsidP="008A3D91">
      <w:pPr>
        <w:jc w:val="both"/>
        <w:rPr>
          <w:rFonts w:ascii="Arial" w:hAnsi="Arial" w:cs="Arial"/>
          <w:b/>
          <w:bCs/>
          <w:sz w:val="28"/>
          <w:szCs w:val="28"/>
        </w:rPr>
      </w:pPr>
      <w:r w:rsidRPr="00E52633">
        <w:rPr>
          <w:rFonts w:ascii="Arial" w:hAnsi="Arial" w:cs="Arial"/>
          <w:b/>
          <w:bCs/>
          <w:sz w:val="28"/>
          <w:szCs w:val="28"/>
        </w:rPr>
        <w:t>Decision-Making:</w:t>
      </w:r>
    </w:p>
    <w:p w14:paraId="40A58D48" w14:textId="31A2FFAF" w:rsidR="00522E90" w:rsidRDefault="00522E90" w:rsidP="008A3D91">
      <w:pPr>
        <w:jc w:val="both"/>
        <w:rPr>
          <w:b/>
          <w:bCs/>
        </w:rPr>
      </w:pPr>
    </w:p>
    <w:p w14:paraId="5537ACAC" w14:textId="668E080D" w:rsidR="00522E90" w:rsidRPr="00522E90" w:rsidRDefault="00522E90" w:rsidP="008A3D91">
      <w:pPr>
        <w:spacing w:line="360" w:lineRule="auto"/>
        <w:jc w:val="both"/>
        <w:rPr>
          <w:rFonts w:ascii="Arial" w:hAnsi="Arial" w:cs="Arial"/>
          <w:sz w:val="22"/>
          <w:szCs w:val="22"/>
        </w:rPr>
      </w:pPr>
      <w:r>
        <w:rPr>
          <w:rFonts w:ascii="Arial" w:hAnsi="Arial" w:cs="Arial"/>
          <w:sz w:val="22"/>
          <w:szCs w:val="22"/>
        </w:rPr>
        <w:t>For example, a peer-reviewed study published in a recognised medical journal discussing UK diabetes prevalence was prioritised over non-academic sources.  While not every article fulfilled all CRAPP criteria equally, sources demonstrating strong currency, relevance, and authority were prioritised for inclusion in the review.</w:t>
      </w:r>
    </w:p>
    <w:p w14:paraId="2307CFF6" w14:textId="77777777" w:rsidR="001C34F5" w:rsidRPr="00665AC3" w:rsidRDefault="001C34F5" w:rsidP="008A3D91">
      <w:pPr>
        <w:jc w:val="both"/>
        <w:rPr>
          <w:b/>
          <w:bCs/>
          <w:color w:val="000000" w:themeColor="text1"/>
        </w:rPr>
      </w:pPr>
    </w:p>
    <w:p w14:paraId="1D28F31C" w14:textId="756B6A3E" w:rsidR="00522E90" w:rsidRPr="00E52633" w:rsidRDefault="001C34F5" w:rsidP="008A3D91">
      <w:pPr>
        <w:pStyle w:val="Heading2"/>
        <w:numPr>
          <w:ilvl w:val="1"/>
          <w:numId w:val="11"/>
        </w:numPr>
        <w:spacing w:line="360" w:lineRule="auto"/>
        <w:jc w:val="both"/>
        <w:rPr>
          <w:rStyle w:val="Heading2Char"/>
          <w:rFonts w:ascii="Arial" w:hAnsi="Arial" w:cs="Arial"/>
          <w:b/>
          <w:bCs/>
          <w:color w:val="000000" w:themeColor="text1"/>
          <w:sz w:val="32"/>
          <w:szCs w:val="32"/>
        </w:rPr>
      </w:pPr>
      <w:r w:rsidRPr="00E52633">
        <w:rPr>
          <w:rStyle w:val="Heading2Char"/>
          <w:rFonts w:ascii="Arial" w:hAnsi="Arial" w:cs="Arial"/>
          <w:b/>
          <w:bCs/>
          <w:color w:val="000000" w:themeColor="text1"/>
          <w:sz w:val="32"/>
          <w:szCs w:val="32"/>
        </w:rPr>
        <w:t xml:space="preserve">- Inclusion and Exclusion Criteria </w:t>
      </w:r>
    </w:p>
    <w:p w14:paraId="34D7CDED" w14:textId="77777777" w:rsidR="00665AC3" w:rsidRPr="00665AC3" w:rsidRDefault="00665AC3" w:rsidP="008A3D91">
      <w:pPr>
        <w:jc w:val="both"/>
      </w:pPr>
    </w:p>
    <w:p w14:paraId="2FBC443E" w14:textId="2B519C0C" w:rsidR="00522E90" w:rsidRDefault="00522E90" w:rsidP="008A3D91">
      <w:pPr>
        <w:spacing w:line="360" w:lineRule="auto"/>
        <w:jc w:val="both"/>
        <w:rPr>
          <w:rFonts w:ascii="Arial" w:hAnsi="Arial" w:cs="Arial"/>
          <w:sz w:val="22"/>
          <w:szCs w:val="22"/>
        </w:rPr>
      </w:pPr>
      <w:r>
        <w:rPr>
          <w:rFonts w:ascii="Arial" w:hAnsi="Arial" w:cs="Arial"/>
          <w:sz w:val="22"/>
          <w:szCs w:val="22"/>
        </w:rPr>
        <w:t>Clear inclusion and exclusion criteria were established to ensure that the literature selected for this dissertation remained relevant, credible, and focused on the research objectives.</w:t>
      </w:r>
    </w:p>
    <w:p w14:paraId="74DC3E44" w14:textId="77777777" w:rsidR="00522E90" w:rsidRDefault="00522E90" w:rsidP="008A3D91">
      <w:pPr>
        <w:spacing w:line="360" w:lineRule="auto"/>
        <w:jc w:val="both"/>
        <w:rPr>
          <w:rFonts w:ascii="Arial" w:hAnsi="Arial" w:cs="Arial"/>
          <w:sz w:val="22"/>
          <w:szCs w:val="22"/>
        </w:rPr>
      </w:pPr>
    </w:p>
    <w:p w14:paraId="148FEBB2" w14:textId="7051D7DD" w:rsidR="00522E90" w:rsidRPr="00E52633" w:rsidRDefault="00522E90" w:rsidP="008A3D91">
      <w:pPr>
        <w:pStyle w:val="Heading2"/>
        <w:spacing w:line="360" w:lineRule="auto"/>
        <w:jc w:val="both"/>
        <w:rPr>
          <w:rFonts w:ascii="Arial" w:hAnsi="Arial" w:cs="Arial"/>
          <w:b/>
          <w:bCs/>
          <w:color w:val="000000" w:themeColor="text1"/>
          <w:sz w:val="28"/>
          <w:szCs w:val="28"/>
        </w:rPr>
      </w:pPr>
      <w:r w:rsidRPr="00E52633">
        <w:rPr>
          <w:rFonts w:ascii="Arial" w:hAnsi="Arial" w:cs="Arial"/>
          <w:b/>
          <w:bCs/>
          <w:color w:val="000000" w:themeColor="text1"/>
          <w:sz w:val="28"/>
          <w:szCs w:val="28"/>
        </w:rPr>
        <w:lastRenderedPageBreak/>
        <w:t>Inclusion Criteria:</w:t>
      </w:r>
    </w:p>
    <w:p w14:paraId="0ED32F13" w14:textId="21A8925E" w:rsidR="00522E90" w:rsidRPr="00522E90" w:rsidRDefault="00522E90" w:rsidP="008A3D91">
      <w:pPr>
        <w:spacing w:line="360" w:lineRule="auto"/>
        <w:jc w:val="both"/>
        <w:rPr>
          <w:rFonts w:ascii="Arial" w:hAnsi="Arial" w:cs="Arial"/>
          <w:sz w:val="22"/>
          <w:szCs w:val="22"/>
        </w:rPr>
      </w:pPr>
      <w:r>
        <w:rPr>
          <w:rFonts w:ascii="Arial" w:hAnsi="Arial" w:cs="Arial"/>
          <w:sz w:val="22"/>
          <w:szCs w:val="22"/>
        </w:rPr>
        <w:t>Inclusion criteria consisted of peer-reviewed journal articles, government reports, and reputable public health publications related to type 2 diabetes in adult populations related to type 2 diabetes in adult populations.  Studies published within the last ten years were prioritised to ensure contemporary relevance.  Research focusing on UK populations, as well international studies providing comparative insights into diabetes prevalence and management, were also included.</w:t>
      </w:r>
    </w:p>
    <w:p w14:paraId="498A8B08" w14:textId="77777777" w:rsidR="00FC4F0B" w:rsidRDefault="00FC4F0B" w:rsidP="008A3D91">
      <w:pPr>
        <w:jc w:val="both"/>
        <w:rPr>
          <w:rFonts w:ascii="Arial" w:hAnsi="Arial" w:cs="Arial"/>
          <w:sz w:val="22"/>
          <w:szCs w:val="22"/>
        </w:rPr>
      </w:pPr>
    </w:p>
    <w:p w14:paraId="211AECE4" w14:textId="176B2BF5" w:rsidR="00FC4F0B" w:rsidRPr="00E52633" w:rsidRDefault="001C34F5" w:rsidP="008A3D91">
      <w:pPr>
        <w:jc w:val="both"/>
        <w:rPr>
          <w:rFonts w:ascii="Arial" w:hAnsi="Arial" w:cs="Arial"/>
          <w:b/>
          <w:bCs/>
          <w:sz w:val="28"/>
          <w:szCs w:val="28"/>
        </w:rPr>
      </w:pPr>
      <w:r w:rsidRPr="00E52633">
        <w:rPr>
          <w:rFonts w:ascii="Arial" w:hAnsi="Arial" w:cs="Arial"/>
          <w:b/>
          <w:bCs/>
          <w:sz w:val="28"/>
          <w:szCs w:val="28"/>
        </w:rPr>
        <w:t>Exclusion Criteria:</w:t>
      </w:r>
    </w:p>
    <w:p w14:paraId="05820D15" w14:textId="693C7F25" w:rsidR="00FC4F0B" w:rsidRDefault="00FC4F0B" w:rsidP="008A3D91">
      <w:pPr>
        <w:jc w:val="both"/>
        <w:rPr>
          <w:rFonts w:ascii="Arial" w:hAnsi="Arial" w:cs="Arial"/>
          <w:b/>
          <w:bCs/>
          <w:sz w:val="22"/>
          <w:szCs w:val="22"/>
        </w:rPr>
      </w:pPr>
    </w:p>
    <w:p w14:paraId="50E6A833" w14:textId="7AEED191" w:rsidR="00FC4F0B" w:rsidRPr="00FC4F0B" w:rsidRDefault="00FC4F0B" w:rsidP="008A3D91">
      <w:pPr>
        <w:spacing w:line="360" w:lineRule="auto"/>
        <w:jc w:val="both"/>
        <w:rPr>
          <w:rFonts w:ascii="Arial" w:hAnsi="Arial" w:cs="Arial"/>
          <w:sz w:val="22"/>
          <w:szCs w:val="22"/>
        </w:rPr>
      </w:pPr>
      <w:r>
        <w:rPr>
          <w:rFonts w:ascii="Arial" w:hAnsi="Arial" w:cs="Arial"/>
          <w:sz w:val="22"/>
          <w:szCs w:val="22"/>
        </w:rPr>
        <w:t>Exclusion criteria included opinion blogs, non-academic websites, outdated studies with limited contemporary relevance, and articles not written in English.  Research focusing exclusively on type 1 diabetes or paediatric populations was also excluded.</w:t>
      </w:r>
    </w:p>
    <w:p w14:paraId="37061951" w14:textId="77777777" w:rsidR="00FC4F0B" w:rsidRDefault="00FC4F0B" w:rsidP="008A3D91">
      <w:pPr>
        <w:jc w:val="both"/>
        <w:rPr>
          <w:rFonts w:ascii="Arial" w:hAnsi="Arial" w:cs="Arial"/>
          <w:sz w:val="22"/>
          <w:szCs w:val="22"/>
        </w:rPr>
      </w:pPr>
    </w:p>
    <w:p w14:paraId="35821A59" w14:textId="06E0CFF9" w:rsidR="001C34F5" w:rsidRPr="00EE505C" w:rsidRDefault="001C34F5" w:rsidP="008A3D91">
      <w:pPr>
        <w:jc w:val="both"/>
        <w:rPr>
          <w:rFonts w:ascii="Arial" w:hAnsi="Arial" w:cs="Arial"/>
          <w:b/>
          <w:bCs/>
          <w:sz w:val="28"/>
          <w:szCs w:val="28"/>
        </w:rPr>
      </w:pPr>
      <w:r w:rsidRPr="00EE505C">
        <w:rPr>
          <w:rFonts w:ascii="Arial" w:hAnsi="Arial" w:cs="Arial"/>
          <w:b/>
          <w:bCs/>
          <w:sz w:val="28"/>
          <w:szCs w:val="28"/>
        </w:rPr>
        <w:t>Justification:</w:t>
      </w:r>
    </w:p>
    <w:p w14:paraId="7997301C" w14:textId="381DAC44" w:rsidR="00FC4F0B" w:rsidRDefault="00FC4F0B" w:rsidP="008A3D91">
      <w:pPr>
        <w:jc w:val="both"/>
        <w:rPr>
          <w:rFonts w:ascii="Arial" w:hAnsi="Arial" w:cs="Arial"/>
          <w:b/>
          <w:bCs/>
          <w:sz w:val="22"/>
          <w:szCs w:val="22"/>
        </w:rPr>
      </w:pPr>
    </w:p>
    <w:p w14:paraId="65667D8C" w14:textId="077D1B77" w:rsidR="00FC4F0B" w:rsidRPr="00FC4F0B" w:rsidRDefault="00FC4F0B" w:rsidP="008A3D91">
      <w:pPr>
        <w:jc w:val="both"/>
        <w:rPr>
          <w:rFonts w:ascii="Arial" w:hAnsi="Arial" w:cs="Arial"/>
          <w:sz w:val="22"/>
          <w:szCs w:val="22"/>
        </w:rPr>
      </w:pPr>
      <w:r>
        <w:rPr>
          <w:rFonts w:ascii="Arial" w:hAnsi="Arial" w:cs="Arial"/>
          <w:sz w:val="22"/>
          <w:szCs w:val="22"/>
        </w:rPr>
        <w:t>These criteria ensured that the research maintained both academic quality and topical focus.</w:t>
      </w:r>
    </w:p>
    <w:p w14:paraId="4D31D91B" w14:textId="77777777" w:rsidR="001C34F5" w:rsidRPr="00FC4F0B" w:rsidRDefault="001C34F5" w:rsidP="008A3D91">
      <w:pPr>
        <w:jc w:val="both"/>
        <w:rPr>
          <w:rFonts w:ascii="Arial" w:hAnsi="Arial" w:cs="Arial"/>
          <w:sz w:val="22"/>
          <w:szCs w:val="22"/>
        </w:rPr>
      </w:pPr>
    </w:p>
    <w:p w14:paraId="0C62CC69" w14:textId="7F196D42" w:rsidR="001C34F5" w:rsidRPr="00E52633" w:rsidRDefault="001C34F5" w:rsidP="008A3D91">
      <w:pPr>
        <w:pStyle w:val="Heading2"/>
        <w:numPr>
          <w:ilvl w:val="1"/>
          <w:numId w:val="11"/>
        </w:numPr>
        <w:spacing w:line="360" w:lineRule="auto"/>
        <w:jc w:val="both"/>
        <w:rPr>
          <w:rFonts w:ascii="Arial" w:hAnsi="Arial" w:cs="Arial"/>
          <w:b/>
          <w:bCs/>
          <w:color w:val="000000" w:themeColor="text1"/>
          <w:sz w:val="32"/>
          <w:szCs w:val="32"/>
        </w:rPr>
      </w:pPr>
      <w:r w:rsidRPr="00E52633">
        <w:rPr>
          <w:rFonts w:ascii="Arial" w:hAnsi="Arial" w:cs="Arial"/>
          <w:b/>
          <w:bCs/>
          <w:color w:val="000000" w:themeColor="text1"/>
          <w:sz w:val="32"/>
          <w:szCs w:val="32"/>
        </w:rPr>
        <w:t xml:space="preserve">– Analysing Research  </w:t>
      </w:r>
    </w:p>
    <w:p w14:paraId="0A2FAF4D" w14:textId="62261EF3" w:rsidR="001C34F5" w:rsidRPr="00E52633" w:rsidRDefault="001C34F5" w:rsidP="008A3D91">
      <w:pPr>
        <w:jc w:val="both"/>
        <w:rPr>
          <w:rFonts w:ascii="Arial" w:hAnsi="Arial" w:cs="Arial"/>
          <w:b/>
          <w:bCs/>
          <w:sz w:val="28"/>
          <w:szCs w:val="28"/>
        </w:rPr>
      </w:pPr>
      <w:r w:rsidRPr="00E52633">
        <w:rPr>
          <w:rFonts w:ascii="Arial" w:hAnsi="Arial" w:cs="Arial"/>
          <w:b/>
          <w:bCs/>
          <w:sz w:val="28"/>
          <w:szCs w:val="28"/>
        </w:rPr>
        <w:t>Thematic Coding Approach:</w:t>
      </w:r>
    </w:p>
    <w:p w14:paraId="3CEB312E" w14:textId="6B7E4BC2" w:rsidR="003216E8" w:rsidRDefault="003216E8" w:rsidP="008A3D91">
      <w:pPr>
        <w:spacing w:line="360" w:lineRule="auto"/>
        <w:jc w:val="both"/>
        <w:rPr>
          <w:rFonts w:ascii="Arial" w:hAnsi="Arial" w:cs="Arial"/>
          <w:sz w:val="22"/>
          <w:szCs w:val="22"/>
        </w:rPr>
      </w:pPr>
    </w:p>
    <w:p w14:paraId="672D3880" w14:textId="077726CC" w:rsidR="003216E8" w:rsidRPr="003216E8" w:rsidRDefault="003216E8" w:rsidP="008A3D91">
      <w:pPr>
        <w:spacing w:line="360" w:lineRule="auto"/>
        <w:jc w:val="both"/>
        <w:rPr>
          <w:rFonts w:ascii="Arial" w:hAnsi="Arial" w:cs="Arial"/>
          <w:sz w:val="22"/>
          <w:szCs w:val="22"/>
        </w:rPr>
      </w:pPr>
      <w:r>
        <w:rPr>
          <w:rFonts w:ascii="Arial" w:hAnsi="Arial" w:cs="Arial"/>
          <w:sz w:val="22"/>
          <w:szCs w:val="22"/>
        </w:rPr>
        <w:t>The selected literature was analysed using a thematic coding approach, which allowed patterns and recurring ideas within the research to be systematically identified.  Each</w:t>
      </w:r>
      <w:r w:rsidR="001D77D2">
        <w:rPr>
          <w:rFonts w:ascii="Arial" w:hAnsi="Arial" w:cs="Arial"/>
          <w:sz w:val="22"/>
          <w:szCs w:val="22"/>
        </w:rPr>
        <w:t xml:space="preserve"> article was reviewed in detail, and key points relating to prevalence, risk factors, and management strategies were highlighted.  From this process, initial codes were generated to represent commonly occurring concepts within the literature.</w:t>
      </w:r>
    </w:p>
    <w:p w14:paraId="7CF8691D" w14:textId="77777777" w:rsidR="001D77D2" w:rsidRDefault="001D77D2" w:rsidP="008A3D91">
      <w:pPr>
        <w:jc w:val="both"/>
      </w:pPr>
    </w:p>
    <w:p w14:paraId="50AEDCAC" w14:textId="50D0FFF6" w:rsidR="001C34F5" w:rsidRPr="00E52633" w:rsidRDefault="001C34F5" w:rsidP="008A3D91">
      <w:pPr>
        <w:jc w:val="both"/>
        <w:rPr>
          <w:rFonts w:ascii="Arial" w:hAnsi="Arial" w:cs="Arial"/>
          <w:sz w:val="28"/>
          <w:szCs w:val="28"/>
        </w:rPr>
      </w:pPr>
      <w:r w:rsidRPr="00E52633">
        <w:rPr>
          <w:rFonts w:ascii="Arial" w:hAnsi="Arial" w:cs="Arial"/>
          <w:b/>
          <w:bCs/>
          <w:sz w:val="28"/>
          <w:szCs w:val="28"/>
        </w:rPr>
        <w:t>Developing Themes:</w:t>
      </w:r>
    </w:p>
    <w:p w14:paraId="5EB3D1CD" w14:textId="0156B6A9" w:rsidR="001D77D2" w:rsidRDefault="001D77D2" w:rsidP="008A3D91">
      <w:pPr>
        <w:jc w:val="both"/>
      </w:pPr>
    </w:p>
    <w:p w14:paraId="76AA1D87" w14:textId="187AB9C8" w:rsidR="001D77D2" w:rsidRPr="001D77D2" w:rsidRDefault="001D77D2" w:rsidP="008A3D91">
      <w:pPr>
        <w:spacing w:line="360" w:lineRule="auto"/>
        <w:jc w:val="both"/>
        <w:rPr>
          <w:rFonts w:ascii="Arial" w:hAnsi="Arial" w:cs="Arial"/>
          <w:sz w:val="22"/>
          <w:szCs w:val="22"/>
        </w:rPr>
      </w:pPr>
      <w:r>
        <w:rPr>
          <w:rFonts w:ascii="Arial" w:hAnsi="Arial" w:cs="Arial"/>
          <w:sz w:val="22"/>
          <w:szCs w:val="22"/>
        </w:rPr>
        <w:t>These codes were then grouped into broader themes, enabling the researcher to identify significant patterns across multiple studies.  For example, repeated references to obesity, physical inactivity, and dietary habits were grouped under lifestyle risk factors, while discussions around socioeconomic status and ethnicity informed themes related to health inequalities.</w:t>
      </w:r>
    </w:p>
    <w:p w14:paraId="6FC4048D" w14:textId="77777777" w:rsidR="001D77D2" w:rsidRDefault="001D77D2" w:rsidP="008A3D91">
      <w:pPr>
        <w:jc w:val="both"/>
      </w:pPr>
    </w:p>
    <w:p w14:paraId="4B920710" w14:textId="4DEF8577" w:rsidR="001C34F5" w:rsidRPr="00E52633" w:rsidRDefault="001C34F5" w:rsidP="008A3D91">
      <w:pPr>
        <w:jc w:val="both"/>
        <w:rPr>
          <w:rFonts w:ascii="Arial" w:hAnsi="Arial" w:cs="Arial"/>
          <w:b/>
          <w:bCs/>
          <w:sz w:val="28"/>
          <w:szCs w:val="28"/>
        </w:rPr>
      </w:pPr>
      <w:r w:rsidRPr="00E52633">
        <w:rPr>
          <w:rFonts w:ascii="Arial" w:hAnsi="Arial" w:cs="Arial"/>
          <w:b/>
          <w:bCs/>
          <w:sz w:val="28"/>
          <w:szCs w:val="28"/>
        </w:rPr>
        <w:t>Organisation:</w:t>
      </w:r>
    </w:p>
    <w:p w14:paraId="78E003F6" w14:textId="4504FD7C" w:rsidR="001D77D2" w:rsidRDefault="001D77D2" w:rsidP="008A3D91">
      <w:pPr>
        <w:jc w:val="both"/>
        <w:rPr>
          <w:rFonts w:ascii="Arial" w:hAnsi="Arial" w:cs="Arial"/>
          <w:b/>
          <w:bCs/>
          <w:sz w:val="22"/>
          <w:szCs w:val="22"/>
        </w:rPr>
      </w:pPr>
    </w:p>
    <w:p w14:paraId="6B7D6778" w14:textId="62267CA9" w:rsidR="001D77D2" w:rsidRPr="001D77D2" w:rsidRDefault="001D77D2" w:rsidP="008A3D91">
      <w:pPr>
        <w:spacing w:line="360" w:lineRule="auto"/>
        <w:jc w:val="both"/>
        <w:rPr>
          <w:rFonts w:ascii="Arial" w:hAnsi="Arial" w:cs="Arial"/>
          <w:sz w:val="22"/>
          <w:szCs w:val="22"/>
        </w:rPr>
      </w:pPr>
      <w:r>
        <w:rPr>
          <w:rFonts w:ascii="Arial" w:hAnsi="Arial" w:cs="Arial"/>
          <w:sz w:val="22"/>
          <w:szCs w:val="22"/>
        </w:rPr>
        <w:t xml:space="preserve">To support organisation and clarity, the analysis process was recorded using tables and colour-coding techniques, which categorise findings from each study.  This structured </w:t>
      </w:r>
      <w:r>
        <w:rPr>
          <w:rFonts w:ascii="Arial" w:hAnsi="Arial" w:cs="Arial"/>
          <w:sz w:val="22"/>
          <w:szCs w:val="22"/>
        </w:rPr>
        <w:lastRenderedPageBreak/>
        <w:t>approach allowed the researcher to systematically track themes and prepare the analytical framework used in Chapter 4, where the findings are discussed in greater depth.</w:t>
      </w:r>
    </w:p>
    <w:p w14:paraId="1154F4E9" w14:textId="77777777" w:rsidR="001C34F5" w:rsidRPr="009A1032" w:rsidRDefault="001C34F5" w:rsidP="008A3D91">
      <w:pPr>
        <w:spacing w:line="360" w:lineRule="auto"/>
        <w:jc w:val="both"/>
        <w:rPr>
          <w:rFonts w:ascii="Arial" w:hAnsi="Arial" w:cs="Arial"/>
          <w:sz w:val="22"/>
          <w:szCs w:val="22"/>
        </w:rPr>
      </w:pPr>
    </w:p>
    <w:p w14:paraId="03445468" w14:textId="199D0FC9" w:rsidR="001C34F5" w:rsidRPr="00E52633" w:rsidRDefault="001C34F5" w:rsidP="008A3D91">
      <w:pPr>
        <w:pStyle w:val="Heading2"/>
        <w:numPr>
          <w:ilvl w:val="1"/>
          <w:numId w:val="11"/>
        </w:numPr>
        <w:spacing w:line="360" w:lineRule="auto"/>
        <w:jc w:val="both"/>
        <w:rPr>
          <w:rFonts w:ascii="Arial" w:hAnsi="Arial" w:cs="Arial"/>
          <w:b/>
          <w:bCs/>
          <w:color w:val="000000" w:themeColor="text1"/>
          <w:sz w:val="32"/>
          <w:szCs w:val="32"/>
        </w:rPr>
      </w:pPr>
      <w:r w:rsidRPr="00E52633">
        <w:rPr>
          <w:rFonts w:ascii="Arial" w:hAnsi="Arial" w:cs="Arial"/>
          <w:b/>
          <w:bCs/>
          <w:color w:val="000000" w:themeColor="text1"/>
          <w:sz w:val="32"/>
          <w:szCs w:val="32"/>
        </w:rPr>
        <w:t xml:space="preserve">– Ethical Considerations </w:t>
      </w:r>
    </w:p>
    <w:p w14:paraId="567B4789" w14:textId="3431EF3E" w:rsidR="001C34F5" w:rsidRPr="00E52633" w:rsidRDefault="001C34F5" w:rsidP="008A3D91">
      <w:pPr>
        <w:jc w:val="both"/>
        <w:rPr>
          <w:rFonts w:ascii="Arial" w:hAnsi="Arial" w:cs="Arial"/>
          <w:b/>
          <w:bCs/>
          <w:sz w:val="28"/>
          <w:szCs w:val="28"/>
        </w:rPr>
      </w:pPr>
      <w:r w:rsidRPr="00E52633">
        <w:rPr>
          <w:rFonts w:ascii="Arial" w:hAnsi="Arial" w:cs="Arial"/>
          <w:b/>
          <w:bCs/>
          <w:sz w:val="28"/>
          <w:szCs w:val="28"/>
        </w:rPr>
        <w:t>Secondary Research Ethics:</w:t>
      </w:r>
    </w:p>
    <w:p w14:paraId="7AB3E3E1" w14:textId="391D0370" w:rsidR="009A1032" w:rsidRDefault="009A1032" w:rsidP="008A3D91">
      <w:pPr>
        <w:jc w:val="both"/>
        <w:rPr>
          <w:b/>
          <w:bCs/>
        </w:rPr>
      </w:pPr>
    </w:p>
    <w:p w14:paraId="2919C478" w14:textId="680A6309" w:rsidR="009A1032" w:rsidRPr="009A1032" w:rsidRDefault="009A1032" w:rsidP="008A3D91">
      <w:pPr>
        <w:spacing w:line="360" w:lineRule="auto"/>
        <w:jc w:val="both"/>
        <w:rPr>
          <w:rFonts w:ascii="Arial" w:hAnsi="Arial" w:cs="Arial"/>
          <w:sz w:val="22"/>
          <w:szCs w:val="22"/>
        </w:rPr>
      </w:pPr>
      <w:r>
        <w:rPr>
          <w:rFonts w:ascii="Arial" w:hAnsi="Arial" w:cs="Arial"/>
          <w:sz w:val="22"/>
          <w:szCs w:val="22"/>
        </w:rPr>
        <w:t>This research was conducted using secondary data sources, meaning that no primary data collection involving human participants was undertaken.  As a result, formal ethical approval was not required.  However, ethical principles were still carefully considered throughout the research process.</w:t>
      </w:r>
    </w:p>
    <w:p w14:paraId="6AA0E278" w14:textId="77777777" w:rsidR="009A1032" w:rsidRPr="00E52633" w:rsidRDefault="009A1032" w:rsidP="008A3D91">
      <w:pPr>
        <w:jc w:val="both"/>
        <w:rPr>
          <w:sz w:val="28"/>
          <w:szCs w:val="28"/>
        </w:rPr>
      </w:pPr>
    </w:p>
    <w:p w14:paraId="51C88156" w14:textId="0FC7C45D" w:rsidR="001C34F5" w:rsidRPr="00E52633" w:rsidRDefault="001C34F5" w:rsidP="008A3D91">
      <w:pPr>
        <w:jc w:val="both"/>
        <w:rPr>
          <w:rFonts w:ascii="Arial" w:hAnsi="Arial" w:cs="Arial"/>
          <w:b/>
          <w:bCs/>
          <w:sz w:val="28"/>
          <w:szCs w:val="28"/>
        </w:rPr>
      </w:pPr>
      <w:r w:rsidRPr="00E52633">
        <w:rPr>
          <w:rFonts w:ascii="Arial" w:hAnsi="Arial" w:cs="Arial"/>
          <w:b/>
          <w:bCs/>
          <w:sz w:val="28"/>
          <w:szCs w:val="28"/>
        </w:rPr>
        <w:t>Academic Integrity:</w:t>
      </w:r>
    </w:p>
    <w:p w14:paraId="7DC4D77B" w14:textId="038B96A1" w:rsidR="00267283" w:rsidRDefault="00267283" w:rsidP="008A3D91">
      <w:pPr>
        <w:jc w:val="both"/>
      </w:pPr>
    </w:p>
    <w:p w14:paraId="1B263481" w14:textId="3F845007" w:rsidR="0015246F" w:rsidRDefault="00267283" w:rsidP="008A3D91">
      <w:pPr>
        <w:spacing w:line="360" w:lineRule="auto"/>
        <w:jc w:val="both"/>
        <w:rPr>
          <w:rFonts w:ascii="Arial" w:hAnsi="Arial" w:cs="Arial"/>
          <w:sz w:val="22"/>
          <w:szCs w:val="22"/>
        </w:rPr>
      </w:pPr>
      <w:r>
        <w:rPr>
          <w:rFonts w:ascii="Arial" w:hAnsi="Arial" w:cs="Arial"/>
          <w:sz w:val="22"/>
          <w:szCs w:val="22"/>
        </w:rPr>
        <w:t xml:space="preserve">Academic integrity was maintained by ensuring that all sources were accurately cited using Harvard referencing style, and that ideas and findings from previous research </w:t>
      </w:r>
      <w:r w:rsidR="0015246F">
        <w:rPr>
          <w:rFonts w:ascii="Arial" w:hAnsi="Arial" w:cs="Arial"/>
          <w:sz w:val="22"/>
          <w:szCs w:val="22"/>
        </w:rPr>
        <w:t>were clearly acknowledged.  Care was taken to avoid plagiarism and to represent the original authors’ findings accurately without misinterpretation.</w:t>
      </w:r>
    </w:p>
    <w:p w14:paraId="51FEF183" w14:textId="3399EF39" w:rsidR="00F002C0" w:rsidRPr="0015246F" w:rsidRDefault="00F002C0" w:rsidP="008A3D91">
      <w:pPr>
        <w:spacing w:line="360" w:lineRule="auto"/>
        <w:jc w:val="both"/>
        <w:rPr>
          <w:rFonts w:ascii="Arial" w:hAnsi="Arial" w:cs="Arial"/>
          <w:sz w:val="22"/>
          <w:szCs w:val="22"/>
        </w:rPr>
      </w:pPr>
    </w:p>
    <w:p w14:paraId="459D0136" w14:textId="23B8FAE1" w:rsidR="001C34F5" w:rsidRPr="00E52633" w:rsidRDefault="001C34F5" w:rsidP="008A3D91">
      <w:pPr>
        <w:jc w:val="both"/>
        <w:rPr>
          <w:rFonts w:ascii="Arial" w:hAnsi="Arial" w:cs="Arial"/>
          <w:b/>
          <w:bCs/>
          <w:sz w:val="28"/>
          <w:szCs w:val="28"/>
        </w:rPr>
      </w:pPr>
      <w:r w:rsidRPr="00E52633">
        <w:rPr>
          <w:rFonts w:ascii="Arial" w:hAnsi="Arial" w:cs="Arial"/>
          <w:b/>
          <w:bCs/>
          <w:sz w:val="28"/>
          <w:szCs w:val="28"/>
        </w:rPr>
        <w:t>Transparency and Credibility:</w:t>
      </w:r>
    </w:p>
    <w:p w14:paraId="0A7D3E31" w14:textId="01C796FA" w:rsidR="0015246F" w:rsidRDefault="0015246F" w:rsidP="008A3D91">
      <w:pPr>
        <w:spacing w:line="360" w:lineRule="auto"/>
        <w:jc w:val="both"/>
        <w:rPr>
          <w:rFonts w:ascii="Arial" w:hAnsi="Arial" w:cs="Arial"/>
          <w:b/>
          <w:bCs/>
          <w:sz w:val="22"/>
          <w:szCs w:val="22"/>
        </w:rPr>
      </w:pPr>
    </w:p>
    <w:p w14:paraId="60F798A2" w14:textId="094A1CF3" w:rsidR="0015246F" w:rsidRPr="0015246F" w:rsidRDefault="0015246F" w:rsidP="008A3D91">
      <w:pPr>
        <w:spacing w:line="360" w:lineRule="auto"/>
        <w:jc w:val="both"/>
        <w:rPr>
          <w:rFonts w:ascii="Arial" w:hAnsi="Arial" w:cs="Arial"/>
          <w:sz w:val="22"/>
          <w:szCs w:val="22"/>
        </w:rPr>
      </w:pPr>
      <w:r>
        <w:rPr>
          <w:rFonts w:ascii="Arial" w:hAnsi="Arial" w:cs="Arial"/>
          <w:sz w:val="22"/>
          <w:szCs w:val="22"/>
        </w:rPr>
        <w:t>Transparency was also prioritised when selecting and presenting literature.  The researcher aimed to provide a balanced overview of the available evidence, ensuring that sources were included based on relevance and quality rather than personal bias.</w:t>
      </w:r>
    </w:p>
    <w:p w14:paraId="5CB6C4DE" w14:textId="77777777" w:rsidR="001C34F5" w:rsidRPr="0015246F" w:rsidRDefault="001C34F5" w:rsidP="008A3D91">
      <w:pPr>
        <w:jc w:val="both"/>
        <w:rPr>
          <w:rFonts w:ascii="Arial" w:hAnsi="Arial" w:cs="Arial"/>
          <w:sz w:val="22"/>
          <w:szCs w:val="22"/>
        </w:rPr>
      </w:pPr>
    </w:p>
    <w:p w14:paraId="6AAB593B" w14:textId="686538F8" w:rsidR="001C34F5" w:rsidRPr="00E52633" w:rsidRDefault="001C34F5" w:rsidP="008A3D91">
      <w:pPr>
        <w:pStyle w:val="Heading2"/>
        <w:numPr>
          <w:ilvl w:val="1"/>
          <w:numId w:val="11"/>
        </w:numPr>
        <w:jc w:val="both"/>
        <w:rPr>
          <w:rFonts w:ascii="Arial" w:hAnsi="Arial" w:cs="Arial"/>
          <w:b/>
          <w:bCs/>
          <w:color w:val="000000" w:themeColor="text1"/>
          <w:sz w:val="32"/>
          <w:szCs w:val="32"/>
        </w:rPr>
      </w:pPr>
      <w:r w:rsidRPr="00E52633">
        <w:rPr>
          <w:rFonts w:ascii="Arial" w:hAnsi="Arial" w:cs="Arial"/>
          <w:b/>
          <w:bCs/>
          <w:color w:val="000000" w:themeColor="text1"/>
          <w:sz w:val="32"/>
          <w:szCs w:val="32"/>
        </w:rPr>
        <w:t xml:space="preserve">– Chapter Conclusion </w:t>
      </w:r>
    </w:p>
    <w:p w14:paraId="224FBF28" w14:textId="77777777" w:rsidR="0015246F" w:rsidRPr="00665AC3" w:rsidRDefault="0015246F" w:rsidP="008A3D91">
      <w:pPr>
        <w:jc w:val="both"/>
        <w:rPr>
          <w:b/>
          <w:bCs/>
        </w:rPr>
      </w:pPr>
    </w:p>
    <w:p w14:paraId="5342D42D" w14:textId="473F1B15" w:rsidR="001C34F5" w:rsidRPr="00E52633" w:rsidRDefault="001C34F5" w:rsidP="008A3D91">
      <w:pPr>
        <w:jc w:val="both"/>
        <w:rPr>
          <w:rFonts w:ascii="Arial" w:hAnsi="Arial" w:cs="Arial"/>
          <w:b/>
          <w:bCs/>
          <w:sz w:val="28"/>
          <w:szCs w:val="28"/>
        </w:rPr>
      </w:pPr>
      <w:r w:rsidRPr="00E52633">
        <w:rPr>
          <w:rFonts w:ascii="Arial" w:hAnsi="Arial" w:cs="Arial"/>
          <w:b/>
          <w:bCs/>
          <w:sz w:val="28"/>
          <w:szCs w:val="28"/>
        </w:rPr>
        <w:t>Summary:</w:t>
      </w:r>
    </w:p>
    <w:p w14:paraId="117F6D03" w14:textId="6085C4CF" w:rsidR="0015246F" w:rsidRDefault="0015246F" w:rsidP="008A3D91">
      <w:pPr>
        <w:spacing w:line="360" w:lineRule="auto"/>
        <w:jc w:val="both"/>
        <w:rPr>
          <w:rFonts w:ascii="Arial" w:hAnsi="Arial" w:cs="Arial"/>
          <w:sz w:val="22"/>
          <w:szCs w:val="22"/>
        </w:rPr>
      </w:pPr>
    </w:p>
    <w:p w14:paraId="06DC264C" w14:textId="681312C4" w:rsidR="0015246F" w:rsidRDefault="0015246F" w:rsidP="008A3D91">
      <w:pPr>
        <w:spacing w:line="360" w:lineRule="auto"/>
        <w:jc w:val="both"/>
        <w:rPr>
          <w:rFonts w:ascii="Arial" w:hAnsi="Arial" w:cs="Arial"/>
          <w:sz w:val="22"/>
          <w:szCs w:val="22"/>
        </w:rPr>
      </w:pPr>
      <w:r>
        <w:rPr>
          <w:rFonts w:ascii="Arial" w:hAnsi="Arial" w:cs="Arial"/>
          <w:sz w:val="22"/>
          <w:szCs w:val="22"/>
        </w:rPr>
        <w:t>This chapter has outlined the methodological approach used to conduct the research for this dissertation.  It explained how a structured search strategy was developed to locate relevant academic literature, and how databases, filters, and keyword combinations were used to identify appropriate sources.  The chapter also described how the CRAPP framework was applied to validate research quality, alongside clearly defined inclusion and exclusion criteria to maintain relevance and credibility.</w:t>
      </w:r>
    </w:p>
    <w:p w14:paraId="3EC3CF1B" w14:textId="78ED19D8" w:rsidR="0015246F" w:rsidRDefault="0015246F" w:rsidP="008A3D91">
      <w:pPr>
        <w:spacing w:line="360" w:lineRule="auto"/>
        <w:jc w:val="both"/>
        <w:rPr>
          <w:rFonts w:ascii="Arial" w:hAnsi="Arial" w:cs="Arial"/>
          <w:sz w:val="22"/>
          <w:szCs w:val="22"/>
        </w:rPr>
      </w:pPr>
    </w:p>
    <w:p w14:paraId="3B0567E8" w14:textId="5B857EEB" w:rsidR="0015246F" w:rsidRDefault="0015246F" w:rsidP="008A3D91">
      <w:pPr>
        <w:spacing w:line="360" w:lineRule="auto"/>
        <w:jc w:val="both"/>
        <w:rPr>
          <w:rFonts w:ascii="Arial" w:hAnsi="Arial" w:cs="Arial"/>
          <w:sz w:val="22"/>
          <w:szCs w:val="22"/>
        </w:rPr>
      </w:pPr>
      <w:r>
        <w:rPr>
          <w:rFonts w:ascii="Arial" w:hAnsi="Arial" w:cs="Arial"/>
          <w:sz w:val="22"/>
          <w:szCs w:val="22"/>
        </w:rPr>
        <w:t xml:space="preserve">Furthermore, the chapter detailed the use of thematic coding techniques to analyse the selected </w:t>
      </w:r>
      <w:r w:rsidR="00D4154B">
        <w:rPr>
          <w:rFonts w:ascii="Arial" w:hAnsi="Arial" w:cs="Arial"/>
          <w:sz w:val="22"/>
          <w:szCs w:val="22"/>
        </w:rPr>
        <w:t>literature and identify recurring patterns within the research.</w:t>
      </w:r>
    </w:p>
    <w:p w14:paraId="764B5815" w14:textId="77777777" w:rsidR="00D4154B" w:rsidRDefault="00D4154B" w:rsidP="008A3D91">
      <w:pPr>
        <w:jc w:val="both"/>
        <w:rPr>
          <w:rFonts w:ascii="Arial" w:hAnsi="Arial" w:cs="Arial"/>
          <w:sz w:val="22"/>
          <w:szCs w:val="22"/>
        </w:rPr>
      </w:pPr>
    </w:p>
    <w:p w14:paraId="3F0EA8F5" w14:textId="7B3D35F1" w:rsidR="001C34F5" w:rsidRPr="00E52633" w:rsidRDefault="001C34F5" w:rsidP="008A3D91">
      <w:pPr>
        <w:jc w:val="both"/>
        <w:rPr>
          <w:rFonts w:ascii="Arial" w:hAnsi="Arial" w:cs="Arial"/>
          <w:sz w:val="28"/>
          <w:szCs w:val="28"/>
        </w:rPr>
      </w:pPr>
      <w:r w:rsidRPr="00E52633">
        <w:rPr>
          <w:rFonts w:ascii="Arial" w:hAnsi="Arial" w:cs="Arial"/>
          <w:b/>
          <w:bCs/>
          <w:sz w:val="28"/>
          <w:szCs w:val="28"/>
        </w:rPr>
        <w:lastRenderedPageBreak/>
        <w:t>Link to Next Chapter:</w:t>
      </w:r>
    </w:p>
    <w:p w14:paraId="05D0345C" w14:textId="63C7AEF9" w:rsidR="001C34F5" w:rsidRDefault="001C34F5" w:rsidP="008A3D91">
      <w:pPr>
        <w:spacing w:line="360" w:lineRule="auto"/>
        <w:jc w:val="both"/>
        <w:rPr>
          <w:rFonts w:ascii="Arial" w:hAnsi="Arial" w:cs="Arial"/>
          <w:sz w:val="22"/>
          <w:szCs w:val="22"/>
        </w:rPr>
      </w:pPr>
    </w:p>
    <w:p w14:paraId="7E907BDE" w14:textId="7BFC2DB2" w:rsidR="00D4154B" w:rsidRDefault="00D4154B" w:rsidP="008A3D91">
      <w:pPr>
        <w:spacing w:line="360" w:lineRule="auto"/>
        <w:jc w:val="both"/>
        <w:rPr>
          <w:rFonts w:ascii="Arial" w:hAnsi="Arial" w:cs="Arial"/>
          <w:sz w:val="22"/>
          <w:szCs w:val="22"/>
        </w:rPr>
      </w:pPr>
      <w:r>
        <w:rPr>
          <w:rFonts w:ascii="Arial" w:hAnsi="Arial" w:cs="Arial"/>
          <w:sz w:val="22"/>
          <w:szCs w:val="22"/>
        </w:rPr>
        <w:t>The following chapter will present the findings of this analysis, organised into key themes relating to the prevalence, risk factors, and management strategies of type 2 diabetes in UK adults.</w:t>
      </w:r>
    </w:p>
    <w:p w14:paraId="14720652" w14:textId="77777777" w:rsidR="00E04206" w:rsidRPr="00D4154B" w:rsidRDefault="00E04206" w:rsidP="008A3D91">
      <w:pPr>
        <w:spacing w:line="360" w:lineRule="auto"/>
        <w:jc w:val="both"/>
        <w:rPr>
          <w:rFonts w:ascii="Arial" w:hAnsi="Arial" w:cs="Arial"/>
          <w:sz w:val="22"/>
          <w:szCs w:val="22"/>
        </w:rPr>
      </w:pPr>
    </w:p>
    <w:p w14:paraId="1F754FBE" w14:textId="34A368E7" w:rsidR="001C34F5" w:rsidRPr="00E52633" w:rsidRDefault="001C34F5" w:rsidP="008A3D91">
      <w:pPr>
        <w:pStyle w:val="Heading1"/>
        <w:ind w:left="0"/>
        <w:jc w:val="both"/>
        <w:rPr>
          <w:rFonts w:cs="Arial"/>
        </w:rPr>
      </w:pPr>
      <w:r w:rsidRPr="00E52633">
        <w:rPr>
          <w:rFonts w:cs="Arial"/>
        </w:rPr>
        <w:t xml:space="preserve">CHAPTER 4 – Findings and Discussion </w:t>
      </w:r>
    </w:p>
    <w:p w14:paraId="7280E6D7" w14:textId="77777777" w:rsidR="001C34F5" w:rsidRDefault="001C34F5" w:rsidP="008A3D91">
      <w:pPr>
        <w:jc w:val="both"/>
      </w:pPr>
    </w:p>
    <w:p w14:paraId="3B044CF9" w14:textId="5E9B59ED" w:rsidR="001C34F5" w:rsidRPr="00E52633" w:rsidRDefault="001C34F5" w:rsidP="008A3D91">
      <w:pPr>
        <w:pStyle w:val="Heading2"/>
        <w:jc w:val="both"/>
        <w:rPr>
          <w:rFonts w:ascii="Arial" w:hAnsi="Arial" w:cs="Arial"/>
          <w:b/>
          <w:bCs/>
          <w:color w:val="000000" w:themeColor="text1"/>
          <w:sz w:val="28"/>
          <w:szCs w:val="28"/>
        </w:rPr>
      </w:pPr>
      <w:r w:rsidRPr="00E52633">
        <w:rPr>
          <w:rFonts w:ascii="Arial" w:hAnsi="Arial" w:cs="Arial"/>
          <w:b/>
          <w:bCs/>
          <w:color w:val="000000" w:themeColor="text1"/>
          <w:sz w:val="28"/>
          <w:szCs w:val="28"/>
        </w:rPr>
        <w:t xml:space="preserve">4.1 – Introduction </w:t>
      </w:r>
    </w:p>
    <w:p w14:paraId="34BB4C1D" w14:textId="08D5C393" w:rsidR="001C34F5" w:rsidRDefault="001C34F5" w:rsidP="008A3D91">
      <w:pPr>
        <w:jc w:val="both"/>
      </w:pPr>
    </w:p>
    <w:p w14:paraId="0BBC9627" w14:textId="7FB2F6F8" w:rsidR="00CB1827" w:rsidRDefault="00CB1827" w:rsidP="008A3D91">
      <w:pPr>
        <w:spacing w:line="360" w:lineRule="auto"/>
        <w:jc w:val="both"/>
        <w:rPr>
          <w:rFonts w:ascii="Arial" w:hAnsi="Arial" w:cs="Arial"/>
          <w:sz w:val="22"/>
          <w:szCs w:val="22"/>
        </w:rPr>
      </w:pPr>
      <w:r>
        <w:rPr>
          <w:rFonts w:ascii="Arial" w:hAnsi="Arial" w:cs="Arial"/>
          <w:sz w:val="22"/>
          <w:szCs w:val="22"/>
        </w:rPr>
        <w:t>This chapter presents and critically discusses the findings identified through the thematic analysis of selected secondary literature.  Drawing on the coding process outlined in Chapter 3, three major themes emerged across the reviewed evidence: the rising prevalence of type 2 diabetes mellitus (T2DM) in UK adults, the influence of lifestyle and socioeconomic risk factors, and the effectiveness of current management and prevention strategies.  These themes are examined in relation to the dissertation aim in order to evaluate how the literature explains the scale, causes and responses to T2DM in the United Kingdom.  Statistical evidence, policy guidance and examples from key studies are integrated throughout to support critical discussion rather than simple description.</w:t>
      </w:r>
    </w:p>
    <w:p w14:paraId="0FB98F6B" w14:textId="77777777" w:rsidR="00C11124" w:rsidRDefault="00C11124" w:rsidP="008A3D91">
      <w:pPr>
        <w:spacing w:line="360" w:lineRule="auto"/>
        <w:jc w:val="both"/>
        <w:rPr>
          <w:rFonts w:ascii="Arial" w:hAnsi="Arial" w:cs="Arial"/>
          <w:sz w:val="22"/>
          <w:szCs w:val="22"/>
        </w:rPr>
      </w:pPr>
    </w:p>
    <w:p w14:paraId="1063BCD8" w14:textId="6EF2BEC2" w:rsidR="001C34F5" w:rsidRPr="00E52633" w:rsidRDefault="00065798" w:rsidP="008A3D91">
      <w:pPr>
        <w:pStyle w:val="Heading2"/>
        <w:jc w:val="both"/>
        <w:rPr>
          <w:rFonts w:ascii="Arial" w:hAnsi="Arial" w:cs="Arial"/>
          <w:b/>
          <w:bCs/>
          <w:color w:val="000000" w:themeColor="text1"/>
          <w:sz w:val="32"/>
          <w:szCs w:val="32"/>
        </w:rPr>
      </w:pPr>
      <w:r w:rsidRPr="00E52633">
        <w:rPr>
          <w:rFonts w:ascii="Arial" w:hAnsi="Arial" w:cs="Arial"/>
          <w:b/>
          <w:bCs/>
          <w:color w:val="000000" w:themeColor="text1"/>
          <w:sz w:val="32"/>
          <w:szCs w:val="32"/>
        </w:rPr>
        <w:t>4</w:t>
      </w:r>
      <w:r w:rsidR="001C34F5" w:rsidRPr="00E52633">
        <w:rPr>
          <w:rFonts w:ascii="Arial" w:hAnsi="Arial" w:cs="Arial"/>
          <w:b/>
          <w:bCs/>
          <w:color w:val="000000" w:themeColor="text1"/>
          <w:sz w:val="32"/>
          <w:szCs w:val="32"/>
        </w:rPr>
        <w:t xml:space="preserve">.2 – Thematic Analysis </w:t>
      </w:r>
    </w:p>
    <w:p w14:paraId="5D5068CF" w14:textId="77777777" w:rsidR="001C34F5" w:rsidRPr="00E52633" w:rsidRDefault="001C34F5" w:rsidP="008A3D91">
      <w:pPr>
        <w:pStyle w:val="Heading1"/>
        <w:jc w:val="both"/>
        <w:rPr>
          <w:rFonts w:cs="Arial"/>
          <w:sz w:val="28"/>
          <w:szCs w:val="28"/>
        </w:rPr>
      </w:pPr>
    </w:p>
    <w:p w14:paraId="70D1ABD5" w14:textId="60022F95" w:rsidR="001C34F5" w:rsidRPr="00E52633" w:rsidRDefault="001C34F5" w:rsidP="008A3D91">
      <w:pPr>
        <w:jc w:val="both"/>
        <w:rPr>
          <w:rFonts w:ascii="Arial" w:hAnsi="Arial" w:cs="Arial"/>
          <w:b/>
          <w:bCs/>
          <w:sz w:val="28"/>
          <w:szCs w:val="28"/>
        </w:rPr>
      </w:pPr>
      <w:r w:rsidRPr="00E52633">
        <w:rPr>
          <w:rFonts w:ascii="Arial" w:hAnsi="Arial" w:cs="Arial"/>
          <w:b/>
          <w:bCs/>
          <w:sz w:val="28"/>
          <w:szCs w:val="28"/>
        </w:rPr>
        <w:t>Definition of Thematic Analysis:</w:t>
      </w:r>
    </w:p>
    <w:p w14:paraId="4EE85B31" w14:textId="42FF4E80" w:rsidR="00CB1827" w:rsidRDefault="00CB1827" w:rsidP="008A3D91">
      <w:pPr>
        <w:jc w:val="both"/>
        <w:rPr>
          <w:rFonts w:ascii="Arial" w:hAnsi="Arial" w:cs="Arial"/>
          <w:b/>
          <w:bCs/>
          <w:sz w:val="22"/>
          <w:szCs w:val="22"/>
        </w:rPr>
      </w:pPr>
    </w:p>
    <w:p w14:paraId="57736D53" w14:textId="0B82A325" w:rsidR="00CB1827" w:rsidRPr="00AC2C4F" w:rsidRDefault="00753C81" w:rsidP="008A3D91">
      <w:pPr>
        <w:spacing w:line="360" w:lineRule="auto"/>
        <w:jc w:val="both"/>
        <w:rPr>
          <w:rFonts w:ascii="Arial" w:hAnsi="Arial" w:cs="Arial"/>
          <w:sz w:val="22"/>
          <w:szCs w:val="22"/>
        </w:rPr>
      </w:pPr>
      <w:r w:rsidRPr="00AC2C4F">
        <w:rPr>
          <w:rFonts w:ascii="Arial" w:hAnsi="Arial" w:cs="Arial"/>
          <w:sz w:val="22"/>
          <w:szCs w:val="22"/>
        </w:rPr>
        <w:t>Thematic analysis is a method used to identify, organise and interpret patterns of meaning across a dataset.  Braun and Clarke define it as a method for “identifying, analysing and reporting patterns (themes) within data”, making it particularly useful in secondary research where the aim is to synthesise findings from multiple sources into coherent analytical categories</w:t>
      </w:r>
      <w:r w:rsidR="001E6860" w:rsidRPr="00AC2C4F">
        <w:rPr>
          <w:rFonts w:ascii="Arial" w:hAnsi="Arial" w:cs="Arial"/>
          <w:sz w:val="22"/>
          <w:szCs w:val="22"/>
        </w:rPr>
        <w:t xml:space="preserve"> </w:t>
      </w:r>
      <w:r w:rsidR="001E6860" w:rsidRPr="00AC2C4F">
        <w:rPr>
          <w:rFonts w:ascii="Arial" w:hAnsi="Arial" w:cs="Arial"/>
          <w:color w:val="000000"/>
          <w:sz w:val="22"/>
          <w:szCs w:val="22"/>
        </w:rPr>
        <w:t>(Purssell and Gould, 2021)</w:t>
      </w:r>
      <w:r w:rsidRPr="00AC2C4F">
        <w:rPr>
          <w:rFonts w:ascii="Arial" w:hAnsi="Arial" w:cs="Arial"/>
          <w:sz w:val="22"/>
          <w:szCs w:val="22"/>
        </w:rPr>
        <w:t>.  In literature-based research, thematic analysis allows the researcher to move beyond summarising individual studies and instead examine recurring concepts, areas of agreement, contradiction and wider implications for the research question</w:t>
      </w:r>
      <w:r w:rsidR="00AC2C4F" w:rsidRPr="00AC2C4F">
        <w:rPr>
          <w:rFonts w:ascii="Arial" w:hAnsi="Arial" w:cs="Arial"/>
          <w:sz w:val="22"/>
          <w:szCs w:val="22"/>
        </w:rPr>
        <w:t xml:space="preserve"> </w:t>
      </w:r>
      <w:r w:rsidR="00AC2C4F" w:rsidRPr="00AC2C4F">
        <w:rPr>
          <w:rFonts w:ascii="Arial" w:hAnsi="Arial" w:cs="Arial"/>
          <w:color w:val="000000"/>
          <w:sz w:val="22"/>
          <w:szCs w:val="22"/>
        </w:rPr>
        <w:t>(Thomas and Harden, 2008)</w:t>
      </w:r>
      <w:r w:rsidRPr="00AC2C4F">
        <w:rPr>
          <w:rFonts w:ascii="Arial" w:hAnsi="Arial" w:cs="Arial"/>
          <w:sz w:val="22"/>
          <w:szCs w:val="22"/>
        </w:rPr>
        <w:t>.</w:t>
      </w:r>
    </w:p>
    <w:p w14:paraId="4C011151" w14:textId="77777777" w:rsidR="00CB1827" w:rsidRPr="00CB1827" w:rsidRDefault="00CB1827" w:rsidP="008A3D91">
      <w:pPr>
        <w:spacing w:line="360" w:lineRule="auto"/>
        <w:jc w:val="both"/>
        <w:rPr>
          <w:rFonts w:ascii="Arial" w:hAnsi="Arial" w:cs="Arial"/>
          <w:sz w:val="22"/>
          <w:szCs w:val="22"/>
        </w:rPr>
      </w:pPr>
    </w:p>
    <w:p w14:paraId="16D38EE1" w14:textId="63B5EEC6" w:rsidR="001C34F5" w:rsidRPr="00E52633" w:rsidRDefault="001C34F5" w:rsidP="008A3D91">
      <w:pPr>
        <w:jc w:val="both"/>
        <w:rPr>
          <w:rFonts w:ascii="Arial" w:hAnsi="Arial" w:cs="Arial"/>
          <w:sz w:val="28"/>
          <w:szCs w:val="28"/>
        </w:rPr>
      </w:pPr>
      <w:r w:rsidRPr="00E52633">
        <w:rPr>
          <w:rFonts w:ascii="Arial" w:hAnsi="Arial" w:cs="Arial"/>
          <w:b/>
          <w:bCs/>
          <w:sz w:val="28"/>
          <w:szCs w:val="28"/>
        </w:rPr>
        <w:t>Link to Coding/Results Table:</w:t>
      </w:r>
    </w:p>
    <w:p w14:paraId="79144BAD" w14:textId="5595FF97" w:rsidR="001C34F5" w:rsidRDefault="001C34F5" w:rsidP="008A3D91">
      <w:pPr>
        <w:jc w:val="both"/>
      </w:pPr>
    </w:p>
    <w:p w14:paraId="767B1FA4" w14:textId="37B2AD17" w:rsidR="00753C81" w:rsidRDefault="00753C81" w:rsidP="008A3D91">
      <w:pPr>
        <w:spacing w:line="360" w:lineRule="auto"/>
        <w:jc w:val="both"/>
        <w:rPr>
          <w:rFonts w:ascii="Arial" w:hAnsi="Arial" w:cs="Arial"/>
          <w:sz w:val="22"/>
          <w:szCs w:val="22"/>
        </w:rPr>
      </w:pPr>
      <w:r>
        <w:rPr>
          <w:rFonts w:ascii="Arial" w:hAnsi="Arial" w:cs="Arial"/>
          <w:sz w:val="22"/>
          <w:szCs w:val="22"/>
        </w:rPr>
        <w:t xml:space="preserve">In this dissertation, thematic analysis was applied to the selected journal articles, government reports and policy documents identified through the search strategy described in Chapter 3.  Each source was reviewed in detail and coded according to recurring concepts linked to the </w:t>
      </w:r>
      <w:r>
        <w:rPr>
          <w:rFonts w:ascii="Arial" w:hAnsi="Arial" w:cs="Arial"/>
          <w:sz w:val="22"/>
          <w:szCs w:val="22"/>
        </w:rPr>
        <w:lastRenderedPageBreak/>
        <w:t>dissertation aim, including prevalence, obesity</w:t>
      </w:r>
      <w:r w:rsidR="009B0C5B">
        <w:rPr>
          <w:rFonts w:ascii="Arial" w:hAnsi="Arial" w:cs="Arial"/>
          <w:sz w:val="22"/>
          <w:szCs w:val="22"/>
        </w:rPr>
        <w:t>, ethnicity, deprivation, self-management and treatment pathways.  These codes were organised within the coding or results summary table referred to in Chapter 3 and the appendices, providing an audit trail for how the themes were developed.  Through this process, three dominant themes were identified: first, the increasing prevalence of T2DM in UK adults; second, the role of lifestyle and socioeconomic risk factors; and prevention strategies used to reduce disease burden and improve outcomes.  These themes are discussed in the following section</w:t>
      </w:r>
    </w:p>
    <w:p w14:paraId="5CA72CB0" w14:textId="77777777" w:rsidR="009B0C5B" w:rsidRPr="00E52633" w:rsidRDefault="009B0C5B" w:rsidP="008A3D91">
      <w:pPr>
        <w:spacing w:line="360" w:lineRule="auto"/>
        <w:jc w:val="both"/>
        <w:rPr>
          <w:rFonts w:ascii="Arial" w:hAnsi="Arial" w:cs="Arial"/>
          <w:b/>
          <w:bCs/>
          <w:color w:val="000000" w:themeColor="text1"/>
          <w:sz w:val="32"/>
          <w:szCs w:val="32"/>
        </w:rPr>
      </w:pPr>
    </w:p>
    <w:p w14:paraId="1AA830D9" w14:textId="27923F9A" w:rsidR="001C34F5" w:rsidRPr="00E52633" w:rsidRDefault="001C34F5" w:rsidP="008A3D91">
      <w:pPr>
        <w:pStyle w:val="Heading2"/>
        <w:jc w:val="both"/>
        <w:rPr>
          <w:rFonts w:ascii="Arial" w:hAnsi="Arial" w:cs="Arial"/>
          <w:b/>
          <w:bCs/>
          <w:color w:val="000000" w:themeColor="text1"/>
          <w:sz w:val="32"/>
          <w:szCs w:val="32"/>
        </w:rPr>
      </w:pPr>
      <w:r w:rsidRPr="00E52633">
        <w:rPr>
          <w:rFonts w:ascii="Arial" w:hAnsi="Arial" w:cs="Arial"/>
          <w:b/>
          <w:bCs/>
          <w:color w:val="000000" w:themeColor="text1"/>
          <w:sz w:val="32"/>
          <w:szCs w:val="32"/>
        </w:rPr>
        <w:t xml:space="preserve">4.3 – Theme </w:t>
      </w:r>
      <w:r w:rsidR="00850AD4" w:rsidRPr="00E52633">
        <w:rPr>
          <w:rFonts w:ascii="Arial" w:hAnsi="Arial" w:cs="Arial"/>
          <w:b/>
          <w:bCs/>
          <w:color w:val="000000" w:themeColor="text1"/>
          <w:sz w:val="32"/>
          <w:szCs w:val="32"/>
        </w:rPr>
        <w:t>1: Rising Prevalence of Type 2 Diabetes in UK Adults</w:t>
      </w:r>
    </w:p>
    <w:p w14:paraId="78FBA820" w14:textId="096176F9" w:rsidR="001C34F5" w:rsidRPr="00E52633" w:rsidRDefault="001C34F5" w:rsidP="008A3D91">
      <w:pPr>
        <w:spacing w:before="100" w:beforeAutospacing="1" w:after="100" w:afterAutospacing="1" w:line="360" w:lineRule="auto"/>
        <w:jc w:val="both"/>
        <w:rPr>
          <w:rStyle w:val="Strong"/>
          <w:rFonts w:ascii="Arial" w:hAnsi="Arial" w:cs="Arial"/>
          <w:sz w:val="28"/>
          <w:szCs w:val="28"/>
        </w:rPr>
      </w:pPr>
      <w:r w:rsidRPr="00E52633">
        <w:rPr>
          <w:rStyle w:val="Strong"/>
          <w:rFonts w:ascii="Arial" w:hAnsi="Arial" w:cs="Arial"/>
          <w:sz w:val="28"/>
          <w:szCs w:val="28"/>
        </w:rPr>
        <w:t>Definition:</w:t>
      </w:r>
    </w:p>
    <w:p w14:paraId="7B1DF171" w14:textId="676D59CB" w:rsidR="00850AD4" w:rsidRPr="009964EF" w:rsidRDefault="00850AD4" w:rsidP="008A3D91">
      <w:pPr>
        <w:spacing w:line="360" w:lineRule="auto"/>
        <w:jc w:val="both"/>
        <w:rPr>
          <w:rStyle w:val="Strong"/>
          <w:rFonts w:ascii="Arial" w:hAnsi="Arial" w:cs="Arial"/>
          <w:b w:val="0"/>
          <w:bCs w:val="0"/>
          <w:sz w:val="22"/>
          <w:szCs w:val="22"/>
        </w:rPr>
      </w:pPr>
      <w:r w:rsidRPr="009964EF">
        <w:rPr>
          <w:rStyle w:val="Strong"/>
          <w:rFonts w:ascii="Arial" w:hAnsi="Arial" w:cs="Arial"/>
          <w:b w:val="0"/>
          <w:bCs w:val="0"/>
          <w:sz w:val="22"/>
          <w:szCs w:val="22"/>
        </w:rPr>
        <w:t>Prevalence refers to the proportion of a population living with a disease at a given point in time</w:t>
      </w:r>
      <w:r w:rsidR="00D6037F" w:rsidRPr="009964EF">
        <w:rPr>
          <w:rStyle w:val="Strong"/>
          <w:rFonts w:ascii="Arial" w:hAnsi="Arial" w:cs="Arial"/>
          <w:b w:val="0"/>
          <w:bCs w:val="0"/>
          <w:sz w:val="22"/>
          <w:szCs w:val="22"/>
        </w:rPr>
        <w:t xml:space="preserve"> </w:t>
      </w:r>
      <w:r w:rsidR="00D6037F" w:rsidRPr="009964EF">
        <w:rPr>
          <w:rFonts w:ascii="Arial" w:hAnsi="Arial" w:cs="Arial"/>
          <w:color w:val="000000"/>
          <w:sz w:val="22"/>
          <w:szCs w:val="22"/>
        </w:rPr>
        <w:t>(National Institute of Mental Health, 2020)</w:t>
      </w:r>
      <w:r w:rsidRPr="009964EF">
        <w:rPr>
          <w:rStyle w:val="Strong"/>
          <w:rFonts w:ascii="Arial" w:hAnsi="Arial" w:cs="Arial"/>
          <w:b w:val="0"/>
          <w:bCs w:val="0"/>
          <w:sz w:val="22"/>
          <w:szCs w:val="22"/>
        </w:rPr>
        <w:t>.  Within this dissertation, the theme of prevalence is significant because it establishes the scale of T2DM in the UK and justifies why it remains a major public health priority.  T2DM is a chronic metabolic condition characterised by insulin resistance and progressive dys</w:t>
      </w:r>
      <w:r w:rsidR="00D67C18" w:rsidRPr="009964EF">
        <w:rPr>
          <w:rStyle w:val="Strong"/>
          <w:rFonts w:ascii="Arial" w:hAnsi="Arial" w:cs="Arial"/>
          <w:b w:val="0"/>
          <w:bCs w:val="0"/>
          <w:sz w:val="22"/>
          <w:szCs w:val="22"/>
        </w:rPr>
        <w:t>function of insulin secretion</w:t>
      </w:r>
      <w:r w:rsidR="009C10DB" w:rsidRPr="009964EF">
        <w:rPr>
          <w:rStyle w:val="Strong"/>
          <w:rFonts w:ascii="Arial" w:hAnsi="Arial" w:cs="Arial"/>
          <w:b w:val="0"/>
          <w:bCs w:val="0"/>
          <w:sz w:val="22"/>
          <w:szCs w:val="22"/>
        </w:rPr>
        <w:t xml:space="preserve"> </w:t>
      </w:r>
      <w:r w:rsidR="009C10DB" w:rsidRPr="009964EF">
        <w:rPr>
          <w:rFonts w:ascii="Arial" w:hAnsi="Arial" w:cs="Arial"/>
          <w:color w:val="000000"/>
          <w:sz w:val="22"/>
          <w:szCs w:val="22"/>
        </w:rPr>
        <w:t>(Gieroba, Kryska and Sroka-Bartnicka, 2025)</w:t>
      </w:r>
      <w:r w:rsidR="00D67C18" w:rsidRPr="009964EF">
        <w:rPr>
          <w:rStyle w:val="Strong"/>
          <w:rFonts w:ascii="Arial" w:hAnsi="Arial" w:cs="Arial"/>
          <w:b w:val="0"/>
          <w:bCs w:val="0"/>
          <w:sz w:val="22"/>
          <w:szCs w:val="22"/>
        </w:rPr>
        <w:t>.  Reed, Bain and Kanamarlapudi describe the condition as highly multifactorial, involving biological, behavioural and environmental pathways, which helps explain why rising prevalence is difficult to reverse through isolated interventions alone</w:t>
      </w:r>
      <w:r w:rsidR="009964EF" w:rsidRPr="009964EF">
        <w:rPr>
          <w:rStyle w:val="Strong"/>
          <w:rFonts w:ascii="Arial" w:hAnsi="Arial" w:cs="Arial"/>
          <w:b w:val="0"/>
          <w:bCs w:val="0"/>
          <w:sz w:val="22"/>
          <w:szCs w:val="22"/>
        </w:rPr>
        <w:t xml:space="preserve"> </w:t>
      </w:r>
      <w:r w:rsidR="009964EF" w:rsidRPr="009964EF">
        <w:rPr>
          <w:rFonts w:ascii="Arial" w:hAnsi="Arial" w:cs="Arial"/>
          <w:color w:val="000000"/>
          <w:sz w:val="22"/>
          <w:szCs w:val="22"/>
        </w:rPr>
        <w:t>(Reed, Bain and Kanamarlapudi, 2021)</w:t>
      </w:r>
      <w:r w:rsidR="00D67C18" w:rsidRPr="009964EF">
        <w:rPr>
          <w:rStyle w:val="Strong"/>
          <w:rFonts w:ascii="Arial" w:hAnsi="Arial" w:cs="Arial"/>
          <w:b w:val="0"/>
          <w:bCs w:val="0"/>
          <w:sz w:val="22"/>
          <w:szCs w:val="22"/>
        </w:rPr>
        <w:t>.</w:t>
      </w:r>
      <w:r w:rsidR="005B6BAB">
        <w:rPr>
          <w:rStyle w:val="Strong"/>
          <w:rFonts w:ascii="Arial" w:hAnsi="Arial" w:cs="Arial"/>
          <w:b w:val="0"/>
          <w:bCs w:val="0"/>
          <w:sz w:val="22"/>
          <w:szCs w:val="22"/>
        </w:rPr>
        <w:t xml:space="preserve">  Whilst most studies agree that prevalence is increasing, some emphasise biological drivers such as obesity, whereas others highlight socioeconomic inequality as the primary influence, indicating variation in how the causes of rising prevalence are interpreted.</w:t>
      </w:r>
    </w:p>
    <w:p w14:paraId="4B0DFA79" w14:textId="4B4322B7" w:rsidR="001C34F5" w:rsidRPr="00E52633" w:rsidRDefault="001C34F5" w:rsidP="008A3D91">
      <w:pPr>
        <w:spacing w:before="100" w:beforeAutospacing="1" w:after="100" w:afterAutospacing="1" w:line="360" w:lineRule="auto"/>
        <w:jc w:val="both"/>
        <w:rPr>
          <w:rStyle w:val="Strong"/>
          <w:rFonts w:ascii="Arial" w:hAnsi="Arial" w:cs="Arial"/>
          <w:sz w:val="28"/>
          <w:szCs w:val="28"/>
        </w:rPr>
      </w:pPr>
      <w:r w:rsidRPr="00E52633">
        <w:rPr>
          <w:rStyle w:val="Strong"/>
          <w:rFonts w:ascii="Arial" w:hAnsi="Arial" w:cs="Arial"/>
          <w:sz w:val="28"/>
          <w:szCs w:val="28"/>
        </w:rPr>
        <w:t>Historical/Contextual Background:</w:t>
      </w:r>
    </w:p>
    <w:p w14:paraId="6997A962" w14:textId="44094856" w:rsidR="00AC784D" w:rsidRPr="001E48C2" w:rsidRDefault="00AC784D" w:rsidP="008A3D91">
      <w:pPr>
        <w:spacing w:line="360" w:lineRule="auto"/>
        <w:jc w:val="both"/>
        <w:rPr>
          <w:rStyle w:val="Strong"/>
          <w:rFonts w:ascii="Arial" w:hAnsi="Arial" w:cs="Arial"/>
          <w:b w:val="0"/>
          <w:bCs w:val="0"/>
          <w:sz w:val="22"/>
          <w:szCs w:val="22"/>
        </w:rPr>
      </w:pPr>
      <w:r w:rsidRPr="001E48C2">
        <w:rPr>
          <w:rStyle w:val="Strong"/>
          <w:rFonts w:ascii="Arial" w:hAnsi="Arial" w:cs="Arial"/>
          <w:b w:val="0"/>
          <w:bCs w:val="0"/>
          <w:sz w:val="22"/>
          <w:szCs w:val="22"/>
        </w:rPr>
        <w:t>Historically, type 2 diabetes was often associated with older adulthood, but the literature reviewed suggests that this framing is increasingly outdated</w:t>
      </w:r>
      <w:r w:rsidR="00FC6655" w:rsidRPr="001E48C2">
        <w:rPr>
          <w:rStyle w:val="Strong"/>
          <w:rFonts w:ascii="Arial" w:hAnsi="Arial" w:cs="Arial"/>
          <w:b w:val="0"/>
          <w:bCs w:val="0"/>
          <w:sz w:val="22"/>
          <w:szCs w:val="22"/>
        </w:rPr>
        <w:t xml:space="preserve"> </w:t>
      </w:r>
      <w:r w:rsidR="00FC6655" w:rsidRPr="001E48C2">
        <w:rPr>
          <w:rFonts w:ascii="Arial" w:hAnsi="Arial" w:cs="Arial"/>
          <w:color w:val="000000"/>
          <w:sz w:val="22"/>
          <w:szCs w:val="22"/>
        </w:rPr>
        <w:t>(Kirkman, 2012)</w:t>
      </w:r>
      <w:r w:rsidRPr="001E48C2">
        <w:rPr>
          <w:rStyle w:val="Strong"/>
          <w:rFonts w:ascii="Arial" w:hAnsi="Arial" w:cs="Arial"/>
          <w:b w:val="0"/>
          <w:bCs w:val="0"/>
          <w:sz w:val="22"/>
          <w:szCs w:val="22"/>
        </w:rPr>
        <w:t>.  Contemporary evidence shows that the condition is affecting larger numbers of UK adults and, in some groups, is appearing at younger ages than previously expected.  This trend is especially important because earlier onset increases lifetime exposure to hyperglycaemia and therefore the risk of complications such as cardiovascular disease, nephropathy, retinopathy and neuropathy</w:t>
      </w:r>
      <w:r w:rsidR="001E48C2" w:rsidRPr="001E48C2">
        <w:rPr>
          <w:rStyle w:val="Strong"/>
          <w:rFonts w:ascii="Arial" w:hAnsi="Arial" w:cs="Arial"/>
          <w:b w:val="0"/>
          <w:bCs w:val="0"/>
          <w:sz w:val="22"/>
          <w:szCs w:val="22"/>
        </w:rPr>
        <w:t xml:space="preserve"> </w:t>
      </w:r>
      <w:r w:rsidR="001E48C2" w:rsidRPr="001E48C2">
        <w:rPr>
          <w:rFonts w:ascii="Arial" w:hAnsi="Arial" w:cs="Arial"/>
          <w:color w:val="000000"/>
          <w:sz w:val="22"/>
          <w:szCs w:val="22"/>
        </w:rPr>
        <w:t>(Zakir et al., 2023)</w:t>
      </w:r>
      <w:r w:rsidRPr="001E48C2">
        <w:rPr>
          <w:rStyle w:val="Strong"/>
          <w:rFonts w:ascii="Arial" w:hAnsi="Arial" w:cs="Arial"/>
          <w:b w:val="0"/>
          <w:bCs w:val="0"/>
          <w:sz w:val="22"/>
          <w:szCs w:val="22"/>
        </w:rPr>
        <w:t>.  The significance of rising prevalence is therefore not purely epidemiological; it also reflects growing long-term demand on health services, medication prescribing, complication monitoring and social care systems</w:t>
      </w:r>
      <w:r w:rsidR="001E48C2" w:rsidRPr="001E48C2">
        <w:rPr>
          <w:rStyle w:val="Strong"/>
          <w:rFonts w:ascii="Arial" w:hAnsi="Arial" w:cs="Arial"/>
          <w:b w:val="0"/>
          <w:bCs w:val="0"/>
          <w:sz w:val="22"/>
          <w:szCs w:val="22"/>
        </w:rPr>
        <w:t xml:space="preserve"> </w:t>
      </w:r>
      <w:r w:rsidR="001E48C2" w:rsidRPr="001E48C2">
        <w:rPr>
          <w:rFonts w:ascii="Arial" w:hAnsi="Arial" w:cs="Arial"/>
          <w:color w:val="000000"/>
          <w:sz w:val="22"/>
          <w:szCs w:val="22"/>
        </w:rPr>
        <w:t>(Avery et al., 2013)</w:t>
      </w:r>
      <w:r w:rsidRPr="001E48C2">
        <w:rPr>
          <w:rStyle w:val="Strong"/>
          <w:rFonts w:ascii="Arial" w:hAnsi="Arial" w:cs="Arial"/>
          <w:b w:val="0"/>
          <w:bCs w:val="0"/>
          <w:sz w:val="22"/>
          <w:szCs w:val="22"/>
        </w:rPr>
        <w:t>.</w:t>
      </w:r>
    </w:p>
    <w:p w14:paraId="2991826C" w14:textId="77777777" w:rsidR="00654C39" w:rsidRDefault="001C34F5" w:rsidP="008A3D91">
      <w:pPr>
        <w:spacing w:before="100" w:beforeAutospacing="1" w:after="100" w:afterAutospacing="1" w:line="360" w:lineRule="auto"/>
        <w:jc w:val="both"/>
        <w:rPr>
          <w:rStyle w:val="Strong"/>
          <w:rFonts w:ascii="Arial" w:hAnsi="Arial" w:cs="Arial"/>
          <w:sz w:val="28"/>
          <w:szCs w:val="28"/>
        </w:rPr>
      </w:pPr>
      <w:r w:rsidRPr="00E52633">
        <w:rPr>
          <w:rStyle w:val="Strong"/>
          <w:rFonts w:ascii="Arial" w:hAnsi="Arial" w:cs="Arial"/>
          <w:sz w:val="28"/>
          <w:szCs w:val="28"/>
        </w:rPr>
        <w:lastRenderedPageBreak/>
        <w:t>Data and Statistics:</w:t>
      </w:r>
    </w:p>
    <w:p w14:paraId="12812C3E" w14:textId="65678CBF" w:rsidR="00FC1F65" w:rsidRPr="00401261" w:rsidRDefault="00FC1F65" w:rsidP="008A3D91">
      <w:pPr>
        <w:spacing w:line="360" w:lineRule="auto"/>
        <w:jc w:val="both"/>
        <w:rPr>
          <w:rFonts w:ascii="Arial" w:hAnsi="Arial" w:cs="Arial"/>
          <w:sz w:val="22"/>
          <w:szCs w:val="22"/>
        </w:rPr>
      </w:pPr>
      <w:r w:rsidRPr="00401261">
        <w:rPr>
          <w:rStyle w:val="Strong"/>
          <w:rFonts w:ascii="Arial" w:hAnsi="Arial" w:cs="Arial"/>
          <w:b w:val="0"/>
          <w:bCs w:val="0"/>
          <w:sz w:val="22"/>
          <w:szCs w:val="22"/>
        </w:rPr>
        <w:t>Current UK data strongly support the argument that T2DM prevalence is increasing.  Government statistical commentary published in March 2025 reported that GP-recorded type 2 diabetes prevalence in adults aged 17 years and over in England was 7.0% in March 2024, compared with 6.8% in March 2023</w:t>
      </w:r>
      <w:r w:rsidR="001E48C2" w:rsidRPr="00401261">
        <w:rPr>
          <w:rStyle w:val="Strong"/>
          <w:rFonts w:ascii="Arial" w:hAnsi="Arial" w:cs="Arial"/>
          <w:b w:val="0"/>
          <w:bCs w:val="0"/>
          <w:sz w:val="22"/>
          <w:szCs w:val="22"/>
        </w:rPr>
        <w:t xml:space="preserve"> </w:t>
      </w:r>
      <w:r w:rsidR="001E48C2" w:rsidRPr="00401261">
        <w:rPr>
          <w:rFonts w:ascii="Arial" w:hAnsi="Arial" w:cs="Arial"/>
          <w:color w:val="000000"/>
          <w:sz w:val="22"/>
          <w:szCs w:val="22"/>
        </w:rPr>
        <w:t>(Office for Health Improvement &amp; Disparities, 2025)</w:t>
      </w:r>
      <w:r w:rsidRPr="00401261">
        <w:rPr>
          <w:rStyle w:val="Strong"/>
          <w:rFonts w:ascii="Arial" w:hAnsi="Arial" w:cs="Arial"/>
          <w:b w:val="0"/>
          <w:bCs w:val="0"/>
          <w:sz w:val="22"/>
          <w:szCs w:val="22"/>
        </w:rPr>
        <w:t>.</w:t>
      </w:r>
      <w:r w:rsidR="00932829" w:rsidRPr="00401261">
        <w:rPr>
          <w:rStyle w:val="Strong"/>
          <w:rFonts w:ascii="Arial" w:hAnsi="Arial" w:cs="Arial"/>
          <w:b w:val="0"/>
          <w:bCs w:val="0"/>
          <w:sz w:val="22"/>
          <w:szCs w:val="22"/>
        </w:rPr>
        <w:t xml:space="preserve">  The same report estimated total diagnosed and undiagnosed type 2 diabetes prevalence in England at 7.8% among adults aged 16 years and over in 2021.  Diabetes UK also states that more than 5.8 million people in the UK are currently living with diabetes, including diagnosed and estimated undiagnosed cases, and around 90% of those diagnoses are type 2</w:t>
      </w:r>
      <w:r w:rsidR="002B57D6" w:rsidRPr="00401261">
        <w:rPr>
          <w:rStyle w:val="Strong"/>
          <w:rFonts w:ascii="Arial" w:hAnsi="Arial" w:cs="Arial"/>
          <w:b w:val="0"/>
          <w:bCs w:val="0"/>
          <w:sz w:val="22"/>
          <w:szCs w:val="22"/>
        </w:rPr>
        <w:t xml:space="preserve"> </w:t>
      </w:r>
      <w:r w:rsidR="002B57D6" w:rsidRPr="00401261">
        <w:rPr>
          <w:rFonts w:ascii="Arial" w:hAnsi="Arial" w:cs="Arial"/>
          <w:color w:val="000000"/>
          <w:sz w:val="22"/>
          <w:szCs w:val="22"/>
        </w:rPr>
        <w:t>(Diabetes UK, 2023)</w:t>
      </w:r>
      <w:r w:rsidR="00932829" w:rsidRPr="00401261">
        <w:rPr>
          <w:rStyle w:val="Strong"/>
          <w:rFonts w:ascii="Arial" w:hAnsi="Arial" w:cs="Arial"/>
          <w:b w:val="0"/>
          <w:bCs w:val="0"/>
          <w:sz w:val="22"/>
          <w:szCs w:val="22"/>
        </w:rPr>
        <w:t>.  These figures show that T2DM represents by far the largest share of the diabetes burden and that recorded prevalence almost certainly understates the true scale of disease.</w:t>
      </w:r>
    </w:p>
    <w:p w14:paraId="51BDA65F" w14:textId="7263B13A" w:rsidR="001C34F5" w:rsidRPr="00500C0B" w:rsidRDefault="001C34F5" w:rsidP="008A3D91">
      <w:pPr>
        <w:pStyle w:val="NormalWeb"/>
        <w:spacing w:line="360" w:lineRule="auto"/>
        <w:jc w:val="both"/>
        <w:rPr>
          <w:rStyle w:val="Strong"/>
          <w:rFonts w:ascii="Arial" w:eastAsia="Calibri Light" w:hAnsi="Arial" w:cs="Arial"/>
          <w:sz w:val="28"/>
          <w:szCs w:val="28"/>
        </w:rPr>
      </w:pPr>
      <w:r w:rsidRPr="00500C0B">
        <w:rPr>
          <w:rStyle w:val="Strong"/>
          <w:rFonts w:ascii="Arial" w:eastAsia="Calibri Light" w:hAnsi="Arial" w:cs="Arial"/>
          <w:sz w:val="28"/>
          <w:szCs w:val="28"/>
        </w:rPr>
        <w:t>Theoretical Framework:</w:t>
      </w:r>
    </w:p>
    <w:p w14:paraId="7592FDAC" w14:textId="4585054F" w:rsidR="00932829" w:rsidRDefault="00932829" w:rsidP="008A3D91">
      <w:pPr>
        <w:pStyle w:val="NormalWeb"/>
        <w:spacing w:line="360" w:lineRule="auto"/>
        <w:jc w:val="both"/>
        <w:rPr>
          <w:rStyle w:val="Strong"/>
          <w:rFonts w:ascii="Arial" w:eastAsia="Calibri Light" w:hAnsi="Arial" w:cs="Arial"/>
          <w:b w:val="0"/>
          <w:bCs w:val="0"/>
          <w:color w:val="000000" w:themeColor="text1"/>
          <w:sz w:val="22"/>
          <w:szCs w:val="22"/>
        </w:rPr>
      </w:pPr>
      <w:r>
        <w:rPr>
          <w:rStyle w:val="Strong"/>
          <w:rFonts w:ascii="Arial" w:eastAsia="Calibri Light" w:hAnsi="Arial" w:cs="Arial"/>
          <w:b w:val="0"/>
          <w:bCs w:val="0"/>
          <w:sz w:val="22"/>
          <w:szCs w:val="22"/>
        </w:rPr>
        <w:t>This theme directly addresses the dissertation title because any investigation into risk factors and management strategies must first acknowledge the size of the problem</w:t>
      </w:r>
      <w:r>
        <w:rPr>
          <w:rStyle w:val="Strong"/>
          <w:rFonts w:ascii="Arial" w:eastAsia="Calibri Light" w:hAnsi="Arial" w:cs="Arial"/>
          <w:b w:val="0"/>
          <w:bCs w:val="0"/>
          <w:color w:val="000000" w:themeColor="text1"/>
          <w:sz w:val="22"/>
          <w:szCs w:val="22"/>
        </w:rPr>
        <w:t>.  If T2DM prevalence continues to rise despite national guidance, prevention schemes and decades of public health</w:t>
      </w:r>
      <w:r w:rsidR="0082697E">
        <w:rPr>
          <w:rStyle w:val="Strong"/>
          <w:rFonts w:ascii="Arial" w:eastAsia="Calibri Light" w:hAnsi="Arial" w:cs="Arial"/>
          <w:b w:val="0"/>
          <w:bCs w:val="0"/>
          <w:color w:val="000000" w:themeColor="text1"/>
          <w:sz w:val="22"/>
          <w:szCs w:val="22"/>
        </w:rPr>
        <w:t xml:space="preserve"> messaging, then the condition cannot be understood simply as a matter of individual responsibility or clinical mismanagement.  Rather, prevalence becomes a marker of wider public health failure, indicating that upstream drivers of metabolic disease remain insufficient addressed.  In that sense, prevalence is not only an outcome to measure but also an indicator of how well health systems and broader society are responding to avoidable chronic illness</w:t>
      </w:r>
    </w:p>
    <w:p w14:paraId="1289A1B9" w14:textId="7298C128" w:rsidR="0082697E" w:rsidRDefault="0082697E" w:rsidP="008A3D91">
      <w:pPr>
        <w:spacing w:line="360" w:lineRule="auto"/>
        <w:jc w:val="both"/>
        <w:rPr>
          <w:rStyle w:val="Strong"/>
          <w:rFonts w:ascii="Arial" w:eastAsia="Calibri Light" w:hAnsi="Arial" w:cs="Arial"/>
          <w:b w:val="0"/>
          <w:bCs w:val="0"/>
          <w:color w:val="000000" w:themeColor="text1"/>
          <w:sz w:val="22"/>
          <w:szCs w:val="22"/>
        </w:rPr>
      </w:pPr>
      <w:r w:rsidRPr="00227B08">
        <w:rPr>
          <w:rStyle w:val="Strong"/>
          <w:rFonts w:ascii="Arial" w:eastAsia="Calibri Light" w:hAnsi="Arial" w:cs="Arial"/>
          <w:b w:val="0"/>
          <w:bCs w:val="0"/>
          <w:color w:val="000000" w:themeColor="text1"/>
          <w:sz w:val="22"/>
          <w:szCs w:val="22"/>
        </w:rPr>
        <w:t>A major point emerging from the literature is the prevalence is not evenly distributed across the population.  It varies by age, deprivation and ethnicity, indicating that the burden of disease is socially patterned.  The social determinants of health framework is particularly useful here because it explains health outcomes in relation to the conditions in which people live, work and age.  Marmot’s work argues that inequalities in power, resources, income and opportunity shape unequal exposure to poor health</w:t>
      </w:r>
      <w:r w:rsidR="00401261" w:rsidRPr="00227B08">
        <w:rPr>
          <w:rStyle w:val="Strong"/>
          <w:rFonts w:ascii="Arial" w:eastAsia="Calibri Light" w:hAnsi="Arial" w:cs="Arial"/>
          <w:b w:val="0"/>
          <w:bCs w:val="0"/>
          <w:color w:val="000000" w:themeColor="text1"/>
          <w:sz w:val="22"/>
          <w:szCs w:val="22"/>
        </w:rPr>
        <w:t xml:space="preserve"> </w:t>
      </w:r>
      <w:r w:rsidR="00401261" w:rsidRPr="00227B08">
        <w:rPr>
          <w:rFonts w:ascii="Arial" w:hAnsi="Arial" w:cs="Arial"/>
          <w:color w:val="000000"/>
          <w:sz w:val="22"/>
          <w:szCs w:val="22"/>
        </w:rPr>
        <w:t>(Marmot, 2017)</w:t>
      </w:r>
      <w:r w:rsidRPr="00227B08">
        <w:rPr>
          <w:rStyle w:val="Strong"/>
          <w:rFonts w:ascii="Arial" w:eastAsia="Calibri Light" w:hAnsi="Arial" w:cs="Arial"/>
          <w:b w:val="0"/>
          <w:bCs w:val="0"/>
          <w:color w:val="000000" w:themeColor="text1"/>
          <w:sz w:val="22"/>
          <w:szCs w:val="22"/>
        </w:rPr>
        <w:t>.  Applied to T2DM, this helps explain why prevalence is higher in communities where healthy food is less affordable, physical activity is less prevent</w:t>
      </w:r>
      <w:r w:rsidR="00A9702F" w:rsidRPr="00227B08">
        <w:rPr>
          <w:rStyle w:val="Strong"/>
          <w:rFonts w:ascii="Arial" w:eastAsia="Calibri Light" w:hAnsi="Arial" w:cs="Arial"/>
          <w:b w:val="0"/>
          <w:bCs w:val="0"/>
          <w:color w:val="000000" w:themeColor="text1"/>
          <w:sz w:val="22"/>
          <w:szCs w:val="22"/>
        </w:rPr>
        <w:t>ive healthcare is harder to navigate.</w:t>
      </w:r>
    </w:p>
    <w:p w14:paraId="693700AF" w14:textId="77777777" w:rsidR="00DA61AE" w:rsidRPr="00227B08" w:rsidRDefault="00DA61AE" w:rsidP="008A3D91">
      <w:pPr>
        <w:spacing w:line="360" w:lineRule="auto"/>
        <w:jc w:val="both"/>
        <w:rPr>
          <w:rStyle w:val="Strong"/>
          <w:rFonts w:ascii="Arial" w:hAnsi="Arial" w:cs="Arial"/>
          <w:b w:val="0"/>
          <w:bCs w:val="0"/>
          <w:sz w:val="22"/>
          <w:szCs w:val="22"/>
        </w:rPr>
      </w:pPr>
    </w:p>
    <w:p w14:paraId="63FE0D8B" w14:textId="49856FC0" w:rsidR="005F7B51" w:rsidRDefault="005F7B51" w:rsidP="008A3D91">
      <w:pPr>
        <w:spacing w:line="360" w:lineRule="auto"/>
        <w:jc w:val="both"/>
        <w:rPr>
          <w:rStyle w:val="Strong"/>
          <w:rFonts w:ascii="Arial" w:eastAsia="Calibri Light" w:hAnsi="Arial" w:cs="Arial"/>
          <w:b w:val="0"/>
          <w:bCs w:val="0"/>
          <w:color w:val="000000" w:themeColor="text1"/>
          <w:sz w:val="22"/>
          <w:szCs w:val="22"/>
        </w:rPr>
      </w:pPr>
      <w:r w:rsidRPr="00DA61AE">
        <w:rPr>
          <w:rStyle w:val="Strong"/>
          <w:rFonts w:ascii="Arial" w:eastAsia="Calibri Light" w:hAnsi="Arial" w:cs="Arial"/>
          <w:b w:val="0"/>
          <w:bCs w:val="0"/>
          <w:color w:val="000000" w:themeColor="text1"/>
          <w:sz w:val="22"/>
          <w:szCs w:val="22"/>
        </w:rPr>
        <w:t>Statistical evidence also shows that prevalence intersects with obesity and ethnicity.  The 2024 Health Survey for England reported that 30% of adults were living with obesity and 66% were either overweight or living with obesity</w:t>
      </w:r>
      <w:r w:rsidR="00227B08" w:rsidRPr="00DA61AE">
        <w:rPr>
          <w:rStyle w:val="Strong"/>
          <w:rFonts w:ascii="Arial" w:eastAsia="Calibri Light" w:hAnsi="Arial" w:cs="Arial"/>
          <w:b w:val="0"/>
          <w:bCs w:val="0"/>
          <w:color w:val="000000" w:themeColor="text1"/>
          <w:sz w:val="22"/>
          <w:szCs w:val="22"/>
        </w:rPr>
        <w:t xml:space="preserve"> </w:t>
      </w:r>
      <w:r w:rsidR="00227B08" w:rsidRPr="00DA61AE">
        <w:rPr>
          <w:rFonts w:ascii="Arial" w:hAnsi="Arial" w:cs="Arial"/>
          <w:color w:val="000000"/>
          <w:sz w:val="22"/>
          <w:szCs w:val="22"/>
        </w:rPr>
        <w:t>(NHS England, 2019)</w:t>
      </w:r>
      <w:r w:rsidRPr="00DA61AE">
        <w:rPr>
          <w:rStyle w:val="Strong"/>
          <w:rFonts w:ascii="Arial" w:eastAsia="Calibri Light" w:hAnsi="Arial" w:cs="Arial"/>
          <w:b w:val="0"/>
          <w:bCs w:val="0"/>
          <w:color w:val="000000" w:themeColor="text1"/>
          <w:sz w:val="22"/>
          <w:szCs w:val="22"/>
        </w:rPr>
        <w:t>. This</w:t>
      </w:r>
      <w:r w:rsidR="00AE727F" w:rsidRPr="00DA61AE">
        <w:rPr>
          <w:rStyle w:val="Strong"/>
          <w:rFonts w:ascii="Arial" w:eastAsia="Calibri Light" w:hAnsi="Arial" w:cs="Arial"/>
          <w:b w:val="0"/>
          <w:bCs w:val="0"/>
          <w:color w:val="000000" w:themeColor="text1"/>
          <w:sz w:val="22"/>
          <w:szCs w:val="22"/>
        </w:rPr>
        <w:t xml:space="preserve"> matters</w:t>
      </w:r>
      <w:r w:rsidRPr="00DA61AE">
        <w:rPr>
          <w:rStyle w:val="Strong"/>
          <w:rFonts w:ascii="Arial" w:eastAsia="Calibri Light" w:hAnsi="Arial" w:cs="Arial"/>
          <w:b w:val="0"/>
          <w:bCs w:val="0"/>
          <w:color w:val="000000" w:themeColor="text1"/>
          <w:sz w:val="22"/>
          <w:szCs w:val="22"/>
        </w:rPr>
        <w:t xml:space="preserve"> because </w:t>
      </w:r>
      <w:r w:rsidRPr="00DA61AE">
        <w:rPr>
          <w:rStyle w:val="Strong"/>
          <w:rFonts w:ascii="Arial" w:eastAsia="Calibri Light" w:hAnsi="Arial" w:cs="Arial"/>
          <w:b w:val="0"/>
          <w:bCs w:val="0"/>
          <w:color w:val="000000" w:themeColor="text1"/>
          <w:sz w:val="22"/>
          <w:szCs w:val="22"/>
        </w:rPr>
        <w:lastRenderedPageBreak/>
        <w:t>obesity is one of the strongest modifiable risk factors for T2DM and is a major driver of national prevalence.  In addition, official UK evidence reports that type 2 diabetes prevalence is up to three to six times higher in South Asian and Black ethnic groups than in White populations, while Diabetes UK states that risk is two to four times higher in people of South Asian, African-Caribbean and Black African descent</w:t>
      </w:r>
      <w:r w:rsidR="00DA61AE" w:rsidRPr="00DA61AE">
        <w:rPr>
          <w:rStyle w:val="Strong"/>
          <w:rFonts w:ascii="Arial" w:eastAsia="Calibri Light" w:hAnsi="Arial" w:cs="Arial"/>
          <w:b w:val="0"/>
          <w:bCs w:val="0"/>
          <w:color w:val="000000" w:themeColor="text1"/>
          <w:sz w:val="22"/>
          <w:szCs w:val="22"/>
        </w:rPr>
        <w:t xml:space="preserve"> </w:t>
      </w:r>
      <w:r w:rsidR="00DA61AE" w:rsidRPr="00DA61AE">
        <w:rPr>
          <w:rFonts w:ascii="Arial" w:hAnsi="Arial" w:cs="Arial"/>
          <w:color w:val="000000"/>
          <w:sz w:val="22"/>
          <w:szCs w:val="22"/>
        </w:rPr>
        <w:t>(Goff, 2019)</w:t>
      </w:r>
      <w:r w:rsidRPr="00DA61AE">
        <w:rPr>
          <w:rStyle w:val="Strong"/>
          <w:rFonts w:ascii="Arial" w:eastAsia="Calibri Light" w:hAnsi="Arial" w:cs="Arial"/>
          <w:b w:val="0"/>
          <w:bCs w:val="0"/>
          <w:color w:val="000000" w:themeColor="text1"/>
          <w:sz w:val="22"/>
          <w:szCs w:val="22"/>
        </w:rPr>
        <w:t>.  These figures are not just clinically important; they raise serious questions about inequality, early identification and whether current prevention strategies are sufficiently targeted.</w:t>
      </w:r>
    </w:p>
    <w:p w14:paraId="1F1D00FA" w14:textId="77777777" w:rsidR="00E06529" w:rsidRPr="00DA61AE" w:rsidRDefault="00E06529" w:rsidP="008A3D91">
      <w:pPr>
        <w:spacing w:line="360" w:lineRule="auto"/>
        <w:jc w:val="both"/>
        <w:rPr>
          <w:rStyle w:val="Strong"/>
          <w:rFonts w:ascii="Arial" w:hAnsi="Arial" w:cs="Arial"/>
          <w:b w:val="0"/>
          <w:bCs w:val="0"/>
          <w:sz w:val="22"/>
          <w:szCs w:val="22"/>
        </w:rPr>
      </w:pPr>
    </w:p>
    <w:p w14:paraId="4F73DF0C" w14:textId="4C1DBC6C" w:rsidR="00D75904" w:rsidRDefault="00D75904" w:rsidP="008A3D91">
      <w:pPr>
        <w:spacing w:line="360" w:lineRule="auto"/>
        <w:jc w:val="both"/>
        <w:rPr>
          <w:rStyle w:val="Strong"/>
          <w:rFonts w:ascii="Arial" w:eastAsia="Calibri Light" w:hAnsi="Arial" w:cs="Arial"/>
          <w:b w:val="0"/>
          <w:bCs w:val="0"/>
          <w:color w:val="000000" w:themeColor="text1"/>
          <w:sz w:val="22"/>
          <w:szCs w:val="22"/>
        </w:rPr>
      </w:pPr>
      <w:r w:rsidRPr="00C31C73">
        <w:rPr>
          <w:rStyle w:val="Strong"/>
          <w:rFonts w:ascii="Arial" w:eastAsia="Calibri Light" w:hAnsi="Arial" w:cs="Arial"/>
          <w:b w:val="0"/>
          <w:bCs w:val="0"/>
          <w:color w:val="000000" w:themeColor="text1"/>
          <w:sz w:val="22"/>
          <w:szCs w:val="22"/>
        </w:rPr>
        <w:t>Policy responses show that the scale of T2DM id formally recognised.  Nice guideline NG28 continues to provide national recommendations on the management of type 2 diabetes in adults and was updated in February 2026, confirming its ongoing policy relevance</w:t>
      </w:r>
      <w:r w:rsidR="00DA61AE" w:rsidRPr="00C31C73">
        <w:rPr>
          <w:rStyle w:val="Strong"/>
          <w:rFonts w:ascii="Arial" w:eastAsia="Calibri Light" w:hAnsi="Arial" w:cs="Arial"/>
          <w:b w:val="0"/>
          <w:bCs w:val="0"/>
          <w:color w:val="000000" w:themeColor="text1"/>
          <w:sz w:val="22"/>
          <w:szCs w:val="22"/>
        </w:rPr>
        <w:t xml:space="preserve"> </w:t>
      </w:r>
      <w:r w:rsidR="00DA61AE" w:rsidRPr="00C31C73">
        <w:rPr>
          <w:rFonts w:ascii="Arial" w:hAnsi="Arial" w:cs="Arial"/>
          <w:color w:val="000000"/>
          <w:sz w:val="22"/>
          <w:szCs w:val="22"/>
        </w:rPr>
        <w:t>(NICE, 2022)</w:t>
      </w:r>
      <w:r w:rsidRPr="00C31C73">
        <w:rPr>
          <w:rStyle w:val="Strong"/>
          <w:rFonts w:ascii="Arial" w:eastAsia="Calibri Light" w:hAnsi="Arial" w:cs="Arial"/>
          <w:b w:val="0"/>
          <w:bCs w:val="0"/>
          <w:color w:val="000000" w:themeColor="text1"/>
          <w:sz w:val="22"/>
          <w:szCs w:val="22"/>
        </w:rPr>
        <w:t>.  At system level, the Healthier You NHS Diabetes Prevention Programme identifies people at high risk and refers them to a nine-month</w:t>
      </w:r>
      <w:r w:rsidR="00CC2689" w:rsidRPr="00C31C73">
        <w:rPr>
          <w:rStyle w:val="Strong"/>
          <w:rFonts w:ascii="Arial" w:eastAsia="Calibri Light" w:hAnsi="Arial" w:cs="Arial"/>
          <w:b w:val="0"/>
          <w:bCs w:val="0"/>
          <w:color w:val="000000" w:themeColor="text1"/>
          <w:sz w:val="22"/>
          <w:szCs w:val="22"/>
        </w:rPr>
        <w:t xml:space="preserve"> lifestyle intervention.  NHS England states that the programme reduces new diagnoses and cuts the risk of developing type 2 diabetes by more than a third for those who complete it</w:t>
      </w:r>
      <w:r w:rsidR="00C31C73" w:rsidRPr="00C31C73">
        <w:rPr>
          <w:rStyle w:val="Strong"/>
          <w:rFonts w:ascii="Arial" w:eastAsia="Calibri Light" w:hAnsi="Arial" w:cs="Arial"/>
          <w:b w:val="0"/>
          <w:bCs w:val="0"/>
          <w:color w:val="000000" w:themeColor="text1"/>
          <w:sz w:val="22"/>
          <w:szCs w:val="22"/>
        </w:rPr>
        <w:t xml:space="preserve"> </w:t>
      </w:r>
      <w:r w:rsidR="00C31C73" w:rsidRPr="00C31C73">
        <w:rPr>
          <w:rFonts w:ascii="Arial" w:hAnsi="Arial" w:cs="Arial"/>
          <w:color w:val="000000"/>
          <w:sz w:val="22"/>
          <w:szCs w:val="22"/>
        </w:rPr>
        <w:t>(NHS England, 2023)</w:t>
      </w:r>
      <w:r w:rsidR="00CC2689" w:rsidRPr="00C31C73">
        <w:rPr>
          <w:rStyle w:val="Strong"/>
          <w:rFonts w:ascii="Arial" w:eastAsia="Calibri Light" w:hAnsi="Arial" w:cs="Arial"/>
          <w:b w:val="0"/>
          <w:bCs w:val="0"/>
          <w:color w:val="000000" w:themeColor="text1"/>
          <w:sz w:val="22"/>
          <w:szCs w:val="22"/>
        </w:rPr>
        <w:t>.  These policies show that prevalence is being addressed through structured national action, but they also invite critical scrutiny about reach, retention and equity of access.</w:t>
      </w:r>
    </w:p>
    <w:p w14:paraId="2BD2547A" w14:textId="77777777" w:rsidR="00CE5C43" w:rsidRPr="00C31C73" w:rsidRDefault="00CE5C43" w:rsidP="008A3D91">
      <w:pPr>
        <w:spacing w:line="360" w:lineRule="auto"/>
        <w:jc w:val="both"/>
        <w:rPr>
          <w:rStyle w:val="Strong"/>
          <w:rFonts w:ascii="Arial" w:hAnsi="Arial" w:cs="Arial"/>
          <w:b w:val="0"/>
          <w:bCs w:val="0"/>
          <w:sz w:val="22"/>
          <w:szCs w:val="22"/>
        </w:rPr>
      </w:pPr>
    </w:p>
    <w:p w14:paraId="63950D4A" w14:textId="29373625" w:rsidR="00CC2689" w:rsidRPr="00CE5C43" w:rsidRDefault="00CC2689" w:rsidP="008A3D91">
      <w:pPr>
        <w:spacing w:line="360" w:lineRule="auto"/>
        <w:jc w:val="both"/>
        <w:rPr>
          <w:rStyle w:val="Strong"/>
          <w:rFonts w:ascii="Arial" w:hAnsi="Arial" w:cs="Arial"/>
          <w:b w:val="0"/>
          <w:bCs w:val="0"/>
          <w:sz w:val="22"/>
          <w:szCs w:val="22"/>
        </w:rPr>
      </w:pPr>
      <w:r w:rsidRPr="00CE5C43">
        <w:rPr>
          <w:rStyle w:val="Strong"/>
          <w:rFonts w:ascii="Arial" w:eastAsia="Calibri Light" w:hAnsi="Arial" w:cs="Arial"/>
          <w:b w:val="0"/>
          <w:bCs w:val="0"/>
          <w:color w:val="000000" w:themeColor="text1"/>
          <w:sz w:val="22"/>
          <w:szCs w:val="22"/>
        </w:rPr>
        <w:t>The studies reviewed in Chapter 3 broadly support this theme.  Reed, Bain and Kanamarlapudi present T2DM as a global and increasingly prevalent metabolic disease shaped by multiple interacting drivers, which supports the argument that prevalence cannot be reduced to a single casual pathway.  Studies focusing on UK ethnic inequalities show that some minority ethnic communities experience not only higher prevalence, but earlier onset, often by 10 to 12 years, compared with White British populations.  Birmingham focused evidence also shows that local deprivation and ethnicity interact to elevate diabetes risk beyond national averages</w:t>
      </w:r>
      <w:r w:rsidR="00C31C73" w:rsidRPr="00CE5C43">
        <w:rPr>
          <w:rStyle w:val="Strong"/>
          <w:rFonts w:ascii="Arial" w:eastAsia="Calibri Light" w:hAnsi="Arial" w:cs="Arial"/>
          <w:b w:val="0"/>
          <w:bCs w:val="0"/>
          <w:color w:val="000000" w:themeColor="text1"/>
          <w:sz w:val="22"/>
          <w:szCs w:val="22"/>
        </w:rPr>
        <w:t xml:space="preserve"> </w:t>
      </w:r>
      <w:r w:rsidR="00C31C73" w:rsidRPr="00CE5C43">
        <w:rPr>
          <w:rFonts w:ascii="Arial" w:hAnsi="Arial" w:cs="Arial"/>
          <w:color w:val="000000"/>
          <w:sz w:val="22"/>
          <w:szCs w:val="22"/>
        </w:rPr>
        <w:t>(Raleigh, 2023)</w:t>
      </w:r>
      <w:r w:rsidRPr="00CE5C43">
        <w:rPr>
          <w:rStyle w:val="Strong"/>
          <w:rFonts w:ascii="Arial" w:eastAsia="Calibri Light" w:hAnsi="Arial" w:cs="Arial"/>
          <w:b w:val="0"/>
          <w:bCs w:val="0"/>
          <w:color w:val="000000" w:themeColor="text1"/>
          <w:sz w:val="22"/>
          <w:szCs w:val="22"/>
        </w:rPr>
        <w:t>.  These studies largely agree that prevalence is increasing and that it is being intensified by broader inequality rather than purely individual behaviour.</w:t>
      </w:r>
    </w:p>
    <w:p w14:paraId="2D4271D6" w14:textId="4F1BB3FE" w:rsidR="00CC2689" w:rsidRPr="00E52633" w:rsidRDefault="00CC2689" w:rsidP="008A3D91">
      <w:pPr>
        <w:pStyle w:val="NormalWeb"/>
        <w:spacing w:line="360" w:lineRule="auto"/>
        <w:jc w:val="both"/>
        <w:rPr>
          <w:rStyle w:val="Strong"/>
          <w:rFonts w:ascii="Arial" w:eastAsia="Calibri Light" w:hAnsi="Arial" w:cs="Arial"/>
          <w:color w:val="000000" w:themeColor="text1"/>
          <w:sz w:val="28"/>
          <w:szCs w:val="28"/>
        </w:rPr>
      </w:pPr>
      <w:r w:rsidRPr="00E52633">
        <w:rPr>
          <w:rStyle w:val="Strong"/>
          <w:rFonts w:ascii="Arial" w:eastAsia="Calibri Light" w:hAnsi="Arial" w:cs="Arial"/>
          <w:color w:val="000000" w:themeColor="text1"/>
          <w:sz w:val="28"/>
          <w:szCs w:val="28"/>
        </w:rPr>
        <w:t>Implications:</w:t>
      </w:r>
    </w:p>
    <w:p w14:paraId="3E1AE3E5" w14:textId="296B09C2" w:rsidR="00CE5C43" w:rsidRDefault="00CC2689" w:rsidP="008A3D91">
      <w:pPr>
        <w:spacing w:line="360" w:lineRule="auto"/>
        <w:jc w:val="both"/>
        <w:rPr>
          <w:rFonts w:ascii="Arial" w:hAnsi="Arial" w:cs="Arial"/>
          <w:color w:val="000000"/>
          <w:sz w:val="22"/>
          <w:szCs w:val="22"/>
        </w:rPr>
      </w:pPr>
      <w:r w:rsidRPr="00CE5C43">
        <w:rPr>
          <w:rStyle w:val="Strong"/>
          <w:rFonts w:ascii="Arial" w:eastAsia="Calibri Light" w:hAnsi="Arial" w:cs="Arial"/>
          <w:b w:val="0"/>
          <w:bCs w:val="0"/>
          <w:color w:val="000000" w:themeColor="text1"/>
          <w:sz w:val="22"/>
          <w:szCs w:val="22"/>
        </w:rPr>
        <w:t>The implications of this theme are mixed</w:t>
      </w:r>
      <w:r w:rsidR="007366C2" w:rsidRPr="00CE5C43">
        <w:rPr>
          <w:rStyle w:val="Strong"/>
          <w:rFonts w:ascii="Arial" w:eastAsia="Calibri Light" w:hAnsi="Arial" w:cs="Arial"/>
          <w:b w:val="0"/>
          <w:bCs w:val="0"/>
          <w:color w:val="000000" w:themeColor="text1"/>
          <w:sz w:val="22"/>
          <w:szCs w:val="22"/>
        </w:rPr>
        <w:t xml:space="preserve">.  On the negative side, growing prevalence increases NHS expenditure, complication burden and long-term service demand.  It also means more adults are living with a condition that may affect quality of life, employment and mental wellbeing.  On the positive side, increasing prevalence has led to stronger policy visibility, better screening pathways and more explicit prevention strategies.  However, this positive development remains limited if prevalence continues to rise faster than prevention efforts can </w:t>
      </w:r>
      <w:r w:rsidR="007366C2" w:rsidRPr="00CE5C43">
        <w:rPr>
          <w:rStyle w:val="Strong"/>
          <w:rFonts w:ascii="Arial" w:eastAsia="Calibri Light" w:hAnsi="Arial" w:cs="Arial"/>
          <w:b w:val="0"/>
          <w:bCs w:val="0"/>
          <w:color w:val="000000" w:themeColor="text1"/>
          <w:sz w:val="22"/>
          <w:szCs w:val="22"/>
        </w:rPr>
        <w:lastRenderedPageBreak/>
        <w:t xml:space="preserve">offset it.  A critical reading of the literature therefore </w:t>
      </w:r>
      <w:r w:rsidR="00DC0130">
        <w:rPr>
          <w:rStyle w:val="Strong"/>
          <w:rFonts w:ascii="Arial" w:eastAsia="Calibri Light" w:hAnsi="Arial" w:cs="Arial"/>
          <w:b w:val="0"/>
          <w:bCs w:val="0"/>
          <w:color w:val="000000" w:themeColor="text1"/>
          <w:sz w:val="22"/>
          <w:szCs w:val="22"/>
        </w:rPr>
        <w:t>highlights</w:t>
      </w:r>
      <w:r w:rsidR="007366C2" w:rsidRPr="00CE5C43">
        <w:rPr>
          <w:rStyle w:val="Strong"/>
          <w:rFonts w:ascii="Arial" w:eastAsia="Calibri Light" w:hAnsi="Arial" w:cs="Arial"/>
          <w:b w:val="0"/>
          <w:bCs w:val="0"/>
          <w:color w:val="000000" w:themeColor="text1"/>
          <w:sz w:val="22"/>
          <w:szCs w:val="22"/>
        </w:rPr>
        <w:t xml:space="preserve"> that current action is necessary but not yet sufficient</w:t>
      </w:r>
      <w:r w:rsidR="00CE5C43" w:rsidRPr="00CE5C43">
        <w:rPr>
          <w:rStyle w:val="Strong"/>
          <w:rFonts w:ascii="Arial" w:eastAsia="Calibri Light" w:hAnsi="Arial" w:cs="Arial"/>
          <w:b w:val="0"/>
          <w:bCs w:val="0"/>
          <w:color w:val="000000" w:themeColor="text1"/>
          <w:sz w:val="22"/>
          <w:szCs w:val="22"/>
        </w:rPr>
        <w:t xml:space="preserve"> </w:t>
      </w:r>
      <w:r w:rsidR="00CE5C43" w:rsidRPr="00CE5C43">
        <w:rPr>
          <w:rFonts w:ascii="Arial" w:hAnsi="Arial" w:cs="Arial"/>
          <w:color w:val="000000"/>
          <w:sz w:val="22"/>
          <w:szCs w:val="22"/>
        </w:rPr>
        <w:t>(McKee et al., 2021).</w:t>
      </w:r>
    </w:p>
    <w:p w14:paraId="71E6333A" w14:textId="3C69B393" w:rsidR="001C34F5" w:rsidRPr="00CE5C43" w:rsidRDefault="001C34F5" w:rsidP="008A3D91">
      <w:pPr>
        <w:spacing w:line="360" w:lineRule="auto"/>
        <w:jc w:val="both"/>
        <w:rPr>
          <w:rFonts w:ascii="Arial" w:hAnsi="Arial" w:cs="Arial"/>
          <w:sz w:val="22"/>
          <w:szCs w:val="22"/>
        </w:rPr>
      </w:pPr>
      <w:r w:rsidRPr="00E52633">
        <w:rPr>
          <w:rFonts w:ascii="Aptos" w:hAnsi="Aptos"/>
          <w:sz w:val="28"/>
          <w:szCs w:val="28"/>
        </w:rPr>
        <w:br/>
      </w:r>
      <w:r w:rsidRPr="00E52633">
        <w:rPr>
          <w:rFonts w:ascii="Arial" w:hAnsi="Arial" w:cs="Arial"/>
          <w:b/>
          <w:bCs/>
          <w:color w:val="000000" w:themeColor="text1"/>
          <w:sz w:val="28"/>
          <w:szCs w:val="28"/>
        </w:rPr>
        <w:t>Connections to Other Themes</w:t>
      </w:r>
      <w:r w:rsidR="007366C2" w:rsidRPr="00E52633">
        <w:rPr>
          <w:rFonts w:ascii="Arial" w:hAnsi="Arial" w:cs="Arial"/>
          <w:b/>
          <w:bCs/>
          <w:color w:val="000000" w:themeColor="text1"/>
          <w:sz w:val="28"/>
          <w:szCs w:val="28"/>
        </w:rPr>
        <w:t>:</w:t>
      </w:r>
    </w:p>
    <w:p w14:paraId="74A33DC2" w14:textId="13B227E0" w:rsidR="007366C2" w:rsidRPr="007366C2" w:rsidRDefault="007366C2" w:rsidP="008A3D91">
      <w:pPr>
        <w:pStyle w:val="NormalWeb"/>
        <w:spacing w:line="360" w:lineRule="auto"/>
        <w:jc w:val="both"/>
        <w:rPr>
          <w:rFonts w:ascii="Arial" w:hAnsi="Arial" w:cs="Arial"/>
          <w:color w:val="000000" w:themeColor="text1"/>
          <w:sz w:val="22"/>
          <w:szCs w:val="22"/>
        </w:rPr>
      </w:pPr>
      <w:r>
        <w:rPr>
          <w:rFonts w:ascii="Arial" w:hAnsi="Arial" w:cs="Arial"/>
          <w:color w:val="000000" w:themeColor="text1"/>
          <w:sz w:val="22"/>
          <w:szCs w:val="22"/>
        </w:rPr>
        <w:t>This theme also connects directly with the other two themes in the chapter.  Rising prevalence cannot be properly understood without analysing the lifestyle and socioeconomic factors that drive it, and it cannot be reduced without effective management and prevention strategies.  In that sense, prevalence functions as the overarching problem to which the later themes provide explanation and response.</w:t>
      </w:r>
    </w:p>
    <w:p w14:paraId="6C97BC92" w14:textId="4126477D" w:rsidR="001C34F5" w:rsidRPr="00E52633" w:rsidRDefault="001C34F5" w:rsidP="008A3D91">
      <w:pPr>
        <w:pStyle w:val="Heading2"/>
        <w:jc w:val="both"/>
        <w:rPr>
          <w:rFonts w:ascii="Arial" w:hAnsi="Arial" w:cs="Arial"/>
          <w:b/>
          <w:bCs/>
          <w:color w:val="000000" w:themeColor="text1"/>
          <w:sz w:val="32"/>
          <w:szCs w:val="32"/>
        </w:rPr>
      </w:pPr>
      <w:r w:rsidRPr="00E52633">
        <w:rPr>
          <w:rFonts w:ascii="Arial" w:hAnsi="Arial" w:cs="Arial"/>
          <w:b/>
          <w:bCs/>
          <w:color w:val="000000" w:themeColor="text1"/>
          <w:sz w:val="32"/>
          <w:szCs w:val="32"/>
        </w:rPr>
        <w:t>4.4 – Theme 2 (</w:t>
      </w:r>
      <w:r w:rsidR="007366C2" w:rsidRPr="00E52633">
        <w:rPr>
          <w:rFonts w:ascii="Arial" w:hAnsi="Arial" w:cs="Arial"/>
          <w:b/>
          <w:bCs/>
          <w:color w:val="000000" w:themeColor="text1"/>
          <w:sz w:val="32"/>
          <w:szCs w:val="32"/>
        </w:rPr>
        <w:t xml:space="preserve">Lifestyle and Socioeconomic </w:t>
      </w:r>
      <w:r w:rsidR="008E730D" w:rsidRPr="00E52633">
        <w:rPr>
          <w:rFonts w:ascii="Arial" w:hAnsi="Arial" w:cs="Arial"/>
          <w:b/>
          <w:bCs/>
          <w:color w:val="000000" w:themeColor="text1"/>
          <w:sz w:val="32"/>
          <w:szCs w:val="32"/>
        </w:rPr>
        <w:t>Risk Factors)</w:t>
      </w:r>
    </w:p>
    <w:p w14:paraId="4D584782" w14:textId="749169D6" w:rsidR="001C34F5" w:rsidRPr="00E52633" w:rsidRDefault="001C34F5" w:rsidP="008A3D91">
      <w:pPr>
        <w:spacing w:before="100" w:beforeAutospacing="1" w:after="100" w:afterAutospacing="1" w:line="360" w:lineRule="auto"/>
        <w:jc w:val="both"/>
        <w:rPr>
          <w:rStyle w:val="Strong"/>
          <w:rFonts w:ascii="Arial" w:hAnsi="Arial" w:cs="Arial"/>
          <w:sz w:val="28"/>
          <w:szCs w:val="28"/>
        </w:rPr>
      </w:pPr>
      <w:r w:rsidRPr="00E52633">
        <w:rPr>
          <w:rStyle w:val="Strong"/>
          <w:rFonts w:ascii="Arial" w:hAnsi="Arial" w:cs="Arial"/>
          <w:sz w:val="28"/>
          <w:szCs w:val="28"/>
        </w:rPr>
        <w:t>Definition:</w:t>
      </w:r>
    </w:p>
    <w:p w14:paraId="0996385F" w14:textId="5029AB96" w:rsidR="008E730D" w:rsidRPr="009C2993" w:rsidRDefault="008E730D" w:rsidP="008A3D91">
      <w:pPr>
        <w:spacing w:line="360" w:lineRule="auto"/>
        <w:jc w:val="both"/>
        <w:rPr>
          <w:rStyle w:val="Strong"/>
          <w:rFonts w:ascii="Arial" w:hAnsi="Arial" w:cs="Arial"/>
          <w:b w:val="0"/>
          <w:bCs w:val="0"/>
          <w:sz w:val="22"/>
          <w:szCs w:val="22"/>
        </w:rPr>
      </w:pPr>
      <w:r w:rsidRPr="009C2993">
        <w:rPr>
          <w:rStyle w:val="Strong"/>
          <w:rFonts w:ascii="Arial" w:hAnsi="Arial" w:cs="Arial"/>
          <w:b w:val="0"/>
          <w:bCs w:val="0"/>
          <w:sz w:val="22"/>
          <w:szCs w:val="22"/>
        </w:rPr>
        <w:t>The second major theme identified in the reviewed literature concerns the role of lifestyle and socioeconomic risk factors in the development of T2DM.  A risk factor may be defined as any attribute, behaviour or condition associated with increased likelihood of disease</w:t>
      </w:r>
      <w:r w:rsidR="00FF610A" w:rsidRPr="009C2993">
        <w:rPr>
          <w:rStyle w:val="Strong"/>
          <w:rFonts w:ascii="Arial" w:hAnsi="Arial" w:cs="Arial"/>
          <w:b w:val="0"/>
          <w:bCs w:val="0"/>
          <w:sz w:val="22"/>
          <w:szCs w:val="22"/>
        </w:rPr>
        <w:t xml:space="preserve"> </w:t>
      </w:r>
      <w:r w:rsidR="00FF610A" w:rsidRPr="009C2993">
        <w:rPr>
          <w:rFonts w:ascii="Arial" w:hAnsi="Arial" w:cs="Arial"/>
          <w:color w:val="000000"/>
          <w:sz w:val="22"/>
          <w:szCs w:val="22"/>
        </w:rPr>
        <w:t>(Kyrou et al., 2020)</w:t>
      </w:r>
      <w:r w:rsidRPr="009C2993">
        <w:rPr>
          <w:rStyle w:val="Strong"/>
          <w:rFonts w:ascii="Arial" w:hAnsi="Arial" w:cs="Arial"/>
          <w:b w:val="0"/>
          <w:bCs w:val="0"/>
          <w:sz w:val="22"/>
          <w:szCs w:val="22"/>
        </w:rPr>
        <w:t>.  In the context of T2DM, repeated factors across the literature include obesity, poor diet, physical inactivity, family history, age and ethnicity.  However, a stronger reading of the evidence shows that these risks are not merely personal characteristics; they are shaped and distributed by wider social and economic circumstances.  This distinction matters because it prevents the discussion from becoming overly indiv</w:t>
      </w:r>
      <w:r w:rsidR="00A415BD" w:rsidRPr="009C2993">
        <w:rPr>
          <w:rStyle w:val="Strong"/>
          <w:rFonts w:ascii="Arial" w:hAnsi="Arial" w:cs="Arial"/>
          <w:b w:val="0"/>
          <w:bCs w:val="0"/>
          <w:sz w:val="22"/>
          <w:szCs w:val="22"/>
        </w:rPr>
        <w:t>id</w:t>
      </w:r>
      <w:r w:rsidRPr="009C2993">
        <w:rPr>
          <w:rStyle w:val="Strong"/>
          <w:rFonts w:ascii="Arial" w:hAnsi="Arial" w:cs="Arial"/>
          <w:b w:val="0"/>
          <w:bCs w:val="0"/>
          <w:sz w:val="22"/>
          <w:szCs w:val="22"/>
        </w:rPr>
        <w:t>ualised</w:t>
      </w:r>
      <w:r w:rsidR="009C2993" w:rsidRPr="009C2993">
        <w:rPr>
          <w:rStyle w:val="Strong"/>
          <w:rFonts w:ascii="Arial" w:hAnsi="Arial" w:cs="Arial"/>
          <w:b w:val="0"/>
          <w:bCs w:val="0"/>
          <w:sz w:val="22"/>
          <w:szCs w:val="22"/>
        </w:rPr>
        <w:t xml:space="preserve"> </w:t>
      </w:r>
      <w:r w:rsidR="009C2993" w:rsidRPr="009C2993">
        <w:rPr>
          <w:rFonts w:ascii="Arial" w:hAnsi="Arial" w:cs="Arial"/>
          <w:color w:val="000000"/>
          <w:sz w:val="22"/>
          <w:szCs w:val="22"/>
        </w:rPr>
        <w:t>(Kriznik et al., 2018)</w:t>
      </w:r>
      <w:r w:rsidRPr="009C2993">
        <w:rPr>
          <w:rStyle w:val="Strong"/>
          <w:rFonts w:ascii="Arial" w:hAnsi="Arial" w:cs="Arial"/>
          <w:b w:val="0"/>
          <w:bCs w:val="0"/>
          <w:sz w:val="22"/>
          <w:szCs w:val="22"/>
        </w:rPr>
        <w:t>.</w:t>
      </w:r>
    </w:p>
    <w:p w14:paraId="502879E4" w14:textId="77777777" w:rsidR="00A415BD" w:rsidRPr="009C2993" w:rsidRDefault="00A415BD" w:rsidP="008A3D91">
      <w:pPr>
        <w:spacing w:line="360" w:lineRule="auto"/>
        <w:jc w:val="both"/>
        <w:rPr>
          <w:rFonts w:ascii="Arial" w:hAnsi="Arial" w:cs="Arial"/>
          <w:sz w:val="22"/>
          <w:szCs w:val="22"/>
        </w:rPr>
      </w:pPr>
    </w:p>
    <w:p w14:paraId="3ACE59CB" w14:textId="621638DD" w:rsidR="001C34F5" w:rsidRPr="00E52633" w:rsidRDefault="001C34F5" w:rsidP="008A3D91">
      <w:pPr>
        <w:pStyle w:val="Heading4"/>
        <w:rPr>
          <w:rFonts w:ascii="Arial" w:hAnsi="Arial" w:cs="Arial"/>
          <w:b/>
          <w:bCs/>
          <w:i w:val="0"/>
          <w:iCs w:val="0"/>
          <w:color w:val="000000" w:themeColor="text1"/>
          <w:sz w:val="28"/>
          <w:szCs w:val="28"/>
        </w:rPr>
      </w:pPr>
      <w:r w:rsidRPr="00366C0D">
        <w:rPr>
          <w:rFonts w:ascii="Arial" w:hAnsi="Arial" w:cs="Arial"/>
          <w:b/>
          <w:bCs/>
          <w:i w:val="0"/>
          <w:iCs w:val="0"/>
          <w:color w:val="000000" w:themeColor="text1"/>
          <w:sz w:val="28"/>
          <w:szCs w:val="28"/>
        </w:rPr>
        <w:t>Background Information</w:t>
      </w:r>
      <w:r w:rsidR="008E730D" w:rsidRPr="00366C0D">
        <w:rPr>
          <w:rFonts w:ascii="Arial" w:hAnsi="Arial" w:cs="Arial"/>
          <w:b/>
          <w:bCs/>
          <w:i w:val="0"/>
          <w:iCs w:val="0"/>
          <w:color w:val="000000" w:themeColor="text1"/>
          <w:sz w:val="28"/>
          <w:szCs w:val="28"/>
        </w:rPr>
        <w:t>:</w:t>
      </w:r>
    </w:p>
    <w:p w14:paraId="099059CB" w14:textId="6EB7D5BF" w:rsidR="008E730D" w:rsidRPr="00AD2DFF" w:rsidRDefault="008E730D" w:rsidP="008A3D91">
      <w:pPr>
        <w:spacing w:line="360" w:lineRule="auto"/>
        <w:jc w:val="both"/>
        <w:rPr>
          <w:rFonts w:ascii="Arial" w:hAnsi="Arial" w:cs="Arial"/>
          <w:sz w:val="22"/>
          <w:szCs w:val="22"/>
        </w:rPr>
      </w:pPr>
      <w:r w:rsidRPr="00AD2DFF">
        <w:rPr>
          <w:rFonts w:ascii="Arial" w:hAnsi="Arial" w:cs="Arial"/>
          <w:sz w:val="22"/>
          <w:szCs w:val="22"/>
          <w:lang w:eastAsia="zh-CN"/>
        </w:rPr>
        <w:t>Obesity emerge</w:t>
      </w:r>
      <w:r w:rsidR="00965566" w:rsidRPr="00AD2DFF">
        <w:rPr>
          <w:rFonts w:ascii="Arial" w:hAnsi="Arial" w:cs="Arial"/>
          <w:sz w:val="22"/>
          <w:szCs w:val="22"/>
          <w:lang w:eastAsia="zh-CN"/>
        </w:rPr>
        <w:t>d as the most consistent modifiable risk factor across the literature.  The Health Survey for England reported that in 2024, 30% of adults were living with obesity and 66% were overweight or living with obesity</w:t>
      </w:r>
      <w:r w:rsidR="009C2993" w:rsidRPr="00AD2DFF">
        <w:rPr>
          <w:rFonts w:ascii="Arial" w:hAnsi="Arial" w:cs="Arial"/>
          <w:sz w:val="22"/>
          <w:szCs w:val="22"/>
          <w:lang w:eastAsia="zh-CN"/>
        </w:rPr>
        <w:t xml:space="preserve"> </w:t>
      </w:r>
      <w:r w:rsidR="009C2993" w:rsidRPr="00AD2DFF">
        <w:rPr>
          <w:rFonts w:ascii="Arial" w:hAnsi="Arial" w:cs="Arial"/>
          <w:color w:val="000000"/>
          <w:sz w:val="22"/>
          <w:szCs w:val="22"/>
        </w:rPr>
        <w:t>(NHS England, 2019)</w:t>
      </w:r>
      <w:r w:rsidR="00965566" w:rsidRPr="00AD2DFF">
        <w:rPr>
          <w:rFonts w:ascii="Arial" w:hAnsi="Arial" w:cs="Arial"/>
          <w:sz w:val="22"/>
          <w:szCs w:val="22"/>
          <w:lang w:eastAsia="zh-CN"/>
        </w:rPr>
        <w:t xml:space="preserve">.  The persistence of these figures indicates that obesity </w:t>
      </w:r>
      <w:r w:rsidR="00204038" w:rsidRPr="00AD2DFF">
        <w:rPr>
          <w:rFonts w:ascii="Arial" w:hAnsi="Arial" w:cs="Arial"/>
          <w:sz w:val="22"/>
          <w:szCs w:val="22"/>
          <w:lang w:eastAsia="zh-CN"/>
        </w:rPr>
        <w:t>is not a marginal problem but a mainstream feature of the UK risk environment.</w:t>
      </w:r>
      <w:r w:rsidR="00462A79" w:rsidRPr="00AD2DFF">
        <w:rPr>
          <w:rFonts w:ascii="Arial" w:hAnsi="Arial" w:cs="Arial"/>
          <w:sz w:val="22"/>
          <w:szCs w:val="22"/>
          <w:lang w:eastAsia="zh-CN"/>
        </w:rPr>
        <w:t xml:space="preserve">  Excess adiposity is closely linked to insulin resistance, chronic inflammation and impaired glucose regulation, making the association with T2DM both statistically and biologically credible.  Public Health guidance has explicitly stated that being overweight or obese is the major modifiable risk factor for type 2 diabetes</w:t>
      </w:r>
      <w:r w:rsidR="00672DF5" w:rsidRPr="00AD2DFF">
        <w:rPr>
          <w:rFonts w:ascii="Arial" w:hAnsi="Arial" w:cs="Arial"/>
          <w:sz w:val="22"/>
          <w:szCs w:val="22"/>
          <w:lang w:eastAsia="zh-CN"/>
        </w:rPr>
        <w:t xml:space="preserve"> </w:t>
      </w:r>
      <w:r w:rsidR="00672DF5" w:rsidRPr="00AD2DFF">
        <w:rPr>
          <w:rFonts w:ascii="Arial" w:hAnsi="Arial" w:cs="Arial"/>
          <w:color w:val="000000"/>
          <w:sz w:val="22"/>
          <w:szCs w:val="22"/>
        </w:rPr>
        <w:t>(Ahmed and Mohammed, 2025)</w:t>
      </w:r>
      <w:r w:rsidR="00462A79" w:rsidRPr="00AD2DFF">
        <w:rPr>
          <w:rFonts w:ascii="Arial" w:hAnsi="Arial" w:cs="Arial"/>
          <w:sz w:val="22"/>
          <w:szCs w:val="22"/>
          <w:lang w:eastAsia="zh-CN"/>
        </w:rPr>
        <w:t>.</w:t>
      </w:r>
    </w:p>
    <w:p w14:paraId="61DE0F20" w14:textId="77777777" w:rsidR="00462A79" w:rsidRPr="002F0B35" w:rsidRDefault="00462A79" w:rsidP="008A3D91">
      <w:pPr>
        <w:spacing w:line="360" w:lineRule="auto"/>
        <w:jc w:val="both"/>
        <w:rPr>
          <w:rFonts w:ascii="Arial" w:hAnsi="Arial" w:cs="Arial"/>
          <w:sz w:val="22"/>
          <w:szCs w:val="22"/>
          <w:lang w:eastAsia="zh-CN"/>
        </w:rPr>
      </w:pPr>
    </w:p>
    <w:p w14:paraId="358ECCCB" w14:textId="4638426B" w:rsidR="00462A79" w:rsidRPr="00B92E00" w:rsidRDefault="00462A79" w:rsidP="008A3D91">
      <w:pPr>
        <w:spacing w:line="360" w:lineRule="auto"/>
        <w:jc w:val="both"/>
        <w:rPr>
          <w:rFonts w:ascii="Arial" w:hAnsi="Arial" w:cs="Arial"/>
          <w:sz w:val="22"/>
          <w:szCs w:val="22"/>
        </w:rPr>
      </w:pPr>
      <w:r w:rsidRPr="00B92E00">
        <w:rPr>
          <w:rFonts w:ascii="Arial" w:hAnsi="Arial" w:cs="Arial"/>
          <w:sz w:val="22"/>
          <w:szCs w:val="22"/>
          <w:lang w:eastAsia="zh-CN"/>
        </w:rPr>
        <w:t>Diet and physical inactivity are clos</w:t>
      </w:r>
      <w:r w:rsidR="00320716" w:rsidRPr="00B92E00">
        <w:rPr>
          <w:rFonts w:ascii="Arial" w:hAnsi="Arial" w:cs="Arial"/>
          <w:sz w:val="22"/>
          <w:szCs w:val="22"/>
          <w:lang w:eastAsia="zh-CN"/>
        </w:rPr>
        <w:t xml:space="preserve">ely connected to this obesity pathway.  Diets high in energy-dense, nutrient-poor foods contribute to excess weight gain and poor glycaemic </w:t>
      </w:r>
      <w:r w:rsidR="00320716" w:rsidRPr="00B92E00">
        <w:rPr>
          <w:rFonts w:ascii="Arial" w:hAnsi="Arial" w:cs="Arial"/>
          <w:sz w:val="22"/>
          <w:szCs w:val="22"/>
          <w:lang w:eastAsia="zh-CN"/>
        </w:rPr>
        <w:lastRenderedPageBreak/>
        <w:t>control, while low physical activity reduces insulin sensitivity and overall metabolic health</w:t>
      </w:r>
      <w:r w:rsidR="00AD2DFF" w:rsidRPr="00B92E00">
        <w:rPr>
          <w:rFonts w:ascii="Arial" w:hAnsi="Arial" w:cs="Arial"/>
          <w:sz w:val="22"/>
          <w:szCs w:val="22"/>
          <w:lang w:eastAsia="zh-CN"/>
        </w:rPr>
        <w:t xml:space="preserve"> </w:t>
      </w:r>
      <w:r w:rsidR="00AD2DFF" w:rsidRPr="00B92E00">
        <w:rPr>
          <w:rFonts w:ascii="Arial" w:hAnsi="Arial" w:cs="Arial"/>
          <w:color w:val="000000"/>
          <w:sz w:val="22"/>
          <w:szCs w:val="22"/>
        </w:rPr>
        <w:t>(Romieu et al., 2017)</w:t>
      </w:r>
      <w:r w:rsidR="00320716" w:rsidRPr="00B92E00">
        <w:rPr>
          <w:rFonts w:ascii="Arial" w:hAnsi="Arial" w:cs="Arial"/>
          <w:sz w:val="22"/>
          <w:szCs w:val="22"/>
          <w:lang w:eastAsia="zh-CN"/>
        </w:rPr>
        <w:t xml:space="preserve">.  Yet the literature also makes clear that describing these as “lifestyle choices” can be misleading if choice is discussed </w:t>
      </w:r>
      <w:r w:rsidR="00B613A0" w:rsidRPr="00B92E00">
        <w:rPr>
          <w:rFonts w:ascii="Arial" w:hAnsi="Arial" w:cs="Arial"/>
          <w:sz w:val="22"/>
          <w:szCs w:val="22"/>
          <w:lang w:eastAsia="zh-CN"/>
        </w:rPr>
        <w:t>without context.  The ability to eat well and remain active is heavily shaped by food affordability, built environments, working conditions, transport access, family responsibilities and local opportunities for exercise.  As a result, behaviour-based risk factors are better understood as socially patterned behaviours rather than purely free choices</w:t>
      </w:r>
      <w:r w:rsidR="00B23993" w:rsidRPr="00B92E00">
        <w:rPr>
          <w:rFonts w:ascii="Arial" w:hAnsi="Arial" w:cs="Arial"/>
          <w:sz w:val="22"/>
          <w:szCs w:val="22"/>
          <w:lang w:eastAsia="zh-CN"/>
        </w:rPr>
        <w:t xml:space="preserve"> </w:t>
      </w:r>
      <w:r w:rsidR="00B23993" w:rsidRPr="00B92E00">
        <w:rPr>
          <w:rFonts w:ascii="Arial" w:hAnsi="Arial" w:cs="Arial"/>
          <w:color w:val="000000"/>
          <w:sz w:val="22"/>
          <w:szCs w:val="22"/>
        </w:rPr>
        <w:t>(Hill-Briggs, 2020)</w:t>
      </w:r>
      <w:r w:rsidR="00B613A0" w:rsidRPr="00B92E00">
        <w:rPr>
          <w:rFonts w:ascii="Arial" w:hAnsi="Arial" w:cs="Arial"/>
          <w:sz w:val="22"/>
          <w:szCs w:val="22"/>
          <w:lang w:eastAsia="zh-CN"/>
        </w:rPr>
        <w:t>.</w:t>
      </w:r>
    </w:p>
    <w:p w14:paraId="631A8A43" w14:textId="60A948C5" w:rsidR="00B613A0" w:rsidRPr="002F0B35" w:rsidRDefault="00B613A0" w:rsidP="008A3D91">
      <w:pPr>
        <w:spacing w:line="360" w:lineRule="auto"/>
        <w:jc w:val="both"/>
        <w:rPr>
          <w:rFonts w:ascii="Arial" w:hAnsi="Arial" w:cs="Arial"/>
          <w:sz w:val="22"/>
          <w:szCs w:val="22"/>
          <w:lang w:eastAsia="zh-CN"/>
        </w:rPr>
      </w:pPr>
    </w:p>
    <w:p w14:paraId="595987DB" w14:textId="0131465E" w:rsidR="00B613A0" w:rsidRPr="00B92E00" w:rsidRDefault="00B613A0" w:rsidP="008A3D91">
      <w:pPr>
        <w:spacing w:line="360" w:lineRule="auto"/>
        <w:jc w:val="both"/>
        <w:rPr>
          <w:rFonts w:ascii="Arial" w:hAnsi="Arial" w:cs="Arial"/>
          <w:sz w:val="22"/>
          <w:szCs w:val="22"/>
        </w:rPr>
      </w:pPr>
      <w:r w:rsidRPr="00B92E00">
        <w:rPr>
          <w:rFonts w:ascii="Arial" w:hAnsi="Arial" w:cs="Arial"/>
          <w:sz w:val="22"/>
          <w:szCs w:val="22"/>
          <w:lang w:eastAsia="zh-CN"/>
        </w:rPr>
        <w:t>This is where socioeconomic status becomes central.  Diabetes UK identifies income, education, housing, access to healthy food and poorer access to healthcare as factors strongly linked to obesity</w:t>
      </w:r>
      <w:r w:rsidR="005E702A" w:rsidRPr="00B92E00">
        <w:rPr>
          <w:rFonts w:ascii="Arial" w:hAnsi="Arial" w:cs="Arial"/>
          <w:sz w:val="22"/>
          <w:szCs w:val="22"/>
          <w:lang w:eastAsia="zh-CN"/>
        </w:rPr>
        <w:t xml:space="preserve"> and type 2 diabetes risk</w:t>
      </w:r>
      <w:r w:rsidR="00B92E00" w:rsidRPr="00B92E00">
        <w:rPr>
          <w:rFonts w:ascii="Arial" w:hAnsi="Arial" w:cs="Arial"/>
          <w:sz w:val="22"/>
          <w:szCs w:val="22"/>
          <w:lang w:eastAsia="zh-CN"/>
        </w:rPr>
        <w:t xml:space="preserve"> </w:t>
      </w:r>
      <w:r w:rsidR="00B92E00" w:rsidRPr="00B92E00">
        <w:rPr>
          <w:rFonts w:ascii="Arial" w:hAnsi="Arial" w:cs="Arial"/>
          <w:color w:val="000000"/>
          <w:sz w:val="22"/>
          <w:szCs w:val="22"/>
        </w:rPr>
        <w:t>(Diabetes UK, 2023)</w:t>
      </w:r>
      <w:r w:rsidR="005E702A" w:rsidRPr="00B92E00">
        <w:rPr>
          <w:rFonts w:ascii="Arial" w:hAnsi="Arial" w:cs="Arial"/>
          <w:sz w:val="22"/>
          <w:szCs w:val="22"/>
          <w:lang w:eastAsia="zh-CN"/>
        </w:rPr>
        <w:t>.  Marmot’s health equity work likewise argues that avoidable health inequalities stem from unequal social and economic conditions.  In relation to T2DM, people living in more deprived areas may face multiple barriers at once: higher food insecurity, reduced access to preventative care, lower health literacy opportunities, greater financial stress and more obesogenic neighbourhoods.  The result is that risk is clustered where disadvantage is greatest</w:t>
      </w:r>
      <w:r w:rsidR="00B92E00" w:rsidRPr="00B92E00">
        <w:rPr>
          <w:rFonts w:ascii="Arial" w:hAnsi="Arial" w:cs="Arial"/>
          <w:sz w:val="22"/>
          <w:szCs w:val="22"/>
          <w:lang w:eastAsia="zh-CN"/>
        </w:rPr>
        <w:t xml:space="preserve"> </w:t>
      </w:r>
      <w:r w:rsidR="00B92E00" w:rsidRPr="00B92E00">
        <w:rPr>
          <w:rFonts w:ascii="Arial" w:hAnsi="Arial" w:cs="Arial"/>
          <w:color w:val="000000"/>
          <w:sz w:val="22"/>
          <w:szCs w:val="22"/>
        </w:rPr>
        <w:t>(Marmot, 2017)</w:t>
      </w:r>
      <w:r w:rsidR="005E702A" w:rsidRPr="00B92E00">
        <w:rPr>
          <w:rFonts w:ascii="Arial" w:hAnsi="Arial" w:cs="Arial"/>
          <w:sz w:val="22"/>
          <w:szCs w:val="22"/>
          <w:lang w:eastAsia="zh-CN"/>
        </w:rPr>
        <w:t>.</w:t>
      </w:r>
    </w:p>
    <w:p w14:paraId="49D4F7B5" w14:textId="0A2FC6CE" w:rsidR="005E702A" w:rsidRPr="00385118" w:rsidRDefault="005E702A" w:rsidP="008A3D91">
      <w:pPr>
        <w:spacing w:line="360" w:lineRule="auto"/>
        <w:jc w:val="both"/>
        <w:rPr>
          <w:rFonts w:ascii="Arial" w:hAnsi="Arial" w:cs="Arial"/>
          <w:sz w:val="22"/>
          <w:szCs w:val="22"/>
          <w:lang w:eastAsia="zh-CN"/>
        </w:rPr>
      </w:pPr>
    </w:p>
    <w:p w14:paraId="65EA7D76" w14:textId="56BB38C4" w:rsidR="005E702A" w:rsidRPr="00385118" w:rsidRDefault="005E702A" w:rsidP="008A3D91">
      <w:pPr>
        <w:spacing w:line="360" w:lineRule="auto"/>
        <w:jc w:val="both"/>
        <w:rPr>
          <w:rFonts w:ascii="Arial" w:hAnsi="Arial" w:cs="Arial"/>
          <w:sz w:val="22"/>
          <w:szCs w:val="22"/>
        </w:rPr>
      </w:pPr>
      <w:r w:rsidRPr="00385118">
        <w:rPr>
          <w:rFonts w:ascii="Arial" w:hAnsi="Arial" w:cs="Arial"/>
          <w:sz w:val="22"/>
          <w:szCs w:val="22"/>
          <w:lang w:eastAsia="zh-CN"/>
        </w:rPr>
        <w:t xml:space="preserve">Recent evidence also supports the view that deprivation affects not only disease development but also early identification.  A 2024 study on inequalities in non-diabetic hyperglycaemia identification concluded that people living </w:t>
      </w:r>
      <w:r w:rsidR="00321D46" w:rsidRPr="00385118">
        <w:rPr>
          <w:rFonts w:ascii="Arial" w:hAnsi="Arial" w:cs="Arial"/>
          <w:sz w:val="22"/>
          <w:szCs w:val="22"/>
          <w:lang w:eastAsia="zh-CN"/>
        </w:rPr>
        <w:t>in more deprived areas, particularly younger adults, were less likely to have non-diabetic hyperglycaemia identified before later diagnosis of T2DM</w:t>
      </w:r>
      <w:r w:rsidR="00B92E00" w:rsidRPr="00385118">
        <w:rPr>
          <w:rFonts w:ascii="Arial" w:hAnsi="Arial" w:cs="Arial"/>
          <w:sz w:val="22"/>
          <w:szCs w:val="22"/>
          <w:lang w:eastAsia="zh-CN"/>
        </w:rPr>
        <w:t xml:space="preserve"> </w:t>
      </w:r>
      <w:r w:rsidR="00B92E00" w:rsidRPr="00385118">
        <w:rPr>
          <w:rFonts w:ascii="Arial" w:hAnsi="Arial" w:cs="Arial"/>
          <w:color w:val="000000"/>
          <w:sz w:val="22"/>
          <w:szCs w:val="22"/>
        </w:rPr>
        <w:t>(Watkinson et al., 2024)</w:t>
      </w:r>
      <w:r w:rsidR="00321D46" w:rsidRPr="00385118">
        <w:rPr>
          <w:rFonts w:ascii="Arial" w:hAnsi="Arial" w:cs="Arial"/>
          <w:sz w:val="22"/>
          <w:szCs w:val="22"/>
          <w:lang w:eastAsia="zh-CN"/>
        </w:rPr>
        <w:t xml:space="preserve">.  This is an important point because it suggests inequality operates twice: first in shaping risk, and second in limiting timely preventive intervention.  Deprivation therefore should not be treated as a background variable; it is an active part of the pathway through which diabetes burden is </w:t>
      </w:r>
      <w:r w:rsidR="002F0B35" w:rsidRPr="00385118">
        <w:rPr>
          <w:rFonts w:ascii="Arial" w:hAnsi="Arial" w:cs="Arial"/>
          <w:sz w:val="22"/>
          <w:szCs w:val="22"/>
          <w:lang w:eastAsia="zh-CN"/>
        </w:rPr>
        <w:t>r</w:t>
      </w:r>
      <w:r w:rsidR="00321D46" w:rsidRPr="00385118">
        <w:rPr>
          <w:rFonts w:ascii="Arial" w:hAnsi="Arial" w:cs="Arial"/>
          <w:sz w:val="22"/>
          <w:szCs w:val="22"/>
          <w:lang w:eastAsia="zh-CN"/>
        </w:rPr>
        <w:t>eproduced.</w:t>
      </w:r>
    </w:p>
    <w:p w14:paraId="4D62BBD8" w14:textId="5FCD3DE6" w:rsidR="00321D46" w:rsidRDefault="00321D46" w:rsidP="008A3D91">
      <w:pPr>
        <w:spacing w:line="360" w:lineRule="auto"/>
        <w:jc w:val="both"/>
        <w:rPr>
          <w:lang w:eastAsia="zh-CN"/>
        </w:rPr>
      </w:pPr>
    </w:p>
    <w:p w14:paraId="5FCC7C6A" w14:textId="1958EC76" w:rsidR="00321D46" w:rsidRPr="000F6E50" w:rsidRDefault="002F0B35" w:rsidP="008A3D91">
      <w:pPr>
        <w:spacing w:line="360" w:lineRule="auto"/>
        <w:jc w:val="both"/>
        <w:rPr>
          <w:rFonts w:ascii="Arial" w:hAnsi="Arial" w:cs="Arial"/>
          <w:sz w:val="22"/>
          <w:szCs w:val="22"/>
        </w:rPr>
      </w:pPr>
      <w:r w:rsidRPr="000F6E50">
        <w:rPr>
          <w:rFonts w:ascii="Arial" w:hAnsi="Arial" w:cs="Arial"/>
          <w:sz w:val="22"/>
          <w:szCs w:val="22"/>
          <w:lang w:eastAsia="zh-CN"/>
        </w:rPr>
        <w:t>E</w:t>
      </w:r>
      <w:r w:rsidR="003F70C9" w:rsidRPr="000F6E50">
        <w:rPr>
          <w:rFonts w:ascii="Arial" w:hAnsi="Arial" w:cs="Arial"/>
          <w:sz w:val="22"/>
          <w:szCs w:val="22"/>
          <w:lang w:eastAsia="zh-CN"/>
        </w:rPr>
        <w:t>thnicity was another clear subtheme.  UK evidence indicates that type 2 diabetes prevalence is substantially higher in South Africa and Black ethnic groups than in White populations.  Diabetes UK notes that people from Black African, African Caribbean and South Asian backgrounds are at increased risk from age 25, while risk in the White population increases from around age 40</w:t>
      </w:r>
      <w:r w:rsidR="00385118" w:rsidRPr="000F6E50">
        <w:rPr>
          <w:rFonts w:ascii="Arial" w:hAnsi="Arial" w:cs="Arial"/>
          <w:sz w:val="22"/>
          <w:szCs w:val="22"/>
          <w:lang w:eastAsia="zh-CN"/>
        </w:rPr>
        <w:t xml:space="preserve"> </w:t>
      </w:r>
      <w:r w:rsidR="00385118" w:rsidRPr="000F6E50">
        <w:rPr>
          <w:rFonts w:ascii="Arial" w:hAnsi="Arial" w:cs="Arial"/>
          <w:color w:val="000000"/>
          <w:sz w:val="22"/>
          <w:szCs w:val="22"/>
        </w:rPr>
        <w:t>(Diabetes UK, 2020)</w:t>
      </w:r>
      <w:r w:rsidR="003F70C9" w:rsidRPr="000F6E50">
        <w:rPr>
          <w:rFonts w:ascii="Arial" w:hAnsi="Arial" w:cs="Arial"/>
          <w:sz w:val="22"/>
          <w:szCs w:val="22"/>
          <w:lang w:eastAsia="zh-CN"/>
        </w:rPr>
        <w:t>.  Official government evidence also reports that both South Asian and Black groups experience greater diabetes risk at lower BMI thresholds than White groups.  This is highly relevant because it challenges uniform risk models and suggests that screening and prevention thresholds may need to be more nuanced an</w:t>
      </w:r>
      <w:r w:rsidR="007E4911" w:rsidRPr="000F6E50">
        <w:rPr>
          <w:rFonts w:ascii="Arial" w:hAnsi="Arial" w:cs="Arial"/>
          <w:sz w:val="22"/>
          <w:szCs w:val="22"/>
          <w:lang w:eastAsia="zh-CN"/>
        </w:rPr>
        <w:t>d</w:t>
      </w:r>
      <w:r w:rsidR="003F70C9" w:rsidRPr="000F6E50">
        <w:rPr>
          <w:rFonts w:ascii="Arial" w:hAnsi="Arial" w:cs="Arial"/>
          <w:sz w:val="22"/>
          <w:szCs w:val="22"/>
          <w:lang w:eastAsia="zh-CN"/>
        </w:rPr>
        <w:t xml:space="preserve"> culturally informed.</w:t>
      </w:r>
    </w:p>
    <w:p w14:paraId="166E0907" w14:textId="165D1DAC" w:rsidR="007E4911" w:rsidRDefault="007E4911" w:rsidP="008A3D91">
      <w:pPr>
        <w:spacing w:line="360" w:lineRule="auto"/>
        <w:jc w:val="both"/>
        <w:rPr>
          <w:rFonts w:ascii="Arial" w:hAnsi="Arial" w:cs="Arial"/>
          <w:sz w:val="22"/>
          <w:szCs w:val="22"/>
          <w:lang w:eastAsia="zh-CN"/>
        </w:rPr>
      </w:pPr>
    </w:p>
    <w:p w14:paraId="5A857046" w14:textId="034CD29F" w:rsidR="00B65EF4" w:rsidRPr="004436F4" w:rsidRDefault="007E4911" w:rsidP="008A3D91">
      <w:pPr>
        <w:spacing w:line="360" w:lineRule="auto"/>
        <w:jc w:val="both"/>
        <w:rPr>
          <w:rFonts w:ascii="Arial" w:hAnsi="Arial" w:cs="Arial"/>
          <w:sz w:val="22"/>
          <w:szCs w:val="22"/>
        </w:rPr>
      </w:pPr>
      <w:r w:rsidRPr="004436F4">
        <w:rPr>
          <w:rFonts w:ascii="Arial" w:hAnsi="Arial" w:cs="Arial"/>
          <w:sz w:val="22"/>
          <w:szCs w:val="22"/>
          <w:lang w:eastAsia="zh-CN"/>
        </w:rPr>
        <w:lastRenderedPageBreak/>
        <w:t>The literature does not suggest that ethnic inequality is purely genetic.  That would be far too simplistic.  Instead, the better studies position ethnic risk within an interaction between</w:t>
      </w:r>
      <w:r w:rsidR="00B65EF4" w:rsidRPr="004436F4">
        <w:rPr>
          <w:rFonts w:ascii="Arial" w:hAnsi="Arial" w:cs="Arial"/>
          <w:sz w:val="22"/>
          <w:szCs w:val="22"/>
          <w:lang w:eastAsia="zh-CN"/>
        </w:rPr>
        <w:t xml:space="preserve"> biological susceptibility, earlier metabolic vulnerability and structural inequality.  For example, Birmingham-based research published in 2024 found that socioeconomic deprivation and ethnicity together increased diabetes risk in an urban UK population with prevalence above the national average</w:t>
      </w:r>
      <w:r w:rsidR="000F6E50" w:rsidRPr="004436F4">
        <w:rPr>
          <w:rFonts w:ascii="Arial" w:hAnsi="Arial" w:cs="Arial"/>
          <w:sz w:val="22"/>
          <w:szCs w:val="22"/>
          <w:lang w:eastAsia="zh-CN"/>
        </w:rPr>
        <w:t xml:space="preserve"> </w:t>
      </w:r>
      <w:r w:rsidR="000F6E50" w:rsidRPr="004436F4">
        <w:rPr>
          <w:rFonts w:ascii="Arial" w:hAnsi="Arial" w:cs="Arial"/>
          <w:color w:val="000000"/>
          <w:sz w:val="22"/>
          <w:szCs w:val="22"/>
        </w:rPr>
        <w:t>(Au-Yeung et al., 2024)</w:t>
      </w:r>
      <w:r w:rsidR="00B65EF4" w:rsidRPr="004436F4">
        <w:rPr>
          <w:rFonts w:ascii="Arial" w:hAnsi="Arial" w:cs="Arial"/>
          <w:sz w:val="22"/>
          <w:szCs w:val="22"/>
          <w:lang w:eastAsia="zh-CN"/>
        </w:rPr>
        <w:t>.  This kind of evidence is useful because it moves the debate away from either/or thinking.  Risk is not either social or biological; it is both, and these dimensions compound one another.</w:t>
      </w:r>
    </w:p>
    <w:p w14:paraId="6F5224D4" w14:textId="4C3109BE" w:rsidR="008E730D" w:rsidRPr="004436F4" w:rsidRDefault="007E4911" w:rsidP="008A3D91">
      <w:pPr>
        <w:spacing w:line="360" w:lineRule="auto"/>
        <w:jc w:val="both"/>
        <w:rPr>
          <w:rFonts w:ascii="Arial" w:hAnsi="Arial" w:cs="Arial"/>
          <w:sz w:val="22"/>
          <w:szCs w:val="22"/>
          <w:lang w:eastAsia="zh-CN"/>
        </w:rPr>
      </w:pPr>
      <w:r w:rsidRPr="004436F4">
        <w:rPr>
          <w:rFonts w:ascii="Arial" w:hAnsi="Arial" w:cs="Arial"/>
          <w:sz w:val="22"/>
          <w:szCs w:val="22"/>
          <w:lang w:eastAsia="zh-CN"/>
        </w:rPr>
        <w:t xml:space="preserve"> </w:t>
      </w:r>
    </w:p>
    <w:p w14:paraId="7FF2AE42" w14:textId="573FD971" w:rsidR="001C34F5" w:rsidRPr="00E52633" w:rsidRDefault="001C34F5" w:rsidP="008A3D91">
      <w:pPr>
        <w:pStyle w:val="Heading4"/>
        <w:rPr>
          <w:rFonts w:ascii="Arial" w:hAnsi="Arial" w:cs="Arial"/>
          <w:b/>
          <w:bCs/>
          <w:i w:val="0"/>
          <w:iCs w:val="0"/>
          <w:color w:val="000000" w:themeColor="text1"/>
          <w:sz w:val="28"/>
          <w:szCs w:val="28"/>
        </w:rPr>
      </w:pPr>
      <w:r w:rsidRPr="00E52633">
        <w:rPr>
          <w:rFonts w:ascii="Arial" w:hAnsi="Arial" w:cs="Arial"/>
          <w:b/>
          <w:bCs/>
          <w:i w:val="0"/>
          <w:iCs w:val="0"/>
          <w:color w:val="000000" w:themeColor="text1"/>
          <w:sz w:val="28"/>
          <w:szCs w:val="28"/>
        </w:rPr>
        <w:t>Theories, Policies, and Legislation</w:t>
      </w:r>
      <w:r w:rsidR="00B65EF4" w:rsidRPr="00E52633">
        <w:rPr>
          <w:rFonts w:ascii="Arial" w:hAnsi="Arial" w:cs="Arial"/>
          <w:b/>
          <w:bCs/>
          <w:i w:val="0"/>
          <w:iCs w:val="0"/>
          <w:color w:val="000000" w:themeColor="text1"/>
          <w:sz w:val="28"/>
          <w:szCs w:val="28"/>
        </w:rPr>
        <w:t>:</w:t>
      </w:r>
    </w:p>
    <w:p w14:paraId="47859EA4" w14:textId="77777777" w:rsidR="00B65EF4" w:rsidRPr="00B65EF4" w:rsidRDefault="00B65EF4" w:rsidP="008A3D91">
      <w:pPr>
        <w:jc w:val="both"/>
        <w:rPr>
          <w:lang w:eastAsia="zh-CN"/>
        </w:rPr>
      </w:pPr>
    </w:p>
    <w:p w14:paraId="6036C00B" w14:textId="539C43D8" w:rsidR="00462A79" w:rsidRPr="00F5644A" w:rsidRDefault="00462A79" w:rsidP="008A3D91">
      <w:pPr>
        <w:spacing w:line="360" w:lineRule="auto"/>
        <w:jc w:val="both"/>
        <w:rPr>
          <w:rFonts w:ascii="Arial" w:hAnsi="Arial" w:cs="Arial"/>
          <w:sz w:val="22"/>
          <w:szCs w:val="22"/>
        </w:rPr>
      </w:pPr>
      <w:r w:rsidRPr="00F5644A">
        <w:rPr>
          <w:rFonts w:ascii="Arial" w:hAnsi="Arial" w:cs="Arial"/>
          <w:sz w:val="22"/>
          <w:szCs w:val="22"/>
          <w:lang w:eastAsia="zh-CN"/>
        </w:rPr>
        <w:t>Theoretical pers</w:t>
      </w:r>
      <w:r w:rsidR="000A17BC" w:rsidRPr="00F5644A">
        <w:rPr>
          <w:rFonts w:ascii="Arial" w:hAnsi="Arial" w:cs="Arial"/>
          <w:sz w:val="22"/>
          <w:szCs w:val="22"/>
          <w:lang w:eastAsia="zh-CN"/>
        </w:rPr>
        <w:t xml:space="preserve">pectives help sharpen this analysis.  Behavioural health models focus on individual motivation, knowledge and change, which is useful when discussing diet, exercise and self-care.  </w:t>
      </w:r>
      <w:r w:rsidR="00461378" w:rsidRPr="00F5644A">
        <w:rPr>
          <w:rFonts w:ascii="Arial" w:hAnsi="Arial" w:cs="Arial"/>
          <w:sz w:val="22"/>
          <w:szCs w:val="22"/>
          <w:lang w:eastAsia="zh-CN"/>
        </w:rPr>
        <w:t>However, on their own they can become reductionist, because they imply that better decisions are always available and equally achievable</w:t>
      </w:r>
      <w:r w:rsidR="00652AA8" w:rsidRPr="00F5644A">
        <w:rPr>
          <w:rFonts w:ascii="Arial" w:hAnsi="Arial" w:cs="Arial"/>
          <w:sz w:val="22"/>
          <w:szCs w:val="22"/>
          <w:lang w:eastAsia="zh-CN"/>
        </w:rPr>
        <w:t xml:space="preserve"> </w:t>
      </w:r>
      <w:r w:rsidR="00652AA8" w:rsidRPr="00F5644A">
        <w:rPr>
          <w:rFonts w:ascii="Arial" w:hAnsi="Arial" w:cs="Arial"/>
          <w:color w:val="000000"/>
          <w:sz w:val="22"/>
          <w:szCs w:val="22"/>
        </w:rPr>
        <w:t>(Koulouvari et al., 2025)</w:t>
      </w:r>
      <w:r w:rsidR="00461378" w:rsidRPr="00F5644A">
        <w:rPr>
          <w:rFonts w:ascii="Arial" w:hAnsi="Arial" w:cs="Arial"/>
          <w:sz w:val="22"/>
          <w:szCs w:val="22"/>
          <w:lang w:eastAsia="zh-CN"/>
        </w:rPr>
        <w:t xml:space="preserve">.  Social determinants theory provides a more critical lens by showing that opportunities for healthy behaviour are unequally distributed.  For </w:t>
      </w:r>
      <w:r w:rsidR="007F18AC" w:rsidRPr="00F5644A">
        <w:rPr>
          <w:rFonts w:ascii="Arial" w:hAnsi="Arial" w:cs="Arial"/>
          <w:sz w:val="22"/>
          <w:szCs w:val="22"/>
          <w:lang w:eastAsia="zh-CN"/>
        </w:rPr>
        <w:t xml:space="preserve">a dissertation at this level, that distinction matters.  It allows the discussion to critique public health approaches that rely too heavily on personal responsibility while underestimating the material realities </w:t>
      </w:r>
      <w:r w:rsidR="00035EEF" w:rsidRPr="00F5644A">
        <w:rPr>
          <w:rFonts w:ascii="Arial" w:hAnsi="Arial" w:cs="Arial"/>
          <w:sz w:val="22"/>
          <w:szCs w:val="22"/>
          <w:lang w:eastAsia="zh-CN"/>
        </w:rPr>
        <w:t>of daily life in deprived communities</w:t>
      </w:r>
      <w:r w:rsidR="00040AAE" w:rsidRPr="00F5644A">
        <w:rPr>
          <w:rFonts w:ascii="Arial" w:hAnsi="Arial" w:cs="Arial"/>
          <w:sz w:val="22"/>
          <w:szCs w:val="22"/>
          <w:lang w:eastAsia="zh-CN"/>
        </w:rPr>
        <w:t xml:space="preserve"> </w:t>
      </w:r>
      <w:r w:rsidR="00040AAE" w:rsidRPr="00F5644A">
        <w:rPr>
          <w:rFonts w:ascii="Arial" w:hAnsi="Arial" w:cs="Arial"/>
          <w:color w:val="000000"/>
          <w:sz w:val="22"/>
          <w:szCs w:val="22"/>
        </w:rPr>
        <w:t>(Wilderink et al., 2022)</w:t>
      </w:r>
      <w:r w:rsidR="00035EEF" w:rsidRPr="00F5644A">
        <w:rPr>
          <w:rFonts w:ascii="Arial" w:hAnsi="Arial" w:cs="Arial"/>
          <w:sz w:val="22"/>
          <w:szCs w:val="22"/>
          <w:lang w:eastAsia="zh-CN"/>
        </w:rPr>
        <w:t>.</w:t>
      </w:r>
    </w:p>
    <w:p w14:paraId="5672F795" w14:textId="1390E899" w:rsidR="00CD27CC" w:rsidRPr="00F5644A" w:rsidRDefault="00CD27CC" w:rsidP="008A3D91">
      <w:pPr>
        <w:spacing w:line="360" w:lineRule="auto"/>
        <w:jc w:val="both"/>
        <w:rPr>
          <w:rFonts w:ascii="Arial" w:hAnsi="Arial" w:cs="Arial"/>
          <w:sz w:val="22"/>
          <w:szCs w:val="22"/>
          <w:lang w:eastAsia="zh-CN"/>
        </w:rPr>
      </w:pPr>
    </w:p>
    <w:p w14:paraId="3937E46A" w14:textId="0025FDB5" w:rsidR="00CD27CC" w:rsidRPr="00E52633" w:rsidRDefault="00CD27CC" w:rsidP="008A3D91">
      <w:pPr>
        <w:spacing w:line="360" w:lineRule="auto"/>
        <w:jc w:val="both"/>
        <w:rPr>
          <w:rFonts w:ascii="Arial" w:hAnsi="Arial" w:cs="Arial"/>
          <w:b/>
          <w:bCs/>
          <w:sz w:val="28"/>
          <w:szCs w:val="28"/>
          <w:lang w:eastAsia="zh-CN"/>
        </w:rPr>
      </w:pPr>
      <w:r w:rsidRPr="00E52633">
        <w:rPr>
          <w:rFonts w:ascii="Arial" w:hAnsi="Arial" w:cs="Arial"/>
          <w:b/>
          <w:bCs/>
          <w:sz w:val="28"/>
          <w:szCs w:val="28"/>
          <w:lang w:eastAsia="zh-CN"/>
        </w:rPr>
        <w:t>Policy Implication:</w:t>
      </w:r>
    </w:p>
    <w:p w14:paraId="4C82AE71" w14:textId="520ECB78" w:rsidR="00CD27CC" w:rsidRPr="00317206" w:rsidRDefault="00CD27CC" w:rsidP="008A3D91">
      <w:pPr>
        <w:spacing w:line="360" w:lineRule="auto"/>
        <w:jc w:val="both"/>
        <w:rPr>
          <w:rFonts w:ascii="Arial" w:hAnsi="Arial" w:cs="Arial"/>
          <w:sz w:val="22"/>
          <w:szCs w:val="22"/>
        </w:rPr>
      </w:pPr>
      <w:r w:rsidRPr="00317206">
        <w:rPr>
          <w:rFonts w:ascii="Arial" w:hAnsi="Arial" w:cs="Arial"/>
          <w:sz w:val="22"/>
          <w:szCs w:val="22"/>
          <w:lang w:eastAsia="zh-CN"/>
        </w:rPr>
        <w:t>Policy implications flow directly from</w:t>
      </w:r>
      <w:r w:rsidR="005B1169" w:rsidRPr="00317206">
        <w:rPr>
          <w:rFonts w:ascii="Arial" w:hAnsi="Arial" w:cs="Arial"/>
          <w:sz w:val="22"/>
          <w:szCs w:val="22"/>
          <w:lang w:eastAsia="zh-CN"/>
        </w:rPr>
        <w:t xml:space="preserve"> this theme.  If risk factors are socially patterned, then generic lifestyle advice may be insufficient.  Advising adults to lose weight, exercise more and eat better is not wrong, but it may be inadequate where health food is expensive, safe exercise space is limited, work is insecure, and services are not culturally responsive</w:t>
      </w:r>
      <w:r w:rsidR="00317206" w:rsidRPr="00317206">
        <w:rPr>
          <w:rFonts w:ascii="Arial" w:hAnsi="Arial" w:cs="Arial"/>
          <w:sz w:val="22"/>
          <w:szCs w:val="22"/>
          <w:lang w:eastAsia="zh-CN"/>
        </w:rPr>
        <w:t xml:space="preserve"> </w:t>
      </w:r>
      <w:r w:rsidR="00317206" w:rsidRPr="00317206">
        <w:rPr>
          <w:rFonts w:ascii="Arial" w:hAnsi="Arial" w:cs="Arial"/>
          <w:color w:val="000000"/>
          <w:sz w:val="22"/>
          <w:szCs w:val="22"/>
        </w:rPr>
        <w:t>(Ahmed and Mohammed, 2025)</w:t>
      </w:r>
      <w:r w:rsidR="005B1169" w:rsidRPr="00317206">
        <w:rPr>
          <w:rFonts w:ascii="Arial" w:hAnsi="Arial" w:cs="Arial"/>
          <w:sz w:val="22"/>
          <w:szCs w:val="22"/>
          <w:lang w:eastAsia="zh-CN"/>
        </w:rPr>
        <w:t>.  A major weakness in some interventions is that they assume the problem is lack of information when the actual problem may be lack of feasible options.  This helps explain why uptake and adherence to prevention support can be lower in some higher-risk groups.</w:t>
      </w:r>
    </w:p>
    <w:p w14:paraId="28F62ED5" w14:textId="77777777" w:rsidR="00CD27CC" w:rsidRPr="00ED0EE0" w:rsidRDefault="00CD27CC" w:rsidP="008A3D91">
      <w:pPr>
        <w:spacing w:line="360" w:lineRule="auto"/>
        <w:jc w:val="both"/>
        <w:rPr>
          <w:rFonts w:ascii="Arial" w:hAnsi="Arial" w:cs="Arial"/>
          <w:sz w:val="22"/>
          <w:szCs w:val="22"/>
          <w:lang w:eastAsia="zh-CN"/>
        </w:rPr>
      </w:pPr>
    </w:p>
    <w:p w14:paraId="51D56D53" w14:textId="063434A3" w:rsidR="00ED0EE0" w:rsidRPr="00E52633" w:rsidRDefault="001C34F5" w:rsidP="008A3D91">
      <w:pPr>
        <w:pStyle w:val="Heading4"/>
        <w:rPr>
          <w:rFonts w:ascii="Arial" w:hAnsi="Arial" w:cs="Arial"/>
          <w:b/>
          <w:bCs/>
          <w:i w:val="0"/>
          <w:iCs w:val="0"/>
          <w:color w:val="000000" w:themeColor="text1"/>
          <w:sz w:val="28"/>
          <w:szCs w:val="28"/>
        </w:rPr>
      </w:pPr>
      <w:r w:rsidRPr="00E52633">
        <w:rPr>
          <w:rFonts w:ascii="Arial" w:hAnsi="Arial" w:cs="Arial"/>
          <w:b/>
          <w:bCs/>
          <w:i w:val="0"/>
          <w:iCs w:val="0"/>
          <w:color w:val="000000" w:themeColor="text1"/>
          <w:sz w:val="28"/>
          <w:szCs w:val="28"/>
        </w:rPr>
        <w:t>Examples from Articles</w:t>
      </w:r>
      <w:r w:rsidR="00ED0EE0" w:rsidRPr="00E52633">
        <w:rPr>
          <w:rFonts w:ascii="Arial" w:hAnsi="Arial" w:cs="Arial"/>
          <w:b/>
          <w:bCs/>
          <w:i w:val="0"/>
          <w:iCs w:val="0"/>
          <w:color w:val="000000" w:themeColor="text1"/>
          <w:sz w:val="28"/>
          <w:szCs w:val="28"/>
        </w:rPr>
        <w:t>:</w:t>
      </w:r>
    </w:p>
    <w:p w14:paraId="347FC724" w14:textId="7307E010" w:rsidR="00484BB7" w:rsidRPr="00317206" w:rsidRDefault="00484BB7" w:rsidP="008A3D91">
      <w:pPr>
        <w:spacing w:line="360" w:lineRule="auto"/>
        <w:jc w:val="both"/>
        <w:rPr>
          <w:rFonts w:ascii="Arial" w:hAnsi="Arial" w:cs="Arial"/>
          <w:sz w:val="22"/>
          <w:szCs w:val="22"/>
        </w:rPr>
      </w:pPr>
      <w:r w:rsidRPr="00317206">
        <w:rPr>
          <w:rFonts w:ascii="Arial" w:hAnsi="Arial" w:cs="Arial"/>
          <w:sz w:val="22"/>
          <w:szCs w:val="22"/>
          <w:lang w:eastAsia="zh-CN"/>
        </w:rPr>
        <w:t xml:space="preserve">Examples from the reviewed studies reinforce these points.  Reed, Bain and Kanamarlapudi identify T2DM as a multifactorial disease involving both modifiable and non-modifiable risks.  Goff’s UK-focused work on ethnicity and type 2 diabetes highlights the much higher prevalence and earlier onset seen in minority ethnic communities.  More recent UK evidence </w:t>
      </w:r>
      <w:r w:rsidRPr="00317206">
        <w:rPr>
          <w:rFonts w:ascii="Arial" w:hAnsi="Arial" w:cs="Arial"/>
          <w:sz w:val="22"/>
          <w:szCs w:val="22"/>
          <w:lang w:eastAsia="zh-CN"/>
        </w:rPr>
        <w:lastRenderedPageBreak/>
        <w:t>from Birmingham shows the combined effect of deprivation and ethnicity on local diabetes risk</w:t>
      </w:r>
      <w:r w:rsidR="00317206" w:rsidRPr="00317206">
        <w:rPr>
          <w:rFonts w:ascii="Arial" w:hAnsi="Arial" w:cs="Arial"/>
          <w:sz w:val="22"/>
          <w:szCs w:val="22"/>
          <w:lang w:eastAsia="zh-CN"/>
        </w:rPr>
        <w:t xml:space="preserve"> </w:t>
      </w:r>
      <w:r w:rsidR="00317206" w:rsidRPr="00317206">
        <w:rPr>
          <w:rFonts w:ascii="Arial" w:hAnsi="Arial" w:cs="Arial"/>
          <w:color w:val="000000"/>
          <w:sz w:val="22"/>
          <w:szCs w:val="22"/>
        </w:rPr>
        <w:t>(Au-Yeung et al., 2024)</w:t>
      </w:r>
      <w:r w:rsidRPr="00317206">
        <w:rPr>
          <w:rFonts w:ascii="Arial" w:hAnsi="Arial" w:cs="Arial"/>
          <w:sz w:val="22"/>
          <w:szCs w:val="22"/>
          <w:lang w:eastAsia="zh-CN"/>
        </w:rPr>
        <w:t>.  Together, these studies agree that obesity, inactivity and ethnicity matter, but they differ in emphasis: biomedical work tends to foreground mechanism</w:t>
      </w:r>
      <w:r w:rsidR="00CA4AA2" w:rsidRPr="00317206">
        <w:rPr>
          <w:rFonts w:ascii="Arial" w:hAnsi="Arial" w:cs="Arial"/>
          <w:sz w:val="22"/>
          <w:szCs w:val="22"/>
          <w:lang w:eastAsia="zh-CN"/>
        </w:rPr>
        <w:t>, while public health studies focus more directly on inequality and access.  That contrast is useful rather than problematic because it shows that T2DM risk needs to be interpreted across multiple levels.</w:t>
      </w:r>
      <w:r w:rsidRPr="00317206">
        <w:rPr>
          <w:rFonts w:ascii="Arial" w:hAnsi="Arial" w:cs="Arial"/>
          <w:sz w:val="22"/>
          <w:szCs w:val="22"/>
          <w:lang w:eastAsia="zh-CN"/>
        </w:rPr>
        <w:t xml:space="preserve"> </w:t>
      </w:r>
    </w:p>
    <w:p w14:paraId="70A55E39" w14:textId="759E1C92" w:rsidR="005B1169" w:rsidRPr="00E52633" w:rsidRDefault="005B1169" w:rsidP="008A3D91">
      <w:pPr>
        <w:spacing w:before="100" w:beforeAutospacing="1" w:after="100" w:afterAutospacing="1" w:line="360" w:lineRule="auto"/>
        <w:jc w:val="both"/>
        <w:rPr>
          <w:rFonts w:ascii="Arial" w:hAnsi="Arial" w:cs="Arial"/>
          <w:sz w:val="28"/>
          <w:szCs w:val="28"/>
        </w:rPr>
      </w:pPr>
      <w:r w:rsidRPr="00E52633">
        <w:rPr>
          <w:rStyle w:val="Strong"/>
          <w:rFonts w:ascii="Arial" w:hAnsi="Arial" w:cs="Arial"/>
          <w:sz w:val="28"/>
          <w:szCs w:val="28"/>
        </w:rPr>
        <w:t>Implications:</w:t>
      </w:r>
    </w:p>
    <w:p w14:paraId="72A9B335" w14:textId="2026B21D" w:rsidR="005971DA" w:rsidRPr="003E495D" w:rsidRDefault="00CA4AA2" w:rsidP="008A3D91">
      <w:pPr>
        <w:spacing w:before="100" w:beforeAutospacing="1" w:after="100" w:afterAutospacing="1" w:line="360" w:lineRule="auto"/>
        <w:jc w:val="both"/>
        <w:rPr>
          <w:rFonts w:ascii="Arial" w:hAnsi="Arial" w:cs="Arial"/>
          <w:sz w:val="22"/>
          <w:szCs w:val="22"/>
        </w:rPr>
      </w:pPr>
      <w:r>
        <w:rPr>
          <w:rFonts w:ascii="Arial" w:hAnsi="Arial" w:cs="Arial"/>
          <w:sz w:val="22"/>
          <w:szCs w:val="22"/>
        </w:rPr>
        <w:t xml:space="preserve">The implications are again both positive and negative.  Positively, many risk factors are modifiable in theory, meaning prevention remains genuinely possible.  Negatively, modifiability does not equal ease.   Without accounting for </w:t>
      </w:r>
      <w:r w:rsidR="005971DA">
        <w:rPr>
          <w:rFonts w:ascii="Arial" w:hAnsi="Arial" w:cs="Arial"/>
          <w:sz w:val="22"/>
          <w:szCs w:val="22"/>
        </w:rPr>
        <w:t>deprivation, cultural context and access barriers, prevention strategies may disproportionately benefit those who already have greater resources and flexibility, thereby widening rather than narrowing inequalities.  This theme therefore links strongly to Theme 1, because unequal exposure to risk helps explain growing prevalence, and to Theme 3, because management and prevention strategies are only likely to succeed if they are realistic within people’s lived circumstances.</w:t>
      </w:r>
    </w:p>
    <w:p w14:paraId="093C1893" w14:textId="1B370D61" w:rsidR="001C34F5" w:rsidRPr="00E52633" w:rsidRDefault="001C34F5" w:rsidP="008A3D91">
      <w:pPr>
        <w:pStyle w:val="Heading2"/>
        <w:jc w:val="both"/>
        <w:rPr>
          <w:rFonts w:ascii="Arial" w:hAnsi="Arial" w:cs="Arial"/>
          <w:b/>
          <w:bCs/>
          <w:color w:val="000000" w:themeColor="text1"/>
          <w:sz w:val="32"/>
          <w:szCs w:val="32"/>
        </w:rPr>
      </w:pPr>
      <w:r w:rsidRPr="00E52633">
        <w:rPr>
          <w:rFonts w:ascii="Arial" w:hAnsi="Arial" w:cs="Arial"/>
          <w:b/>
          <w:bCs/>
          <w:color w:val="000000" w:themeColor="text1"/>
          <w:sz w:val="32"/>
          <w:szCs w:val="32"/>
        </w:rPr>
        <w:t>4.5 – Theme 3 (</w:t>
      </w:r>
      <w:r w:rsidR="005971DA" w:rsidRPr="00E52633">
        <w:rPr>
          <w:rFonts w:ascii="Arial" w:hAnsi="Arial" w:cs="Arial"/>
          <w:b/>
          <w:bCs/>
          <w:color w:val="000000" w:themeColor="text1"/>
          <w:sz w:val="32"/>
          <w:szCs w:val="32"/>
        </w:rPr>
        <w:t>Management and Prevention Strategies)</w:t>
      </w:r>
      <w:r w:rsidRPr="00E52633">
        <w:rPr>
          <w:rFonts w:ascii="Arial" w:hAnsi="Arial" w:cs="Arial"/>
          <w:b/>
          <w:bCs/>
          <w:color w:val="000000" w:themeColor="text1"/>
          <w:sz w:val="32"/>
          <w:szCs w:val="32"/>
        </w:rPr>
        <w:t xml:space="preserve"> </w:t>
      </w:r>
    </w:p>
    <w:p w14:paraId="4B016F2F" w14:textId="6C401ADA" w:rsidR="001C34F5" w:rsidRPr="00E52633" w:rsidRDefault="001C34F5" w:rsidP="008A3D91">
      <w:pPr>
        <w:spacing w:before="100" w:beforeAutospacing="1" w:after="100" w:afterAutospacing="1" w:line="360" w:lineRule="auto"/>
        <w:jc w:val="both"/>
        <w:rPr>
          <w:rStyle w:val="Strong"/>
          <w:rFonts w:ascii="Arial" w:hAnsi="Arial" w:cs="Arial"/>
          <w:sz w:val="28"/>
          <w:szCs w:val="28"/>
        </w:rPr>
      </w:pPr>
      <w:r w:rsidRPr="00E52633">
        <w:rPr>
          <w:rStyle w:val="Strong"/>
          <w:rFonts w:ascii="Arial" w:hAnsi="Arial" w:cs="Arial"/>
          <w:sz w:val="28"/>
          <w:szCs w:val="28"/>
        </w:rPr>
        <w:t>Definition:</w:t>
      </w:r>
    </w:p>
    <w:p w14:paraId="7253044B" w14:textId="300252A7" w:rsidR="005971DA" w:rsidRDefault="005971DA" w:rsidP="008A3D91">
      <w:pPr>
        <w:spacing w:line="360" w:lineRule="auto"/>
        <w:jc w:val="both"/>
        <w:rPr>
          <w:rStyle w:val="Strong"/>
          <w:rFonts w:ascii="Arial" w:hAnsi="Arial" w:cs="Arial"/>
          <w:b w:val="0"/>
          <w:bCs w:val="0"/>
          <w:sz w:val="22"/>
          <w:szCs w:val="22"/>
        </w:rPr>
      </w:pPr>
      <w:r w:rsidRPr="00F5644A">
        <w:rPr>
          <w:rStyle w:val="Strong"/>
          <w:rFonts w:ascii="Arial" w:hAnsi="Arial" w:cs="Arial"/>
          <w:b w:val="0"/>
          <w:bCs w:val="0"/>
          <w:sz w:val="22"/>
          <w:szCs w:val="22"/>
        </w:rPr>
        <w:t>The third theme identified through the literature concerns current management and prevention strategies for T2DM in UK adults.  Management refers to the interventions used after diagnosis to control blood glucose, reduce complications and support long-term self-care.  Prevention refers to measures used to reduce progression from risk states, such as obesity or non-diabetic hyperglycaemia, into diagnosed T2DM</w:t>
      </w:r>
      <w:r w:rsidR="00F5644A" w:rsidRPr="00F5644A">
        <w:rPr>
          <w:rStyle w:val="Strong"/>
          <w:rFonts w:ascii="Arial" w:hAnsi="Arial" w:cs="Arial"/>
          <w:b w:val="0"/>
          <w:bCs w:val="0"/>
          <w:sz w:val="22"/>
          <w:szCs w:val="22"/>
        </w:rPr>
        <w:t xml:space="preserve"> </w:t>
      </w:r>
      <w:r w:rsidR="00F5644A" w:rsidRPr="00F5644A">
        <w:rPr>
          <w:rFonts w:ascii="Arial" w:hAnsi="Arial" w:cs="Arial"/>
          <w:color w:val="000000"/>
          <w:sz w:val="22"/>
          <w:szCs w:val="22"/>
        </w:rPr>
        <w:t>(Woodward et al., 2024)</w:t>
      </w:r>
      <w:r w:rsidRPr="00F5644A">
        <w:rPr>
          <w:rStyle w:val="Strong"/>
          <w:rFonts w:ascii="Arial" w:hAnsi="Arial" w:cs="Arial"/>
          <w:b w:val="0"/>
          <w:bCs w:val="0"/>
          <w:sz w:val="22"/>
          <w:szCs w:val="22"/>
        </w:rPr>
        <w:t>.  This theme is crucial to the dissertation because investigating prevalence and risk factors alone would be incomplete without considering how effectively the condition is being addressed in policy and practice.</w:t>
      </w:r>
    </w:p>
    <w:p w14:paraId="6429991F" w14:textId="77777777" w:rsidR="00F5644A" w:rsidRPr="00F5644A" w:rsidRDefault="00F5644A" w:rsidP="008A3D91">
      <w:pPr>
        <w:spacing w:line="360" w:lineRule="auto"/>
        <w:jc w:val="both"/>
        <w:rPr>
          <w:rFonts w:ascii="Arial" w:hAnsi="Arial" w:cs="Arial"/>
          <w:sz w:val="22"/>
          <w:szCs w:val="22"/>
        </w:rPr>
      </w:pPr>
    </w:p>
    <w:p w14:paraId="5BCEA90C" w14:textId="7B2F2D9E" w:rsidR="005971DA" w:rsidRPr="00B0758B" w:rsidRDefault="00B0758B" w:rsidP="008A3D91">
      <w:pPr>
        <w:pStyle w:val="Heading4"/>
        <w:rPr>
          <w:rFonts w:ascii="Arial" w:hAnsi="Arial" w:cs="Arial"/>
          <w:b/>
          <w:bCs/>
          <w:i w:val="0"/>
          <w:iCs w:val="0"/>
          <w:color w:val="000000" w:themeColor="text1"/>
          <w:sz w:val="28"/>
          <w:szCs w:val="28"/>
        </w:rPr>
      </w:pPr>
      <w:r w:rsidRPr="00B0758B">
        <w:rPr>
          <w:rFonts w:ascii="Arial" w:hAnsi="Arial" w:cs="Arial"/>
          <w:b/>
          <w:bCs/>
          <w:i w:val="0"/>
          <w:iCs w:val="0"/>
          <w:color w:val="000000" w:themeColor="text1"/>
          <w:sz w:val="28"/>
          <w:szCs w:val="28"/>
        </w:rPr>
        <w:t>Background Information:</w:t>
      </w:r>
    </w:p>
    <w:p w14:paraId="0CB68654" w14:textId="57B5934E" w:rsidR="004D0A69" w:rsidRPr="00EE1271" w:rsidRDefault="004D0A69" w:rsidP="008A3D91">
      <w:pPr>
        <w:spacing w:line="360" w:lineRule="auto"/>
        <w:jc w:val="both"/>
        <w:rPr>
          <w:rFonts w:ascii="Arial" w:hAnsi="Arial" w:cs="Arial"/>
          <w:sz w:val="22"/>
          <w:szCs w:val="22"/>
        </w:rPr>
      </w:pPr>
      <w:r w:rsidRPr="00EE1271">
        <w:rPr>
          <w:rFonts w:ascii="Arial" w:hAnsi="Arial" w:cs="Arial"/>
          <w:sz w:val="22"/>
          <w:szCs w:val="22"/>
          <w:lang w:eastAsia="zh-CN"/>
        </w:rPr>
        <w:t>A major strength of the UK response is that guidance is relatively well developed.  NICE guidelines NG28 covers care and management for adults with type 2 diabetes, including structured education, dietary advice, blood glucose management, cardiovascular risk reduction and monitoring for complications</w:t>
      </w:r>
      <w:r w:rsidR="00EE1271" w:rsidRPr="00EE1271">
        <w:rPr>
          <w:rFonts w:ascii="Arial" w:hAnsi="Arial" w:cs="Arial"/>
          <w:sz w:val="22"/>
          <w:szCs w:val="22"/>
          <w:lang w:eastAsia="zh-CN"/>
        </w:rPr>
        <w:t xml:space="preserve"> </w:t>
      </w:r>
      <w:r w:rsidR="00EE1271" w:rsidRPr="00EE1271">
        <w:rPr>
          <w:rFonts w:ascii="Arial" w:hAnsi="Arial" w:cs="Arial"/>
          <w:color w:val="000000"/>
          <w:sz w:val="22"/>
          <w:szCs w:val="22"/>
        </w:rPr>
        <w:t>(NICE, 2025)</w:t>
      </w:r>
      <w:r w:rsidRPr="00EE1271">
        <w:rPr>
          <w:rFonts w:ascii="Arial" w:hAnsi="Arial" w:cs="Arial"/>
          <w:sz w:val="22"/>
          <w:szCs w:val="22"/>
          <w:lang w:eastAsia="zh-CN"/>
        </w:rPr>
        <w:t xml:space="preserve">.  The guideline was updated 18 February 2026, showing that it remains active and responsive to evolving evidence.  NICE’s </w:t>
      </w:r>
      <w:r w:rsidRPr="00EE1271">
        <w:rPr>
          <w:rFonts w:ascii="Arial" w:hAnsi="Arial" w:cs="Arial"/>
          <w:sz w:val="22"/>
          <w:szCs w:val="22"/>
          <w:lang w:eastAsia="zh-CN"/>
        </w:rPr>
        <w:lastRenderedPageBreak/>
        <w:t>recent surveillance also</w:t>
      </w:r>
      <w:r w:rsidR="006D2AFC" w:rsidRPr="00EE1271">
        <w:rPr>
          <w:rFonts w:ascii="Arial" w:hAnsi="Arial" w:cs="Arial"/>
          <w:sz w:val="22"/>
          <w:szCs w:val="22"/>
          <w:lang w:eastAsia="zh-CN"/>
        </w:rPr>
        <w:t xml:space="preserve"> identified evidence relating to dietary interventions, including low-calorie approaches and time-restricted eating, and indicated further guideline updating in connection with obesity guidance.  This </w:t>
      </w:r>
      <w:r w:rsidR="00652194">
        <w:rPr>
          <w:rFonts w:ascii="Arial" w:hAnsi="Arial" w:cs="Arial"/>
          <w:sz w:val="22"/>
          <w:szCs w:val="22"/>
          <w:lang w:eastAsia="zh-CN"/>
        </w:rPr>
        <w:t>indicates</w:t>
      </w:r>
      <w:r w:rsidR="006D2AFC" w:rsidRPr="00EE1271">
        <w:rPr>
          <w:rFonts w:ascii="Arial" w:hAnsi="Arial" w:cs="Arial"/>
          <w:sz w:val="22"/>
          <w:szCs w:val="22"/>
          <w:lang w:eastAsia="zh-CN"/>
        </w:rPr>
        <w:t xml:space="preserve"> that T2DM management is no longer viewed only through a medicine lens but increasingly through broader metabolic and behavioural approaches</w:t>
      </w:r>
      <w:r w:rsidR="00EE1271" w:rsidRPr="00EE1271">
        <w:rPr>
          <w:rFonts w:ascii="Arial" w:hAnsi="Arial" w:cs="Arial"/>
          <w:sz w:val="22"/>
          <w:szCs w:val="22"/>
          <w:lang w:eastAsia="zh-CN"/>
        </w:rPr>
        <w:t xml:space="preserve"> (NICE, 2025)</w:t>
      </w:r>
      <w:r w:rsidR="006D2AFC" w:rsidRPr="00EE1271">
        <w:rPr>
          <w:rFonts w:ascii="Arial" w:hAnsi="Arial" w:cs="Arial"/>
          <w:sz w:val="22"/>
          <w:szCs w:val="22"/>
          <w:lang w:eastAsia="zh-CN"/>
        </w:rPr>
        <w:t>.</w:t>
      </w:r>
    </w:p>
    <w:p w14:paraId="4B935AFF" w14:textId="707C1F5F" w:rsidR="006D2AFC" w:rsidRDefault="006D2AFC" w:rsidP="008A3D91">
      <w:pPr>
        <w:spacing w:line="360" w:lineRule="auto"/>
        <w:jc w:val="both"/>
        <w:rPr>
          <w:rFonts w:ascii="Arial" w:hAnsi="Arial" w:cs="Arial"/>
          <w:sz w:val="22"/>
          <w:szCs w:val="22"/>
          <w:lang w:eastAsia="zh-CN"/>
        </w:rPr>
      </w:pPr>
    </w:p>
    <w:p w14:paraId="64CC73E0" w14:textId="47871AD0" w:rsidR="00B37CBB" w:rsidRPr="00B37CBB" w:rsidRDefault="00E024C5" w:rsidP="008A3D91">
      <w:pPr>
        <w:spacing w:line="360" w:lineRule="auto"/>
        <w:jc w:val="both"/>
        <w:rPr>
          <w:rFonts w:ascii="Arial" w:hAnsi="Arial" w:cs="Arial"/>
          <w:b/>
          <w:bCs/>
          <w:sz w:val="28"/>
          <w:szCs w:val="28"/>
          <w:lang w:eastAsia="zh-CN"/>
        </w:rPr>
      </w:pPr>
      <w:r>
        <w:rPr>
          <w:rFonts w:ascii="Arial" w:hAnsi="Arial" w:cs="Arial"/>
          <w:b/>
          <w:bCs/>
          <w:sz w:val="28"/>
          <w:szCs w:val="28"/>
          <w:lang w:eastAsia="zh-CN"/>
        </w:rPr>
        <w:t>Impact on Research Question:</w:t>
      </w:r>
    </w:p>
    <w:p w14:paraId="109FFE77" w14:textId="78961CFE" w:rsidR="006D2AFC" w:rsidRPr="00746829" w:rsidRDefault="006D2AFC" w:rsidP="008A3D91">
      <w:pPr>
        <w:spacing w:line="360" w:lineRule="auto"/>
        <w:jc w:val="both"/>
        <w:rPr>
          <w:rFonts w:ascii="Arial" w:hAnsi="Arial" w:cs="Arial"/>
          <w:sz w:val="22"/>
          <w:szCs w:val="22"/>
        </w:rPr>
      </w:pPr>
      <w:r w:rsidRPr="00746829">
        <w:rPr>
          <w:rFonts w:ascii="Arial" w:hAnsi="Arial" w:cs="Arial"/>
          <w:sz w:val="22"/>
          <w:szCs w:val="22"/>
          <w:lang w:eastAsia="zh-CN"/>
        </w:rPr>
        <w:t xml:space="preserve">At prevention level, the Healthier You NHS Diabetes Prevention Programme is central.  NHS England states that it identifies people at risk of developing T2DM and refers them to a nine-month evidence-based lifestyle change programme, available in face-to-face and digital formats.  The same source reports that the programme reduces new diagnoses and cuts the risk of developing T2DM </w:t>
      </w:r>
      <w:r w:rsidR="00E32380" w:rsidRPr="00746829">
        <w:rPr>
          <w:rFonts w:ascii="Arial" w:hAnsi="Arial" w:cs="Arial"/>
          <w:sz w:val="22"/>
          <w:szCs w:val="22"/>
          <w:lang w:eastAsia="zh-CN"/>
        </w:rPr>
        <w:t xml:space="preserve">by more than one third for people who completed it.  </w:t>
      </w:r>
      <w:r w:rsidR="007915E9">
        <w:rPr>
          <w:rFonts w:ascii="Arial" w:hAnsi="Arial" w:cs="Arial"/>
          <w:sz w:val="22"/>
          <w:szCs w:val="22"/>
          <w:lang w:eastAsia="zh-CN"/>
        </w:rPr>
        <w:t xml:space="preserve">However, its effectiveness may be limited by unequal access and engagement across different socioeconomic and ethnic groups, potentially reducing its overall population impact.  </w:t>
      </w:r>
      <w:r w:rsidR="00E32380" w:rsidRPr="00746829">
        <w:rPr>
          <w:rFonts w:ascii="Arial" w:hAnsi="Arial" w:cs="Arial"/>
          <w:sz w:val="22"/>
          <w:szCs w:val="22"/>
          <w:lang w:eastAsia="zh-CN"/>
        </w:rPr>
        <w:t>In December 2025, NHS England also reported that nearly one million people in England had started the prevention scheme.  These figures suggest that the programme has achieved substantial reach and is one of the most visible national prevention responses currently in place</w:t>
      </w:r>
      <w:r w:rsidR="00746829" w:rsidRPr="00746829">
        <w:rPr>
          <w:rFonts w:ascii="Arial" w:hAnsi="Arial" w:cs="Arial"/>
          <w:sz w:val="22"/>
          <w:szCs w:val="22"/>
          <w:lang w:eastAsia="zh-CN"/>
        </w:rPr>
        <w:t xml:space="preserve"> </w:t>
      </w:r>
      <w:r w:rsidR="00746829" w:rsidRPr="00746829">
        <w:rPr>
          <w:rFonts w:ascii="Arial" w:hAnsi="Arial" w:cs="Arial"/>
          <w:color w:val="000000"/>
          <w:sz w:val="22"/>
          <w:szCs w:val="22"/>
        </w:rPr>
        <w:t>(NHS England, 2023)</w:t>
      </w:r>
      <w:r w:rsidR="00E32380" w:rsidRPr="00746829">
        <w:rPr>
          <w:rFonts w:ascii="Arial" w:hAnsi="Arial" w:cs="Arial"/>
          <w:sz w:val="22"/>
          <w:szCs w:val="22"/>
          <w:lang w:eastAsia="zh-CN"/>
        </w:rPr>
        <w:t>.</w:t>
      </w:r>
    </w:p>
    <w:p w14:paraId="654708C8" w14:textId="7128DDEF" w:rsidR="00E32380" w:rsidRDefault="00E32380" w:rsidP="008A3D91">
      <w:pPr>
        <w:spacing w:line="360" w:lineRule="auto"/>
        <w:jc w:val="both"/>
        <w:rPr>
          <w:rFonts w:ascii="Arial" w:hAnsi="Arial" w:cs="Arial"/>
          <w:sz w:val="22"/>
          <w:szCs w:val="22"/>
          <w:lang w:eastAsia="zh-CN"/>
        </w:rPr>
      </w:pPr>
    </w:p>
    <w:p w14:paraId="47D70EA3" w14:textId="74DCB8D6" w:rsidR="00E32380" w:rsidRPr="00317206" w:rsidRDefault="00E32380" w:rsidP="008A3D91">
      <w:pPr>
        <w:spacing w:line="360" w:lineRule="auto"/>
        <w:jc w:val="both"/>
        <w:rPr>
          <w:rFonts w:ascii="Arial" w:hAnsi="Arial" w:cs="Arial"/>
          <w:sz w:val="22"/>
          <w:szCs w:val="22"/>
        </w:rPr>
      </w:pPr>
      <w:r w:rsidRPr="00317206">
        <w:rPr>
          <w:rFonts w:ascii="Arial" w:hAnsi="Arial" w:cs="Arial"/>
          <w:sz w:val="22"/>
          <w:szCs w:val="22"/>
          <w:lang w:eastAsia="zh-CN"/>
        </w:rPr>
        <w:t>Lifestyle intervention emerged across the literature as the cornerstone of both prevention and management.  Weight reduction, healthier diet and increased physical activity are consistently associated with improved glycaemic control and lower risk of progression from pre-diabetes to T2DM</w:t>
      </w:r>
      <w:r w:rsidR="00317206" w:rsidRPr="00317206">
        <w:rPr>
          <w:rFonts w:ascii="Arial" w:hAnsi="Arial" w:cs="Arial"/>
          <w:sz w:val="22"/>
          <w:szCs w:val="22"/>
          <w:lang w:eastAsia="zh-CN"/>
        </w:rPr>
        <w:t xml:space="preserve"> </w:t>
      </w:r>
      <w:r w:rsidR="00317206" w:rsidRPr="00317206">
        <w:rPr>
          <w:rFonts w:ascii="Arial" w:hAnsi="Arial" w:cs="Arial"/>
          <w:color w:val="000000"/>
          <w:sz w:val="22"/>
          <w:szCs w:val="22"/>
        </w:rPr>
        <w:t>(Syeda et al., 2023)</w:t>
      </w:r>
      <w:r w:rsidRPr="00317206">
        <w:rPr>
          <w:rFonts w:ascii="Arial" w:hAnsi="Arial" w:cs="Arial"/>
          <w:sz w:val="22"/>
          <w:szCs w:val="22"/>
          <w:lang w:eastAsia="zh-CN"/>
        </w:rPr>
        <w:t>.  This is not just policy rhetoric; it is evidence-based.  NHS England’s type 2 Diabetes Path to Remission Programme, which is based on trials such as DiRECT, reflects growing recognition that substantial weight loss can produce remission in some adults, especially in the earlier years after diagnosis.  NHS England states that in the DiRECT trial, almost half of participants on a low-calorie diet achieved remission after one year, and 86% of those who lost 15kg or more achieved remission.</w:t>
      </w:r>
    </w:p>
    <w:p w14:paraId="4EE70A0E" w14:textId="1079AB8E" w:rsidR="00E024C5" w:rsidRPr="00E024C5" w:rsidRDefault="00E024C5" w:rsidP="008A3D91">
      <w:pPr>
        <w:spacing w:line="360" w:lineRule="auto"/>
        <w:jc w:val="both"/>
        <w:rPr>
          <w:rFonts w:ascii="Arial" w:hAnsi="Arial" w:cs="Arial"/>
          <w:b/>
          <w:bCs/>
          <w:sz w:val="28"/>
          <w:szCs w:val="28"/>
          <w:lang w:eastAsia="zh-CN"/>
        </w:rPr>
      </w:pPr>
    </w:p>
    <w:p w14:paraId="26B732B7" w14:textId="5E2868FC" w:rsidR="00E024C5" w:rsidRPr="00E024C5" w:rsidRDefault="00E024C5" w:rsidP="008A3D91">
      <w:pPr>
        <w:spacing w:line="360" w:lineRule="auto"/>
        <w:jc w:val="both"/>
        <w:rPr>
          <w:rFonts w:ascii="Arial" w:hAnsi="Arial" w:cs="Arial"/>
          <w:b/>
          <w:bCs/>
          <w:sz w:val="28"/>
          <w:szCs w:val="28"/>
          <w:lang w:eastAsia="zh-CN"/>
        </w:rPr>
      </w:pPr>
      <w:r w:rsidRPr="00E024C5">
        <w:rPr>
          <w:rFonts w:ascii="Arial" w:hAnsi="Arial" w:cs="Arial"/>
          <w:b/>
          <w:bCs/>
          <w:sz w:val="28"/>
          <w:szCs w:val="28"/>
          <w:lang w:eastAsia="zh-CN"/>
        </w:rPr>
        <w:t>Statistical Information:</w:t>
      </w:r>
    </w:p>
    <w:p w14:paraId="37009A22" w14:textId="5CBFB125" w:rsidR="00E32380" w:rsidRDefault="00E32380" w:rsidP="008A3D91">
      <w:pPr>
        <w:spacing w:line="360" w:lineRule="auto"/>
        <w:jc w:val="both"/>
        <w:rPr>
          <w:rFonts w:ascii="Arial" w:hAnsi="Arial" w:cs="Arial"/>
          <w:sz w:val="22"/>
          <w:szCs w:val="22"/>
          <w:lang w:eastAsia="zh-CN"/>
        </w:rPr>
      </w:pPr>
      <w:r>
        <w:rPr>
          <w:rFonts w:ascii="Arial" w:hAnsi="Arial" w:cs="Arial"/>
          <w:sz w:val="22"/>
          <w:szCs w:val="22"/>
          <w:lang w:eastAsia="zh-CN"/>
        </w:rPr>
        <w:t>This is a genuinely important shift in the literature because it challenges the older assumption</w:t>
      </w:r>
      <w:r w:rsidR="000D0325">
        <w:rPr>
          <w:rFonts w:ascii="Arial" w:hAnsi="Arial" w:cs="Arial"/>
          <w:sz w:val="22"/>
          <w:szCs w:val="22"/>
          <w:lang w:eastAsia="zh-CN"/>
        </w:rPr>
        <w:t xml:space="preserve"> that T2DM is always inevitably progressive.  The 2024 five-year follow-up of DiRECT further suggested that long-term remission is possible when sufficient weight loss is achieved and maintained.  However, this evidence also needs careful interpretation.  Remission programmes are promising, but they are demanding, </w:t>
      </w:r>
      <w:r w:rsidR="00DA139E">
        <w:rPr>
          <w:rFonts w:ascii="Arial" w:hAnsi="Arial" w:cs="Arial"/>
          <w:sz w:val="22"/>
          <w:szCs w:val="22"/>
          <w:lang w:eastAsia="zh-CN"/>
        </w:rPr>
        <w:t>ma</w:t>
      </w:r>
      <w:r w:rsidR="000D0325">
        <w:rPr>
          <w:rFonts w:ascii="Arial" w:hAnsi="Arial" w:cs="Arial"/>
          <w:sz w:val="22"/>
          <w:szCs w:val="22"/>
          <w:lang w:eastAsia="zh-CN"/>
        </w:rPr>
        <w:t xml:space="preserve">y not be sustainable for everyone, and can be harder to complete for people facing deprivation, unstable routines or competing </w:t>
      </w:r>
      <w:r w:rsidR="000D0325">
        <w:rPr>
          <w:rFonts w:ascii="Arial" w:hAnsi="Arial" w:cs="Arial"/>
          <w:sz w:val="22"/>
          <w:szCs w:val="22"/>
          <w:lang w:eastAsia="zh-CN"/>
        </w:rPr>
        <w:lastRenderedPageBreak/>
        <w:t xml:space="preserve">life pressures. </w:t>
      </w:r>
      <w:r w:rsidR="00AE66D7">
        <w:rPr>
          <w:rFonts w:ascii="Arial" w:hAnsi="Arial" w:cs="Arial"/>
          <w:sz w:val="22"/>
          <w:szCs w:val="22"/>
          <w:lang w:eastAsia="zh-CN"/>
        </w:rPr>
        <w:t>So,</w:t>
      </w:r>
      <w:r w:rsidR="000D0325">
        <w:rPr>
          <w:rFonts w:ascii="Arial" w:hAnsi="Arial" w:cs="Arial"/>
          <w:sz w:val="22"/>
          <w:szCs w:val="22"/>
          <w:lang w:eastAsia="zh-CN"/>
        </w:rPr>
        <w:t xml:space="preserve"> while remission evidence is exciting, it should not be oversold as a simple fix. The better critical position is that remission is possible for some patients under some conditions, not guaranteed for all. </w:t>
      </w:r>
    </w:p>
    <w:p w14:paraId="0023ED43" w14:textId="7D51C308" w:rsidR="005C41EF" w:rsidRDefault="005C41EF" w:rsidP="008A3D91">
      <w:pPr>
        <w:spacing w:line="360" w:lineRule="auto"/>
        <w:jc w:val="both"/>
        <w:rPr>
          <w:rFonts w:ascii="Arial" w:hAnsi="Arial" w:cs="Arial"/>
          <w:sz w:val="22"/>
          <w:szCs w:val="22"/>
          <w:lang w:eastAsia="zh-CN"/>
        </w:rPr>
      </w:pPr>
    </w:p>
    <w:p w14:paraId="44B403BE" w14:textId="61AC9547" w:rsidR="005C41EF" w:rsidRPr="005C41EF" w:rsidRDefault="005C41EF" w:rsidP="008A3D91">
      <w:pPr>
        <w:spacing w:line="360" w:lineRule="auto"/>
        <w:jc w:val="both"/>
        <w:rPr>
          <w:rFonts w:ascii="Arial" w:hAnsi="Arial" w:cs="Arial"/>
          <w:b/>
          <w:bCs/>
          <w:sz w:val="28"/>
          <w:szCs w:val="28"/>
          <w:lang w:eastAsia="zh-CN"/>
        </w:rPr>
      </w:pPr>
      <w:r w:rsidRPr="005C41EF">
        <w:rPr>
          <w:rFonts w:ascii="Arial" w:hAnsi="Arial" w:cs="Arial"/>
          <w:b/>
          <w:bCs/>
          <w:sz w:val="28"/>
          <w:szCs w:val="28"/>
          <w:lang w:eastAsia="zh-CN"/>
        </w:rPr>
        <w:t>Theories, Policies and Legislation</w:t>
      </w:r>
      <w:r>
        <w:rPr>
          <w:rFonts w:ascii="Arial" w:hAnsi="Arial" w:cs="Arial"/>
          <w:b/>
          <w:bCs/>
          <w:sz w:val="28"/>
          <w:szCs w:val="28"/>
          <w:lang w:eastAsia="zh-CN"/>
        </w:rPr>
        <w:t>:</w:t>
      </w:r>
    </w:p>
    <w:p w14:paraId="205A4486" w14:textId="48CD9B59" w:rsidR="00990523" w:rsidRDefault="009D738E" w:rsidP="008A3D91">
      <w:pPr>
        <w:spacing w:line="360" w:lineRule="auto"/>
        <w:jc w:val="both"/>
        <w:rPr>
          <w:rFonts w:ascii="Arial" w:hAnsi="Arial" w:cs="Arial"/>
          <w:sz w:val="22"/>
          <w:szCs w:val="22"/>
          <w:lang w:eastAsia="zh-CN"/>
        </w:rPr>
      </w:pPr>
      <w:r>
        <w:rPr>
          <w:rFonts w:ascii="Arial" w:hAnsi="Arial" w:cs="Arial"/>
          <w:sz w:val="22"/>
          <w:szCs w:val="22"/>
          <w:lang w:eastAsia="zh-CN"/>
        </w:rPr>
        <w:t>Pharmacological management remains another essential component.  NICE guidance continues to support structured medicine pathways, including first</w:t>
      </w:r>
      <w:r w:rsidR="00D26C76">
        <w:rPr>
          <w:rFonts w:ascii="Arial" w:hAnsi="Arial" w:cs="Arial"/>
          <w:sz w:val="22"/>
          <w:szCs w:val="22"/>
          <w:lang w:eastAsia="zh-CN"/>
        </w:rPr>
        <w:t xml:space="preserve"> </w:t>
      </w:r>
      <w:r>
        <w:rPr>
          <w:rFonts w:ascii="Arial" w:hAnsi="Arial" w:cs="Arial"/>
          <w:sz w:val="22"/>
          <w:szCs w:val="22"/>
          <w:lang w:eastAsia="zh-CN"/>
        </w:rPr>
        <w:t>line and further-line treatments, with emphasis on reviewing benefits, harms, adverse effects and patient preferences through shared decision-making.  The updated NICE visual summary specifically emphasises optimising treatment regimens and making decisions with the person rather than simply for them.  This person</w:t>
      </w:r>
      <w:r w:rsidR="00990523">
        <w:rPr>
          <w:rFonts w:ascii="Arial" w:hAnsi="Arial" w:cs="Arial"/>
          <w:sz w:val="22"/>
          <w:szCs w:val="22"/>
          <w:lang w:eastAsia="zh-CN"/>
        </w:rPr>
        <w:t>-</w:t>
      </w:r>
      <w:r>
        <w:rPr>
          <w:rFonts w:ascii="Arial" w:hAnsi="Arial" w:cs="Arial"/>
          <w:sz w:val="22"/>
          <w:szCs w:val="22"/>
          <w:lang w:eastAsia="zh-CN"/>
        </w:rPr>
        <w:t>centred approach matters because T2DM management is heavily dependent on everyday self-management outside the clinic</w:t>
      </w:r>
      <w:r w:rsidR="009A21F1">
        <w:rPr>
          <w:rFonts w:ascii="Arial" w:hAnsi="Arial" w:cs="Arial"/>
          <w:sz w:val="22"/>
          <w:szCs w:val="22"/>
          <w:lang w:eastAsia="zh-CN"/>
        </w:rPr>
        <w:t>, including medication adherence, diet, physical activity and follow-up attendance</w:t>
      </w:r>
      <w:r w:rsidR="00990523">
        <w:rPr>
          <w:rFonts w:ascii="Arial" w:hAnsi="Arial" w:cs="Arial"/>
          <w:sz w:val="22"/>
          <w:szCs w:val="22"/>
          <w:lang w:eastAsia="zh-CN"/>
        </w:rPr>
        <w:t>.</w:t>
      </w:r>
    </w:p>
    <w:p w14:paraId="61ED3665" w14:textId="644CA804" w:rsidR="00990523" w:rsidRDefault="00990523" w:rsidP="008A3D91">
      <w:pPr>
        <w:spacing w:line="360" w:lineRule="auto"/>
        <w:jc w:val="both"/>
        <w:rPr>
          <w:rFonts w:ascii="Arial" w:hAnsi="Arial" w:cs="Arial"/>
          <w:sz w:val="22"/>
          <w:szCs w:val="22"/>
          <w:lang w:eastAsia="zh-CN"/>
        </w:rPr>
      </w:pPr>
    </w:p>
    <w:p w14:paraId="6BD68DCC" w14:textId="330149C0" w:rsidR="00990523" w:rsidRPr="00F60A5D" w:rsidRDefault="00990523" w:rsidP="008A3D91">
      <w:pPr>
        <w:spacing w:line="360" w:lineRule="auto"/>
        <w:jc w:val="both"/>
        <w:rPr>
          <w:rFonts w:ascii="Arial" w:hAnsi="Arial" w:cs="Arial"/>
          <w:sz w:val="22"/>
          <w:szCs w:val="22"/>
        </w:rPr>
      </w:pPr>
      <w:r w:rsidRPr="00F60A5D">
        <w:rPr>
          <w:rFonts w:ascii="Arial" w:hAnsi="Arial" w:cs="Arial"/>
          <w:sz w:val="22"/>
          <w:szCs w:val="22"/>
          <w:lang w:eastAsia="zh-CN"/>
        </w:rPr>
        <w:t>This is where self-management theory becomes especially relevant.  T2DM is one of those conditions where the bulk of care happens at home, not in hospital.  A patient may receive clinically sound advice, but outcomes still depend on whether that advice is practical, affordable and sustainable</w:t>
      </w:r>
      <w:r w:rsidR="0072240C" w:rsidRPr="00F60A5D">
        <w:rPr>
          <w:rFonts w:ascii="Arial" w:hAnsi="Arial" w:cs="Arial"/>
          <w:sz w:val="22"/>
          <w:szCs w:val="22"/>
          <w:lang w:eastAsia="zh-CN"/>
        </w:rPr>
        <w:t xml:space="preserve"> </w:t>
      </w:r>
      <w:r w:rsidR="0072240C" w:rsidRPr="00F60A5D">
        <w:rPr>
          <w:rFonts w:ascii="Arial" w:hAnsi="Arial" w:cs="Arial"/>
          <w:color w:val="000000"/>
          <w:sz w:val="22"/>
          <w:szCs w:val="22"/>
        </w:rPr>
        <w:t>(Lee et al., 2025)</w:t>
      </w:r>
      <w:r w:rsidRPr="00F60A5D">
        <w:rPr>
          <w:rFonts w:ascii="Arial" w:hAnsi="Arial" w:cs="Arial"/>
          <w:sz w:val="22"/>
          <w:szCs w:val="22"/>
          <w:lang w:eastAsia="zh-CN"/>
        </w:rPr>
        <w:t>.  Recent literature on self-management barriers shows that people experiencing socioeconomic deprivation face particular difficulties related to finances, healthy food costs and service accessibility</w:t>
      </w:r>
      <w:r w:rsidR="0072240C" w:rsidRPr="00F60A5D">
        <w:rPr>
          <w:rFonts w:ascii="Arial" w:hAnsi="Arial" w:cs="Arial"/>
          <w:sz w:val="22"/>
          <w:szCs w:val="22"/>
          <w:lang w:eastAsia="zh-CN"/>
        </w:rPr>
        <w:t xml:space="preserve"> </w:t>
      </w:r>
      <w:r w:rsidR="0072240C" w:rsidRPr="00F60A5D">
        <w:rPr>
          <w:rFonts w:ascii="Arial" w:hAnsi="Arial" w:cs="Arial"/>
          <w:color w:val="000000"/>
          <w:sz w:val="22"/>
          <w:szCs w:val="22"/>
        </w:rPr>
        <w:t>(Woodward et al., 2024)</w:t>
      </w:r>
      <w:r w:rsidRPr="00F60A5D">
        <w:rPr>
          <w:rFonts w:ascii="Arial" w:hAnsi="Arial" w:cs="Arial"/>
          <w:sz w:val="22"/>
          <w:szCs w:val="22"/>
          <w:lang w:eastAsia="zh-CN"/>
        </w:rPr>
        <w:t>.  That matters because it means treatment success is not determined solely by clinical quality; it is also shaped by whether patients are supported to implement recommendations in real life.  This brings the discussion back to the wider inequality issues raised in Theme 2.</w:t>
      </w:r>
    </w:p>
    <w:p w14:paraId="52B4BDBB" w14:textId="7ADF99A1" w:rsidR="00990523" w:rsidRDefault="00990523" w:rsidP="008A3D91">
      <w:pPr>
        <w:spacing w:line="360" w:lineRule="auto"/>
        <w:jc w:val="both"/>
        <w:rPr>
          <w:rFonts w:ascii="Arial" w:hAnsi="Arial" w:cs="Arial"/>
          <w:sz w:val="22"/>
          <w:szCs w:val="22"/>
          <w:lang w:eastAsia="zh-CN"/>
        </w:rPr>
      </w:pPr>
    </w:p>
    <w:p w14:paraId="6F15A880" w14:textId="46BE07E7" w:rsidR="00990523" w:rsidRPr="00F76310" w:rsidRDefault="00990523" w:rsidP="008A3D91">
      <w:pPr>
        <w:spacing w:line="360" w:lineRule="auto"/>
        <w:jc w:val="both"/>
        <w:rPr>
          <w:rFonts w:ascii="Arial" w:hAnsi="Arial" w:cs="Arial"/>
          <w:sz w:val="22"/>
          <w:szCs w:val="22"/>
        </w:rPr>
      </w:pPr>
      <w:r w:rsidRPr="00F76310">
        <w:rPr>
          <w:rFonts w:ascii="Arial" w:hAnsi="Arial" w:cs="Arial"/>
          <w:sz w:val="22"/>
          <w:szCs w:val="22"/>
          <w:lang w:eastAsia="zh-CN"/>
        </w:rPr>
        <w:t>Early identification is another major part of prevention</w:t>
      </w:r>
      <w:r w:rsidR="00733719" w:rsidRPr="00F76310">
        <w:rPr>
          <w:rFonts w:ascii="Arial" w:hAnsi="Arial" w:cs="Arial"/>
          <w:sz w:val="22"/>
          <w:szCs w:val="22"/>
          <w:lang w:eastAsia="zh-CN"/>
        </w:rPr>
        <w:t>.  ONS analysis published in 2024 estimated that 7% of adults in England showed evidence of type 2 diabetes and that around 30% of those cases were undiagnosed, equating to roughly one million adults</w:t>
      </w:r>
      <w:r w:rsidR="00A03190" w:rsidRPr="00F76310">
        <w:rPr>
          <w:rFonts w:ascii="Arial" w:hAnsi="Arial" w:cs="Arial"/>
          <w:sz w:val="22"/>
          <w:szCs w:val="22"/>
          <w:lang w:eastAsia="zh-CN"/>
        </w:rPr>
        <w:t xml:space="preserve"> </w:t>
      </w:r>
      <w:r w:rsidR="00A03190" w:rsidRPr="00F76310">
        <w:rPr>
          <w:rFonts w:ascii="Arial" w:hAnsi="Arial" w:cs="Arial"/>
          <w:color w:val="000000"/>
          <w:sz w:val="22"/>
          <w:szCs w:val="22"/>
        </w:rPr>
        <w:t>(Diabetes UK, 2024)</w:t>
      </w:r>
      <w:r w:rsidR="00733719" w:rsidRPr="00F76310">
        <w:rPr>
          <w:rFonts w:ascii="Arial" w:hAnsi="Arial" w:cs="Arial"/>
          <w:sz w:val="22"/>
          <w:szCs w:val="22"/>
          <w:lang w:eastAsia="zh-CN"/>
        </w:rPr>
        <w:t xml:space="preserve">.  Younger adults with type 2 diabetes were more likely to be undiagnosed than older adults.  This is a serious finding, because prevention pathways only work if at risk individuals are actually identified and engaged before significant metabolic damage accumulates.  It also </w:t>
      </w:r>
      <w:r w:rsidR="00DC0130">
        <w:rPr>
          <w:rFonts w:ascii="Arial" w:hAnsi="Arial" w:cs="Arial"/>
          <w:sz w:val="22"/>
          <w:szCs w:val="22"/>
          <w:lang w:eastAsia="zh-CN"/>
        </w:rPr>
        <w:t>highlights</w:t>
      </w:r>
      <w:r w:rsidR="00733719" w:rsidRPr="00F76310">
        <w:rPr>
          <w:rFonts w:ascii="Arial" w:hAnsi="Arial" w:cs="Arial"/>
          <w:sz w:val="22"/>
          <w:szCs w:val="22"/>
          <w:lang w:eastAsia="zh-CN"/>
        </w:rPr>
        <w:t xml:space="preserve"> that better case finding may be especially important in younger and more deprived populations where risk is more likely to go unnoticed.</w:t>
      </w:r>
    </w:p>
    <w:p w14:paraId="6DCBC039" w14:textId="77777777" w:rsidR="000510A8" w:rsidRPr="00E52633" w:rsidRDefault="000510A8" w:rsidP="008A3D91">
      <w:pPr>
        <w:spacing w:line="360" w:lineRule="auto"/>
        <w:jc w:val="both"/>
        <w:rPr>
          <w:rFonts w:ascii="Arial" w:hAnsi="Arial" w:cs="Arial"/>
          <w:sz w:val="28"/>
          <w:szCs w:val="28"/>
          <w:lang w:eastAsia="zh-CN"/>
        </w:rPr>
      </w:pPr>
    </w:p>
    <w:p w14:paraId="35DA646F" w14:textId="54CF94C0" w:rsidR="001C34F5" w:rsidRPr="00E52633" w:rsidRDefault="001C34F5" w:rsidP="008A3D91">
      <w:pPr>
        <w:pStyle w:val="Heading4"/>
        <w:rPr>
          <w:rFonts w:ascii="Arial" w:hAnsi="Arial" w:cs="Arial"/>
          <w:b/>
          <w:bCs/>
          <w:i w:val="0"/>
          <w:iCs w:val="0"/>
          <w:color w:val="000000" w:themeColor="text1"/>
          <w:sz w:val="28"/>
          <w:szCs w:val="28"/>
        </w:rPr>
      </w:pPr>
      <w:r w:rsidRPr="00E52633">
        <w:rPr>
          <w:rFonts w:ascii="Arial" w:hAnsi="Arial" w:cs="Arial"/>
          <w:b/>
          <w:bCs/>
          <w:i w:val="0"/>
          <w:iCs w:val="0"/>
          <w:color w:val="000000" w:themeColor="text1"/>
          <w:sz w:val="28"/>
          <w:szCs w:val="28"/>
        </w:rPr>
        <w:t>Examples from Articles</w:t>
      </w:r>
      <w:r w:rsidR="00733719" w:rsidRPr="00E52633">
        <w:rPr>
          <w:rFonts w:ascii="Arial" w:hAnsi="Arial" w:cs="Arial"/>
          <w:b/>
          <w:bCs/>
          <w:i w:val="0"/>
          <w:iCs w:val="0"/>
          <w:color w:val="000000" w:themeColor="text1"/>
          <w:sz w:val="28"/>
          <w:szCs w:val="28"/>
        </w:rPr>
        <w:t>:</w:t>
      </w:r>
    </w:p>
    <w:p w14:paraId="52418DB8" w14:textId="06EAD660" w:rsidR="00733719" w:rsidRDefault="00733719" w:rsidP="008A3D91">
      <w:pPr>
        <w:spacing w:line="360" w:lineRule="auto"/>
        <w:jc w:val="both"/>
        <w:rPr>
          <w:rFonts w:ascii="Arial" w:hAnsi="Arial" w:cs="Arial"/>
          <w:sz w:val="22"/>
          <w:szCs w:val="22"/>
          <w:lang w:eastAsia="zh-CN"/>
        </w:rPr>
      </w:pPr>
      <w:r>
        <w:rPr>
          <w:rFonts w:ascii="Arial" w:hAnsi="Arial" w:cs="Arial"/>
          <w:sz w:val="22"/>
          <w:szCs w:val="22"/>
          <w:lang w:eastAsia="zh-CN"/>
        </w:rPr>
        <w:t xml:space="preserve">Examples from the reviewed studies support both optimism and caution.  Intervention oriented evidence broadly agrees that structured lifestyle support can reduce incidence and improve </w:t>
      </w:r>
      <w:r>
        <w:rPr>
          <w:rFonts w:ascii="Arial" w:hAnsi="Arial" w:cs="Arial"/>
          <w:sz w:val="22"/>
          <w:szCs w:val="22"/>
          <w:lang w:eastAsia="zh-CN"/>
        </w:rPr>
        <w:lastRenderedPageBreak/>
        <w:t>metabolic outcomes.  Remission focused evidence suggests that for selected patients, substantial weight loss can even reverse disease mark</w:t>
      </w:r>
      <w:r w:rsidR="00CA380C">
        <w:rPr>
          <w:rFonts w:ascii="Arial" w:hAnsi="Arial" w:cs="Arial"/>
          <w:sz w:val="22"/>
          <w:szCs w:val="22"/>
          <w:lang w:eastAsia="zh-CN"/>
        </w:rPr>
        <w:t>ers for meaningful periods.  Yet qualitative and inequality focused work shows that uptake and adherence are not evenly distributed, particularly in some minority ethnic communities and socioeconomically deprived groups.  These differing findings do not contradict each other; they show that interventions can be effective while still being inequitably experienced.  That distinction is key for answering the research question properly.</w:t>
      </w:r>
    </w:p>
    <w:p w14:paraId="7A2EE7E7" w14:textId="7483909C" w:rsidR="000510A8" w:rsidRDefault="000510A8" w:rsidP="008A3D91">
      <w:pPr>
        <w:spacing w:line="360" w:lineRule="auto"/>
        <w:jc w:val="both"/>
        <w:rPr>
          <w:rFonts w:ascii="Arial" w:hAnsi="Arial" w:cs="Arial"/>
          <w:sz w:val="22"/>
          <w:szCs w:val="22"/>
          <w:lang w:eastAsia="zh-CN"/>
        </w:rPr>
      </w:pPr>
    </w:p>
    <w:p w14:paraId="69FC5639" w14:textId="77777777" w:rsidR="000510A8" w:rsidRPr="00E52633" w:rsidRDefault="000510A8" w:rsidP="008A3D91">
      <w:pPr>
        <w:pStyle w:val="Heading4"/>
        <w:rPr>
          <w:rFonts w:ascii="Arial" w:hAnsi="Arial" w:cs="Arial"/>
          <w:b/>
          <w:bCs/>
          <w:i w:val="0"/>
          <w:iCs w:val="0"/>
          <w:color w:val="000000" w:themeColor="text1"/>
          <w:sz w:val="28"/>
          <w:szCs w:val="28"/>
        </w:rPr>
      </w:pPr>
      <w:r w:rsidRPr="00E52633">
        <w:rPr>
          <w:rFonts w:ascii="Arial" w:hAnsi="Arial" w:cs="Arial"/>
          <w:b/>
          <w:bCs/>
          <w:i w:val="0"/>
          <w:iCs w:val="0"/>
          <w:color w:val="000000" w:themeColor="text1"/>
          <w:sz w:val="28"/>
          <w:szCs w:val="28"/>
        </w:rPr>
        <w:t>Implications:</w:t>
      </w:r>
    </w:p>
    <w:p w14:paraId="72F242AF" w14:textId="2074B1A3" w:rsidR="006D393E" w:rsidRPr="006D393E" w:rsidRDefault="000510A8" w:rsidP="008A3D91">
      <w:pPr>
        <w:spacing w:line="360" w:lineRule="auto"/>
        <w:jc w:val="both"/>
        <w:rPr>
          <w:rFonts w:ascii="Arial" w:hAnsi="Arial" w:cs="Arial"/>
          <w:sz w:val="22"/>
          <w:szCs w:val="22"/>
          <w:lang w:eastAsia="zh-CN"/>
        </w:rPr>
      </w:pPr>
      <w:r>
        <w:rPr>
          <w:rFonts w:ascii="Arial" w:hAnsi="Arial" w:cs="Arial"/>
          <w:sz w:val="22"/>
          <w:szCs w:val="22"/>
          <w:lang w:eastAsia="zh-CN"/>
        </w:rPr>
        <w:t xml:space="preserve">The implications of this theme are therefore complex.  Positively, the UK has credible national frameworks for diabetes prevention, management and remission support.  Negatively, structural barriers still limit who benefits most from them.  A scheme can be evidence based and still fail to reach the people with the highest need.  That is probably one of the strongest conclusions from the literature: the issue is not the total absence of management strategies, but the uneven translation of those strategies into equitable long-term outcomes.  This theme links directly back to Theme 1, because rising prevalence sustains pressure on management services, and to Theme 2, because </w:t>
      </w:r>
      <w:r w:rsidR="006962D5">
        <w:rPr>
          <w:rFonts w:ascii="Arial" w:hAnsi="Arial" w:cs="Arial"/>
          <w:sz w:val="22"/>
          <w:szCs w:val="22"/>
          <w:lang w:eastAsia="zh-CN"/>
        </w:rPr>
        <w:t>prevention will always be constrained when the environments generating risk remain unchanged.</w:t>
      </w:r>
    </w:p>
    <w:p w14:paraId="164BB7D0" w14:textId="30741F6B" w:rsidR="001C34F5" w:rsidRPr="006D393E" w:rsidRDefault="001C34F5" w:rsidP="008A3D91">
      <w:pPr>
        <w:pStyle w:val="Heading2"/>
        <w:jc w:val="both"/>
        <w:rPr>
          <w:rFonts w:ascii="Arial" w:hAnsi="Arial" w:cs="Arial"/>
          <w:b/>
          <w:bCs/>
          <w:color w:val="000000" w:themeColor="text1"/>
          <w:sz w:val="22"/>
          <w:szCs w:val="22"/>
        </w:rPr>
      </w:pPr>
    </w:p>
    <w:tbl>
      <w:tblPr>
        <w:tblStyle w:val="TableGrid"/>
        <w:tblW w:w="0" w:type="auto"/>
        <w:tblLook w:val="04A0" w:firstRow="1" w:lastRow="0" w:firstColumn="1" w:lastColumn="0" w:noHBand="0" w:noVBand="1"/>
      </w:tblPr>
      <w:tblGrid>
        <w:gridCol w:w="3005"/>
        <w:gridCol w:w="3005"/>
        <w:gridCol w:w="3006"/>
      </w:tblGrid>
      <w:tr w:rsidR="001E3398" w14:paraId="3927361D" w14:textId="77777777" w:rsidTr="001E3398">
        <w:tc>
          <w:tcPr>
            <w:tcW w:w="3005" w:type="dxa"/>
          </w:tcPr>
          <w:p w14:paraId="0E893BCE" w14:textId="4770D116" w:rsidR="001E3398" w:rsidRPr="003F0316" w:rsidRDefault="001E3398" w:rsidP="001C34F5">
            <w:pPr>
              <w:pStyle w:val="Heading2"/>
              <w:rPr>
                <w:rFonts w:ascii="Arial" w:hAnsi="Arial" w:cs="Arial"/>
                <w:b/>
                <w:bCs/>
                <w:color w:val="000000" w:themeColor="text1"/>
                <w:sz w:val="22"/>
                <w:szCs w:val="22"/>
              </w:rPr>
            </w:pPr>
            <w:r w:rsidRPr="003F0316">
              <w:rPr>
                <w:rFonts w:ascii="Arial" w:hAnsi="Arial" w:cs="Arial"/>
                <w:b/>
                <w:bCs/>
                <w:color w:val="000000" w:themeColor="text1"/>
                <w:sz w:val="22"/>
                <w:szCs w:val="22"/>
              </w:rPr>
              <w:t>Theme 1</w:t>
            </w:r>
          </w:p>
        </w:tc>
        <w:tc>
          <w:tcPr>
            <w:tcW w:w="3005" w:type="dxa"/>
          </w:tcPr>
          <w:p w14:paraId="41C809EE" w14:textId="40D88B9E" w:rsidR="001E3398" w:rsidRPr="003F0316" w:rsidRDefault="001E3398" w:rsidP="001C34F5">
            <w:pPr>
              <w:pStyle w:val="Heading2"/>
              <w:rPr>
                <w:rFonts w:ascii="Arial" w:hAnsi="Arial" w:cs="Arial"/>
                <w:b/>
                <w:bCs/>
                <w:color w:val="000000" w:themeColor="text1"/>
                <w:sz w:val="22"/>
                <w:szCs w:val="22"/>
              </w:rPr>
            </w:pPr>
            <w:r w:rsidRPr="003F0316">
              <w:rPr>
                <w:rFonts w:ascii="Arial" w:hAnsi="Arial" w:cs="Arial"/>
                <w:b/>
                <w:bCs/>
                <w:color w:val="000000" w:themeColor="text1"/>
                <w:sz w:val="22"/>
                <w:szCs w:val="22"/>
              </w:rPr>
              <w:t>Theme 2</w:t>
            </w:r>
          </w:p>
        </w:tc>
        <w:tc>
          <w:tcPr>
            <w:tcW w:w="3006" w:type="dxa"/>
          </w:tcPr>
          <w:p w14:paraId="3231BCDD" w14:textId="6137B3AF" w:rsidR="001E3398" w:rsidRPr="003F0316" w:rsidRDefault="001E3398" w:rsidP="001C34F5">
            <w:pPr>
              <w:pStyle w:val="Heading2"/>
              <w:rPr>
                <w:rFonts w:ascii="Arial" w:hAnsi="Arial" w:cs="Arial"/>
                <w:b/>
                <w:bCs/>
                <w:color w:val="000000" w:themeColor="text1"/>
                <w:sz w:val="22"/>
                <w:szCs w:val="22"/>
              </w:rPr>
            </w:pPr>
            <w:r w:rsidRPr="003F0316">
              <w:rPr>
                <w:rFonts w:ascii="Arial" w:hAnsi="Arial" w:cs="Arial"/>
                <w:b/>
                <w:bCs/>
                <w:color w:val="000000" w:themeColor="text1"/>
                <w:sz w:val="22"/>
                <w:szCs w:val="22"/>
              </w:rPr>
              <w:t>Theme 3</w:t>
            </w:r>
          </w:p>
        </w:tc>
      </w:tr>
      <w:tr w:rsidR="001E3398" w14:paraId="524E7AD2" w14:textId="77777777" w:rsidTr="001E3398">
        <w:tc>
          <w:tcPr>
            <w:tcW w:w="3005" w:type="dxa"/>
          </w:tcPr>
          <w:p w14:paraId="49C05B1D" w14:textId="77777777" w:rsidR="001E3398" w:rsidRPr="003F0316" w:rsidRDefault="001E3398" w:rsidP="001E3398">
            <w:pPr>
              <w:pStyle w:val="Heading2"/>
              <w:rPr>
                <w:rFonts w:ascii="Arial" w:hAnsi="Arial" w:cs="Arial"/>
                <w:b/>
                <w:bCs/>
                <w:color w:val="000000" w:themeColor="text1"/>
                <w:sz w:val="22"/>
                <w:szCs w:val="22"/>
              </w:rPr>
            </w:pPr>
            <w:r w:rsidRPr="003F0316">
              <w:rPr>
                <w:rFonts w:ascii="Arial" w:hAnsi="Arial" w:cs="Arial"/>
                <w:b/>
                <w:bCs/>
                <w:color w:val="000000" w:themeColor="text1"/>
                <w:sz w:val="22"/>
                <w:szCs w:val="22"/>
              </w:rPr>
              <w:t>Rising Prevalence of Type 2 Diabetes in UK Adults</w:t>
            </w:r>
          </w:p>
          <w:p w14:paraId="3053C97B" w14:textId="77777777" w:rsidR="001E3398" w:rsidRPr="003F0316" w:rsidRDefault="001E3398" w:rsidP="001C34F5">
            <w:pPr>
              <w:pStyle w:val="Heading2"/>
              <w:rPr>
                <w:rFonts w:ascii="Arial" w:hAnsi="Arial" w:cs="Arial"/>
                <w:b/>
                <w:bCs/>
                <w:color w:val="000000" w:themeColor="text1"/>
                <w:sz w:val="22"/>
                <w:szCs w:val="22"/>
              </w:rPr>
            </w:pPr>
          </w:p>
        </w:tc>
        <w:tc>
          <w:tcPr>
            <w:tcW w:w="3005" w:type="dxa"/>
          </w:tcPr>
          <w:p w14:paraId="19655073" w14:textId="4F3BE331" w:rsidR="001E3398" w:rsidRPr="003F0316" w:rsidRDefault="001E3398" w:rsidP="001C34F5">
            <w:pPr>
              <w:pStyle w:val="Heading2"/>
              <w:rPr>
                <w:rFonts w:ascii="Arial" w:hAnsi="Arial" w:cs="Arial"/>
                <w:b/>
                <w:bCs/>
                <w:color w:val="000000" w:themeColor="text1"/>
                <w:sz w:val="22"/>
                <w:szCs w:val="22"/>
              </w:rPr>
            </w:pPr>
            <w:r w:rsidRPr="003F0316">
              <w:rPr>
                <w:rFonts w:ascii="Arial" w:hAnsi="Arial" w:cs="Arial"/>
                <w:b/>
                <w:bCs/>
                <w:color w:val="000000" w:themeColor="text1"/>
                <w:sz w:val="22"/>
                <w:szCs w:val="22"/>
              </w:rPr>
              <w:t>Lifestyle and Socioeconomic Risk Factors</w:t>
            </w:r>
          </w:p>
        </w:tc>
        <w:tc>
          <w:tcPr>
            <w:tcW w:w="3006" w:type="dxa"/>
          </w:tcPr>
          <w:p w14:paraId="5ECBFA4E" w14:textId="528F19EC" w:rsidR="001E3398" w:rsidRPr="003F0316" w:rsidRDefault="001E3398" w:rsidP="001C34F5">
            <w:pPr>
              <w:pStyle w:val="Heading2"/>
              <w:rPr>
                <w:rFonts w:ascii="Arial" w:hAnsi="Arial" w:cs="Arial"/>
                <w:b/>
                <w:bCs/>
                <w:color w:val="000000" w:themeColor="text1"/>
                <w:sz w:val="22"/>
                <w:szCs w:val="22"/>
              </w:rPr>
            </w:pPr>
            <w:r w:rsidRPr="003F0316">
              <w:rPr>
                <w:rFonts w:ascii="Arial" w:hAnsi="Arial" w:cs="Arial"/>
                <w:b/>
                <w:bCs/>
                <w:color w:val="000000" w:themeColor="text1"/>
                <w:sz w:val="22"/>
                <w:szCs w:val="22"/>
              </w:rPr>
              <w:t>Management and Prevention Strategies</w:t>
            </w:r>
          </w:p>
        </w:tc>
      </w:tr>
      <w:tr w:rsidR="001E3398" w14:paraId="447BC05B" w14:textId="77777777" w:rsidTr="001E3398">
        <w:tc>
          <w:tcPr>
            <w:tcW w:w="3005" w:type="dxa"/>
          </w:tcPr>
          <w:p w14:paraId="432868A4" w14:textId="77777777" w:rsidR="001E3398" w:rsidRPr="003F0316" w:rsidRDefault="001E3398" w:rsidP="001C34F5">
            <w:pPr>
              <w:pStyle w:val="Heading2"/>
              <w:rPr>
                <w:rFonts w:ascii="Arial" w:hAnsi="Arial" w:cs="Arial"/>
                <w:b/>
                <w:bCs/>
                <w:color w:val="000000" w:themeColor="text1"/>
                <w:sz w:val="22"/>
                <w:szCs w:val="22"/>
              </w:rPr>
            </w:pPr>
            <w:r w:rsidRPr="003F0316">
              <w:rPr>
                <w:rFonts w:ascii="Arial" w:hAnsi="Arial" w:cs="Arial"/>
                <w:b/>
                <w:bCs/>
                <w:color w:val="000000" w:themeColor="text1"/>
                <w:sz w:val="22"/>
                <w:szCs w:val="22"/>
              </w:rPr>
              <w:t>Author(s)</w:t>
            </w:r>
          </w:p>
          <w:p w14:paraId="27CAA721" w14:textId="151DAA67" w:rsidR="00F16CC3" w:rsidRPr="003F0316" w:rsidRDefault="00F16CC3" w:rsidP="00F16CC3">
            <w:pPr>
              <w:rPr>
                <w:sz w:val="22"/>
                <w:szCs w:val="22"/>
              </w:rPr>
            </w:pPr>
            <w:r w:rsidRPr="003F0316">
              <w:rPr>
                <w:rFonts w:ascii="Arial" w:hAnsi="Arial" w:cs="Arial"/>
                <w:color w:val="000000"/>
                <w:sz w:val="22"/>
                <w:szCs w:val="22"/>
              </w:rPr>
              <w:t>Gieroba et al (2025)</w:t>
            </w:r>
          </w:p>
        </w:tc>
        <w:tc>
          <w:tcPr>
            <w:tcW w:w="3005" w:type="dxa"/>
          </w:tcPr>
          <w:p w14:paraId="2DF9999D" w14:textId="77777777" w:rsidR="001E3398" w:rsidRDefault="001E3398" w:rsidP="001C34F5">
            <w:pPr>
              <w:pStyle w:val="Heading2"/>
              <w:rPr>
                <w:rFonts w:ascii="Arial" w:hAnsi="Arial" w:cs="Arial"/>
                <w:b/>
                <w:bCs/>
                <w:color w:val="000000" w:themeColor="text1"/>
                <w:sz w:val="22"/>
                <w:szCs w:val="22"/>
              </w:rPr>
            </w:pPr>
            <w:r w:rsidRPr="003F0316">
              <w:rPr>
                <w:rFonts w:ascii="Arial" w:hAnsi="Arial" w:cs="Arial"/>
                <w:b/>
                <w:bCs/>
                <w:color w:val="000000" w:themeColor="text1"/>
                <w:sz w:val="22"/>
                <w:szCs w:val="22"/>
              </w:rPr>
              <w:t>Author(s)</w:t>
            </w:r>
          </w:p>
          <w:p w14:paraId="247A527D" w14:textId="6E8D5965" w:rsidR="002C0EAB" w:rsidRPr="002C0EAB" w:rsidRDefault="002C0EAB" w:rsidP="002C0EAB">
            <w:pPr>
              <w:rPr>
                <w:rFonts w:ascii="Arial" w:hAnsi="Arial" w:cs="Arial"/>
                <w:sz w:val="22"/>
                <w:szCs w:val="22"/>
                <w:lang w:eastAsia="en-US"/>
              </w:rPr>
            </w:pPr>
            <w:r>
              <w:rPr>
                <w:rFonts w:ascii="Arial" w:hAnsi="Arial" w:cs="Arial"/>
                <w:sz w:val="22"/>
                <w:szCs w:val="22"/>
                <w:lang w:eastAsia="en-US"/>
              </w:rPr>
              <w:t>Kyrou et al. (2020)</w:t>
            </w:r>
          </w:p>
        </w:tc>
        <w:tc>
          <w:tcPr>
            <w:tcW w:w="3006" w:type="dxa"/>
          </w:tcPr>
          <w:p w14:paraId="7F25CD4B" w14:textId="77777777" w:rsidR="001E3398" w:rsidRPr="003F0316" w:rsidRDefault="001E3398" w:rsidP="001C34F5">
            <w:pPr>
              <w:pStyle w:val="Heading2"/>
              <w:rPr>
                <w:rFonts w:ascii="Arial" w:hAnsi="Arial" w:cs="Arial"/>
                <w:b/>
                <w:bCs/>
                <w:color w:val="000000" w:themeColor="text1"/>
                <w:sz w:val="22"/>
                <w:szCs w:val="22"/>
              </w:rPr>
            </w:pPr>
            <w:r w:rsidRPr="003F0316">
              <w:rPr>
                <w:rFonts w:ascii="Arial" w:hAnsi="Arial" w:cs="Arial"/>
                <w:b/>
                <w:bCs/>
                <w:color w:val="000000" w:themeColor="text1"/>
                <w:sz w:val="22"/>
                <w:szCs w:val="22"/>
              </w:rPr>
              <w:t>Author(s)</w:t>
            </w:r>
          </w:p>
          <w:p w14:paraId="3D9C391B" w14:textId="4909107F" w:rsidR="001E3398" w:rsidRPr="00253682" w:rsidRDefault="00253682" w:rsidP="001E3398">
            <w:pPr>
              <w:rPr>
                <w:rFonts w:ascii="Arial" w:hAnsi="Arial" w:cs="Arial"/>
                <w:sz w:val="22"/>
                <w:szCs w:val="22"/>
              </w:rPr>
            </w:pPr>
            <w:r w:rsidRPr="00253682">
              <w:rPr>
                <w:rFonts w:ascii="Arial" w:hAnsi="Arial" w:cs="Arial"/>
                <w:sz w:val="22"/>
                <w:szCs w:val="22"/>
              </w:rPr>
              <w:t xml:space="preserve">NICE </w:t>
            </w:r>
            <w:r>
              <w:rPr>
                <w:rFonts w:ascii="Arial" w:hAnsi="Arial" w:cs="Arial"/>
                <w:sz w:val="22"/>
                <w:szCs w:val="22"/>
              </w:rPr>
              <w:t>(2025)</w:t>
            </w:r>
          </w:p>
          <w:p w14:paraId="03BB536A" w14:textId="39925BAC" w:rsidR="001E3398" w:rsidRPr="00253682" w:rsidRDefault="001E3398" w:rsidP="001E3398">
            <w:pPr>
              <w:rPr>
                <w:rFonts w:ascii="Arial" w:hAnsi="Arial" w:cs="Arial"/>
                <w:sz w:val="22"/>
                <w:szCs w:val="22"/>
              </w:rPr>
            </w:pPr>
          </w:p>
        </w:tc>
      </w:tr>
      <w:tr w:rsidR="001E3398" w14:paraId="3A28D80A" w14:textId="77777777" w:rsidTr="001E3398">
        <w:tc>
          <w:tcPr>
            <w:tcW w:w="3005" w:type="dxa"/>
          </w:tcPr>
          <w:p w14:paraId="00EB367E" w14:textId="6573A213" w:rsidR="001E3398" w:rsidRDefault="00F16CC3" w:rsidP="001E3398">
            <w:pPr>
              <w:rPr>
                <w:rStyle w:val="Strong"/>
                <w:rFonts w:ascii="Arial" w:hAnsi="Arial" w:cs="Arial"/>
                <w:b w:val="0"/>
                <w:bCs w:val="0"/>
                <w:sz w:val="22"/>
                <w:szCs w:val="22"/>
              </w:rPr>
            </w:pPr>
            <w:r w:rsidRPr="009964EF">
              <w:rPr>
                <w:rFonts w:ascii="Arial" w:hAnsi="Arial" w:cs="Arial"/>
                <w:color w:val="000000"/>
                <w:sz w:val="22"/>
                <w:szCs w:val="22"/>
              </w:rPr>
              <w:t>Reed</w:t>
            </w:r>
            <w:r>
              <w:rPr>
                <w:rFonts w:ascii="Arial" w:hAnsi="Arial" w:cs="Arial"/>
                <w:color w:val="000000"/>
                <w:sz w:val="22"/>
                <w:szCs w:val="22"/>
              </w:rPr>
              <w:t xml:space="preserve"> et al (</w:t>
            </w:r>
            <w:r w:rsidRPr="009964EF">
              <w:rPr>
                <w:rFonts w:ascii="Arial" w:hAnsi="Arial" w:cs="Arial"/>
                <w:color w:val="000000"/>
                <w:sz w:val="22"/>
                <w:szCs w:val="22"/>
              </w:rPr>
              <w:t>2021)</w:t>
            </w:r>
            <w:r w:rsidRPr="009964EF">
              <w:rPr>
                <w:rStyle w:val="Strong"/>
                <w:rFonts w:ascii="Arial" w:hAnsi="Arial" w:cs="Arial"/>
                <w:b w:val="0"/>
                <w:bCs w:val="0"/>
                <w:sz w:val="22"/>
                <w:szCs w:val="22"/>
              </w:rPr>
              <w:t>.</w:t>
            </w:r>
          </w:p>
          <w:p w14:paraId="5A8F3B66" w14:textId="1382184E" w:rsidR="00F16CC3" w:rsidRPr="001E3398" w:rsidRDefault="00F16CC3" w:rsidP="001E3398"/>
        </w:tc>
        <w:tc>
          <w:tcPr>
            <w:tcW w:w="3005" w:type="dxa"/>
          </w:tcPr>
          <w:p w14:paraId="43E697D0" w14:textId="4F9FA825" w:rsidR="001E3398" w:rsidRPr="002C0EAB" w:rsidRDefault="002C0EAB" w:rsidP="001C34F5">
            <w:pPr>
              <w:pStyle w:val="Heading2"/>
              <w:rPr>
                <w:rFonts w:ascii="Arial" w:hAnsi="Arial" w:cs="Arial"/>
                <w:color w:val="000000" w:themeColor="text1"/>
                <w:sz w:val="22"/>
                <w:szCs w:val="22"/>
              </w:rPr>
            </w:pPr>
            <w:r>
              <w:rPr>
                <w:rFonts w:ascii="Arial" w:hAnsi="Arial" w:cs="Arial"/>
                <w:color w:val="000000" w:themeColor="text1"/>
                <w:sz w:val="22"/>
                <w:szCs w:val="22"/>
              </w:rPr>
              <w:t>Marmot (2017)</w:t>
            </w:r>
          </w:p>
        </w:tc>
        <w:tc>
          <w:tcPr>
            <w:tcW w:w="3006" w:type="dxa"/>
          </w:tcPr>
          <w:p w14:paraId="005AE5A7" w14:textId="272D7C5A" w:rsidR="001E3398" w:rsidRPr="00253682" w:rsidRDefault="00253682" w:rsidP="001C34F5">
            <w:pPr>
              <w:pStyle w:val="Heading2"/>
              <w:rPr>
                <w:rFonts w:ascii="Arial" w:hAnsi="Arial" w:cs="Arial"/>
                <w:color w:val="000000" w:themeColor="text1"/>
                <w:sz w:val="22"/>
                <w:szCs w:val="22"/>
              </w:rPr>
            </w:pPr>
            <w:r>
              <w:rPr>
                <w:rFonts w:ascii="Arial" w:hAnsi="Arial" w:cs="Arial"/>
                <w:color w:val="000000" w:themeColor="text1"/>
                <w:sz w:val="22"/>
                <w:szCs w:val="22"/>
              </w:rPr>
              <w:t>NHS England (2023)</w:t>
            </w:r>
          </w:p>
        </w:tc>
      </w:tr>
      <w:tr w:rsidR="001E3398" w14:paraId="25FD6543" w14:textId="77777777" w:rsidTr="001E3398">
        <w:tc>
          <w:tcPr>
            <w:tcW w:w="3005" w:type="dxa"/>
          </w:tcPr>
          <w:p w14:paraId="1954C7CF" w14:textId="0ABBD58E" w:rsidR="001E3398" w:rsidRDefault="00F16CC3" w:rsidP="001C34F5">
            <w:pPr>
              <w:pStyle w:val="Heading2"/>
              <w:rPr>
                <w:rFonts w:ascii="Arial" w:hAnsi="Arial" w:cs="Arial"/>
                <w:b/>
                <w:bCs/>
                <w:color w:val="000000" w:themeColor="text1"/>
                <w:sz w:val="32"/>
                <w:szCs w:val="32"/>
              </w:rPr>
            </w:pPr>
            <w:r w:rsidRPr="00FC6655">
              <w:rPr>
                <w:rFonts w:ascii="Arial" w:eastAsia="Times New Roman" w:hAnsi="Arial" w:cs="Arial"/>
                <w:color w:val="000000"/>
                <w:sz w:val="22"/>
                <w:szCs w:val="22"/>
                <w:lang w:eastAsia="en-GB"/>
              </w:rPr>
              <w:t>Kirkman</w:t>
            </w:r>
            <w:r>
              <w:rPr>
                <w:rFonts w:ascii="Arial" w:eastAsia="Times New Roman" w:hAnsi="Arial" w:cs="Arial"/>
                <w:color w:val="000000"/>
                <w:sz w:val="22"/>
                <w:szCs w:val="22"/>
                <w:lang w:eastAsia="en-GB"/>
              </w:rPr>
              <w:t xml:space="preserve"> (</w:t>
            </w:r>
            <w:r w:rsidRPr="00FC6655">
              <w:rPr>
                <w:rFonts w:ascii="Arial" w:eastAsia="Times New Roman" w:hAnsi="Arial" w:cs="Arial"/>
                <w:color w:val="000000"/>
                <w:sz w:val="22"/>
                <w:szCs w:val="22"/>
                <w:lang w:eastAsia="en-GB"/>
              </w:rPr>
              <w:t>2012)</w:t>
            </w:r>
          </w:p>
          <w:p w14:paraId="1B3D9648" w14:textId="64821BE0" w:rsidR="001E3398" w:rsidRPr="001E3398" w:rsidRDefault="001E3398" w:rsidP="001E3398"/>
        </w:tc>
        <w:tc>
          <w:tcPr>
            <w:tcW w:w="3005" w:type="dxa"/>
          </w:tcPr>
          <w:p w14:paraId="24BB03BA" w14:textId="04CD6746" w:rsidR="001E3398" w:rsidRPr="002C0EAB" w:rsidRDefault="002C0EAB" w:rsidP="001C34F5">
            <w:pPr>
              <w:pStyle w:val="Heading2"/>
              <w:rPr>
                <w:rFonts w:ascii="Arial" w:hAnsi="Arial" w:cs="Arial"/>
                <w:color w:val="000000" w:themeColor="text1"/>
                <w:sz w:val="22"/>
                <w:szCs w:val="22"/>
              </w:rPr>
            </w:pPr>
            <w:r w:rsidRPr="002C0EAB">
              <w:rPr>
                <w:rFonts w:ascii="Arial" w:hAnsi="Arial" w:cs="Arial"/>
                <w:color w:val="000000" w:themeColor="text1"/>
                <w:sz w:val="22"/>
                <w:szCs w:val="22"/>
              </w:rPr>
              <w:t>Hill-Briggs (2020)</w:t>
            </w:r>
          </w:p>
        </w:tc>
        <w:tc>
          <w:tcPr>
            <w:tcW w:w="3006" w:type="dxa"/>
          </w:tcPr>
          <w:p w14:paraId="358AB98F" w14:textId="0336293B" w:rsidR="00437873" w:rsidRPr="00437873" w:rsidRDefault="00253682" w:rsidP="00437873">
            <w:pPr>
              <w:rPr>
                <w:lang w:eastAsia="en-US"/>
              </w:rPr>
            </w:pPr>
            <w:r>
              <w:rPr>
                <w:lang w:eastAsia="en-US"/>
              </w:rPr>
              <w:t>McManus et al. (2022)</w:t>
            </w:r>
          </w:p>
        </w:tc>
      </w:tr>
      <w:tr w:rsidR="00437873" w14:paraId="600DEAB7" w14:textId="77777777" w:rsidTr="00253682">
        <w:trPr>
          <w:trHeight w:val="632"/>
        </w:trPr>
        <w:tc>
          <w:tcPr>
            <w:tcW w:w="3005" w:type="dxa"/>
          </w:tcPr>
          <w:p w14:paraId="4673A869" w14:textId="1A43E162" w:rsidR="00437873" w:rsidRPr="00253682" w:rsidRDefault="00A75ECC" w:rsidP="006D393E">
            <w:pPr>
              <w:pStyle w:val="Heading2"/>
              <w:rPr>
                <w:rFonts w:ascii="Arial" w:hAnsi="Arial" w:cs="Arial"/>
                <w:color w:val="000000" w:themeColor="text1"/>
                <w:sz w:val="22"/>
                <w:szCs w:val="22"/>
              </w:rPr>
            </w:pPr>
            <w:r>
              <w:rPr>
                <w:rFonts w:ascii="Arial" w:hAnsi="Arial" w:cs="Arial"/>
                <w:color w:val="000000" w:themeColor="text1"/>
                <w:sz w:val="22"/>
                <w:szCs w:val="22"/>
              </w:rPr>
              <w:t>Diabetes UK (2023)</w:t>
            </w:r>
          </w:p>
        </w:tc>
        <w:tc>
          <w:tcPr>
            <w:tcW w:w="3005" w:type="dxa"/>
          </w:tcPr>
          <w:p w14:paraId="5E109D4F" w14:textId="694B0B20" w:rsidR="00437873" w:rsidRPr="00253682" w:rsidRDefault="00253682" w:rsidP="006D393E">
            <w:pPr>
              <w:pStyle w:val="Heading2"/>
              <w:rPr>
                <w:rFonts w:ascii="Arial" w:hAnsi="Arial" w:cs="Arial"/>
                <w:color w:val="000000" w:themeColor="text1"/>
                <w:sz w:val="22"/>
                <w:szCs w:val="22"/>
              </w:rPr>
            </w:pPr>
            <w:r w:rsidRPr="00253682">
              <w:rPr>
                <w:rFonts w:ascii="Arial" w:hAnsi="Arial" w:cs="Arial"/>
                <w:color w:val="000000" w:themeColor="text1"/>
                <w:sz w:val="22"/>
                <w:szCs w:val="22"/>
              </w:rPr>
              <w:t>Watkinson et al. (2024)</w:t>
            </w:r>
          </w:p>
        </w:tc>
        <w:tc>
          <w:tcPr>
            <w:tcW w:w="3006" w:type="dxa"/>
          </w:tcPr>
          <w:p w14:paraId="3E6FBF62" w14:textId="22856142" w:rsidR="00437873" w:rsidRPr="00253682" w:rsidRDefault="00253682" w:rsidP="006D393E">
            <w:pPr>
              <w:pStyle w:val="Heading2"/>
              <w:rPr>
                <w:rFonts w:ascii="Arial" w:hAnsi="Arial" w:cs="Arial"/>
                <w:color w:val="000000" w:themeColor="text1"/>
                <w:sz w:val="22"/>
                <w:szCs w:val="22"/>
              </w:rPr>
            </w:pPr>
            <w:r>
              <w:rPr>
                <w:rFonts w:ascii="Arial" w:hAnsi="Arial" w:cs="Arial"/>
                <w:color w:val="000000" w:themeColor="text1"/>
                <w:sz w:val="22"/>
                <w:szCs w:val="22"/>
              </w:rPr>
              <w:t>Syeda et al. (2023)</w:t>
            </w:r>
          </w:p>
        </w:tc>
      </w:tr>
      <w:tr w:rsidR="00437873" w14:paraId="6C007476" w14:textId="77777777" w:rsidTr="00253682">
        <w:trPr>
          <w:trHeight w:val="556"/>
        </w:trPr>
        <w:tc>
          <w:tcPr>
            <w:tcW w:w="3005" w:type="dxa"/>
          </w:tcPr>
          <w:p w14:paraId="10F25FB3" w14:textId="3AD3E12D" w:rsidR="00437873" w:rsidRPr="00A75ECC" w:rsidRDefault="00A75ECC" w:rsidP="006D393E">
            <w:pPr>
              <w:pStyle w:val="Heading2"/>
              <w:rPr>
                <w:rFonts w:ascii="Arial" w:hAnsi="Arial" w:cs="Arial"/>
                <w:color w:val="000000" w:themeColor="text1"/>
                <w:sz w:val="22"/>
                <w:szCs w:val="22"/>
              </w:rPr>
            </w:pPr>
            <w:r w:rsidRPr="00A75ECC">
              <w:rPr>
                <w:rFonts w:ascii="Arial" w:hAnsi="Arial" w:cs="Arial"/>
                <w:color w:val="000000" w:themeColor="text1"/>
                <w:sz w:val="22"/>
                <w:szCs w:val="22"/>
              </w:rPr>
              <w:t>Office foe Health Improvements &amp; Disparities (2025)</w:t>
            </w:r>
          </w:p>
        </w:tc>
        <w:tc>
          <w:tcPr>
            <w:tcW w:w="3005" w:type="dxa"/>
          </w:tcPr>
          <w:p w14:paraId="3D4E1B1D" w14:textId="1A057E66" w:rsidR="00437873" w:rsidRPr="00253682" w:rsidRDefault="00253682" w:rsidP="006D393E">
            <w:pPr>
              <w:pStyle w:val="Heading2"/>
              <w:rPr>
                <w:rFonts w:ascii="Arial" w:hAnsi="Arial" w:cs="Arial"/>
                <w:color w:val="000000" w:themeColor="text1"/>
                <w:sz w:val="22"/>
                <w:szCs w:val="22"/>
              </w:rPr>
            </w:pPr>
            <w:r w:rsidRPr="00253682">
              <w:rPr>
                <w:rFonts w:ascii="Arial" w:hAnsi="Arial" w:cs="Arial"/>
                <w:color w:val="000000" w:themeColor="text1"/>
                <w:sz w:val="22"/>
                <w:szCs w:val="22"/>
              </w:rPr>
              <w:t>Goff (2019)</w:t>
            </w:r>
          </w:p>
        </w:tc>
        <w:tc>
          <w:tcPr>
            <w:tcW w:w="3006" w:type="dxa"/>
          </w:tcPr>
          <w:p w14:paraId="7872ED24" w14:textId="1BD33DB6" w:rsidR="00437873" w:rsidRPr="00253682" w:rsidRDefault="00253682" w:rsidP="006D393E">
            <w:pPr>
              <w:pStyle w:val="Heading2"/>
              <w:rPr>
                <w:rFonts w:ascii="Arial" w:hAnsi="Arial" w:cs="Arial"/>
                <w:color w:val="000000" w:themeColor="text1"/>
                <w:sz w:val="22"/>
                <w:szCs w:val="22"/>
              </w:rPr>
            </w:pPr>
            <w:r w:rsidRPr="00253682">
              <w:rPr>
                <w:rFonts w:ascii="Arial" w:hAnsi="Arial" w:cs="Arial"/>
                <w:color w:val="000000" w:themeColor="text1"/>
                <w:sz w:val="22"/>
                <w:szCs w:val="22"/>
              </w:rPr>
              <w:t>Woodward et al. (2024)</w:t>
            </w:r>
          </w:p>
        </w:tc>
      </w:tr>
    </w:tbl>
    <w:p w14:paraId="06524B27" w14:textId="75445AA7" w:rsidR="00437873" w:rsidRPr="00253682" w:rsidRDefault="00437873" w:rsidP="006D393E">
      <w:pPr>
        <w:pStyle w:val="Heading2"/>
        <w:rPr>
          <w:rFonts w:ascii="Arial" w:hAnsi="Arial" w:cs="Arial"/>
          <w:color w:val="000000" w:themeColor="text1"/>
          <w:sz w:val="22"/>
          <w:szCs w:val="22"/>
        </w:rPr>
      </w:pPr>
    </w:p>
    <w:p w14:paraId="7BACD4FE" w14:textId="459528FD" w:rsidR="006D393E" w:rsidRPr="006D393E" w:rsidRDefault="006D393E" w:rsidP="006D393E">
      <w:pPr>
        <w:pStyle w:val="Heading2"/>
        <w:rPr>
          <w:rFonts w:ascii="Arial" w:hAnsi="Arial" w:cs="Arial"/>
          <w:b/>
          <w:bCs/>
          <w:color w:val="000000" w:themeColor="text1"/>
          <w:sz w:val="22"/>
          <w:szCs w:val="22"/>
        </w:rPr>
      </w:pPr>
      <w:r w:rsidRPr="006D393E">
        <w:rPr>
          <w:rFonts w:ascii="Arial" w:hAnsi="Arial" w:cs="Arial"/>
          <w:b/>
          <w:bCs/>
          <w:color w:val="000000" w:themeColor="text1"/>
          <w:sz w:val="22"/>
          <w:szCs w:val="22"/>
        </w:rPr>
        <w:t xml:space="preserve">Table 2.              </w:t>
      </w:r>
    </w:p>
    <w:p w14:paraId="611E6CAA" w14:textId="77777777" w:rsidR="001E3398" w:rsidRDefault="001E3398" w:rsidP="001C34F5">
      <w:pPr>
        <w:pStyle w:val="Heading2"/>
        <w:rPr>
          <w:rFonts w:ascii="Arial" w:hAnsi="Arial" w:cs="Arial"/>
          <w:b/>
          <w:bCs/>
          <w:color w:val="000000" w:themeColor="text1"/>
          <w:sz w:val="32"/>
          <w:szCs w:val="32"/>
        </w:rPr>
      </w:pPr>
    </w:p>
    <w:p w14:paraId="1247F56B" w14:textId="06114F5E" w:rsidR="001C34F5" w:rsidRPr="00E52633" w:rsidRDefault="001C34F5" w:rsidP="008A3D91">
      <w:pPr>
        <w:pStyle w:val="Heading2"/>
        <w:jc w:val="both"/>
        <w:rPr>
          <w:rFonts w:ascii="Arial" w:hAnsi="Arial" w:cs="Arial"/>
          <w:b/>
          <w:bCs/>
          <w:color w:val="000000" w:themeColor="text1"/>
          <w:sz w:val="32"/>
          <w:szCs w:val="32"/>
        </w:rPr>
      </w:pPr>
      <w:r w:rsidRPr="00E52633">
        <w:rPr>
          <w:rFonts w:ascii="Arial" w:hAnsi="Arial" w:cs="Arial"/>
          <w:b/>
          <w:bCs/>
          <w:color w:val="000000" w:themeColor="text1"/>
          <w:sz w:val="32"/>
          <w:szCs w:val="32"/>
        </w:rPr>
        <w:t xml:space="preserve">4.6 – Chapter Conclusion </w:t>
      </w:r>
    </w:p>
    <w:p w14:paraId="0BC8FDC1" w14:textId="38BB800C" w:rsidR="006962D5" w:rsidRDefault="006962D5" w:rsidP="008A3D91">
      <w:pPr>
        <w:jc w:val="both"/>
      </w:pPr>
    </w:p>
    <w:p w14:paraId="324D5E47" w14:textId="368C5223" w:rsidR="006962D5" w:rsidRDefault="006962D5" w:rsidP="008A3D91">
      <w:pPr>
        <w:spacing w:line="360" w:lineRule="auto"/>
        <w:jc w:val="both"/>
        <w:rPr>
          <w:rFonts w:ascii="Arial" w:hAnsi="Arial" w:cs="Arial"/>
          <w:sz w:val="22"/>
          <w:szCs w:val="22"/>
        </w:rPr>
      </w:pPr>
      <w:r>
        <w:rPr>
          <w:rFonts w:ascii="Arial" w:hAnsi="Arial" w:cs="Arial"/>
          <w:sz w:val="22"/>
          <w:szCs w:val="22"/>
        </w:rPr>
        <w:lastRenderedPageBreak/>
        <w:t xml:space="preserve">This chapter has presented and critically discussed the findings generated through thematic analysis of the selected literature on T2DM in UK adults.  Three interconnected themes emerged.  First, the literature showed that the prevalence of T2DM continues to rise, confirming that the condition remains a major and expanding public health concern.  Second, the findings demonstrated that lifestyle risk factors such as obesity, diet and physical inactivity are central to disease development, but that these risks are strongly shaped by wider socioeconomic and ethnic inequalities.  Third, the chapter </w:t>
      </w:r>
      <w:r w:rsidR="00064D63">
        <w:rPr>
          <w:rFonts w:ascii="Arial" w:hAnsi="Arial" w:cs="Arial"/>
          <w:sz w:val="22"/>
          <w:szCs w:val="22"/>
        </w:rPr>
        <w:t>showed that current prevention and management strategies are evidence-based and increasingly sophisticated</w:t>
      </w:r>
      <w:r w:rsidR="00DC779E">
        <w:rPr>
          <w:rFonts w:ascii="Arial" w:hAnsi="Arial" w:cs="Arial"/>
          <w:sz w:val="22"/>
          <w:szCs w:val="22"/>
        </w:rPr>
        <w:t>, yet their impact is constrained by issues of access, engagement and social context.</w:t>
      </w:r>
    </w:p>
    <w:p w14:paraId="4037E4CD" w14:textId="3B516F61" w:rsidR="00DC779E" w:rsidRDefault="00DC779E" w:rsidP="008A3D91">
      <w:pPr>
        <w:spacing w:line="360" w:lineRule="auto"/>
        <w:jc w:val="both"/>
        <w:rPr>
          <w:rFonts w:ascii="Arial" w:hAnsi="Arial" w:cs="Arial"/>
          <w:sz w:val="22"/>
          <w:szCs w:val="22"/>
        </w:rPr>
      </w:pPr>
    </w:p>
    <w:p w14:paraId="71723D03" w14:textId="7D6A4F39" w:rsidR="006D393E" w:rsidRPr="00437873" w:rsidRDefault="00DC779E" w:rsidP="008A3D91">
      <w:pPr>
        <w:spacing w:line="360" w:lineRule="auto"/>
        <w:jc w:val="both"/>
        <w:rPr>
          <w:rFonts w:ascii="Arial" w:hAnsi="Arial" w:cs="Arial"/>
          <w:sz w:val="22"/>
          <w:szCs w:val="22"/>
        </w:rPr>
      </w:pPr>
      <w:r>
        <w:rPr>
          <w:rFonts w:ascii="Arial" w:hAnsi="Arial" w:cs="Arial"/>
          <w:sz w:val="22"/>
          <w:szCs w:val="22"/>
        </w:rPr>
        <w:t>Overall, the chapter has shown that T2DM in the UK should not be understood solely as a biomedical disorder requiring clinical treatment, but as a socially patterned long-term condition requiring action across prevention, early identification, ongoing management and inequality reduction.  The following chapter draws these findings together in the overall conclusion and presents recommendations for future practice.</w:t>
      </w:r>
    </w:p>
    <w:p w14:paraId="59817232" w14:textId="77777777" w:rsidR="003E495D" w:rsidRDefault="003E495D" w:rsidP="006D393E">
      <w:pPr>
        <w:spacing w:line="360" w:lineRule="auto"/>
        <w:rPr>
          <w:rFonts w:ascii="Arial" w:hAnsi="Arial" w:cs="Arial"/>
          <w:color w:val="000000"/>
          <w:sz w:val="22"/>
          <w:szCs w:val="22"/>
        </w:rPr>
      </w:pPr>
    </w:p>
    <w:p w14:paraId="5DF6DEE5" w14:textId="77777777" w:rsidR="003E495D" w:rsidRDefault="003E495D" w:rsidP="006D393E">
      <w:pPr>
        <w:spacing w:line="360" w:lineRule="auto"/>
        <w:rPr>
          <w:rFonts w:ascii="Arial" w:hAnsi="Arial" w:cs="Arial"/>
          <w:color w:val="000000"/>
          <w:sz w:val="22"/>
          <w:szCs w:val="22"/>
        </w:rPr>
      </w:pPr>
    </w:p>
    <w:p w14:paraId="26D12BA2" w14:textId="77777777" w:rsidR="003E495D" w:rsidRDefault="003E495D" w:rsidP="006D393E">
      <w:pPr>
        <w:spacing w:line="360" w:lineRule="auto"/>
        <w:rPr>
          <w:rFonts w:ascii="Arial" w:hAnsi="Arial" w:cs="Arial"/>
          <w:color w:val="000000"/>
          <w:sz w:val="22"/>
          <w:szCs w:val="22"/>
        </w:rPr>
      </w:pPr>
    </w:p>
    <w:p w14:paraId="70E2FA15" w14:textId="77777777" w:rsidR="003E495D" w:rsidRDefault="003E495D" w:rsidP="006D393E">
      <w:pPr>
        <w:spacing w:line="360" w:lineRule="auto"/>
        <w:rPr>
          <w:rFonts w:ascii="Arial" w:hAnsi="Arial" w:cs="Arial"/>
          <w:color w:val="000000"/>
          <w:sz w:val="22"/>
          <w:szCs w:val="22"/>
        </w:rPr>
      </w:pPr>
    </w:p>
    <w:p w14:paraId="0CEC5F2F" w14:textId="41EBFF31" w:rsidR="003E495D" w:rsidRDefault="003E495D" w:rsidP="006D393E">
      <w:pPr>
        <w:spacing w:line="360" w:lineRule="auto"/>
        <w:rPr>
          <w:rFonts w:ascii="Arial" w:hAnsi="Arial" w:cs="Arial"/>
          <w:color w:val="000000"/>
          <w:sz w:val="22"/>
          <w:szCs w:val="22"/>
        </w:rPr>
      </w:pPr>
      <w:r>
        <w:rPr>
          <w:rFonts w:cs="Arial"/>
          <w:noProof/>
          <w:color w:val="FF0000"/>
          <w:sz w:val="22"/>
          <w:szCs w:val="22"/>
        </w:rPr>
        <w:drawing>
          <wp:inline distT="0" distB="0" distL="0" distR="0" wp14:anchorId="15A9C6B5" wp14:editId="63B5C919">
            <wp:extent cx="4914900" cy="2973646"/>
            <wp:effectExtent l="0" t="0" r="0" b="0"/>
            <wp:docPr id="1" name="Picture 1" descr="A graph of diabe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of diabetes&#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300098" cy="3206701"/>
                    </a:xfrm>
                    <a:prstGeom prst="rect">
                      <a:avLst/>
                    </a:prstGeom>
                  </pic:spPr>
                </pic:pic>
              </a:graphicData>
            </a:graphic>
          </wp:inline>
        </w:drawing>
      </w:r>
    </w:p>
    <w:p w14:paraId="469BA07D" w14:textId="2A6D446A" w:rsidR="006D393E" w:rsidRDefault="006D393E" w:rsidP="006D393E">
      <w:pPr>
        <w:spacing w:line="360" w:lineRule="auto"/>
        <w:rPr>
          <w:rFonts w:ascii="Arial" w:hAnsi="Arial" w:cs="Arial"/>
          <w:color w:val="000000"/>
          <w:sz w:val="22"/>
          <w:szCs w:val="22"/>
        </w:rPr>
      </w:pPr>
      <w:r w:rsidRPr="00503C14">
        <w:rPr>
          <w:rFonts w:ascii="Arial" w:hAnsi="Arial" w:cs="Arial"/>
          <w:color w:val="000000"/>
          <w:sz w:val="22"/>
          <w:szCs w:val="22"/>
        </w:rPr>
        <w:t>(NHS digital, 2023)</w:t>
      </w:r>
      <w:r w:rsidR="003E495D">
        <w:rPr>
          <w:rFonts w:ascii="Arial" w:hAnsi="Arial" w:cs="Arial"/>
          <w:color w:val="000000"/>
          <w:sz w:val="22"/>
          <w:szCs w:val="22"/>
        </w:rPr>
        <w:t xml:space="preserve">                                                                       Graph 1.</w:t>
      </w:r>
    </w:p>
    <w:p w14:paraId="3CE65C0B" w14:textId="77777777" w:rsidR="003E495D" w:rsidRPr="00503C14" w:rsidRDefault="003E495D" w:rsidP="006D393E">
      <w:pPr>
        <w:spacing w:line="360" w:lineRule="auto"/>
        <w:rPr>
          <w:rFonts w:ascii="Arial" w:hAnsi="Arial" w:cs="Arial"/>
          <w:sz w:val="22"/>
          <w:szCs w:val="22"/>
        </w:rPr>
      </w:pPr>
    </w:p>
    <w:p w14:paraId="08239B35" w14:textId="77777777" w:rsidR="006D393E" w:rsidRPr="00E52633" w:rsidRDefault="006D393E" w:rsidP="001C34F5">
      <w:pPr>
        <w:pStyle w:val="Heading1"/>
        <w:ind w:left="0"/>
        <w:rPr>
          <w:rFonts w:ascii="Aptos" w:hAnsi="Aptos"/>
        </w:rPr>
      </w:pPr>
    </w:p>
    <w:p w14:paraId="6168CB5B" w14:textId="77777777" w:rsidR="004C50C0" w:rsidRDefault="004C50C0" w:rsidP="008A3D91">
      <w:pPr>
        <w:pStyle w:val="Heading1"/>
        <w:ind w:left="0"/>
        <w:jc w:val="both"/>
        <w:rPr>
          <w:rFonts w:cs="Arial"/>
        </w:rPr>
      </w:pPr>
    </w:p>
    <w:p w14:paraId="34398BBD" w14:textId="77777777" w:rsidR="004C50C0" w:rsidRDefault="004C50C0" w:rsidP="008A3D91">
      <w:pPr>
        <w:pStyle w:val="Heading1"/>
        <w:ind w:left="0"/>
        <w:jc w:val="both"/>
        <w:rPr>
          <w:rFonts w:cs="Arial"/>
        </w:rPr>
      </w:pPr>
    </w:p>
    <w:p w14:paraId="7261F74F" w14:textId="0C4E55AD" w:rsidR="001C34F5" w:rsidRPr="00E52633" w:rsidRDefault="001C34F5" w:rsidP="008A3D91">
      <w:pPr>
        <w:pStyle w:val="Heading1"/>
        <w:ind w:left="0"/>
        <w:jc w:val="both"/>
        <w:rPr>
          <w:rFonts w:cs="Arial"/>
        </w:rPr>
      </w:pPr>
      <w:r w:rsidRPr="00E52633">
        <w:rPr>
          <w:rFonts w:cs="Arial"/>
        </w:rPr>
        <w:lastRenderedPageBreak/>
        <w:t xml:space="preserve">CHAPTER 5 – Conclusion and Recommendations </w:t>
      </w:r>
    </w:p>
    <w:p w14:paraId="33597DF9" w14:textId="77777777" w:rsidR="001C34F5" w:rsidRPr="005C5E80" w:rsidRDefault="001C34F5" w:rsidP="008A3D91">
      <w:pPr>
        <w:jc w:val="both"/>
      </w:pPr>
    </w:p>
    <w:p w14:paraId="6749A111" w14:textId="56FB5375" w:rsidR="001C34F5" w:rsidRPr="00E52633" w:rsidRDefault="001C34F5" w:rsidP="008A3D91">
      <w:pPr>
        <w:pStyle w:val="Heading2"/>
        <w:jc w:val="both"/>
        <w:rPr>
          <w:rFonts w:ascii="Arial" w:hAnsi="Arial" w:cs="Arial"/>
          <w:b/>
          <w:bCs/>
          <w:color w:val="000000" w:themeColor="text1"/>
          <w:sz w:val="28"/>
          <w:szCs w:val="28"/>
        </w:rPr>
      </w:pPr>
      <w:r w:rsidRPr="00E52633">
        <w:rPr>
          <w:rFonts w:ascii="Arial" w:hAnsi="Arial" w:cs="Arial"/>
          <w:b/>
          <w:bCs/>
          <w:color w:val="000000" w:themeColor="text1"/>
          <w:sz w:val="28"/>
          <w:szCs w:val="28"/>
        </w:rPr>
        <w:t xml:space="preserve">5.1 – Overall Conclusion </w:t>
      </w:r>
    </w:p>
    <w:p w14:paraId="02BDA405" w14:textId="404A189A" w:rsidR="00AF53ED" w:rsidRDefault="00AF53ED" w:rsidP="008A3D91">
      <w:pPr>
        <w:jc w:val="both"/>
      </w:pPr>
    </w:p>
    <w:p w14:paraId="759E9C0B" w14:textId="17FE5BA7" w:rsidR="00AF53ED" w:rsidRPr="00AF53ED" w:rsidRDefault="00AF53ED" w:rsidP="008A3D91">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This dissertation investigated the prevalence, risk factors and management strategies associated with type 2 diabetes mellitus in UK adults through a desk-based review of secondary literature.  Across the dissertation, the evidence showed that T2DM remains one of the most significant long-term public health challenges in the United Kingdom.  The research demonstrated that prevalence is rising, that risk is shaped by both behavioural and structural factors, and that while evidence-based prevention and treatment pathways exist, their impact is affected by inequality, uptake and access.  The dissertation</w:t>
      </w:r>
      <w:r w:rsidR="00A3037B">
        <w:rPr>
          <w:rFonts w:ascii="Arial" w:hAnsi="Arial" w:cs="Arial"/>
          <w:color w:val="000000" w:themeColor="text1"/>
          <w:sz w:val="22"/>
          <w:szCs w:val="22"/>
        </w:rPr>
        <w:t xml:space="preserve"> aim was therefore met by examining the scale of disease, the major factors contributing to its development, and the strengths and limitations of current responses.  No new analysis is introduced here; rather, the dissertation concludes that T2DM is best understood not only as a chronic metabolic disorder, but also as a health inequality issue that demands both strong clinical management and broader upstream prevention. </w:t>
      </w:r>
      <w:r w:rsidR="002A2117">
        <w:rPr>
          <w:rFonts w:ascii="Arial" w:hAnsi="Arial" w:cs="Arial"/>
          <w:color w:val="000000" w:themeColor="text1"/>
          <w:sz w:val="22"/>
          <w:szCs w:val="22"/>
        </w:rPr>
        <w:t>This reinforces the need for integrated, preventative and inequality-focused approaches to improve long-term outcomes in UK diabetes care.</w:t>
      </w:r>
    </w:p>
    <w:p w14:paraId="0EB4E557" w14:textId="77777777" w:rsidR="001C34F5" w:rsidRDefault="001C34F5" w:rsidP="008A3D91">
      <w:pPr>
        <w:jc w:val="both"/>
      </w:pPr>
    </w:p>
    <w:p w14:paraId="5483FC58" w14:textId="583B8D10" w:rsidR="001C34F5" w:rsidRPr="00E52633" w:rsidRDefault="001C34F5" w:rsidP="008A3D91">
      <w:pPr>
        <w:pStyle w:val="Heading1"/>
        <w:ind w:left="0"/>
        <w:jc w:val="both"/>
        <w:rPr>
          <w:rFonts w:cs="Arial"/>
        </w:rPr>
      </w:pPr>
      <w:r w:rsidRPr="00E52633">
        <w:rPr>
          <w:rFonts w:cs="Arial"/>
        </w:rPr>
        <w:t>5.2.1 – Recommendation 1</w:t>
      </w:r>
      <w:r w:rsidR="00A3037B" w:rsidRPr="00E52633">
        <w:rPr>
          <w:rFonts w:cs="Arial"/>
        </w:rPr>
        <w:t>: Strengthen earlier identification and targeted screening in high-risk groups</w:t>
      </w:r>
    </w:p>
    <w:p w14:paraId="7F9F7919" w14:textId="23F5AF91" w:rsidR="00A3037B" w:rsidRDefault="00A3037B" w:rsidP="008A3D91">
      <w:pPr>
        <w:pStyle w:val="Heading1"/>
        <w:ind w:left="0"/>
        <w:jc w:val="both"/>
        <w:rPr>
          <w:rFonts w:cs="Arial"/>
          <w:sz w:val="22"/>
          <w:szCs w:val="22"/>
        </w:rPr>
      </w:pPr>
    </w:p>
    <w:p w14:paraId="235D0E57" w14:textId="4E2CC32A" w:rsidR="00A3037B" w:rsidRPr="003B7151" w:rsidRDefault="00A3037B" w:rsidP="008A3D91">
      <w:pPr>
        <w:spacing w:line="360" w:lineRule="auto"/>
        <w:jc w:val="both"/>
        <w:rPr>
          <w:rFonts w:ascii="Arial" w:hAnsi="Arial" w:cs="Arial"/>
          <w:sz w:val="22"/>
          <w:szCs w:val="22"/>
        </w:rPr>
      </w:pPr>
      <w:r w:rsidRPr="003B7151">
        <w:rPr>
          <w:rFonts w:ascii="Arial" w:hAnsi="Arial" w:cs="Arial"/>
          <w:sz w:val="22"/>
          <w:szCs w:val="22"/>
        </w:rPr>
        <w:t>A key recommendation is to strengthen earlier identification of people at high risk of T2DM, especially those living in deprived areas, individuals from higher risk ethnic groups, adults with obesity, and people with family history or previous gestational diabetes.</w:t>
      </w:r>
      <w:r w:rsidR="00C17845" w:rsidRPr="003B7151">
        <w:rPr>
          <w:rFonts w:ascii="Arial" w:hAnsi="Arial" w:cs="Arial"/>
          <w:sz w:val="22"/>
          <w:szCs w:val="22"/>
        </w:rPr>
        <w:t xml:space="preserve">  Earlier iden</w:t>
      </w:r>
      <w:r w:rsidR="005266DA" w:rsidRPr="003B7151">
        <w:rPr>
          <w:rFonts w:ascii="Arial" w:hAnsi="Arial" w:cs="Arial"/>
          <w:sz w:val="22"/>
          <w:szCs w:val="22"/>
        </w:rPr>
        <w:t>tification matters because delayed diagnosis increases the likelihood that hyperglycaemia remains untreated for longer, raising the risk of avoidable complications</w:t>
      </w:r>
      <w:r w:rsidR="00EE4373" w:rsidRPr="003B7151">
        <w:rPr>
          <w:rFonts w:ascii="Arial" w:hAnsi="Arial" w:cs="Arial"/>
          <w:sz w:val="22"/>
          <w:szCs w:val="22"/>
        </w:rPr>
        <w:t xml:space="preserve"> </w:t>
      </w:r>
      <w:r w:rsidR="00EE4373" w:rsidRPr="003B7151">
        <w:rPr>
          <w:rFonts w:ascii="Arial" w:hAnsi="Arial" w:cs="Arial"/>
          <w:color w:val="000000"/>
          <w:sz w:val="22"/>
          <w:szCs w:val="22"/>
        </w:rPr>
        <w:t>(Zhang et al., 2023)</w:t>
      </w:r>
      <w:r w:rsidR="005266DA" w:rsidRPr="003B7151">
        <w:rPr>
          <w:rFonts w:ascii="Arial" w:hAnsi="Arial" w:cs="Arial"/>
          <w:sz w:val="22"/>
          <w:szCs w:val="22"/>
        </w:rPr>
        <w:t>.  ONS analysis has shown that a sizeable proportion of adults with type 2 diabetes in England remain undiagnosed, while more deprived and younger groups may be less likely to have pre-diabetes identified in time for prevention</w:t>
      </w:r>
      <w:r w:rsidR="00EE4373" w:rsidRPr="003B7151">
        <w:rPr>
          <w:rFonts w:ascii="Arial" w:hAnsi="Arial" w:cs="Arial"/>
          <w:sz w:val="22"/>
          <w:szCs w:val="22"/>
        </w:rPr>
        <w:t xml:space="preserve"> </w:t>
      </w:r>
      <w:r w:rsidR="00EE4373" w:rsidRPr="003B7151">
        <w:rPr>
          <w:rFonts w:ascii="Arial" w:hAnsi="Arial" w:cs="Arial"/>
          <w:color w:val="000000"/>
          <w:sz w:val="22"/>
          <w:szCs w:val="22"/>
        </w:rPr>
        <w:t>(Office for national statistics, 2024)</w:t>
      </w:r>
      <w:r w:rsidR="005266DA" w:rsidRPr="003B7151">
        <w:rPr>
          <w:rFonts w:ascii="Arial" w:hAnsi="Arial" w:cs="Arial"/>
          <w:sz w:val="22"/>
          <w:szCs w:val="22"/>
        </w:rPr>
        <w:t>.</w:t>
      </w:r>
    </w:p>
    <w:p w14:paraId="057187D0" w14:textId="6F73F281" w:rsidR="005266DA" w:rsidRDefault="005266DA" w:rsidP="008A3D91">
      <w:pPr>
        <w:pStyle w:val="Heading1"/>
        <w:spacing w:line="360" w:lineRule="auto"/>
        <w:ind w:left="0"/>
        <w:jc w:val="both"/>
        <w:rPr>
          <w:rFonts w:cs="Arial"/>
          <w:b w:val="0"/>
          <w:bCs/>
          <w:sz w:val="22"/>
          <w:szCs w:val="22"/>
        </w:rPr>
      </w:pPr>
    </w:p>
    <w:p w14:paraId="4E2B24B1" w14:textId="2C7888ED" w:rsidR="005266DA" w:rsidRDefault="005266DA" w:rsidP="008A3D91">
      <w:pPr>
        <w:pStyle w:val="Heading1"/>
        <w:spacing w:line="360" w:lineRule="auto"/>
        <w:ind w:left="0"/>
        <w:jc w:val="both"/>
        <w:rPr>
          <w:rFonts w:cs="Arial"/>
          <w:b w:val="0"/>
          <w:bCs/>
          <w:sz w:val="22"/>
          <w:szCs w:val="22"/>
        </w:rPr>
      </w:pPr>
      <w:r>
        <w:rPr>
          <w:rFonts w:cs="Arial"/>
          <w:b w:val="0"/>
          <w:bCs/>
          <w:sz w:val="22"/>
          <w:szCs w:val="22"/>
        </w:rPr>
        <w:t xml:space="preserve">In practice, this recommendation could be implemented through more proactive HbA1c screening in primary care, more systematic use of diabetes risk assessment tools, and stronger opportunistic case-finding during routine NHS contacts. </w:t>
      </w:r>
      <w:r w:rsidR="00647B46">
        <w:rPr>
          <w:rFonts w:cs="Arial"/>
          <w:b w:val="0"/>
          <w:bCs/>
          <w:sz w:val="22"/>
          <w:szCs w:val="22"/>
        </w:rPr>
        <w:t xml:space="preserve">For example, through targeted GP outreach, community-based screening programmes and data-driven identification of high-risk populations. </w:t>
      </w:r>
      <w:r>
        <w:rPr>
          <w:rFonts w:cs="Arial"/>
          <w:b w:val="0"/>
          <w:bCs/>
          <w:sz w:val="22"/>
          <w:szCs w:val="22"/>
        </w:rPr>
        <w:t xml:space="preserve"> Community based screening in pharmacies, local out</w:t>
      </w:r>
      <w:r w:rsidR="00C66B96">
        <w:rPr>
          <w:rFonts w:cs="Arial"/>
          <w:b w:val="0"/>
          <w:bCs/>
          <w:sz w:val="22"/>
          <w:szCs w:val="22"/>
        </w:rPr>
        <w:t>reach clinics and faith or community venues could also improve reach beyond those routinely attend GP appointments.  This is realistic because it builds on existing NHS infrastructure rather than requiring a completely new service model.</w:t>
      </w:r>
    </w:p>
    <w:p w14:paraId="6B9F3F7F" w14:textId="5753DB14" w:rsidR="00C66B96" w:rsidRDefault="00C66B96" w:rsidP="008A3D91">
      <w:pPr>
        <w:pStyle w:val="Heading1"/>
        <w:spacing w:line="360" w:lineRule="auto"/>
        <w:ind w:left="0"/>
        <w:jc w:val="both"/>
        <w:rPr>
          <w:rFonts w:cs="Arial"/>
          <w:b w:val="0"/>
          <w:bCs/>
          <w:sz w:val="22"/>
          <w:szCs w:val="22"/>
        </w:rPr>
      </w:pPr>
    </w:p>
    <w:p w14:paraId="4708767E" w14:textId="34D39939" w:rsidR="00C66B96" w:rsidRPr="004D4E0B" w:rsidRDefault="0087191D" w:rsidP="008A3D91">
      <w:pPr>
        <w:spacing w:line="360" w:lineRule="auto"/>
        <w:jc w:val="both"/>
        <w:rPr>
          <w:rFonts w:ascii="Arial" w:hAnsi="Arial" w:cs="Arial"/>
          <w:sz w:val="22"/>
          <w:szCs w:val="22"/>
        </w:rPr>
      </w:pPr>
      <w:r w:rsidRPr="004D4E0B">
        <w:rPr>
          <w:rFonts w:ascii="Arial" w:hAnsi="Arial" w:cs="Arial"/>
          <w:sz w:val="22"/>
          <w:szCs w:val="22"/>
        </w:rPr>
        <w:t>The principal advantage of earlier identification lies in the expansion of the prevention window. Individuals identified at the stage of non-diabetic hyperglycaemia can be referred to targeted prevention programmes prior to disease progression, while those with previously undiagnosed T2DM are able to initiate structured management at an earlier stage, thereby reducing the risk of complications</w:t>
      </w:r>
      <w:r w:rsidR="00E90E87" w:rsidRPr="004D4E0B">
        <w:rPr>
          <w:rFonts w:ascii="Arial" w:hAnsi="Arial" w:cs="Arial"/>
          <w:sz w:val="22"/>
          <w:szCs w:val="22"/>
        </w:rPr>
        <w:t xml:space="preserve"> </w:t>
      </w:r>
      <w:r w:rsidR="00E90E87" w:rsidRPr="004D4E0B">
        <w:rPr>
          <w:rFonts w:ascii="Arial" w:hAnsi="Arial" w:cs="Arial"/>
          <w:color w:val="000000"/>
          <w:sz w:val="22"/>
          <w:szCs w:val="22"/>
        </w:rPr>
        <w:t>(Bergman et al., 2012)</w:t>
      </w:r>
      <w:r w:rsidRPr="004D4E0B">
        <w:rPr>
          <w:rFonts w:ascii="Arial" w:hAnsi="Arial" w:cs="Arial"/>
          <w:sz w:val="22"/>
          <w:szCs w:val="22"/>
        </w:rPr>
        <w:t xml:space="preserve">. However, a key limitation relates to healthcare system capacity.  Primary care services are already operating under significant pressure, and the introduction of additional screening initiatives may further increase workload and resource demands.  Moreover, there is a risk that screening programmes may perpetuate existing health inequalities if they rely predominantly on patient-initiated engagement.  </w:t>
      </w:r>
    </w:p>
    <w:p w14:paraId="6C9435AD" w14:textId="0CDC30C0" w:rsidR="0087191D" w:rsidRDefault="0087191D" w:rsidP="008A3D91">
      <w:pPr>
        <w:pStyle w:val="Heading1"/>
        <w:spacing w:line="360" w:lineRule="auto"/>
        <w:ind w:left="0"/>
        <w:jc w:val="both"/>
        <w:rPr>
          <w:rFonts w:cs="Arial"/>
          <w:b w:val="0"/>
          <w:bCs/>
          <w:sz w:val="22"/>
          <w:szCs w:val="22"/>
        </w:rPr>
      </w:pPr>
    </w:p>
    <w:p w14:paraId="7646F5D0" w14:textId="028A4DB8" w:rsidR="0087191D" w:rsidRPr="00A3037B" w:rsidRDefault="0087191D" w:rsidP="008A3D91">
      <w:pPr>
        <w:pStyle w:val="Heading1"/>
        <w:spacing w:line="360" w:lineRule="auto"/>
        <w:ind w:left="0"/>
        <w:jc w:val="both"/>
        <w:rPr>
          <w:rFonts w:cs="Arial"/>
          <w:b w:val="0"/>
          <w:bCs/>
          <w:sz w:val="22"/>
          <w:szCs w:val="22"/>
        </w:rPr>
      </w:pPr>
      <w:r>
        <w:rPr>
          <w:rFonts w:cs="Arial"/>
          <w:b w:val="0"/>
          <w:bCs/>
          <w:sz w:val="22"/>
          <w:szCs w:val="22"/>
        </w:rPr>
        <w:t xml:space="preserve">To address these challenges, high-risk case-finding strategies should incorporate proactive outreach approaches and targeted interventions based on local population health data, rather than relying solely on passive invitation systems.  This may enhance accessibility </w:t>
      </w:r>
      <w:r w:rsidR="001E08F2">
        <w:rPr>
          <w:rFonts w:cs="Arial"/>
          <w:b w:val="0"/>
          <w:bCs/>
          <w:sz w:val="22"/>
          <w:szCs w:val="22"/>
        </w:rPr>
        <w:t>and improve uptake among underserved or high-risk groups.</w:t>
      </w:r>
    </w:p>
    <w:p w14:paraId="51928C20" w14:textId="7E168E20" w:rsidR="00A3037B" w:rsidRDefault="00A3037B" w:rsidP="008A3D91">
      <w:pPr>
        <w:pStyle w:val="Heading1"/>
        <w:ind w:left="0"/>
        <w:jc w:val="both"/>
        <w:rPr>
          <w:rFonts w:cs="Arial"/>
          <w:sz w:val="22"/>
          <w:szCs w:val="22"/>
        </w:rPr>
      </w:pPr>
    </w:p>
    <w:p w14:paraId="2410DBF0" w14:textId="26BA62C3" w:rsidR="001C34F5" w:rsidRPr="00E52633" w:rsidRDefault="001C34F5" w:rsidP="008A3D91">
      <w:pPr>
        <w:pStyle w:val="Heading1"/>
        <w:ind w:left="0"/>
        <w:jc w:val="both"/>
        <w:rPr>
          <w:rFonts w:cs="Arial"/>
        </w:rPr>
      </w:pPr>
      <w:r w:rsidRPr="00E52633">
        <w:rPr>
          <w:rFonts w:cs="Arial"/>
        </w:rPr>
        <w:t>5.2.2 – Recommendation 2</w:t>
      </w:r>
      <w:r w:rsidR="00864A09" w:rsidRPr="00E52633">
        <w:rPr>
          <w:rFonts w:cs="Arial"/>
        </w:rPr>
        <w:t>: Deliver culturally and socially tailored lifestyle support rather than one-size-fits-all advice</w:t>
      </w:r>
    </w:p>
    <w:p w14:paraId="576BA20A" w14:textId="5734333F" w:rsidR="00864A09" w:rsidRDefault="00864A09" w:rsidP="008A3D91">
      <w:pPr>
        <w:pStyle w:val="Heading1"/>
        <w:ind w:left="0"/>
        <w:jc w:val="both"/>
        <w:rPr>
          <w:rFonts w:cs="Arial"/>
          <w:sz w:val="22"/>
          <w:szCs w:val="22"/>
        </w:rPr>
      </w:pPr>
    </w:p>
    <w:p w14:paraId="089EDB05" w14:textId="5561D83C" w:rsidR="00864A09" w:rsidRPr="004D4E0B" w:rsidRDefault="00864A09" w:rsidP="008A3D91">
      <w:pPr>
        <w:spacing w:line="360" w:lineRule="auto"/>
        <w:jc w:val="both"/>
        <w:rPr>
          <w:rFonts w:ascii="Arial" w:hAnsi="Arial" w:cs="Arial"/>
          <w:sz w:val="22"/>
          <w:szCs w:val="22"/>
        </w:rPr>
      </w:pPr>
      <w:r w:rsidRPr="004D4E0B">
        <w:rPr>
          <w:rFonts w:ascii="Arial" w:hAnsi="Arial" w:cs="Arial"/>
          <w:sz w:val="22"/>
          <w:szCs w:val="22"/>
        </w:rPr>
        <w:t>A second recommendation is that prevention and self-management support should be more culturally responsive and socially realistic.  The dissertation findings suggest that generic advice on diet, exercise and weight loss is often clinically sound but may not be sufficiently tailored to the realities of people’s lives.  This is especially relevant for adults experiencing financial pressure, insecure work patterns, poor access to healthy food, or cultural disconnect between health advice and everyday eating practices.  Recent UK evidence also suggests that uptake and adherence to current support can be lower in some minority ethnic groups, even where risk is higher</w:t>
      </w:r>
      <w:r w:rsidR="004D4E0B" w:rsidRPr="004D4E0B">
        <w:rPr>
          <w:rFonts w:ascii="Arial" w:hAnsi="Arial" w:cs="Arial"/>
          <w:sz w:val="22"/>
          <w:szCs w:val="22"/>
        </w:rPr>
        <w:t xml:space="preserve"> </w:t>
      </w:r>
      <w:r w:rsidR="004D4E0B" w:rsidRPr="004D4E0B">
        <w:rPr>
          <w:rFonts w:ascii="Arial" w:hAnsi="Arial" w:cs="Arial"/>
          <w:color w:val="000000"/>
          <w:sz w:val="22"/>
          <w:szCs w:val="22"/>
        </w:rPr>
        <w:t>(Raleigh, 2023)</w:t>
      </w:r>
      <w:r w:rsidRPr="004D4E0B">
        <w:rPr>
          <w:rFonts w:ascii="Arial" w:hAnsi="Arial" w:cs="Arial"/>
          <w:sz w:val="22"/>
          <w:szCs w:val="22"/>
        </w:rPr>
        <w:t>.</w:t>
      </w:r>
    </w:p>
    <w:p w14:paraId="113E935C" w14:textId="123A54F2" w:rsidR="00864A09" w:rsidRDefault="00864A09" w:rsidP="008A3D91">
      <w:pPr>
        <w:pStyle w:val="Heading1"/>
        <w:spacing w:line="360" w:lineRule="auto"/>
        <w:ind w:left="0"/>
        <w:jc w:val="both"/>
        <w:rPr>
          <w:rFonts w:cs="Arial"/>
          <w:b w:val="0"/>
          <w:bCs/>
          <w:sz w:val="22"/>
          <w:szCs w:val="22"/>
        </w:rPr>
      </w:pPr>
    </w:p>
    <w:p w14:paraId="62D986C7" w14:textId="0C9F6311" w:rsidR="00864A09" w:rsidRDefault="00864A09" w:rsidP="008A3D91">
      <w:pPr>
        <w:pStyle w:val="Heading1"/>
        <w:spacing w:line="360" w:lineRule="auto"/>
        <w:ind w:left="0"/>
        <w:jc w:val="both"/>
        <w:rPr>
          <w:rFonts w:cs="Arial"/>
          <w:b w:val="0"/>
          <w:bCs/>
          <w:sz w:val="22"/>
          <w:szCs w:val="22"/>
        </w:rPr>
      </w:pPr>
      <w:r>
        <w:rPr>
          <w:rFonts w:cs="Arial"/>
          <w:b w:val="0"/>
          <w:bCs/>
          <w:sz w:val="22"/>
          <w:szCs w:val="22"/>
        </w:rPr>
        <w:t>In practic</w:t>
      </w:r>
      <w:r w:rsidR="000A03D2">
        <w:rPr>
          <w:rFonts w:cs="Arial"/>
          <w:b w:val="0"/>
          <w:bCs/>
          <w:sz w:val="22"/>
          <w:szCs w:val="22"/>
        </w:rPr>
        <w:t>e, this recommendation means adapting interventions to the communiti</w:t>
      </w:r>
      <w:r w:rsidR="00FA1A6E">
        <w:rPr>
          <w:rFonts w:cs="Arial"/>
          <w:b w:val="0"/>
          <w:bCs/>
          <w:sz w:val="22"/>
          <w:szCs w:val="22"/>
        </w:rPr>
        <w:t xml:space="preserve">es they are meant to serve.  Dietary advice should reflect culturally relevant foods.  Physical activity support </w:t>
      </w:r>
      <w:r w:rsidR="00610369">
        <w:rPr>
          <w:rFonts w:cs="Arial"/>
          <w:b w:val="0"/>
          <w:bCs/>
          <w:sz w:val="22"/>
          <w:szCs w:val="22"/>
        </w:rPr>
        <w:t>should consider affordability, local safety and time constraints.  Education should use accessible language and offer flexible delivery formats, including community groups and digital options where appropriate.  This is not about diluting evidence-based care; it is about making it usable in real life.</w:t>
      </w:r>
    </w:p>
    <w:p w14:paraId="59A83574" w14:textId="25177869" w:rsidR="00610369" w:rsidRDefault="00610369" w:rsidP="008A3D91">
      <w:pPr>
        <w:pStyle w:val="Heading1"/>
        <w:spacing w:line="360" w:lineRule="auto"/>
        <w:ind w:left="0"/>
        <w:jc w:val="both"/>
        <w:rPr>
          <w:rFonts w:cs="Arial"/>
          <w:b w:val="0"/>
          <w:bCs/>
          <w:sz w:val="22"/>
          <w:szCs w:val="22"/>
        </w:rPr>
      </w:pPr>
    </w:p>
    <w:p w14:paraId="0E2E2669" w14:textId="77777777" w:rsidR="004C50C0" w:rsidRDefault="00610369" w:rsidP="008A3D91">
      <w:pPr>
        <w:spacing w:line="360" w:lineRule="auto"/>
        <w:jc w:val="both"/>
        <w:rPr>
          <w:rFonts w:ascii="Arial" w:hAnsi="Arial" w:cs="Arial"/>
          <w:sz w:val="22"/>
          <w:szCs w:val="22"/>
        </w:rPr>
      </w:pPr>
      <w:r w:rsidRPr="00F97153">
        <w:rPr>
          <w:rFonts w:ascii="Arial" w:hAnsi="Arial" w:cs="Arial"/>
          <w:sz w:val="22"/>
          <w:szCs w:val="22"/>
        </w:rPr>
        <w:lastRenderedPageBreak/>
        <w:t xml:space="preserve">The advantage is improved engagement, better retention and potentially more equitable outcomes. People are far more likely to follow advice that feels realistic, respectful and relevant.  </w:t>
      </w:r>
    </w:p>
    <w:p w14:paraId="107322BF" w14:textId="479DDCD8" w:rsidR="00610369" w:rsidRPr="00F97153" w:rsidRDefault="00610369" w:rsidP="008A3D91">
      <w:pPr>
        <w:spacing w:line="360" w:lineRule="auto"/>
        <w:jc w:val="both"/>
        <w:rPr>
          <w:rFonts w:ascii="Arial" w:hAnsi="Arial" w:cs="Arial"/>
          <w:sz w:val="22"/>
          <w:szCs w:val="22"/>
        </w:rPr>
      </w:pPr>
      <w:r w:rsidRPr="00F97153">
        <w:rPr>
          <w:rFonts w:ascii="Arial" w:hAnsi="Arial" w:cs="Arial"/>
          <w:sz w:val="22"/>
          <w:szCs w:val="22"/>
        </w:rPr>
        <w:t>The barrier is that tailored intervention takes more design effort, workforce training and local engagement than standardised messaging.  There is also a risk of tokenism, where services claim to be person-centred without making meaningful adaption.  This can be addressed through co-production with service users and local communities, ensuring programmes are shaped by the people most affected rather than imposed on them</w:t>
      </w:r>
      <w:r w:rsidR="00F97153" w:rsidRPr="00F97153">
        <w:rPr>
          <w:rFonts w:ascii="Arial" w:hAnsi="Arial" w:cs="Arial"/>
          <w:sz w:val="22"/>
          <w:szCs w:val="22"/>
        </w:rPr>
        <w:t xml:space="preserve"> </w:t>
      </w:r>
      <w:r w:rsidR="00F97153" w:rsidRPr="00F97153">
        <w:rPr>
          <w:rFonts w:ascii="Arial" w:hAnsi="Arial" w:cs="Arial"/>
          <w:color w:val="000000"/>
          <w:sz w:val="22"/>
          <w:szCs w:val="22"/>
        </w:rPr>
        <w:t>(Conquer et al., 2024)</w:t>
      </w:r>
      <w:r w:rsidRPr="00F97153">
        <w:rPr>
          <w:rFonts w:ascii="Arial" w:hAnsi="Arial" w:cs="Arial"/>
          <w:sz w:val="22"/>
          <w:szCs w:val="22"/>
        </w:rPr>
        <w:t xml:space="preserve">. </w:t>
      </w:r>
    </w:p>
    <w:p w14:paraId="35D257C9" w14:textId="77777777" w:rsidR="001C34F5" w:rsidRPr="005C5E80" w:rsidRDefault="001C34F5" w:rsidP="008A3D91">
      <w:pPr>
        <w:pStyle w:val="Heading1"/>
        <w:jc w:val="both"/>
        <w:rPr>
          <w:rFonts w:ascii="Aptos" w:hAnsi="Aptos"/>
          <w:sz w:val="28"/>
          <w:szCs w:val="28"/>
        </w:rPr>
      </w:pPr>
    </w:p>
    <w:p w14:paraId="617E8C70" w14:textId="3B1CA50F" w:rsidR="001C34F5" w:rsidRPr="00E52633" w:rsidRDefault="001C34F5" w:rsidP="008A3D91">
      <w:pPr>
        <w:pStyle w:val="Heading1"/>
        <w:ind w:left="0"/>
        <w:jc w:val="both"/>
        <w:rPr>
          <w:rFonts w:cs="Arial"/>
        </w:rPr>
      </w:pPr>
      <w:r w:rsidRPr="00E52633">
        <w:rPr>
          <w:rFonts w:cs="Arial"/>
        </w:rPr>
        <w:t>5.2.3 – Recommendation 3</w:t>
      </w:r>
      <w:r w:rsidR="00610369" w:rsidRPr="00E52633">
        <w:rPr>
          <w:rFonts w:cs="Arial"/>
        </w:rPr>
        <w:t>: Shift policy further upstream by addressing obesity and deprivation as drivers of diabetes risk</w:t>
      </w:r>
    </w:p>
    <w:p w14:paraId="54F51693" w14:textId="596FF558" w:rsidR="0031157E" w:rsidRDefault="0031157E" w:rsidP="008A3D91">
      <w:pPr>
        <w:pStyle w:val="Heading1"/>
        <w:ind w:left="0"/>
        <w:jc w:val="both"/>
        <w:rPr>
          <w:rFonts w:cs="Arial"/>
          <w:sz w:val="22"/>
          <w:szCs w:val="22"/>
        </w:rPr>
      </w:pPr>
    </w:p>
    <w:p w14:paraId="3724190C" w14:textId="1EB2ACDA" w:rsidR="0031157E" w:rsidRPr="00B15E54" w:rsidRDefault="009339DC" w:rsidP="008A3D91">
      <w:pPr>
        <w:spacing w:line="360" w:lineRule="auto"/>
        <w:jc w:val="both"/>
        <w:rPr>
          <w:rFonts w:ascii="Arial" w:hAnsi="Arial" w:cs="Arial"/>
          <w:sz w:val="22"/>
          <w:szCs w:val="22"/>
        </w:rPr>
      </w:pPr>
      <w:r w:rsidRPr="00B15E54">
        <w:rPr>
          <w:rFonts w:ascii="Arial" w:hAnsi="Arial" w:cs="Arial"/>
          <w:sz w:val="22"/>
          <w:szCs w:val="22"/>
        </w:rPr>
        <w:t>The final recommendation is that future practice should place stronger emphasis on upstream prevention. The dissertation findings repeatedly show that T2DM is not driven only by personal behaviour but by obesogenic and unequal environments.</w:t>
      </w:r>
      <w:r w:rsidR="00504D1F" w:rsidRPr="00B15E54">
        <w:rPr>
          <w:rFonts w:ascii="Arial" w:hAnsi="Arial" w:cs="Arial"/>
          <w:sz w:val="22"/>
          <w:szCs w:val="22"/>
        </w:rPr>
        <w:t xml:space="preserve">  National obesity data remain high, and the literature shows clear links between deprivation, poor access to healthy food, lower preventive care uptake and increased diabetes risk.  If prevention remains focused only on individual advice after risk has already accumulated, then long-term reduction in prevalence is likely to remain limited</w:t>
      </w:r>
      <w:r w:rsidR="00B15E54" w:rsidRPr="00B15E54">
        <w:rPr>
          <w:rFonts w:ascii="Arial" w:hAnsi="Arial" w:cs="Arial"/>
          <w:sz w:val="22"/>
          <w:szCs w:val="22"/>
        </w:rPr>
        <w:t xml:space="preserve"> </w:t>
      </w:r>
      <w:r w:rsidR="00B15E54" w:rsidRPr="00B15E54">
        <w:rPr>
          <w:rFonts w:ascii="Arial" w:hAnsi="Arial" w:cs="Arial"/>
          <w:color w:val="000000"/>
          <w:sz w:val="22"/>
          <w:szCs w:val="22"/>
        </w:rPr>
        <w:t>(Ahmed and Mohammed, 2025)</w:t>
      </w:r>
      <w:r w:rsidR="00504D1F" w:rsidRPr="00B15E54">
        <w:rPr>
          <w:rFonts w:ascii="Arial" w:hAnsi="Arial" w:cs="Arial"/>
          <w:sz w:val="22"/>
          <w:szCs w:val="22"/>
        </w:rPr>
        <w:t>.</w:t>
      </w:r>
    </w:p>
    <w:p w14:paraId="78ABE45A" w14:textId="75644D86" w:rsidR="00504D1F" w:rsidRDefault="00504D1F" w:rsidP="008A3D91">
      <w:pPr>
        <w:pStyle w:val="Heading1"/>
        <w:spacing w:line="360" w:lineRule="auto"/>
        <w:ind w:left="0"/>
        <w:jc w:val="both"/>
        <w:rPr>
          <w:rFonts w:cs="Arial"/>
          <w:b w:val="0"/>
          <w:bCs/>
          <w:sz w:val="22"/>
          <w:szCs w:val="22"/>
        </w:rPr>
      </w:pPr>
    </w:p>
    <w:p w14:paraId="23FEFF33" w14:textId="46150BDA" w:rsidR="00504D1F" w:rsidRDefault="00504D1F" w:rsidP="008A3D91">
      <w:pPr>
        <w:pStyle w:val="Heading1"/>
        <w:spacing w:line="360" w:lineRule="auto"/>
        <w:ind w:left="0"/>
        <w:jc w:val="both"/>
        <w:rPr>
          <w:rFonts w:cs="Arial"/>
          <w:b w:val="0"/>
          <w:bCs/>
          <w:sz w:val="22"/>
          <w:szCs w:val="22"/>
        </w:rPr>
      </w:pPr>
      <w:r>
        <w:rPr>
          <w:rFonts w:cs="Arial"/>
          <w:b w:val="0"/>
          <w:bCs/>
          <w:sz w:val="22"/>
          <w:szCs w:val="22"/>
        </w:rPr>
        <w:t>In practice, this means greater alignment between diabetes strategy and wider public health action on poverty, local food environments, integrated care systems and NHS organisations should use population data to identify areas of greatest metabolic risk and prioritise them for preventive investment.  This could include improved access to affordable healthy food, more local weight management support, and environmental planning that makes physical activity more feasible.</w:t>
      </w:r>
    </w:p>
    <w:p w14:paraId="30747D11" w14:textId="7FEECAF7" w:rsidR="00504D1F" w:rsidRDefault="00504D1F" w:rsidP="008A3D91">
      <w:pPr>
        <w:pStyle w:val="Heading1"/>
        <w:spacing w:line="360" w:lineRule="auto"/>
        <w:ind w:left="0"/>
        <w:jc w:val="both"/>
        <w:rPr>
          <w:rFonts w:cs="Arial"/>
          <w:b w:val="0"/>
          <w:bCs/>
          <w:sz w:val="22"/>
          <w:szCs w:val="22"/>
        </w:rPr>
      </w:pPr>
    </w:p>
    <w:p w14:paraId="6B124754" w14:textId="13C61F12" w:rsidR="008A3D91" w:rsidRPr="00884194" w:rsidRDefault="00504D1F" w:rsidP="00884194">
      <w:pPr>
        <w:pStyle w:val="Heading1"/>
        <w:spacing w:line="360" w:lineRule="auto"/>
        <w:ind w:left="0"/>
        <w:jc w:val="both"/>
        <w:rPr>
          <w:rFonts w:cs="Arial"/>
          <w:b w:val="0"/>
          <w:bCs/>
          <w:sz w:val="22"/>
          <w:szCs w:val="22"/>
        </w:rPr>
      </w:pPr>
      <w:r>
        <w:rPr>
          <w:rFonts w:cs="Arial"/>
          <w:b w:val="0"/>
          <w:bCs/>
          <w:sz w:val="22"/>
          <w:szCs w:val="22"/>
        </w:rPr>
        <w:t>The strength of this recommendation is that it targets root causes rather than relying entirely on downstream treatment.  It may also produce wider benefits beyond diabetes, including lower cardiovascular risk and improved general health.  The barrier is that upstream action is politically harder and often slower to show results than clinical interventions.  It requires</w:t>
      </w:r>
      <w:r w:rsidR="00263303">
        <w:rPr>
          <w:rFonts w:cs="Arial"/>
          <w:b w:val="0"/>
          <w:bCs/>
          <w:sz w:val="22"/>
          <w:szCs w:val="22"/>
        </w:rPr>
        <w:t xml:space="preserve"> cross-sector cooperation, long-term funding and a </w:t>
      </w:r>
      <w:r w:rsidR="00FF6A5D">
        <w:rPr>
          <w:rFonts w:cs="Arial"/>
          <w:b w:val="0"/>
          <w:bCs/>
          <w:sz w:val="22"/>
          <w:szCs w:val="22"/>
        </w:rPr>
        <w:t>willingness to tackle inequality directly.  These challenges can be partly overcome by linking local diabetes data to commissioning priorities and by evaluating prevention not only in terms of short-term output, but in relation to long-term reductions in inequality and disease burden.  Bluntly, the NHS cannot treat its way out a preventable epidemic if the conditions generating that epidemic are left untouched</w:t>
      </w:r>
    </w:p>
    <w:p w14:paraId="087B503D" w14:textId="4B8CE869" w:rsidR="002C0BD1" w:rsidRDefault="002C0BD1" w:rsidP="004C50C0">
      <w:pPr>
        <w:spacing w:line="360" w:lineRule="auto"/>
        <w:jc w:val="center"/>
      </w:pPr>
      <w:r>
        <w:lastRenderedPageBreak/>
        <w:t>SOURCE TRACKING TABLE</w:t>
      </w:r>
    </w:p>
    <w:p w14:paraId="5B4C4042" w14:textId="77777777" w:rsidR="002C0BD1" w:rsidRDefault="002C0BD1" w:rsidP="00903B48">
      <w:pPr>
        <w:spacing w:line="360" w:lineRule="auto"/>
      </w:pPr>
    </w:p>
    <w:tbl>
      <w:tblPr>
        <w:tblStyle w:val="TableGrid"/>
        <w:tblW w:w="11058" w:type="dxa"/>
        <w:tblInd w:w="-998" w:type="dxa"/>
        <w:tblLayout w:type="fixed"/>
        <w:tblLook w:val="04A0" w:firstRow="1" w:lastRow="0" w:firstColumn="1" w:lastColumn="0" w:noHBand="0" w:noVBand="1"/>
      </w:tblPr>
      <w:tblGrid>
        <w:gridCol w:w="1283"/>
        <w:gridCol w:w="1576"/>
        <w:gridCol w:w="1469"/>
        <w:gridCol w:w="2619"/>
        <w:gridCol w:w="4111"/>
      </w:tblGrid>
      <w:tr w:rsidR="009E2E17" w14:paraId="609B3FCD" w14:textId="77777777" w:rsidTr="00D43B21">
        <w:trPr>
          <w:trHeight w:val="813"/>
        </w:trPr>
        <w:tc>
          <w:tcPr>
            <w:tcW w:w="1283" w:type="dxa"/>
          </w:tcPr>
          <w:p w14:paraId="0D1B0D01" w14:textId="5E58EBD8" w:rsidR="009E2E17" w:rsidRDefault="009E2E17" w:rsidP="00903B48">
            <w:pPr>
              <w:spacing w:line="360" w:lineRule="auto"/>
            </w:pPr>
            <w:r>
              <w:t>Author (</w:t>
            </w:r>
            <w:r w:rsidR="00037342">
              <w:t>s) &amp;</w:t>
            </w:r>
            <w:r>
              <w:t xml:space="preserve"> Year</w:t>
            </w:r>
          </w:p>
        </w:tc>
        <w:tc>
          <w:tcPr>
            <w:tcW w:w="1576" w:type="dxa"/>
          </w:tcPr>
          <w:p w14:paraId="61CE99A8" w14:textId="72F6BF69" w:rsidR="009E2E17" w:rsidRDefault="009E2E17" w:rsidP="00903B48">
            <w:pPr>
              <w:spacing w:line="360" w:lineRule="auto"/>
            </w:pPr>
            <w:r>
              <w:t>Title</w:t>
            </w:r>
          </w:p>
        </w:tc>
        <w:tc>
          <w:tcPr>
            <w:tcW w:w="1469" w:type="dxa"/>
          </w:tcPr>
          <w:p w14:paraId="4DE9A802" w14:textId="5371D3A6" w:rsidR="009E2E17" w:rsidRDefault="009E2E17" w:rsidP="00903B48">
            <w:pPr>
              <w:spacing w:line="360" w:lineRule="auto"/>
            </w:pPr>
            <w:r>
              <w:t>Summary</w:t>
            </w:r>
          </w:p>
        </w:tc>
        <w:tc>
          <w:tcPr>
            <w:tcW w:w="2619" w:type="dxa"/>
          </w:tcPr>
          <w:p w14:paraId="17DF36BC" w14:textId="0F64501F" w:rsidR="009E2E17" w:rsidRDefault="009E2E17" w:rsidP="00903B48">
            <w:pPr>
              <w:spacing w:line="360" w:lineRule="auto"/>
            </w:pPr>
            <w:r>
              <w:t>CRAAP Notes</w:t>
            </w:r>
          </w:p>
        </w:tc>
        <w:tc>
          <w:tcPr>
            <w:tcW w:w="4111" w:type="dxa"/>
          </w:tcPr>
          <w:p w14:paraId="69439440" w14:textId="0F3816E3" w:rsidR="009E2E17" w:rsidRDefault="009E2E17" w:rsidP="00903B48">
            <w:pPr>
              <w:spacing w:line="360" w:lineRule="auto"/>
            </w:pPr>
            <w:r>
              <w:t>Link to Source</w:t>
            </w:r>
          </w:p>
        </w:tc>
      </w:tr>
      <w:tr w:rsidR="009E2E17" w14:paraId="57A1493D" w14:textId="77777777" w:rsidTr="00D43B21">
        <w:trPr>
          <w:trHeight w:val="6134"/>
        </w:trPr>
        <w:tc>
          <w:tcPr>
            <w:tcW w:w="1283" w:type="dxa"/>
          </w:tcPr>
          <w:p w14:paraId="6E615D4B" w14:textId="03DE64F5" w:rsidR="009E2E17" w:rsidRDefault="00FF1E56" w:rsidP="00903B48">
            <w:pPr>
              <w:spacing w:line="360" w:lineRule="auto"/>
            </w:pPr>
            <w:r>
              <w:t>Mcmanus et al.</w:t>
            </w:r>
            <w:r w:rsidR="007C2788">
              <w:t xml:space="preserve"> 2022</w:t>
            </w:r>
          </w:p>
        </w:tc>
        <w:tc>
          <w:tcPr>
            <w:tcW w:w="1576" w:type="dxa"/>
          </w:tcPr>
          <w:p w14:paraId="28450A0C" w14:textId="38F70F9F" w:rsidR="009E2E17" w:rsidRDefault="0055345C" w:rsidP="00903B48">
            <w:pPr>
              <w:spacing w:line="360" w:lineRule="auto"/>
            </w:pPr>
            <w:r>
              <w:rPr>
                <w:color w:val="000000"/>
              </w:rPr>
              <w:t>Population Level Impact of the NHS Diabetes Prevention Programme on Incidence of Type 2 Diabetes in England</w:t>
            </w:r>
          </w:p>
        </w:tc>
        <w:tc>
          <w:tcPr>
            <w:tcW w:w="1469" w:type="dxa"/>
          </w:tcPr>
          <w:p w14:paraId="7B9F3550" w14:textId="456E4184" w:rsidR="009E2E17" w:rsidRDefault="0055345C" w:rsidP="00903B48">
            <w:pPr>
              <w:spacing w:line="360" w:lineRule="auto"/>
            </w:pPr>
            <w:r>
              <w:t xml:space="preserve">This article focuses on current prevention programmes which are available through NHS provision current incidence rates. </w:t>
            </w:r>
          </w:p>
        </w:tc>
        <w:tc>
          <w:tcPr>
            <w:tcW w:w="2619" w:type="dxa"/>
          </w:tcPr>
          <w:p w14:paraId="7791B4C2" w14:textId="4CB1869B" w:rsidR="009E2E17" w:rsidRDefault="0055345C" w:rsidP="00903B48">
            <w:pPr>
              <w:spacing w:line="360" w:lineRule="auto"/>
            </w:pPr>
            <w:r w:rsidRPr="003C2D4E">
              <w:rPr>
                <w:color w:val="000000" w:themeColor="text1"/>
              </w:rPr>
              <w:t>Currency</w:t>
            </w:r>
            <w:r w:rsidRPr="003C2D4E">
              <w:t xml:space="preserve"> </w:t>
            </w:r>
            <w:r>
              <w:t>- 2022</w:t>
            </w:r>
          </w:p>
          <w:p w14:paraId="515A8423" w14:textId="37E0320A" w:rsidR="0055345C" w:rsidRDefault="0055345C" w:rsidP="00903B48">
            <w:pPr>
              <w:spacing w:line="360" w:lineRule="auto"/>
            </w:pPr>
            <w:r>
              <w:t xml:space="preserve">Relevance – yes because the article is about Diabetes. </w:t>
            </w:r>
          </w:p>
          <w:p w14:paraId="74A903DB" w14:textId="1322AEB8" w:rsidR="0055345C" w:rsidRDefault="0055345C" w:rsidP="00903B48">
            <w:pPr>
              <w:spacing w:line="360" w:lineRule="auto"/>
            </w:pPr>
            <w:r>
              <w:t xml:space="preserve">Authority – Peer reviewed Journal </w:t>
            </w:r>
          </w:p>
          <w:p w14:paraId="5256A42A" w14:textId="777B0073" w:rsidR="0055345C" w:rsidRDefault="0055345C" w:rsidP="00903B48">
            <w:pPr>
              <w:spacing w:line="360" w:lineRule="auto"/>
            </w:pPr>
            <w:r>
              <w:t>Accuracy - Yes</w:t>
            </w:r>
          </w:p>
          <w:p w14:paraId="25CD3ECB" w14:textId="0437801F" w:rsidR="0055345C" w:rsidRDefault="0055345C" w:rsidP="00903B48">
            <w:pPr>
              <w:spacing w:line="360" w:lineRule="auto"/>
            </w:pPr>
            <w:r>
              <w:t>Purpose - Yes</w:t>
            </w:r>
          </w:p>
        </w:tc>
        <w:tc>
          <w:tcPr>
            <w:tcW w:w="4111" w:type="dxa"/>
          </w:tcPr>
          <w:p w14:paraId="4DEEA79E" w14:textId="3788C974" w:rsidR="009E2E17" w:rsidRDefault="00F86226" w:rsidP="00903B48">
            <w:pPr>
              <w:spacing w:line="360" w:lineRule="auto"/>
            </w:pPr>
            <w:hyperlink r:id="rId7" w:history="1">
              <w:r w:rsidR="0055345C" w:rsidRPr="000C100F">
                <w:rPr>
                  <w:rStyle w:val="Hyperlink"/>
                </w:rPr>
                <w:t>https://pubmed.ncbi.nlm.nih.gov/35664052/</w:t>
              </w:r>
            </w:hyperlink>
            <w:r w:rsidR="0055345C">
              <w:t xml:space="preserve"> </w:t>
            </w:r>
          </w:p>
        </w:tc>
      </w:tr>
      <w:tr w:rsidR="009E2E17" w14:paraId="2FF67ECE" w14:textId="77777777" w:rsidTr="00D43B21">
        <w:trPr>
          <w:trHeight w:val="1220"/>
        </w:trPr>
        <w:tc>
          <w:tcPr>
            <w:tcW w:w="1283" w:type="dxa"/>
          </w:tcPr>
          <w:p w14:paraId="10700435" w14:textId="008B14A8" w:rsidR="009E2E17" w:rsidRDefault="009C0239" w:rsidP="00903B48">
            <w:pPr>
              <w:spacing w:line="360" w:lineRule="auto"/>
            </w:pPr>
            <w:r>
              <w:t>Reed et al. (2021)</w:t>
            </w:r>
          </w:p>
        </w:tc>
        <w:tc>
          <w:tcPr>
            <w:tcW w:w="1576" w:type="dxa"/>
          </w:tcPr>
          <w:p w14:paraId="345E0D0B" w14:textId="05A034A0" w:rsidR="009E2E17" w:rsidRDefault="009C0239" w:rsidP="00903B48">
            <w:pPr>
              <w:spacing w:line="360" w:lineRule="auto"/>
            </w:pPr>
            <w:r>
              <w:t>T2DM Epidemiology Review</w:t>
            </w:r>
          </w:p>
        </w:tc>
        <w:tc>
          <w:tcPr>
            <w:tcW w:w="1469" w:type="dxa"/>
          </w:tcPr>
          <w:p w14:paraId="172723C8" w14:textId="0671799F" w:rsidR="009E2E17" w:rsidRDefault="00BB14E4" w:rsidP="00903B48">
            <w:pPr>
              <w:spacing w:line="360" w:lineRule="auto"/>
            </w:pPr>
            <w:r>
              <w:t>Overview of prevalence &amp; causes</w:t>
            </w:r>
          </w:p>
        </w:tc>
        <w:tc>
          <w:tcPr>
            <w:tcW w:w="2619" w:type="dxa"/>
          </w:tcPr>
          <w:p w14:paraId="1690AB1F" w14:textId="77777777" w:rsidR="009E2E17" w:rsidRDefault="00F86226" w:rsidP="00903B48">
            <w:pPr>
              <w:spacing w:line="360" w:lineRule="auto"/>
            </w:pPr>
            <w:r>
              <w:t>Currency – Published in 2021</w:t>
            </w:r>
          </w:p>
          <w:p w14:paraId="017CEA16" w14:textId="77777777" w:rsidR="00F86226" w:rsidRDefault="00F86226" w:rsidP="00903B48">
            <w:pPr>
              <w:spacing w:line="360" w:lineRule="auto"/>
            </w:pPr>
            <w:r>
              <w:t>Relevance – Directly relevant as it explores prevalence, causes, and disease mechanisms</w:t>
            </w:r>
          </w:p>
          <w:p w14:paraId="306EC3C4" w14:textId="77777777" w:rsidR="00F86226" w:rsidRDefault="00F86226" w:rsidP="00903B48">
            <w:pPr>
              <w:spacing w:line="360" w:lineRule="auto"/>
            </w:pPr>
            <w:r>
              <w:t>Authority – Peer reviewed journal</w:t>
            </w:r>
          </w:p>
          <w:p w14:paraId="0170AB4E" w14:textId="77777777" w:rsidR="00F86226" w:rsidRDefault="00F86226" w:rsidP="00903B48">
            <w:pPr>
              <w:spacing w:line="360" w:lineRule="auto"/>
            </w:pPr>
            <w:r>
              <w:t>Accuracy – Based on comprehensive review of existing</w:t>
            </w:r>
            <w:r w:rsidR="00E02EC1">
              <w:t xml:space="preserve"> scientific evidence</w:t>
            </w:r>
          </w:p>
          <w:p w14:paraId="53947FC1" w14:textId="47828724" w:rsidR="00E02EC1" w:rsidRDefault="00E02EC1" w:rsidP="00903B48">
            <w:pPr>
              <w:spacing w:line="360" w:lineRule="auto"/>
            </w:pPr>
            <w:r>
              <w:t xml:space="preserve">Purpose – To provide an overview of T2DM </w:t>
            </w:r>
            <w:r>
              <w:lastRenderedPageBreak/>
              <w:t>epidemiology and contributing factors.</w:t>
            </w:r>
          </w:p>
        </w:tc>
        <w:tc>
          <w:tcPr>
            <w:tcW w:w="4111" w:type="dxa"/>
          </w:tcPr>
          <w:p w14:paraId="02F5EFA0" w14:textId="09E8A032" w:rsidR="009E2E17" w:rsidRDefault="00265409" w:rsidP="00903B48">
            <w:pPr>
              <w:spacing w:line="360" w:lineRule="auto"/>
            </w:pPr>
            <w:r w:rsidRPr="00265409">
              <w:lastRenderedPageBreak/>
              <w:t>https://pmc.ncbi.nlm.nih.gov/articles/PMC8369920/</w:t>
            </w:r>
          </w:p>
        </w:tc>
      </w:tr>
      <w:tr w:rsidR="009E2E17" w14:paraId="1B02462A" w14:textId="77777777" w:rsidTr="00D43B21">
        <w:trPr>
          <w:trHeight w:val="1627"/>
        </w:trPr>
        <w:tc>
          <w:tcPr>
            <w:tcW w:w="1283" w:type="dxa"/>
          </w:tcPr>
          <w:p w14:paraId="199D616B" w14:textId="76B6A726" w:rsidR="009E2E17" w:rsidRDefault="009C0239" w:rsidP="00903B48">
            <w:pPr>
              <w:spacing w:line="360" w:lineRule="auto"/>
            </w:pPr>
            <w:r>
              <w:t>Diabetes UK (2023)</w:t>
            </w:r>
          </w:p>
        </w:tc>
        <w:tc>
          <w:tcPr>
            <w:tcW w:w="1576" w:type="dxa"/>
          </w:tcPr>
          <w:p w14:paraId="45AF020A" w14:textId="5512F5E2" w:rsidR="009E2E17" w:rsidRDefault="009C0239" w:rsidP="00903B48">
            <w:pPr>
              <w:spacing w:line="360" w:lineRule="auto"/>
            </w:pPr>
            <w:r>
              <w:t>UK Diabetes Statistics</w:t>
            </w:r>
          </w:p>
        </w:tc>
        <w:tc>
          <w:tcPr>
            <w:tcW w:w="1469" w:type="dxa"/>
          </w:tcPr>
          <w:p w14:paraId="65EE0E00" w14:textId="13919541" w:rsidR="009E2E17" w:rsidRDefault="00BB14E4" w:rsidP="00903B48">
            <w:pPr>
              <w:spacing w:line="360" w:lineRule="auto"/>
            </w:pPr>
            <w:r>
              <w:t>Provides prevalence data</w:t>
            </w:r>
          </w:p>
        </w:tc>
        <w:tc>
          <w:tcPr>
            <w:tcW w:w="2619" w:type="dxa"/>
          </w:tcPr>
          <w:p w14:paraId="326D59DA" w14:textId="77777777" w:rsidR="009E2E17" w:rsidRDefault="000D5178" w:rsidP="00903B48">
            <w:pPr>
              <w:spacing w:line="360" w:lineRule="auto"/>
            </w:pPr>
            <w:r>
              <w:t>Currency – Published in 2023, ensuring current statistics</w:t>
            </w:r>
          </w:p>
          <w:p w14:paraId="3B39BC98" w14:textId="77777777" w:rsidR="000D5178" w:rsidRDefault="000D5178" w:rsidP="00903B48">
            <w:pPr>
              <w:spacing w:line="360" w:lineRule="auto"/>
            </w:pPr>
            <w:r>
              <w:t>Relevance – Highly relevant as it provides UK-specific prevalence data</w:t>
            </w:r>
          </w:p>
          <w:p w14:paraId="36EF20CB" w14:textId="77777777" w:rsidR="000D5178" w:rsidRDefault="000D5178" w:rsidP="00903B48">
            <w:pPr>
              <w:spacing w:line="360" w:lineRule="auto"/>
            </w:pPr>
            <w:r>
              <w:t>Authority – Produced by Diabetes UK, a leading national charity and trusted authority on diabetes</w:t>
            </w:r>
          </w:p>
          <w:p w14:paraId="30E8ECA4" w14:textId="77777777" w:rsidR="000D5178" w:rsidRDefault="000D5178" w:rsidP="00903B48">
            <w:pPr>
              <w:spacing w:line="360" w:lineRule="auto"/>
            </w:pPr>
            <w:r>
              <w:t>Accuracy – Data is derived from national datasets and public health sources</w:t>
            </w:r>
          </w:p>
          <w:p w14:paraId="789C0411" w14:textId="37E3E4DF" w:rsidR="000D5178" w:rsidRDefault="000D5178" w:rsidP="00903B48">
            <w:pPr>
              <w:spacing w:line="360" w:lineRule="auto"/>
            </w:pPr>
            <w:r>
              <w:t>Purpose – To inform public and healthcare professionals about diabetes prevalence and impact</w:t>
            </w:r>
          </w:p>
        </w:tc>
        <w:tc>
          <w:tcPr>
            <w:tcW w:w="4111" w:type="dxa"/>
          </w:tcPr>
          <w:p w14:paraId="1454F9DD" w14:textId="3E08BFD5" w:rsidR="009E2E17" w:rsidRDefault="00122C40" w:rsidP="00903B48">
            <w:pPr>
              <w:spacing w:line="360" w:lineRule="auto"/>
            </w:pPr>
            <w:r>
              <w:rPr>
                <w:color w:val="000000"/>
              </w:rPr>
              <w:t>https://www.diabetes.org.uk/about-us/about-the-charity/our-strategy/statistics</w:t>
            </w:r>
          </w:p>
        </w:tc>
      </w:tr>
      <w:tr w:rsidR="009E2E17" w14:paraId="0AB08D3C" w14:textId="77777777" w:rsidTr="00D43B21">
        <w:trPr>
          <w:trHeight w:val="1643"/>
        </w:trPr>
        <w:tc>
          <w:tcPr>
            <w:tcW w:w="1283" w:type="dxa"/>
          </w:tcPr>
          <w:p w14:paraId="6125C3DA" w14:textId="2F8B4125" w:rsidR="009E2E17" w:rsidRDefault="009C0239" w:rsidP="00903B48">
            <w:pPr>
              <w:spacing w:line="360" w:lineRule="auto"/>
            </w:pPr>
            <w:r>
              <w:t>Kyrou et al. (2020)</w:t>
            </w:r>
          </w:p>
        </w:tc>
        <w:tc>
          <w:tcPr>
            <w:tcW w:w="1576" w:type="dxa"/>
          </w:tcPr>
          <w:p w14:paraId="00D773CA" w14:textId="15968B04" w:rsidR="009E2E17" w:rsidRDefault="009C0239" w:rsidP="00903B48">
            <w:pPr>
              <w:spacing w:line="360" w:lineRule="auto"/>
            </w:pPr>
            <w:r>
              <w:t>Risk Factors Review</w:t>
            </w:r>
          </w:p>
        </w:tc>
        <w:tc>
          <w:tcPr>
            <w:tcW w:w="1469" w:type="dxa"/>
          </w:tcPr>
          <w:p w14:paraId="6481CDF1" w14:textId="482B1C96" w:rsidR="009E2E17" w:rsidRDefault="00BB14E4" w:rsidP="00903B48">
            <w:pPr>
              <w:spacing w:line="360" w:lineRule="auto"/>
            </w:pPr>
            <w:r>
              <w:t>Identifies lifestyle and demographic risks</w:t>
            </w:r>
          </w:p>
        </w:tc>
        <w:tc>
          <w:tcPr>
            <w:tcW w:w="2619" w:type="dxa"/>
          </w:tcPr>
          <w:p w14:paraId="0C8FA278" w14:textId="77777777" w:rsidR="009E2E17" w:rsidRDefault="000D5178" w:rsidP="00903B48">
            <w:pPr>
              <w:spacing w:line="360" w:lineRule="auto"/>
            </w:pPr>
            <w:r>
              <w:t>Currency – Published 2020, still relevant within the 10-year inclusion criteria</w:t>
            </w:r>
          </w:p>
          <w:p w14:paraId="59F0E5F7" w14:textId="77777777" w:rsidR="000D5178" w:rsidRDefault="000D5178" w:rsidP="00903B48">
            <w:pPr>
              <w:spacing w:line="360" w:lineRule="auto"/>
            </w:pPr>
            <w:r>
              <w:t>Relevance – Highly relevant as it explores lifestyle and demographic risk factors for T2DM</w:t>
            </w:r>
          </w:p>
          <w:p w14:paraId="471A3E9D" w14:textId="77777777" w:rsidR="000D5178" w:rsidRDefault="000D5178" w:rsidP="00903B48">
            <w:pPr>
              <w:spacing w:line="360" w:lineRule="auto"/>
            </w:pPr>
            <w:r>
              <w:lastRenderedPageBreak/>
              <w:t xml:space="preserve">Authority – Peer-reviewed </w:t>
            </w:r>
          </w:p>
          <w:p w14:paraId="639E9A55" w14:textId="77777777" w:rsidR="000D5178" w:rsidRDefault="000D5178" w:rsidP="00903B48">
            <w:pPr>
              <w:spacing w:line="360" w:lineRule="auto"/>
            </w:pPr>
            <w:r>
              <w:t>Accuracy – Based on a narrative review of European and global data</w:t>
            </w:r>
          </w:p>
          <w:p w14:paraId="62C69448" w14:textId="79F23182" w:rsidR="000D5178" w:rsidRDefault="000D5178" w:rsidP="00903B48">
            <w:pPr>
              <w:spacing w:line="360" w:lineRule="auto"/>
            </w:pPr>
            <w:r>
              <w:t>Purpose – To identify key populations at risk of developing T2DM</w:t>
            </w:r>
          </w:p>
        </w:tc>
        <w:tc>
          <w:tcPr>
            <w:tcW w:w="4111" w:type="dxa"/>
          </w:tcPr>
          <w:p w14:paraId="77336B84" w14:textId="19A1F980" w:rsidR="009E2E17" w:rsidRDefault="00122C40" w:rsidP="00903B48">
            <w:pPr>
              <w:spacing w:line="360" w:lineRule="auto"/>
            </w:pPr>
            <w:r w:rsidRPr="00122C40">
              <w:lastRenderedPageBreak/>
              <w:t>https://pubmed.ncbi.nlm.nih.gov/32164656/</w:t>
            </w:r>
          </w:p>
        </w:tc>
      </w:tr>
      <w:tr w:rsidR="009E2E17" w14:paraId="41E84473" w14:textId="77777777" w:rsidTr="00D43B21">
        <w:trPr>
          <w:trHeight w:val="1204"/>
        </w:trPr>
        <w:tc>
          <w:tcPr>
            <w:tcW w:w="1283" w:type="dxa"/>
          </w:tcPr>
          <w:p w14:paraId="19A014FC" w14:textId="30077E19" w:rsidR="009E2E17" w:rsidRDefault="00243767" w:rsidP="00903B48">
            <w:pPr>
              <w:spacing w:line="360" w:lineRule="auto"/>
            </w:pPr>
            <w:r>
              <w:t>Marmot (2017)</w:t>
            </w:r>
          </w:p>
        </w:tc>
        <w:tc>
          <w:tcPr>
            <w:tcW w:w="1576" w:type="dxa"/>
          </w:tcPr>
          <w:p w14:paraId="2D51C31E" w14:textId="2B668ECA" w:rsidR="00243767" w:rsidRDefault="00243767" w:rsidP="00903B48">
            <w:pPr>
              <w:spacing w:line="360" w:lineRule="auto"/>
            </w:pPr>
            <w:r>
              <w:t>Health Inequality Theory</w:t>
            </w:r>
          </w:p>
        </w:tc>
        <w:tc>
          <w:tcPr>
            <w:tcW w:w="1469" w:type="dxa"/>
          </w:tcPr>
          <w:p w14:paraId="34B718E3" w14:textId="74DF499D" w:rsidR="009E2E17" w:rsidRDefault="00BB14E4" w:rsidP="00903B48">
            <w:pPr>
              <w:spacing w:line="360" w:lineRule="auto"/>
            </w:pPr>
            <w:r>
              <w:t>Explains social determinants</w:t>
            </w:r>
          </w:p>
        </w:tc>
        <w:tc>
          <w:tcPr>
            <w:tcW w:w="2619" w:type="dxa"/>
          </w:tcPr>
          <w:p w14:paraId="5796ED1E" w14:textId="77777777" w:rsidR="009E2E17" w:rsidRDefault="00C04B00" w:rsidP="00903B48">
            <w:pPr>
              <w:spacing w:line="360" w:lineRule="auto"/>
            </w:pPr>
            <w:r>
              <w:t>Currency – Published 2017; slightly older but still relevant for theoretical frameworks on health ineq</w:t>
            </w:r>
            <w:r w:rsidR="00D43B21">
              <w:t>uality</w:t>
            </w:r>
          </w:p>
          <w:p w14:paraId="5473C949" w14:textId="77777777" w:rsidR="00D43B21" w:rsidRDefault="00D43B21" w:rsidP="00903B48">
            <w:pPr>
              <w:spacing w:line="360" w:lineRule="auto"/>
            </w:pPr>
            <w:r>
              <w:t>Relevance – Directly relevant to understanding socioeconomic determinants of T2DM</w:t>
            </w:r>
          </w:p>
          <w:p w14:paraId="565735B8" w14:textId="77777777" w:rsidR="00D43B21" w:rsidRDefault="00D43B21" w:rsidP="00903B48">
            <w:pPr>
              <w:spacing w:line="360" w:lineRule="auto"/>
            </w:pPr>
            <w:r>
              <w:t>Authority – Authored by a leading expert in public health and health inequalities.</w:t>
            </w:r>
          </w:p>
          <w:p w14:paraId="423E57F3" w14:textId="77777777" w:rsidR="00D43B21" w:rsidRDefault="00D43B21" w:rsidP="00903B48">
            <w:pPr>
              <w:spacing w:line="360" w:lineRule="auto"/>
            </w:pPr>
            <w:r>
              <w:t>Accuracy – Widely cited and supported by extensive research evidence</w:t>
            </w:r>
          </w:p>
          <w:p w14:paraId="6F427EC6" w14:textId="14D8B3E1" w:rsidR="00D43B21" w:rsidRDefault="00D43B21" w:rsidP="00903B48">
            <w:pPr>
              <w:spacing w:line="360" w:lineRule="auto"/>
            </w:pPr>
            <w:r>
              <w:t>Purpose – To explain how social inequalities influence health outcomes.</w:t>
            </w:r>
          </w:p>
        </w:tc>
        <w:tc>
          <w:tcPr>
            <w:tcW w:w="4111" w:type="dxa"/>
          </w:tcPr>
          <w:p w14:paraId="6506689D" w14:textId="244598AD" w:rsidR="009E2E17" w:rsidRDefault="00122C40" w:rsidP="00903B48">
            <w:pPr>
              <w:spacing w:line="360" w:lineRule="auto"/>
            </w:pPr>
            <w:r w:rsidRPr="00122C40">
              <w:t>https://pubmed.ncbi.nlm.nih.gov/28938756/</w:t>
            </w:r>
          </w:p>
        </w:tc>
      </w:tr>
      <w:tr w:rsidR="009E2E17" w14:paraId="0B67A561" w14:textId="77777777" w:rsidTr="00D43B21">
        <w:trPr>
          <w:trHeight w:val="1220"/>
        </w:trPr>
        <w:tc>
          <w:tcPr>
            <w:tcW w:w="1283" w:type="dxa"/>
          </w:tcPr>
          <w:p w14:paraId="5FA23C83" w14:textId="103D3D0C" w:rsidR="009E2E17" w:rsidRDefault="00243767" w:rsidP="00903B48">
            <w:pPr>
              <w:spacing w:line="360" w:lineRule="auto"/>
            </w:pPr>
            <w:r>
              <w:lastRenderedPageBreak/>
              <w:t>Goff (2019)</w:t>
            </w:r>
          </w:p>
        </w:tc>
        <w:tc>
          <w:tcPr>
            <w:tcW w:w="1576" w:type="dxa"/>
          </w:tcPr>
          <w:p w14:paraId="6DF85297" w14:textId="050DFDB9" w:rsidR="009E2E17" w:rsidRDefault="00243767" w:rsidP="00903B48">
            <w:pPr>
              <w:spacing w:line="360" w:lineRule="auto"/>
            </w:pPr>
            <w:r>
              <w:t>Ethnicity and T2DM</w:t>
            </w:r>
          </w:p>
        </w:tc>
        <w:tc>
          <w:tcPr>
            <w:tcW w:w="1469" w:type="dxa"/>
          </w:tcPr>
          <w:p w14:paraId="6A85655C" w14:textId="10B91C94" w:rsidR="009E2E17" w:rsidRDefault="00BB14E4" w:rsidP="00903B48">
            <w:pPr>
              <w:spacing w:line="360" w:lineRule="auto"/>
            </w:pPr>
            <w:r>
              <w:t>Highlights ethnic disparities</w:t>
            </w:r>
          </w:p>
        </w:tc>
        <w:tc>
          <w:tcPr>
            <w:tcW w:w="2619" w:type="dxa"/>
          </w:tcPr>
          <w:p w14:paraId="45783F78" w14:textId="2941A789" w:rsidR="009E2E17" w:rsidRDefault="00D43B21" w:rsidP="00903B48">
            <w:pPr>
              <w:spacing w:line="360" w:lineRule="auto"/>
            </w:pPr>
            <w:r>
              <w:t>Currency – Published in 2019, within acceptable timeframe for inclusion</w:t>
            </w:r>
          </w:p>
          <w:p w14:paraId="56C50A36" w14:textId="3EAF7DC0" w:rsidR="00D43B21" w:rsidRDefault="00D43B21" w:rsidP="00903B48">
            <w:pPr>
              <w:spacing w:line="360" w:lineRule="auto"/>
            </w:pPr>
            <w:r>
              <w:t>Relevance – Highly relevant as it focuses on ethnicity and T2DM risk in the UK</w:t>
            </w:r>
          </w:p>
          <w:p w14:paraId="412AFD3B" w14:textId="6D78127A" w:rsidR="00D43B21" w:rsidRDefault="00D43B21" w:rsidP="00903B48">
            <w:pPr>
              <w:spacing w:line="360" w:lineRule="auto"/>
            </w:pPr>
            <w:r>
              <w:t>Authority – Published in Diabetic Medicine, a reputable peer-reviewed journal</w:t>
            </w:r>
          </w:p>
          <w:p w14:paraId="3269C975" w14:textId="5D36D5D7" w:rsidR="00D43B21" w:rsidRDefault="00D43B21" w:rsidP="00903B48">
            <w:pPr>
              <w:spacing w:line="360" w:lineRule="auto"/>
            </w:pPr>
            <w:r>
              <w:t>Accuracy – Evidence- based and supported by UK population data</w:t>
            </w:r>
          </w:p>
          <w:p w14:paraId="1BB689F3" w14:textId="27386C4A" w:rsidR="00D43B21" w:rsidRDefault="00D43B21" w:rsidP="00903B48">
            <w:pPr>
              <w:spacing w:line="360" w:lineRule="auto"/>
            </w:pPr>
            <w:r>
              <w:t>Purpose – To examine ethnic disparities in T2DM prevalence</w:t>
            </w:r>
          </w:p>
          <w:p w14:paraId="1A8E7A07" w14:textId="4F245DB0" w:rsidR="00D43B21" w:rsidRDefault="00D43B21" w:rsidP="00903B48">
            <w:pPr>
              <w:spacing w:line="360" w:lineRule="auto"/>
            </w:pPr>
          </w:p>
        </w:tc>
        <w:tc>
          <w:tcPr>
            <w:tcW w:w="4111" w:type="dxa"/>
          </w:tcPr>
          <w:p w14:paraId="66EC1ED4" w14:textId="26AC5CC4" w:rsidR="009E2E17" w:rsidRDefault="00122C40" w:rsidP="00903B48">
            <w:pPr>
              <w:spacing w:line="360" w:lineRule="auto"/>
            </w:pPr>
            <w:r w:rsidRPr="00122C40">
              <w:t>https://pubmed.ncbi.nlm.nih.gov/30614072/</w:t>
            </w:r>
          </w:p>
        </w:tc>
      </w:tr>
      <w:tr w:rsidR="009E2E17" w14:paraId="7C80D0FF" w14:textId="77777777" w:rsidTr="00D43B21">
        <w:trPr>
          <w:trHeight w:val="1220"/>
        </w:trPr>
        <w:tc>
          <w:tcPr>
            <w:tcW w:w="1283" w:type="dxa"/>
          </w:tcPr>
          <w:p w14:paraId="10F61060" w14:textId="188BE686" w:rsidR="009E2E17" w:rsidRDefault="00243767" w:rsidP="00903B48">
            <w:pPr>
              <w:spacing w:line="360" w:lineRule="auto"/>
            </w:pPr>
            <w:r>
              <w:t>NICE (2025)</w:t>
            </w:r>
          </w:p>
        </w:tc>
        <w:tc>
          <w:tcPr>
            <w:tcW w:w="1576" w:type="dxa"/>
          </w:tcPr>
          <w:p w14:paraId="4ADEE3E1" w14:textId="4D314011" w:rsidR="009E2E17" w:rsidRDefault="00243767" w:rsidP="00903B48">
            <w:pPr>
              <w:spacing w:line="360" w:lineRule="auto"/>
            </w:pPr>
            <w:r>
              <w:t>NG28 Guidelines</w:t>
            </w:r>
          </w:p>
        </w:tc>
        <w:tc>
          <w:tcPr>
            <w:tcW w:w="1469" w:type="dxa"/>
          </w:tcPr>
          <w:p w14:paraId="63D900A2" w14:textId="5D13799D" w:rsidR="009E2E17" w:rsidRDefault="00BB14E4" w:rsidP="00903B48">
            <w:pPr>
              <w:spacing w:line="360" w:lineRule="auto"/>
            </w:pPr>
            <w:r>
              <w:t>Clinical management</w:t>
            </w:r>
          </w:p>
        </w:tc>
        <w:tc>
          <w:tcPr>
            <w:tcW w:w="2619" w:type="dxa"/>
          </w:tcPr>
          <w:p w14:paraId="59687AAE" w14:textId="77777777" w:rsidR="009E2E17" w:rsidRDefault="00D43B21" w:rsidP="00903B48">
            <w:pPr>
              <w:spacing w:line="360" w:lineRule="auto"/>
            </w:pPr>
            <w:r>
              <w:t>Currency – Published in 2025</w:t>
            </w:r>
          </w:p>
          <w:p w14:paraId="20CF0BF5" w14:textId="77777777" w:rsidR="00D43B21" w:rsidRDefault="00D43B21" w:rsidP="00903B48">
            <w:pPr>
              <w:spacing w:line="360" w:lineRule="auto"/>
            </w:pPr>
            <w:r>
              <w:t>Relevance – Directly relevant to management strategies and clinical practice</w:t>
            </w:r>
          </w:p>
          <w:p w14:paraId="1463F113" w14:textId="77777777" w:rsidR="00D43B21" w:rsidRDefault="00D43B21" w:rsidP="00903B48">
            <w:pPr>
              <w:spacing w:line="360" w:lineRule="auto"/>
            </w:pPr>
            <w:r>
              <w:t>Authority – Produced by the National Institute for Health and Care Excellence, a leading UK authority</w:t>
            </w:r>
          </w:p>
          <w:p w14:paraId="576CBD27" w14:textId="77777777" w:rsidR="00345ECB" w:rsidRDefault="00D43B21" w:rsidP="00903B48">
            <w:pPr>
              <w:spacing w:line="360" w:lineRule="auto"/>
            </w:pPr>
            <w:r>
              <w:t xml:space="preserve">Accuracy – Based on systematic </w:t>
            </w:r>
            <w:r w:rsidR="00345ECB">
              <w:t>evidence review and expert consensus</w:t>
            </w:r>
          </w:p>
          <w:p w14:paraId="16FA3526" w14:textId="78A25B7A" w:rsidR="00D43B21" w:rsidRDefault="00345ECB" w:rsidP="00903B48">
            <w:pPr>
              <w:spacing w:line="360" w:lineRule="auto"/>
            </w:pPr>
            <w:r>
              <w:lastRenderedPageBreak/>
              <w:t>Purpose – To provide national guidance for the management of T2DM</w:t>
            </w:r>
            <w:r w:rsidR="00D43B21">
              <w:t xml:space="preserve"> </w:t>
            </w:r>
          </w:p>
        </w:tc>
        <w:tc>
          <w:tcPr>
            <w:tcW w:w="4111" w:type="dxa"/>
          </w:tcPr>
          <w:p w14:paraId="17D5B4AB" w14:textId="7572C954" w:rsidR="009E2E17" w:rsidRDefault="00122C40" w:rsidP="00903B48">
            <w:pPr>
              <w:spacing w:line="360" w:lineRule="auto"/>
            </w:pPr>
            <w:r w:rsidRPr="00122C40">
              <w:lastRenderedPageBreak/>
              <w:t>https://www.nice.org.uk/guidance/ng28/resources/visual-summary-full-version-choosing-medicines-for-firstline-and-further-treatment-pdf-10956472093</w:t>
            </w:r>
          </w:p>
        </w:tc>
      </w:tr>
      <w:tr w:rsidR="009E2E17" w14:paraId="4B708B2A" w14:textId="77777777" w:rsidTr="00D43B21">
        <w:trPr>
          <w:trHeight w:val="1220"/>
        </w:trPr>
        <w:tc>
          <w:tcPr>
            <w:tcW w:w="1283" w:type="dxa"/>
          </w:tcPr>
          <w:p w14:paraId="1DD5E204" w14:textId="5547F304" w:rsidR="009E2E17" w:rsidRDefault="00243767" w:rsidP="00903B48">
            <w:pPr>
              <w:spacing w:line="360" w:lineRule="auto"/>
            </w:pPr>
            <w:r>
              <w:t>NHS England (2023)</w:t>
            </w:r>
          </w:p>
        </w:tc>
        <w:tc>
          <w:tcPr>
            <w:tcW w:w="1576" w:type="dxa"/>
          </w:tcPr>
          <w:p w14:paraId="314C6E46" w14:textId="0BC1AC48" w:rsidR="009E2E17" w:rsidRDefault="00243767" w:rsidP="00903B48">
            <w:pPr>
              <w:spacing w:line="360" w:lineRule="auto"/>
            </w:pPr>
            <w:r>
              <w:t>Prevention Programme</w:t>
            </w:r>
          </w:p>
        </w:tc>
        <w:tc>
          <w:tcPr>
            <w:tcW w:w="1469" w:type="dxa"/>
          </w:tcPr>
          <w:p w14:paraId="07A3980E" w14:textId="33CE5858" w:rsidR="00B53375" w:rsidRPr="00B53375" w:rsidRDefault="00B53375" w:rsidP="00B53375">
            <w:pPr>
              <w:rPr>
                <w:rFonts w:ascii="Arial" w:hAnsi="Arial" w:cs="Arial"/>
                <w:sz w:val="22"/>
                <w:szCs w:val="22"/>
              </w:rPr>
            </w:pPr>
            <w:r>
              <w:rPr>
                <w:rFonts w:ascii="Arial" w:hAnsi="Arial" w:cs="Arial"/>
                <w:color w:val="202A30"/>
                <w:sz w:val="22"/>
                <w:szCs w:val="22"/>
                <w:shd w:val="clear" w:color="auto" w:fill="FFFFFF"/>
              </w:rPr>
              <w:t>I</w:t>
            </w:r>
            <w:r w:rsidRPr="00B53375">
              <w:rPr>
                <w:rFonts w:ascii="Arial" w:hAnsi="Arial" w:cs="Arial"/>
                <w:color w:val="202A30"/>
                <w:sz w:val="22"/>
                <w:szCs w:val="22"/>
                <w:shd w:val="clear" w:color="auto" w:fill="FFFFFF"/>
              </w:rPr>
              <w:t>dentifies people at risk of developing type 2 diabetes and refers them onto a nine-month, evidence-based lifestyle change programme.</w:t>
            </w:r>
          </w:p>
          <w:p w14:paraId="5C2F3D75" w14:textId="77777777" w:rsidR="009E2E17" w:rsidRDefault="009E2E17" w:rsidP="00903B48">
            <w:pPr>
              <w:spacing w:line="360" w:lineRule="auto"/>
            </w:pPr>
          </w:p>
        </w:tc>
        <w:tc>
          <w:tcPr>
            <w:tcW w:w="2619" w:type="dxa"/>
          </w:tcPr>
          <w:p w14:paraId="143048AF" w14:textId="77777777" w:rsidR="009E2E17" w:rsidRDefault="00D865D4" w:rsidP="00903B48">
            <w:pPr>
              <w:spacing w:line="360" w:lineRule="auto"/>
            </w:pPr>
            <w:r>
              <w:t>Currency</w:t>
            </w:r>
            <w:r w:rsidR="00345ECB">
              <w:t xml:space="preserve"> – Published in 2023, providing current policy information</w:t>
            </w:r>
          </w:p>
          <w:p w14:paraId="2CAE5B13" w14:textId="77777777" w:rsidR="00345ECB" w:rsidRDefault="00345ECB" w:rsidP="00903B48">
            <w:pPr>
              <w:spacing w:line="360" w:lineRule="auto"/>
            </w:pPr>
            <w:r>
              <w:t>Relevance – Highly relevant as it outlines national prevention strategies.</w:t>
            </w:r>
          </w:p>
          <w:p w14:paraId="3ACAD7CA" w14:textId="77777777" w:rsidR="00345ECB" w:rsidRDefault="00345ECB" w:rsidP="00903B48">
            <w:pPr>
              <w:spacing w:line="360" w:lineRule="auto"/>
            </w:pPr>
            <w:r>
              <w:t>Authority – Produced by NHS England, a key healthcare authority</w:t>
            </w:r>
          </w:p>
          <w:p w14:paraId="4809015B" w14:textId="77777777" w:rsidR="00345ECB" w:rsidRDefault="00345ECB" w:rsidP="00903B48">
            <w:pPr>
              <w:spacing w:line="360" w:lineRule="auto"/>
            </w:pPr>
            <w:r>
              <w:t>Accuracy – Based on national programme data and service delivery evidence</w:t>
            </w:r>
          </w:p>
          <w:p w14:paraId="1B559D07" w14:textId="67E900A1" w:rsidR="00345ECB" w:rsidRDefault="00345ECB" w:rsidP="00903B48">
            <w:pPr>
              <w:spacing w:line="360" w:lineRule="auto"/>
            </w:pPr>
            <w:r>
              <w:t>Purpose – To inform and implement diabetes prevention initiatives across the UK</w:t>
            </w:r>
          </w:p>
        </w:tc>
        <w:tc>
          <w:tcPr>
            <w:tcW w:w="4111" w:type="dxa"/>
          </w:tcPr>
          <w:p w14:paraId="3E75E21F" w14:textId="4A28636F" w:rsidR="009E2E17" w:rsidRDefault="00D865D4" w:rsidP="00903B48">
            <w:pPr>
              <w:spacing w:line="360" w:lineRule="auto"/>
            </w:pPr>
            <w:r w:rsidRPr="00D865D4">
              <w:t>https://www.england.nhs.uk/diabetes/diabetes-prevention/</w:t>
            </w:r>
          </w:p>
        </w:tc>
      </w:tr>
      <w:tr w:rsidR="009E2E17" w14:paraId="77081EEA" w14:textId="77777777" w:rsidTr="00D43B21">
        <w:trPr>
          <w:trHeight w:val="1220"/>
        </w:trPr>
        <w:tc>
          <w:tcPr>
            <w:tcW w:w="1283" w:type="dxa"/>
          </w:tcPr>
          <w:p w14:paraId="4F8204A0" w14:textId="0C22E209" w:rsidR="009E2E17" w:rsidRDefault="00243767" w:rsidP="00903B48">
            <w:pPr>
              <w:spacing w:line="360" w:lineRule="auto"/>
            </w:pPr>
            <w:r>
              <w:t>Woodward et al. (2024)</w:t>
            </w:r>
          </w:p>
        </w:tc>
        <w:tc>
          <w:tcPr>
            <w:tcW w:w="1576" w:type="dxa"/>
          </w:tcPr>
          <w:p w14:paraId="49F84365" w14:textId="44BB323F" w:rsidR="009E2E17" w:rsidRDefault="00243767" w:rsidP="00903B48">
            <w:pPr>
              <w:spacing w:line="360" w:lineRule="auto"/>
            </w:pPr>
            <w:r>
              <w:t>Self-Management Barriers</w:t>
            </w:r>
          </w:p>
        </w:tc>
        <w:tc>
          <w:tcPr>
            <w:tcW w:w="1469" w:type="dxa"/>
          </w:tcPr>
          <w:p w14:paraId="159D1037" w14:textId="77777777" w:rsidR="00D865D4" w:rsidRPr="00D865D4" w:rsidRDefault="00D865D4" w:rsidP="00D865D4">
            <w:pPr>
              <w:pStyle w:val="Heading1"/>
              <w:rPr>
                <w:rFonts w:cs="Arial"/>
                <w:b w:val="0"/>
                <w:bCs/>
                <w:color w:val="212121"/>
                <w:sz w:val="22"/>
                <w:szCs w:val="22"/>
              </w:rPr>
            </w:pPr>
            <w:r w:rsidRPr="00D865D4">
              <w:rPr>
                <w:rFonts w:cs="Arial"/>
                <w:b w:val="0"/>
                <w:bCs/>
                <w:color w:val="212121"/>
                <w:sz w:val="22"/>
                <w:szCs w:val="22"/>
              </w:rPr>
              <w:t>A qualitative exploration of the barriers and facilitators to self-managing multiple long-term conditions amongst people experiencing socioeconomic deprivation</w:t>
            </w:r>
          </w:p>
          <w:p w14:paraId="543E484A" w14:textId="729A420E" w:rsidR="009E2E17" w:rsidRPr="00D865D4" w:rsidRDefault="009E2E17" w:rsidP="00903B48">
            <w:pPr>
              <w:spacing w:line="360" w:lineRule="auto"/>
              <w:rPr>
                <w:rFonts w:ascii="Arial" w:hAnsi="Arial" w:cs="Arial"/>
                <w:sz w:val="22"/>
                <w:szCs w:val="22"/>
              </w:rPr>
            </w:pPr>
          </w:p>
        </w:tc>
        <w:tc>
          <w:tcPr>
            <w:tcW w:w="2619" w:type="dxa"/>
          </w:tcPr>
          <w:p w14:paraId="3F9598C1" w14:textId="77777777" w:rsidR="009E2E17" w:rsidRDefault="00D865D4" w:rsidP="00903B48">
            <w:pPr>
              <w:spacing w:line="360" w:lineRule="auto"/>
            </w:pPr>
            <w:r>
              <w:lastRenderedPageBreak/>
              <w:t>Currency</w:t>
            </w:r>
            <w:r w:rsidR="00345ECB">
              <w:t xml:space="preserve"> – Published </w:t>
            </w:r>
            <w:r>
              <w:t>2024</w:t>
            </w:r>
            <w:r w:rsidR="00345ECB">
              <w:t>, ensuring very recent evidence</w:t>
            </w:r>
          </w:p>
          <w:p w14:paraId="485437AF" w14:textId="77777777" w:rsidR="00345ECB" w:rsidRDefault="00345ECB" w:rsidP="00903B48">
            <w:pPr>
              <w:spacing w:line="360" w:lineRule="auto"/>
            </w:pPr>
            <w:r>
              <w:t>Relevance – Highly relevant as it explores barriers to diabetes self-management</w:t>
            </w:r>
          </w:p>
          <w:p w14:paraId="1BA247F1" w14:textId="70E2ECD3" w:rsidR="00345ECB" w:rsidRDefault="00345ECB" w:rsidP="00903B48">
            <w:pPr>
              <w:spacing w:line="360" w:lineRule="auto"/>
            </w:pPr>
            <w:r>
              <w:t>Authority – Peer-reviewed study published in a recognised academic journal</w:t>
            </w:r>
          </w:p>
          <w:p w14:paraId="6748538A" w14:textId="5F627F9D" w:rsidR="00345ECB" w:rsidRDefault="00345ECB" w:rsidP="00903B48">
            <w:pPr>
              <w:spacing w:line="360" w:lineRule="auto"/>
            </w:pPr>
            <w:r>
              <w:lastRenderedPageBreak/>
              <w:t>Accuracy – Based on qualitative research involving real-world patient experiences</w:t>
            </w:r>
          </w:p>
          <w:p w14:paraId="60C68599" w14:textId="611A711B" w:rsidR="00345ECB" w:rsidRDefault="00345ECB" w:rsidP="00903B48">
            <w:pPr>
              <w:spacing w:line="360" w:lineRule="auto"/>
            </w:pPr>
            <w:r>
              <w:t>Purpose – To explore challenges in managing long-term conditions in deprived populations</w:t>
            </w:r>
          </w:p>
          <w:p w14:paraId="74682D79" w14:textId="4BC1DD01" w:rsidR="00345ECB" w:rsidRDefault="00345ECB" w:rsidP="00903B48">
            <w:pPr>
              <w:spacing w:line="360" w:lineRule="auto"/>
            </w:pPr>
          </w:p>
        </w:tc>
        <w:tc>
          <w:tcPr>
            <w:tcW w:w="4111" w:type="dxa"/>
          </w:tcPr>
          <w:p w14:paraId="5BA57F0E" w14:textId="60354F60" w:rsidR="009E2E17" w:rsidRDefault="00D865D4" w:rsidP="00903B48">
            <w:pPr>
              <w:spacing w:line="360" w:lineRule="auto"/>
            </w:pPr>
            <w:r w:rsidRPr="00D865D4">
              <w:lastRenderedPageBreak/>
              <w:t>https://pubmed.ncbi.nlm.nih.gov/38623837/</w:t>
            </w:r>
          </w:p>
        </w:tc>
      </w:tr>
      <w:tr w:rsidR="009E2E17" w14:paraId="4EA21194" w14:textId="77777777" w:rsidTr="00D43B21">
        <w:trPr>
          <w:trHeight w:val="406"/>
        </w:trPr>
        <w:tc>
          <w:tcPr>
            <w:tcW w:w="1283" w:type="dxa"/>
          </w:tcPr>
          <w:p w14:paraId="71325FFC" w14:textId="4365B9B2" w:rsidR="009E2E17" w:rsidRDefault="00345ECB" w:rsidP="00903B48">
            <w:pPr>
              <w:spacing w:line="360" w:lineRule="auto"/>
            </w:pPr>
            <w:r>
              <w:t>Watkinson et al. (2024)</w:t>
            </w:r>
          </w:p>
        </w:tc>
        <w:tc>
          <w:tcPr>
            <w:tcW w:w="1576" w:type="dxa"/>
          </w:tcPr>
          <w:p w14:paraId="3499294E" w14:textId="6A437725" w:rsidR="009E2E17" w:rsidRDefault="00345ECB" w:rsidP="00903B48">
            <w:pPr>
              <w:spacing w:line="360" w:lineRule="auto"/>
            </w:pPr>
            <w:r>
              <w:t>Age and depriva</w:t>
            </w:r>
            <w:r w:rsidR="007D62DB">
              <w:t>tion related inequalities in identification of people at high risk of type 2 diabetes in England</w:t>
            </w:r>
          </w:p>
        </w:tc>
        <w:tc>
          <w:tcPr>
            <w:tcW w:w="1469" w:type="dxa"/>
          </w:tcPr>
          <w:p w14:paraId="72D25865" w14:textId="7B37449F" w:rsidR="009E2E17" w:rsidRDefault="007D62DB" w:rsidP="00903B48">
            <w:pPr>
              <w:spacing w:line="360" w:lineRule="auto"/>
            </w:pPr>
            <w:r>
              <w:t>This study examines how deprivation and age impact early identification of individuals at risk of type 2 diabetes, highlighting inequalities in detection and prevention pathways.</w:t>
            </w:r>
          </w:p>
        </w:tc>
        <w:tc>
          <w:tcPr>
            <w:tcW w:w="2619" w:type="dxa"/>
          </w:tcPr>
          <w:p w14:paraId="7DBEE250" w14:textId="77777777" w:rsidR="009E2E17" w:rsidRDefault="007D62DB" w:rsidP="00903B48">
            <w:pPr>
              <w:spacing w:line="360" w:lineRule="auto"/>
            </w:pPr>
            <w:r>
              <w:t>Currency – Published in 2024</w:t>
            </w:r>
          </w:p>
          <w:p w14:paraId="7AFB3496" w14:textId="77777777" w:rsidR="007D62DB" w:rsidRDefault="007D62DB" w:rsidP="00903B48">
            <w:pPr>
              <w:spacing w:line="360" w:lineRule="auto"/>
            </w:pPr>
            <w:r>
              <w:t>Relevance – Highly relevant as it explores inequalities in early identification of T2DM]</w:t>
            </w:r>
          </w:p>
          <w:p w14:paraId="162E95F5" w14:textId="77777777" w:rsidR="007D62DB" w:rsidRDefault="007D62DB" w:rsidP="00903B48">
            <w:pPr>
              <w:spacing w:line="360" w:lineRule="auto"/>
            </w:pPr>
            <w:r>
              <w:t>Authority – Peer-reviewed</w:t>
            </w:r>
          </w:p>
          <w:p w14:paraId="305DD784" w14:textId="77777777" w:rsidR="007D62DB" w:rsidRDefault="007D62DB" w:rsidP="00903B48">
            <w:pPr>
              <w:spacing w:line="360" w:lineRule="auto"/>
            </w:pPr>
            <w:r>
              <w:t xml:space="preserve">Accuracy – Based on robust population-level data and statistical analysis </w:t>
            </w:r>
          </w:p>
          <w:p w14:paraId="0A960A57" w14:textId="62913F60" w:rsidR="007D62DB" w:rsidRDefault="007D62DB" w:rsidP="00903B48">
            <w:pPr>
              <w:spacing w:line="360" w:lineRule="auto"/>
            </w:pPr>
            <w:r>
              <w:t>Purpose – To investigate inequalities in early detection of diabetes risk</w:t>
            </w:r>
          </w:p>
        </w:tc>
        <w:tc>
          <w:tcPr>
            <w:tcW w:w="4111" w:type="dxa"/>
          </w:tcPr>
          <w:p w14:paraId="39175198" w14:textId="2A07DEB1" w:rsidR="009E2E17" w:rsidRDefault="007D62DB" w:rsidP="00903B48">
            <w:pPr>
              <w:spacing w:line="360" w:lineRule="auto"/>
            </w:pPr>
            <w:r>
              <w:t>https://pubmed.ncbi.nlm.nih.gov/</w:t>
            </w:r>
          </w:p>
        </w:tc>
      </w:tr>
    </w:tbl>
    <w:p w14:paraId="51ED34EB" w14:textId="23163F23" w:rsidR="00496C66" w:rsidRDefault="006D393E" w:rsidP="00903B48">
      <w:pPr>
        <w:spacing w:line="360" w:lineRule="auto"/>
      </w:pPr>
      <w:r>
        <w:t>Table 3.</w:t>
      </w:r>
    </w:p>
    <w:p w14:paraId="6D201772" w14:textId="5B64BE7F" w:rsidR="002C0BD1" w:rsidRDefault="002C0BD1" w:rsidP="00903B48">
      <w:pPr>
        <w:spacing w:line="360" w:lineRule="auto"/>
      </w:pPr>
    </w:p>
    <w:p w14:paraId="42ECF95C" w14:textId="0AF6F416" w:rsidR="008A3B08" w:rsidRDefault="008A3B08" w:rsidP="00903B48">
      <w:pPr>
        <w:spacing w:line="360" w:lineRule="auto"/>
      </w:pPr>
    </w:p>
    <w:p w14:paraId="3EFEA3EB" w14:textId="49E3437D" w:rsidR="007D62DB" w:rsidRDefault="007D62DB" w:rsidP="00903B48">
      <w:pPr>
        <w:spacing w:line="360" w:lineRule="auto"/>
      </w:pPr>
    </w:p>
    <w:p w14:paraId="2EA0F970" w14:textId="708E0E28" w:rsidR="007D62DB" w:rsidRDefault="007D62DB" w:rsidP="00903B48">
      <w:pPr>
        <w:spacing w:line="360" w:lineRule="auto"/>
      </w:pPr>
    </w:p>
    <w:p w14:paraId="14C217E2" w14:textId="77777777" w:rsidR="007D62DB" w:rsidRDefault="007D62DB" w:rsidP="00903B48">
      <w:pPr>
        <w:spacing w:line="360" w:lineRule="auto"/>
      </w:pPr>
    </w:p>
    <w:p w14:paraId="71FEAA5B" w14:textId="74679138" w:rsidR="002C0BD1" w:rsidRDefault="004F1EE8" w:rsidP="00903B48">
      <w:pPr>
        <w:spacing w:line="360" w:lineRule="auto"/>
      </w:pPr>
      <w:r>
        <w:lastRenderedPageBreak/>
        <w:t xml:space="preserve">                                </w:t>
      </w:r>
      <w:r w:rsidR="00A86396">
        <w:t xml:space="preserve"> </w:t>
      </w:r>
      <w:r>
        <w:t xml:space="preserve">  </w:t>
      </w:r>
      <w:r w:rsidR="002C0BD1">
        <w:t>PROJECT RESULTS SUMMARY TABLE</w:t>
      </w:r>
    </w:p>
    <w:p w14:paraId="7EC2F4FD" w14:textId="183D9143" w:rsidR="002C0BD1" w:rsidRDefault="002C0BD1" w:rsidP="00903B48">
      <w:pPr>
        <w:spacing w:line="360" w:lineRule="auto"/>
      </w:pPr>
    </w:p>
    <w:tbl>
      <w:tblPr>
        <w:tblStyle w:val="TableGrid"/>
        <w:tblW w:w="11860" w:type="dxa"/>
        <w:tblInd w:w="-1281" w:type="dxa"/>
        <w:tblLayout w:type="fixed"/>
        <w:tblLook w:val="04A0" w:firstRow="1" w:lastRow="0" w:firstColumn="1" w:lastColumn="0" w:noHBand="0" w:noVBand="1"/>
      </w:tblPr>
      <w:tblGrid>
        <w:gridCol w:w="1283"/>
        <w:gridCol w:w="1269"/>
        <w:gridCol w:w="1418"/>
        <w:gridCol w:w="1275"/>
        <w:gridCol w:w="1560"/>
        <w:gridCol w:w="1275"/>
        <w:gridCol w:w="1134"/>
        <w:gridCol w:w="2646"/>
      </w:tblGrid>
      <w:tr w:rsidR="00884194" w14:paraId="60567BF6" w14:textId="77777777" w:rsidTr="00884194">
        <w:trPr>
          <w:trHeight w:val="1687"/>
        </w:trPr>
        <w:tc>
          <w:tcPr>
            <w:tcW w:w="1283" w:type="dxa"/>
          </w:tcPr>
          <w:p w14:paraId="25411A65" w14:textId="56BBA472" w:rsidR="002C0BD1" w:rsidRDefault="002C0BD1" w:rsidP="00903B48">
            <w:pPr>
              <w:spacing w:line="360" w:lineRule="auto"/>
            </w:pPr>
            <w:r>
              <w:t>Author &amp; Year</w:t>
            </w:r>
          </w:p>
        </w:tc>
        <w:tc>
          <w:tcPr>
            <w:tcW w:w="1269" w:type="dxa"/>
          </w:tcPr>
          <w:p w14:paraId="4D9E52BB" w14:textId="40CE006A" w:rsidR="002C0BD1" w:rsidRDefault="002C0BD1" w:rsidP="00903B48">
            <w:pPr>
              <w:spacing w:line="360" w:lineRule="auto"/>
            </w:pPr>
            <w:r>
              <w:t>Article Title</w:t>
            </w:r>
          </w:p>
        </w:tc>
        <w:tc>
          <w:tcPr>
            <w:tcW w:w="1418" w:type="dxa"/>
          </w:tcPr>
          <w:p w14:paraId="4DD8B90F" w14:textId="762BF4E2" w:rsidR="002C0BD1" w:rsidRDefault="002C0BD1" w:rsidP="00903B48">
            <w:pPr>
              <w:spacing w:line="360" w:lineRule="auto"/>
            </w:pPr>
            <w:r>
              <w:t>Type of Study</w:t>
            </w:r>
          </w:p>
        </w:tc>
        <w:tc>
          <w:tcPr>
            <w:tcW w:w="1275" w:type="dxa"/>
          </w:tcPr>
          <w:p w14:paraId="0E404839" w14:textId="6348212D" w:rsidR="002C0BD1" w:rsidRDefault="002C0BD1" w:rsidP="00903B48">
            <w:pPr>
              <w:spacing w:line="360" w:lineRule="auto"/>
            </w:pPr>
            <w:r>
              <w:t>Research Method &amp; Sample Size</w:t>
            </w:r>
          </w:p>
        </w:tc>
        <w:tc>
          <w:tcPr>
            <w:tcW w:w="1560" w:type="dxa"/>
          </w:tcPr>
          <w:p w14:paraId="531F6907" w14:textId="5FB6CD63" w:rsidR="002C0BD1" w:rsidRDefault="002C0BD1" w:rsidP="00903B48">
            <w:pPr>
              <w:spacing w:line="360" w:lineRule="auto"/>
            </w:pPr>
            <w:r>
              <w:t>Strengths &amp; Limitations</w:t>
            </w:r>
          </w:p>
        </w:tc>
        <w:tc>
          <w:tcPr>
            <w:tcW w:w="1275" w:type="dxa"/>
          </w:tcPr>
          <w:p w14:paraId="770D25D4" w14:textId="0D2C15C5" w:rsidR="002C0BD1" w:rsidRDefault="002C0BD1" w:rsidP="00903B48">
            <w:pPr>
              <w:spacing w:line="360" w:lineRule="auto"/>
            </w:pPr>
            <w:r>
              <w:t>Main Findings</w:t>
            </w:r>
          </w:p>
        </w:tc>
        <w:tc>
          <w:tcPr>
            <w:tcW w:w="1134" w:type="dxa"/>
          </w:tcPr>
          <w:p w14:paraId="4E71329F" w14:textId="5A3D405E" w:rsidR="002C0BD1" w:rsidRDefault="002C0BD1" w:rsidP="00903B48">
            <w:pPr>
              <w:spacing w:line="360" w:lineRule="auto"/>
            </w:pPr>
            <w:r>
              <w:t>Keywords &amp; Codes</w:t>
            </w:r>
          </w:p>
        </w:tc>
        <w:tc>
          <w:tcPr>
            <w:tcW w:w="2646" w:type="dxa"/>
          </w:tcPr>
          <w:p w14:paraId="67AFDA4C" w14:textId="56CEA62F" w:rsidR="002C0BD1" w:rsidRDefault="002C0BD1" w:rsidP="00903B48">
            <w:pPr>
              <w:spacing w:line="360" w:lineRule="auto"/>
            </w:pPr>
            <w:r>
              <w:t>Notes and Comments</w:t>
            </w:r>
          </w:p>
        </w:tc>
      </w:tr>
      <w:tr w:rsidR="00884194" w14:paraId="6A126B38" w14:textId="77777777" w:rsidTr="00884194">
        <w:trPr>
          <w:trHeight w:val="4850"/>
        </w:trPr>
        <w:tc>
          <w:tcPr>
            <w:tcW w:w="1283" w:type="dxa"/>
          </w:tcPr>
          <w:p w14:paraId="70DE6AD9" w14:textId="4B5AB616" w:rsidR="007C2788" w:rsidRDefault="007C2788" w:rsidP="007C2788">
            <w:pPr>
              <w:spacing w:line="360" w:lineRule="auto"/>
            </w:pPr>
            <w:proofErr w:type="spellStart"/>
            <w:r>
              <w:t>Mcmanus</w:t>
            </w:r>
            <w:proofErr w:type="spellEnd"/>
            <w:r>
              <w:t xml:space="preserve"> et al. 2022</w:t>
            </w:r>
          </w:p>
        </w:tc>
        <w:tc>
          <w:tcPr>
            <w:tcW w:w="1269" w:type="dxa"/>
          </w:tcPr>
          <w:p w14:paraId="1FB608E9" w14:textId="54DE283D" w:rsidR="007C2788" w:rsidRDefault="007C2788" w:rsidP="007C2788">
            <w:pPr>
              <w:spacing w:line="360" w:lineRule="auto"/>
            </w:pPr>
            <w:r>
              <w:rPr>
                <w:color w:val="000000"/>
              </w:rPr>
              <w:t>Population Level Impact of the NHS Diabetes Prevention Programme on Incidence of Type 2 Diabetes in England</w:t>
            </w:r>
          </w:p>
        </w:tc>
        <w:tc>
          <w:tcPr>
            <w:tcW w:w="1418" w:type="dxa"/>
          </w:tcPr>
          <w:p w14:paraId="258092B6" w14:textId="0F319AA1" w:rsidR="007C2788" w:rsidRDefault="00D1705A" w:rsidP="007C2788">
            <w:pPr>
              <w:spacing w:line="360" w:lineRule="auto"/>
            </w:pPr>
            <w:r>
              <w:t>Observational study</w:t>
            </w:r>
          </w:p>
        </w:tc>
        <w:tc>
          <w:tcPr>
            <w:tcW w:w="1275" w:type="dxa"/>
          </w:tcPr>
          <w:p w14:paraId="5158C985" w14:textId="77777777" w:rsidR="00D1705A" w:rsidRDefault="00D1705A" w:rsidP="00D1705A">
            <w:r>
              <w:rPr>
                <w:rFonts w:ascii="Segoe UI" w:hAnsi="Segoe UI" w:cs="Segoe UI"/>
                <w:color w:val="212121"/>
                <w:shd w:val="clear" w:color="auto" w:fill="FFFFFF"/>
              </w:rPr>
              <w:t>We compare patients registered with the 3,282 general practices</w:t>
            </w:r>
            <w:r>
              <w:rPr>
                <w:rStyle w:val="apple-converted-space"/>
                <w:rFonts w:ascii="Segoe UI" w:hAnsi="Segoe UI" w:cs="Segoe UI"/>
                <w:color w:val="212121"/>
                <w:shd w:val="clear" w:color="auto" w:fill="FFFFFF"/>
              </w:rPr>
              <w:t> </w:t>
            </w:r>
          </w:p>
          <w:p w14:paraId="50890F35" w14:textId="77777777" w:rsidR="007C2788" w:rsidRDefault="007C2788" w:rsidP="007C2788">
            <w:pPr>
              <w:spacing w:line="360" w:lineRule="auto"/>
            </w:pPr>
          </w:p>
        </w:tc>
        <w:tc>
          <w:tcPr>
            <w:tcW w:w="1560" w:type="dxa"/>
          </w:tcPr>
          <w:p w14:paraId="36A9CD7F" w14:textId="0BA64162" w:rsidR="00EC691C" w:rsidRDefault="00EC691C" w:rsidP="00EC691C">
            <w:pPr>
              <w:spacing w:line="360" w:lineRule="auto"/>
            </w:pPr>
            <w:r>
              <w:t>Large sample</w:t>
            </w:r>
            <w:r w:rsidR="009C7B53">
              <w:t>,</w:t>
            </w:r>
          </w:p>
          <w:p w14:paraId="35193BD9" w14:textId="2421A1A5" w:rsidR="00EC691C" w:rsidRDefault="009C7B53" w:rsidP="00EC691C">
            <w:pPr>
              <w:spacing w:line="360" w:lineRule="auto"/>
            </w:pPr>
            <w:r>
              <w:t>o</w:t>
            </w:r>
            <w:r w:rsidR="00EC691C">
              <w:t>bservational bias</w:t>
            </w:r>
          </w:p>
        </w:tc>
        <w:tc>
          <w:tcPr>
            <w:tcW w:w="1275" w:type="dxa"/>
          </w:tcPr>
          <w:p w14:paraId="2419B446" w14:textId="1124B7AC" w:rsidR="007C2788" w:rsidRDefault="00922575" w:rsidP="007C2788">
            <w:pPr>
              <w:spacing w:line="360" w:lineRule="auto"/>
            </w:pPr>
            <w:r>
              <w:t>Reduces incidence</w:t>
            </w:r>
          </w:p>
        </w:tc>
        <w:tc>
          <w:tcPr>
            <w:tcW w:w="1134" w:type="dxa"/>
          </w:tcPr>
          <w:p w14:paraId="5AB292ED" w14:textId="77777777" w:rsidR="007C2788" w:rsidRDefault="009C7B53" w:rsidP="007C2788">
            <w:pPr>
              <w:spacing w:line="360" w:lineRule="auto"/>
            </w:pPr>
            <w:r>
              <w:t>Prevention,</w:t>
            </w:r>
          </w:p>
          <w:p w14:paraId="09259D00" w14:textId="680E06D4" w:rsidR="009C7B53" w:rsidRDefault="009C7B53" w:rsidP="007C2788">
            <w:pPr>
              <w:spacing w:line="360" w:lineRule="auto"/>
            </w:pPr>
            <w:r>
              <w:t>lifestyle</w:t>
            </w:r>
          </w:p>
        </w:tc>
        <w:tc>
          <w:tcPr>
            <w:tcW w:w="2646" w:type="dxa"/>
          </w:tcPr>
          <w:p w14:paraId="0304CBFD" w14:textId="520457B9" w:rsidR="007C2788" w:rsidRDefault="009C7B53" w:rsidP="007C2788">
            <w:pPr>
              <w:spacing w:line="360" w:lineRule="auto"/>
            </w:pPr>
            <w:r>
              <w:t>Strong policy relevance</w:t>
            </w:r>
          </w:p>
        </w:tc>
      </w:tr>
      <w:tr w:rsidR="00884194" w14:paraId="439C5193" w14:textId="77777777" w:rsidTr="00884194">
        <w:trPr>
          <w:trHeight w:val="392"/>
        </w:trPr>
        <w:tc>
          <w:tcPr>
            <w:tcW w:w="1283" w:type="dxa"/>
          </w:tcPr>
          <w:p w14:paraId="5FA83A08" w14:textId="4CCEC5CC" w:rsidR="007C2788" w:rsidRDefault="00243767" w:rsidP="007C2788">
            <w:pPr>
              <w:spacing w:line="360" w:lineRule="auto"/>
            </w:pPr>
            <w:r>
              <w:t>Reed et al. (2021)</w:t>
            </w:r>
          </w:p>
        </w:tc>
        <w:tc>
          <w:tcPr>
            <w:tcW w:w="1269" w:type="dxa"/>
          </w:tcPr>
          <w:p w14:paraId="53C72AF5" w14:textId="2D04B91B" w:rsidR="007C2788" w:rsidRDefault="00243767" w:rsidP="007C2788">
            <w:pPr>
              <w:spacing w:line="360" w:lineRule="auto"/>
            </w:pPr>
            <w:r>
              <w:t>Epidemiology Review</w:t>
            </w:r>
          </w:p>
        </w:tc>
        <w:tc>
          <w:tcPr>
            <w:tcW w:w="1418" w:type="dxa"/>
          </w:tcPr>
          <w:p w14:paraId="1AC7E1FB" w14:textId="6E27DFF2" w:rsidR="007C2788" w:rsidRDefault="006C6A72" w:rsidP="007C2788">
            <w:pPr>
              <w:spacing w:line="360" w:lineRule="auto"/>
            </w:pPr>
            <w:r>
              <w:t>Literature Review</w:t>
            </w:r>
          </w:p>
        </w:tc>
        <w:tc>
          <w:tcPr>
            <w:tcW w:w="1275" w:type="dxa"/>
          </w:tcPr>
          <w:p w14:paraId="01352005" w14:textId="29617691" w:rsidR="007C2788" w:rsidRDefault="00482327" w:rsidP="007C2788">
            <w:pPr>
              <w:spacing w:line="360" w:lineRule="auto"/>
            </w:pPr>
            <w:r>
              <w:t>Multiple Studies</w:t>
            </w:r>
          </w:p>
        </w:tc>
        <w:tc>
          <w:tcPr>
            <w:tcW w:w="1560" w:type="dxa"/>
          </w:tcPr>
          <w:p w14:paraId="64FB0D05" w14:textId="65384816" w:rsidR="00EC691C" w:rsidRDefault="00EC691C" w:rsidP="007C2788">
            <w:pPr>
              <w:spacing w:line="360" w:lineRule="auto"/>
            </w:pPr>
            <w:r>
              <w:t>Broad</w:t>
            </w:r>
            <w:r w:rsidR="009C7B53">
              <w:t>,</w:t>
            </w:r>
          </w:p>
          <w:p w14:paraId="6E1A1E61" w14:textId="5DE88CC5" w:rsidR="007C2788" w:rsidRDefault="00EC691C" w:rsidP="007C2788">
            <w:pPr>
              <w:spacing w:line="360" w:lineRule="auto"/>
            </w:pPr>
            <w:r>
              <w:t>Secondary data</w:t>
            </w:r>
          </w:p>
        </w:tc>
        <w:tc>
          <w:tcPr>
            <w:tcW w:w="1275" w:type="dxa"/>
          </w:tcPr>
          <w:p w14:paraId="7B0C62C7" w14:textId="0002A097" w:rsidR="007C2788" w:rsidRDefault="00922575" w:rsidP="007C2788">
            <w:pPr>
              <w:spacing w:line="360" w:lineRule="auto"/>
            </w:pPr>
            <w:r>
              <w:t>Multifactorial disease</w:t>
            </w:r>
          </w:p>
        </w:tc>
        <w:tc>
          <w:tcPr>
            <w:tcW w:w="1134" w:type="dxa"/>
          </w:tcPr>
          <w:p w14:paraId="2536551F" w14:textId="4F2E1C87" w:rsidR="007C2788" w:rsidRDefault="009C7B53" w:rsidP="007C2788">
            <w:pPr>
              <w:spacing w:line="360" w:lineRule="auto"/>
            </w:pPr>
            <w:r>
              <w:t>Prevalence, risk</w:t>
            </w:r>
          </w:p>
        </w:tc>
        <w:tc>
          <w:tcPr>
            <w:tcW w:w="2646" w:type="dxa"/>
          </w:tcPr>
          <w:p w14:paraId="306C3E3C" w14:textId="151FC7B3" w:rsidR="007C2788" w:rsidRDefault="009C7B53" w:rsidP="007C2788">
            <w:pPr>
              <w:spacing w:line="360" w:lineRule="auto"/>
            </w:pPr>
            <w:r>
              <w:t>Supports theme 1</w:t>
            </w:r>
          </w:p>
        </w:tc>
      </w:tr>
      <w:tr w:rsidR="00884194" w14:paraId="07191C99" w14:textId="77777777" w:rsidTr="00884194">
        <w:trPr>
          <w:trHeight w:val="404"/>
        </w:trPr>
        <w:tc>
          <w:tcPr>
            <w:tcW w:w="1283" w:type="dxa"/>
          </w:tcPr>
          <w:p w14:paraId="5EF23CB5" w14:textId="49CE4C38" w:rsidR="007C2788" w:rsidRDefault="00243767" w:rsidP="007C2788">
            <w:pPr>
              <w:spacing w:line="360" w:lineRule="auto"/>
            </w:pPr>
            <w:r>
              <w:t>Kyrou et al. (2020)</w:t>
            </w:r>
          </w:p>
        </w:tc>
        <w:tc>
          <w:tcPr>
            <w:tcW w:w="1269" w:type="dxa"/>
          </w:tcPr>
          <w:p w14:paraId="0E0FD076" w14:textId="552C9666" w:rsidR="007C2788" w:rsidRDefault="00243767" w:rsidP="007C2788">
            <w:pPr>
              <w:spacing w:line="360" w:lineRule="auto"/>
            </w:pPr>
            <w:r>
              <w:t>Risk Factors Review</w:t>
            </w:r>
          </w:p>
        </w:tc>
        <w:tc>
          <w:tcPr>
            <w:tcW w:w="1418" w:type="dxa"/>
          </w:tcPr>
          <w:p w14:paraId="0FBCF724" w14:textId="1BE6AFD3" w:rsidR="007C2788" w:rsidRDefault="006C6A72" w:rsidP="007C2788">
            <w:pPr>
              <w:spacing w:line="360" w:lineRule="auto"/>
            </w:pPr>
            <w:r>
              <w:t>Narrative review</w:t>
            </w:r>
          </w:p>
        </w:tc>
        <w:tc>
          <w:tcPr>
            <w:tcW w:w="1275" w:type="dxa"/>
          </w:tcPr>
          <w:p w14:paraId="5F61E35D" w14:textId="56134B60" w:rsidR="007C2788" w:rsidRDefault="00482327" w:rsidP="007C2788">
            <w:pPr>
              <w:spacing w:line="360" w:lineRule="auto"/>
            </w:pPr>
            <w:r>
              <w:t>European data</w:t>
            </w:r>
          </w:p>
        </w:tc>
        <w:tc>
          <w:tcPr>
            <w:tcW w:w="1560" w:type="dxa"/>
          </w:tcPr>
          <w:p w14:paraId="4F66D1B2" w14:textId="37095018" w:rsidR="00EC691C" w:rsidRDefault="00EC691C" w:rsidP="007C2788">
            <w:pPr>
              <w:spacing w:line="360" w:lineRule="auto"/>
            </w:pPr>
            <w:r>
              <w:t>Detailed</w:t>
            </w:r>
            <w:r w:rsidR="009C7B53">
              <w:t>,</w:t>
            </w:r>
          </w:p>
          <w:p w14:paraId="495C44F8" w14:textId="51875222" w:rsidR="007C2788" w:rsidRDefault="00EC691C" w:rsidP="007C2788">
            <w:pPr>
              <w:spacing w:line="360" w:lineRule="auto"/>
            </w:pPr>
            <w:r>
              <w:t>generalised</w:t>
            </w:r>
          </w:p>
        </w:tc>
        <w:tc>
          <w:tcPr>
            <w:tcW w:w="1275" w:type="dxa"/>
          </w:tcPr>
          <w:p w14:paraId="73CEC44B" w14:textId="75AE4AC2" w:rsidR="007C2788" w:rsidRDefault="00922575" w:rsidP="007C2788">
            <w:pPr>
              <w:spacing w:line="360" w:lineRule="auto"/>
            </w:pPr>
            <w:r>
              <w:t>Obesity</w:t>
            </w:r>
            <w:r w:rsidR="009C7B53">
              <w:t xml:space="preserve"> key risk</w:t>
            </w:r>
          </w:p>
        </w:tc>
        <w:tc>
          <w:tcPr>
            <w:tcW w:w="1134" w:type="dxa"/>
          </w:tcPr>
          <w:p w14:paraId="5E4D6828" w14:textId="0BC593E8" w:rsidR="007C2788" w:rsidRDefault="009C7B53" w:rsidP="007C2788">
            <w:pPr>
              <w:spacing w:line="360" w:lineRule="auto"/>
            </w:pPr>
            <w:r>
              <w:t>Obesity, lifestyle</w:t>
            </w:r>
          </w:p>
        </w:tc>
        <w:tc>
          <w:tcPr>
            <w:tcW w:w="2646" w:type="dxa"/>
          </w:tcPr>
          <w:p w14:paraId="5AA1AA8F" w14:textId="61B39081" w:rsidR="007C2788" w:rsidRDefault="009C7B53" w:rsidP="007C2788">
            <w:pPr>
              <w:spacing w:line="360" w:lineRule="auto"/>
            </w:pPr>
            <w:r>
              <w:t>Links to Theme 2</w:t>
            </w:r>
          </w:p>
        </w:tc>
      </w:tr>
      <w:tr w:rsidR="00884194" w14:paraId="68DA6782" w14:textId="77777777" w:rsidTr="00884194">
        <w:trPr>
          <w:trHeight w:val="404"/>
        </w:trPr>
        <w:tc>
          <w:tcPr>
            <w:tcW w:w="1283" w:type="dxa"/>
          </w:tcPr>
          <w:p w14:paraId="696ADB97" w14:textId="35F5DB07" w:rsidR="007C2788" w:rsidRDefault="00243767" w:rsidP="007C2788">
            <w:pPr>
              <w:spacing w:line="360" w:lineRule="auto"/>
            </w:pPr>
            <w:r>
              <w:t>Woodward et al. (2024)</w:t>
            </w:r>
          </w:p>
        </w:tc>
        <w:tc>
          <w:tcPr>
            <w:tcW w:w="1269" w:type="dxa"/>
          </w:tcPr>
          <w:p w14:paraId="43773108" w14:textId="67FDA0B2" w:rsidR="007C2788" w:rsidRDefault="00243767" w:rsidP="007C2788">
            <w:pPr>
              <w:spacing w:line="360" w:lineRule="auto"/>
            </w:pPr>
            <w:r>
              <w:t>Self-management barriers</w:t>
            </w:r>
          </w:p>
        </w:tc>
        <w:tc>
          <w:tcPr>
            <w:tcW w:w="1418" w:type="dxa"/>
          </w:tcPr>
          <w:p w14:paraId="4EA0DF70" w14:textId="383BA0A7" w:rsidR="007C2788" w:rsidRDefault="006C6A72" w:rsidP="007C2788">
            <w:pPr>
              <w:spacing w:line="360" w:lineRule="auto"/>
            </w:pPr>
            <w:r>
              <w:t>Qualitative</w:t>
            </w:r>
          </w:p>
        </w:tc>
        <w:tc>
          <w:tcPr>
            <w:tcW w:w="1275" w:type="dxa"/>
          </w:tcPr>
          <w:p w14:paraId="0CA8BC3C" w14:textId="0AC4761E" w:rsidR="007C2788" w:rsidRDefault="00482327" w:rsidP="007C2788">
            <w:pPr>
              <w:spacing w:line="360" w:lineRule="auto"/>
            </w:pPr>
            <w:r>
              <w:t>Deprived populations</w:t>
            </w:r>
          </w:p>
        </w:tc>
        <w:tc>
          <w:tcPr>
            <w:tcW w:w="1560" w:type="dxa"/>
          </w:tcPr>
          <w:p w14:paraId="2EAEE4D2" w14:textId="40BBA12B" w:rsidR="007C2788" w:rsidRDefault="00EC691C" w:rsidP="007C2788">
            <w:pPr>
              <w:spacing w:line="360" w:lineRule="auto"/>
            </w:pPr>
            <w:r>
              <w:t>Real world</w:t>
            </w:r>
            <w:r w:rsidR="009C7B53">
              <w:t>,</w:t>
            </w:r>
          </w:p>
          <w:p w14:paraId="4049F688" w14:textId="6D7837C5" w:rsidR="00EC691C" w:rsidRDefault="00EC691C" w:rsidP="007C2788">
            <w:pPr>
              <w:spacing w:line="360" w:lineRule="auto"/>
            </w:pPr>
            <w:r>
              <w:t>Small sample</w:t>
            </w:r>
          </w:p>
        </w:tc>
        <w:tc>
          <w:tcPr>
            <w:tcW w:w="1275" w:type="dxa"/>
          </w:tcPr>
          <w:p w14:paraId="708383BD" w14:textId="3C8FCFE9" w:rsidR="007C2788" w:rsidRDefault="00922575" w:rsidP="007C2788">
            <w:pPr>
              <w:spacing w:line="360" w:lineRule="auto"/>
            </w:pPr>
            <w:r>
              <w:t>Inequality impacts management</w:t>
            </w:r>
          </w:p>
        </w:tc>
        <w:tc>
          <w:tcPr>
            <w:tcW w:w="1134" w:type="dxa"/>
          </w:tcPr>
          <w:p w14:paraId="0061DCAE" w14:textId="33855EFA" w:rsidR="007C2788" w:rsidRDefault="009C7B53" w:rsidP="007C2788">
            <w:pPr>
              <w:spacing w:line="360" w:lineRule="auto"/>
            </w:pPr>
            <w:r>
              <w:t>Inequality, access</w:t>
            </w:r>
          </w:p>
        </w:tc>
        <w:tc>
          <w:tcPr>
            <w:tcW w:w="2646" w:type="dxa"/>
          </w:tcPr>
          <w:p w14:paraId="455BABCB" w14:textId="1E254733" w:rsidR="007C2788" w:rsidRDefault="009C7B53" w:rsidP="007C2788">
            <w:pPr>
              <w:spacing w:line="360" w:lineRule="auto"/>
            </w:pPr>
            <w:r>
              <w:t>Strong Theme 3 link</w:t>
            </w:r>
          </w:p>
        </w:tc>
      </w:tr>
      <w:tr w:rsidR="00884194" w14:paraId="3005FE14" w14:textId="77777777" w:rsidTr="00884194">
        <w:trPr>
          <w:trHeight w:val="392"/>
        </w:trPr>
        <w:tc>
          <w:tcPr>
            <w:tcW w:w="1283" w:type="dxa"/>
          </w:tcPr>
          <w:p w14:paraId="1DC1C982" w14:textId="54C40F36" w:rsidR="007C2788" w:rsidRDefault="007D62DB" w:rsidP="007C2788">
            <w:pPr>
              <w:spacing w:line="360" w:lineRule="auto"/>
            </w:pPr>
            <w:r>
              <w:t>Watkinson et al. (2024)</w:t>
            </w:r>
          </w:p>
        </w:tc>
        <w:tc>
          <w:tcPr>
            <w:tcW w:w="1269" w:type="dxa"/>
          </w:tcPr>
          <w:p w14:paraId="2E5C4D8E" w14:textId="318628D1" w:rsidR="007C2788" w:rsidRDefault="007D62DB" w:rsidP="007C2788">
            <w:pPr>
              <w:spacing w:line="360" w:lineRule="auto"/>
            </w:pPr>
            <w:r>
              <w:t xml:space="preserve">Inequalities in identification of high-risk </w:t>
            </w:r>
            <w:r>
              <w:lastRenderedPageBreak/>
              <w:t>T2DM populations</w:t>
            </w:r>
          </w:p>
        </w:tc>
        <w:tc>
          <w:tcPr>
            <w:tcW w:w="1418" w:type="dxa"/>
          </w:tcPr>
          <w:p w14:paraId="26180572" w14:textId="56FB06E8" w:rsidR="007C2788" w:rsidRDefault="007D62DB" w:rsidP="007C2788">
            <w:pPr>
              <w:spacing w:line="360" w:lineRule="auto"/>
            </w:pPr>
            <w:r>
              <w:lastRenderedPageBreak/>
              <w:t>Quantitative population-based study</w:t>
            </w:r>
          </w:p>
        </w:tc>
        <w:tc>
          <w:tcPr>
            <w:tcW w:w="1275" w:type="dxa"/>
          </w:tcPr>
          <w:p w14:paraId="0295BD7C" w14:textId="707FF560" w:rsidR="007C2788" w:rsidRDefault="007D62DB" w:rsidP="007C2788">
            <w:pPr>
              <w:spacing w:line="360" w:lineRule="auto"/>
            </w:pPr>
            <w:r>
              <w:t xml:space="preserve">Large scale national data analysis </w:t>
            </w:r>
            <w:r>
              <w:lastRenderedPageBreak/>
              <w:t>(England population dataset)</w:t>
            </w:r>
          </w:p>
        </w:tc>
        <w:tc>
          <w:tcPr>
            <w:tcW w:w="1560" w:type="dxa"/>
          </w:tcPr>
          <w:p w14:paraId="4592F412" w14:textId="35F93000" w:rsidR="007C2788" w:rsidRDefault="007D62DB" w:rsidP="007C2788">
            <w:pPr>
              <w:spacing w:line="360" w:lineRule="auto"/>
            </w:pPr>
            <w:r>
              <w:lastRenderedPageBreak/>
              <w:t xml:space="preserve">Large dataset, strong statistical validity, does </w:t>
            </w:r>
            <w:r>
              <w:lastRenderedPageBreak/>
              <w:t>not explore patient experiences</w:t>
            </w:r>
          </w:p>
        </w:tc>
        <w:tc>
          <w:tcPr>
            <w:tcW w:w="1275" w:type="dxa"/>
          </w:tcPr>
          <w:p w14:paraId="31AA2EF5" w14:textId="0880A165" w:rsidR="007C2788" w:rsidRDefault="007D62DB" w:rsidP="007C2788">
            <w:pPr>
              <w:spacing w:line="360" w:lineRule="auto"/>
            </w:pPr>
            <w:r>
              <w:lastRenderedPageBreak/>
              <w:t xml:space="preserve">Deprivation and younger age groups are less </w:t>
            </w:r>
            <w:r>
              <w:lastRenderedPageBreak/>
              <w:t>likely to have pre-diabetes identified early</w:t>
            </w:r>
          </w:p>
        </w:tc>
        <w:tc>
          <w:tcPr>
            <w:tcW w:w="1134" w:type="dxa"/>
          </w:tcPr>
          <w:p w14:paraId="68D8445E" w14:textId="7E2028C9" w:rsidR="007C2788" w:rsidRDefault="007D62DB" w:rsidP="007C2788">
            <w:pPr>
              <w:spacing w:line="360" w:lineRule="auto"/>
            </w:pPr>
            <w:r>
              <w:lastRenderedPageBreak/>
              <w:t>Inequality</w:t>
            </w:r>
            <w:r w:rsidR="00F171F3">
              <w:t xml:space="preserve">, screening, early </w:t>
            </w:r>
            <w:r w:rsidR="00F171F3">
              <w:lastRenderedPageBreak/>
              <w:t>identification</w:t>
            </w:r>
          </w:p>
        </w:tc>
        <w:tc>
          <w:tcPr>
            <w:tcW w:w="2646" w:type="dxa"/>
          </w:tcPr>
          <w:p w14:paraId="4BC3C268" w14:textId="01ECE181" w:rsidR="007C2788" w:rsidRDefault="00F171F3" w:rsidP="007C2788">
            <w:pPr>
              <w:spacing w:line="360" w:lineRule="auto"/>
            </w:pPr>
            <w:r>
              <w:lastRenderedPageBreak/>
              <w:t>Strong link to Theme 2 and supports need for targeted screening strategies</w:t>
            </w:r>
          </w:p>
        </w:tc>
      </w:tr>
    </w:tbl>
    <w:p w14:paraId="0CFA7ADB" w14:textId="77D62F13" w:rsidR="002C0BD1" w:rsidRDefault="006D393E" w:rsidP="00903B48">
      <w:pPr>
        <w:spacing w:line="360" w:lineRule="auto"/>
      </w:pPr>
      <w:r>
        <w:t>Table 4.</w:t>
      </w:r>
    </w:p>
    <w:p w14:paraId="5D0086CC" w14:textId="77777777" w:rsidR="00496C66" w:rsidRDefault="00496C66" w:rsidP="00903B48">
      <w:pPr>
        <w:spacing w:line="360" w:lineRule="auto"/>
      </w:pPr>
    </w:p>
    <w:p w14:paraId="4EB1AB21" w14:textId="622D0EE0" w:rsidR="00496C66" w:rsidRDefault="00496C66" w:rsidP="00903B48">
      <w:pPr>
        <w:spacing w:line="360" w:lineRule="auto"/>
      </w:pPr>
    </w:p>
    <w:p w14:paraId="75A09E22" w14:textId="2DDF7ABC" w:rsidR="00DB3FB5" w:rsidRDefault="00DB3FB5" w:rsidP="00903B48">
      <w:pPr>
        <w:spacing w:line="360" w:lineRule="auto"/>
      </w:pPr>
    </w:p>
    <w:p w14:paraId="717445DA" w14:textId="14A8A7F2" w:rsidR="00DB3FB5" w:rsidRDefault="00DB3FB5" w:rsidP="00903B48">
      <w:pPr>
        <w:spacing w:line="360" w:lineRule="auto"/>
      </w:pPr>
    </w:p>
    <w:p w14:paraId="253FAA2F" w14:textId="77777777" w:rsidR="00DB3FB5" w:rsidRDefault="00DB3FB5" w:rsidP="00903B48">
      <w:pPr>
        <w:spacing w:line="360" w:lineRule="auto"/>
      </w:pPr>
    </w:p>
    <w:p w14:paraId="1F698E58" w14:textId="77777777" w:rsidR="00496C66" w:rsidRDefault="00496C66" w:rsidP="00903B48">
      <w:pPr>
        <w:spacing w:line="360" w:lineRule="auto"/>
      </w:pPr>
    </w:p>
    <w:p w14:paraId="573281F6" w14:textId="75F1CE11" w:rsidR="00496C66" w:rsidRDefault="00496C66" w:rsidP="00903B48">
      <w:pPr>
        <w:spacing w:line="360" w:lineRule="auto"/>
      </w:pPr>
    </w:p>
    <w:p w14:paraId="587B55A4" w14:textId="7793B8E6" w:rsidR="002C0BD1" w:rsidRDefault="002C0BD1" w:rsidP="00903B48">
      <w:pPr>
        <w:spacing w:line="360" w:lineRule="auto"/>
      </w:pPr>
    </w:p>
    <w:p w14:paraId="792941BF" w14:textId="3ECC2669" w:rsidR="00F171F3" w:rsidRDefault="00F171F3" w:rsidP="00903B48">
      <w:pPr>
        <w:spacing w:line="360" w:lineRule="auto"/>
      </w:pPr>
    </w:p>
    <w:p w14:paraId="38EA64E2" w14:textId="132D0AAB" w:rsidR="00F171F3" w:rsidRDefault="00F171F3" w:rsidP="00903B48">
      <w:pPr>
        <w:spacing w:line="360" w:lineRule="auto"/>
      </w:pPr>
    </w:p>
    <w:p w14:paraId="41FF106C" w14:textId="7125D1F4" w:rsidR="00F171F3" w:rsidRDefault="00F171F3" w:rsidP="00903B48">
      <w:pPr>
        <w:spacing w:line="360" w:lineRule="auto"/>
      </w:pPr>
    </w:p>
    <w:p w14:paraId="52F46BDC" w14:textId="05DAB842" w:rsidR="00F171F3" w:rsidRDefault="00F171F3" w:rsidP="00903B48">
      <w:pPr>
        <w:spacing w:line="360" w:lineRule="auto"/>
      </w:pPr>
    </w:p>
    <w:p w14:paraId="32DB6D95" w14:textId="2707AA0C" w:rsidR="00F171F3" w:rsidRDefault="00F171F3" w:rsidP="00903B48">
      <w:pPr>
        <w:spacing w:line="360" w:lineRule="auto"/>
      </w:pPr>
    </w:p>
    <w:p w14:paraId="6C135BAF" w14:textId="3DB133CC" w:rsidR="00F171F3" w:rsidRDefault="00F171F3" w:rsidP="00903B48">
      <w:pPr>
        <w:spacing w:line="360" w:lineRule="auto"/>
      </w:pPr>
    </w:p>
    <w:p w14:paraId="521CF040" w14:textId="3B39AA9B" w:rsidR="00F171F3" w:rsidRDefault="00F171F3" w:rsidP="00903B48">
      <w:pPr>
        <w:spacing w:line="360" w:lineRule="auto"/>
      </w:pPr>
    </w:p>
    <w:p w14:paraId="2E52D09B" w14:textId="3A198B0C" w:rsidR="00F171F3" w:rsidRDefault="00F171F3" w:rsidP="00903B48">
      <w:pPr>
        <w:spacing w:line="360" w:lineRule="auto"/>
      </w:pPr>
    </w:p>
    <w:p w14:paraId="00F822CE" w14:textId="4A5BEB56" w:rsidR="00F171F3" w:rsidRDefault="00F171F3" w:rsidP="00903B48">
      <w:pPr>
        <w:spacing w:line="360" w:lineRule="auto"/>
      </w:pPr>
    </w:p>
    <w:p w14:paraId="43602C6B" w14:textId="5B94D292" w:rsidR="00F171F3" w:rsidRDefault="00F171F3" w:rsidP="00903B48">
      <w:pPr>
        <w:spacing w:line="360" w:lineRule="auto"/>
      </w:pPr>
    </w:p>
    <w:p w14:paraId="775F12BD" w14:textId="155EC57D" w:rsidR="00F171F3" w:rsidRDefault="00F171F3" w:rsidP="00903B48">
      <w:pPr>
        <w:spacing w:line="360" w:lineRule="auto"/>
      </w:pPr>
    </w:p>
    <w:p w14:paraId="6FCB0461" w14:textId="5A73F160" w:rsidR="00F171F3" w:rsidRDefault="00F171F3" w:rsidP="00903B48">
      <w:pPr>
        <w:spacing w:line="360" w:lineRule="auto"/>
      </w:pPr>
    </w:p>
    <w:p w14:paraId="2CFFDEB2" w14:textId="6F0F1EF0" w:rsidR="00F171F3" w:rsidRDefault="00F171F3" w:rsidP="00903B48">
      <w:pPr>
        <w:spacing w:line="360" w:lineRule="auto"/>
      </w:pPr>
    </w:p>
    <w:p w14:paraId="3222D9F2" w14:textId="7E0FDD05" w:rsidR="00F171F3" w:rsidRDefault="00F171F3" w:rsidP="00903B48">
      <w:pPr>
        <w:spacing w:line="360" w:lineRule="auto"/>
      </w:pPr>
    </w:p>
    <w:p w14:paraId="419F0D4A" w14:textId="0DCDAF1F" w:rsidR="00F171F3" w:rsidRDefault="00F171F3" w:rsidP="00903B48">
      <w:pPr>
        <w:spacing w:line="360" w:lineRule="auto"/>
      </w:pPr>
    </w:p>
    <w:p w14:paraId="26C3E692" w14:textId="44712C41" w:rsidR="00F171F3" w:rsidRDefault="00F171F3" w:rsidP="00903B48">
      <w:pPr>
        <w:spacing w:line="360" w:lineRule="auto"/>
      </w:pPr>
    </w:p>
    <w:p w14:paraId="44BBA2D0" w14:textId="6D61E04C" w:rsidR="00F171F3" w:rsidRDefault="00F171F3" w:rsidP="00903B48">
      <w:pPr>
        <w:spacing w:line="360" w:lineRule="auto"/>
      </w:pPr>
    </w:p>
    <w:p w14:paraId="5EE6C289" w14:textId="55C1F695" w:rsidR="00F171F3" w:rsidRDefault="00F171F3" w:rsidP="00903B48">
      <w:pPr>
        <w:spacing w:line="360" w:lineRule="auto"/>
      </w:pPr>
    </w:p>
    <w:p w14:paraId="0D1D92CA" w14:textId="77777777" w:rsidR="00F171F3" w:rsidRDefault="00F171F3" w:rsidP="00903B48">
      <w:pPr>
        <w:spacing w:line="360" w:lineRule="auto"/>
      </w:pPr>
    </w:p>
    <w:p w14:paraId="5DC7CAE5" w14:textId="32AF61D3" w:rsidR="00317DAC" w:rsidRDefault="00317DAC" w:rsidP="00903B48">
      <w:pPr>
        <w:spacing w:line="360" w:lineRule="auto"/>
      </w:pPr>
    </w:p>
    <w:p w14:paraId="0D48981F" w14:textId="1BAE1328" w:rsidR="0042470E" w:rsidRDefault="0042470E" w:rsidP="00903B48">
      <w:pPr>
        <w:spacing w:line="360" w:lineRule="auto"/>
      </w:pPr>
    </w:p>
    <w:p w14:paraId="0021B975" w14:textId="0A55D942" w:rsidR="00C72A80" w:rsidRDefault="00C72A80" w:rsidP="00903B48">
      <w:pPr>
        <w:spacing w:line="360" w:lineRule="auto"/>
      </w:pPr>
    </w:p>
    <w:p w14:paraId="49954C3C" w14:textId="7016D031" w:rsidR="003B503B" w:rsidRDefault="007F0200" w:rsidP="003B503B">
      <w:pPr>
        <w:pStyle w:val="Heading1"/>
        <w:spacing w:after="240" w:line="540" w:lineRule="atLeast"/>
        <w:ind w:left="0"/>
        <w:rPr>
          <w:color w:val="000000"/>
          <w:sz w:val="36"/>
          <w:szCs w:val="36"/>
        </w:rPr>
      </w:pPr>
      <w:r>
        <w:rPr>
          <w:color w:val="000000"/>
          <w:sz w:val="36"/>
          <w:szCs w:val="36"/>
        </w:rPr>
        <w:t>Reference List</w:t>
      </w:r>
    </w:p>
    <w:p w14:paraId="1CD8BDEE" w14:textId="7189F215" w:rsidR="003B503B" w:rsidRDefault="003B503B" w:rsidP="003B503B">
      <w:pPr>
        <w:spacing w:after="240" w:line="360" w:lineRule="atLeast"/>
        <w:rPr>
          <w:color w:val="000000"/>
        </w:rPr>
      </w:pPr>
      <w:r w:rsidRPr="003B503B">
        <w:rPr>
          <w:color w:val="000000"/>
        </w:rPr>
        <w:t>Abdullah, M.F.I.L.B., Sidi, H., Ravindran, A., Gosse, P.J., Kaunismaa, E.S., Mainland, R.L., Mustafa, N., Hatta, N.H., Arnawati, P., Zulkifli, A.Y. and Woon, L.S.-C. (2020). How Much Do We Know about the Biopsychosocial Predictors of Glycaemic Control? Age and Clinical Factors Predict Glycaemic Control, but Psychological Factors Do Not. </w:t>
      </w:r>
      <w:r w:rsidRPr="003B503B">
        <w:rPr>
          <w:i/>
          <w:iCs/>
          <w:color w:val="000000"/>
        </w:rPr>
        <w:t>Journal of Diabetes Research</w:t>
      </w:r>
      <w:r w:rsidRPr="003B503B">
        <w:rPr>
          <w:color w:val="000000"/>
        </w:rPr>
        <w:t>, 2020, pp.1–11. doi:https://doi.org/10.1155/2020/2654208</w:t>
      </w:r>
      <w:r w:rsidR="0042470E">
        <w:rPr>
          <w:color w:val="000000"/>
        </w:rPr>
        <w:t xml:space="preserve"> (Accessed 10</w:t>
      </w:r>
      <w:r w:rsidR="0042470E" w:rsidRPr="0042470E">
        <w:rPr>
          <w:color w:val="000000"/>
          <w:vertAlign w:val="superscript"/>
        </w:rPr>
        <w:t>th</w:t>
      </w:r>
      <w:r w:rsidR="0042470E">
        <w:rPr>
          <w:color w:val="000000"/>
        </w:rPr>
        <w:t xml:space="preserve"> Jan. 2026)</w:t>
      </w:r>
    </w:p>
    <w:p w14:paraId="35E41017" w14:textId="730F76B3" w:rsidR="00672DF5" w:rsidRDefault="00672DF5" w:rsidP="003B503B">
      <w:pPr>
        <w:spacing w:after="240" w:line="360" w:lineRule="atLeast"/>
        <w:rPr>
          <w:color w:val="000000"/>
        </w:rPr>
      </w:pPr>
      <w:r w:rsidRPr="00672DF5">
        <w:rPr>
          <w:color w:val="000000"/>
        </w:rPr>
        <w:t>Ahmed, S.K. and Mohammed, R.A. (2025). Obesity: Prevalence, causes, consequences, management, preventive strategies and future research directions. </w:t>
      </w:r>
      <w:r w:rsidRPr="00672DF5">
        <w:rPr>
          <w:i/>
          <w:iCs/>
          <w:color w:val="000000"/>
        </w:rPr>
        <w:t>Metabolism Open</w:t>
      </w:r>
      <w:r w:rsidRPr="00672DF5">
        <w:rPr>
          <w:color w:val="000000"/>
        </w:rPr>
        <w:t xml:space="preserve">, 27, p.100375. </w:t>
      </w:r>
      <w:proofErr w:type="gramStart"/>
      <w:r w:rsidRPr="00672DF5">
        <w:rPr>
          <w:color w:val="000000"/>
        </w:rPr>
        <w:t>doi:https://doi.org/10.1016/j.metop.2025.100375</w:t>
      </w:r>
      <w:proofErr w:type="gramEnd"/>
      <w:r w:rsidR="0042470E">
        <w:rPr>
          <w:color w:val="000000"/>
        </w:rPr>
        <w:t xml:space="preserve"> (Accessed 4</w:t>
      </w:r>
      <w:r w:rsidR="0042470E" w:rsidRPr="0042470E">
        <w:rPr>
          <w:color w:val="000000"/>
          <w:vertAlign w:val="superscript"/>
        </w:rPr>
        <w:t>th</w:t>
      </w:r>
      <w:r w:rsidR="0042470E">
        <w:rPr>
          <w:color w:val="000000"/>
        </w:rPr>
        <w:t xml:space="preserve"> Feb 2026).</w:t>
      </w:r>
    </w:p>
    <w:p w14:paraId="20594A07" w14:textId="4639F93E" w:rsidR="003B503B" w:rsidRPr="003B503B" w:rsidRDefault="003B503B" w:rsidP="003B503B">
      <w:pPr>
        <w:spacing w:after="240" w:line="360" w:lineRule="atLeast"/>
        <w:rPr>
          <w:color w:val="000000"/>
        </w:rPr>
      </w:pPr>
      <w:r w:rsidRPr="003B503B">
        <w:rPr>
          <w:color w:val="000000"/>
        </w:rPr>
        <w:t>Alyafei, A. and Carr, R.E. (2024). </w:t>
      </w:r>
      <w:r w:rsidRPr="003B503B">
        <w:rPr>
          <w:i/>
          <w:iCs/>
          <w:color w:val="000000"/>
        </w:rPr>
        <w:t>The Health Belief Model of Behavior Change</w:t>
      </w:r>
      <w:r w:rsidRPr="003B503B">
        <w:rPr>
          <w:color w:val="000000"/>
        </w:rPr>
        <w:t xml:space="preserve">. National Library of Medicine. Available at: https://www.ncbi.nlm.nih.gov/books/NBK606120/ </w:t>
      </w:r>
      <w:r w:rsidR="003458DD">
        <w:rPr>
          <w:color w:val="000000"/>
        </w:rPr>
        <w:t>(</w:t>
      </w:r>
      <w:r w:rsidRPr="003B503B">
        <w:rPr>
          <w:color w:val="000000"/>
        </w:rPr>
        <w:t>Accessed 20</w:t>
      </w:r>
      <w:r w:rsidR="00A80DA3" w:rsidRPr="00A80DA3">
        <w:rPr>
          <w:color w:val="000000"/>
          <w:vertAlign w:val="superscript"/>
        </w:rPr>
        <w:t>th</w:t>
      </w:r>
      <w:r w:rsidRPr="003B503B">
        <w:rPr>
          <w:color w:val="000000"/>
        </w:rPr>
        <w:t xml:space="preserve"> Nov. 2025</w:t>
      </w:r>
      <w:r w:rsidR="003458DD">
        <w:rPr>
          <w:color w:val="000000"/>
        </w:rPr>
        <w:t>)</w:t>
      </w:r>
      <w:r w:rsidRPr="003B503B">
        <w:rPr>
          <w:color w:val="000000"/>
        </w:rPr>
        <w:t>.</w:t>
      </w:r>
    </w:p>
    <w:p w14:paraId="586AFE28" w14:textId="436B5511" w:rsidR="003B503B" w:rsidRDefault="003B503B" w:rsidP="003B503B">
      <w:pPr>
        <w:spacing w:after="240" w:line="360" w:lineRule="atLeast"/>
        <w:rPr>
          <w:color w:val="000000"/>
        </w:rPr>
      </w:pPr>
      <w:r w:rsidRPr="005C540E">
        <w:rPr>
          <w:color w:val="000000"/>
        </w:rPr>
        <w:t>American Diabetes Association (2010). Diagnosis and classification of diabetes mellitus. </w:t>
      </w:r>
      <w:r w:rsidRPr="005C540E">
        <w:rPr>
          <w:i/>
          <w:iCs/>
          <w:color w:val="000000"/>
        </w:rPr>
        <w:t>Diabetes Care</w:t>
      </w:r>
      <w:r w:rsidRPr="005C540E">
        <w:rPr>
          <w:color w:val="000000"/>
        </w:rPr>
        <w:t xml:space="preserve">, 33(Supplement_1), pp.S62–S69. </w:t>
      </w:r>
      <w:proofErr w:type="spellStart"/>
      <w:proofErr w:type="gramStart"/>
      <w:r w:rsidRPr="005C540E">
        <w:rPr>
          <w:color w:val="000000"/>
        </w:rPr>
        <w:t>doi:https</w:t>
      </w:r>
      <w:proofErr w:type="spellEnd"/>
      <w:r w:rsidRPr="005C540E">
        <w:rPr>
          <w:color w:val="000000"/>
        </w:rPr>
        <w:t>://doi.org/10.2337/dc10-s062</w:t>
      </w:r>
      <w:proofErr w:type="gramEnd"/>
      <w:r w:rsidR="0042470E">
        <w:rPr>
          <w:color w:val="000000"/>
        </w:rPr>
        <w:t xml:space="preserve"> (Accessed 10</w:t>
      </w:r>
      <w:r w:rsidR="0042470E" w:rsidRPr="0042470E">
        <w:rPr>
          <w:color w:val="000000"/>
          <w:vertAlign w:val="superscript"/>
        </w:rPr>
        <w:t>th</w:t>
      </w:r>
      <w:r w:rsidR="0042470E">
        <w:rPr>
          <w:color w:val="000000"/>
        </w:rPr>
        <w:t xml:space="preserve"> Nov 2025).</w:t>
      </w:r>
    </w:p>
    <w:p w14:paraId="25AB5652" w14:textId="18597B69" w:rsidR="005D6EEC" w:rsidRDefault="005D6EEC" w:rsidP="005D6EEC">
      <w:pPr>
        <w:pStyle w:val="NormalWeb"/>
        <w:spacing w:before="0" w:beforeAutospacing="0" w:after="240" w:afterAutospacing="0" w:line="360" w:lineRule="atLeast"/>
        <w:rPr>
          <w:color w:val="000000"/>
        </w:rPr>
      </w:pPr>
      <w:r>
        <w:rPr>
          <w:color w:val="000000"/>
        </w:rPr>
        <w:t>Anekwe, C.V., Jarrell, A.R., Townsend, M.J., Gaudier, G.I., Hiserodt, J.M. and Stanford, F.C. (2020). Socioeconomics of Obesity.</w:t>
      </w:r>
      <w:r>
        <w:rPr>
          <w:rStyle w:val="apple-converted-space"/>
          <w:rFonts w:eastAsia="Calibri Light"/>
          <w:color w:val="000000"/>
        </w:rPr>
        <w:t> </w:t>
      </w:r>
      <w:r>
        <w:rPr>
          <w:i/>
          <w:iCs/>
          <w:color w:val="000000"/>
        </w:rPr>
        <w:t>Current Obesity Reports</w:t>
      </w:r>
      <w:r>
        <w:rPr>
          <w:color w:val="000000"/>
        </w:rPr>
        <w:t xml:space="preserve">,  9(3), pp.272–279. </w:t>
      </w:r>
      <w:proofErr w:type="spellStart"/>
      <w:proofErr w:type="gramStart"/>
      <w:r>
        <w:rPr>
          <w:color w:val="000000"/>
        </w:rPr>
        <w:t>doi:https</w:t>
      </w:r>
      <w:proofErr w:type="spellEnd"/>
      <w:r>
        <w:rPr>
          <w:color w:val="000000"/>
        </w:rPr>
        <w:t>://doi.org/10.1007/s13679-020-00398-7</w:t>
      </w:r>
      <w:proofErr w:type="gramEnd"/>
      <w:r w:rsidR="0042470E">
        <w:rPr>
          <w:color w:val="000000"/>
        </w:rPr>
        <w:t xml:space="preserve"> (Accessed 20</w:t>
      </w:r>
      <w:r w:rsidR="0042470E" w:rsidRPr="0042470E">
        <w:rPr>
          <w:color w:val="000000"/>
          <w:vertAlign w:val="superscript"/>
        </w:rPr>
        <w:t>th</w:t>
      </w:r>
      <w:r w:rsidR="0042470E">
        <w:rPr>
          <w:color w:val="000000"/>
        </w:rPr>
        <w:t xml:space="preserve"> Dec. 2025).</w:t>
      </w:r>
    </w:p>
    <w:p w14:paraId="391B3B91" w14:textId="61E08BAA" w:rsidR="005D6EEC" w:rsidRDefault="005D6EEC" w:rsidP="005D6EEC">
      <w:pPr>
        <w:pStyle w:val="NormalWeb"/>
        <w:spacing w:before="0" w:beforeAutospacing="0" w:after="240" w:afterAutospacing="0" w:line="360" w:lineRule="atLeast"/>
        <w:rPr>
          <w:color w:val="000000"/>
        </w:rPr>
      </w:pPr>
      <w:r>
        <w:rPr>
          <w:color w:val="000000"/>
        </w:rPr>
        <w:t>Au-Yeung, C.H., Ellis, D., Dallaway, A., Riley, J., Varney, J. and Howell-Jones, R. (2024). Socioeconomic and ethnic inequalities increase the risk of type 2 diabetes: an analysis of NHS health check attendees in Birmingham.</w:t>
      </w:r>
      <w:r>
        <w:rPr>
          <w:rStyle w:val="apple-converted-space"/>
          <w:rFonts w:eastAsia="Calibri Light"/>
          <w:color w:val="000000"/>
        </w:rPr>
        <w:t> </w:t>
      </w:r>
      <w:r>
        <w:rPr>
          <w:i/>
          <w:iCs/>
          <w:color w:val="000000"/>
        </w:rPr>
        <w:t>Frontiers in Public Health</w:t>
      </w:r>
      <w:r>
        <w:rPr>
          <w:color w:val="000000"/>
        </w:rPr>
        <w:t xml:space="preserve">, 12. </w:t>
      </w:r>
      <w:proofErr w:type="spellStart"/>
      <w:proofErr w:type="gramStart"/>
      <w:r>
        <w:rPr>
          <w:color w:val="000000"/>
        </w:rPr>
        <w:t>doi:https</w:t>
      </w:r>
      <w:proofErr w:type="spellEnd"/>
      <w:r>
        <w:rPr>
          <w:color w:val="000000"/>
        </w:rPr>
        <w:t>://doi.org/10.3389/fpubh.2024.1477418</w:t>
      </w:r>
      <w:proofErr w:type="gramEnd"/>
      <w:r w:rsidR="0042470E">
        <w:rPr>
          <w:color w:val="000000"/>
        </w:rPr>
        <w:t xml:space="preserve"> (Accessed 4</w:t>
      </w:r>
      <w:r w:rsidR="0042470E" w:rsidRPr="0042470E">
        <w:rPr>
          <w:color w:val="000000"/>
          <w:vertAlign w:val="superscript"/>
        </w:rPr>
        <w:t>th</w:t>
      </w:r>
      <w:r w:rsidR="0042470E">
        <w:rPr>
          <w:color w:val="000000"/>
        </w:rPr>
        <w:t xml:space="preserve"> Feb. 2026).</w:t>
      </w:r>
    </w:p>
    <w:p w14:paraId="40BE6143" w14:textId="750839F2" w:rsidR="001E48C2" w:rsidRPr="001E48C2" w:rsidRDefault="001E48C2" w:rsidP="001E48C2">
      <w:pPr>
        <w:spacing w:after="240" w:line="360" w:lineRule="atLeast"/>
        <w:rPr>
          <w:color w:val="000000"/>
        </w:rPr>
      </w:pPr>
      <w:r w:rsidRPr="001E48C2">
        <w:rPr>
          <w:color w:val="000000"/>
        </w:rPr>
        <w:t xml:space="preserve">Avery, A.J., </w:t>
      </w:r>
      <w:proofErr w:type="spellStart"/>
      <w:r w:rsidRPr="001E48C2">
        <w:rPr>
          <w:color w:val="000000"/>
        </w:rPr>
        <w:t>Ghaleb</w:t>
      </w:r>
      <w:proofErr w:type="spellEnd"/>
      <w:r w:rsidRPr="001E48C2">
        <w:rPr>
          <w:color w:val="000000"/>
        </w:rPr>
        <w:t xml:space="preserve">, M., Barber, N., Dean Franklin, B., Armstrong, S.J., </w:t>
      </w:r>
      <w:proofErr w:type="spellStart"/>
      <w:r w:rsidRPr="001E48C2">
        <w:rPr>
          <w:color w:val="000000"/>
        </w:rPr>
        <w:t>Serumaga</w:t>
      </w:r>
      <w:proofErr w:type="spellEnd"/>
      <w:r w:rsidRPr="001E48C2">
        <w:rPr>
          <w:color w:val="000000"/>
        </w:rPr>
        <w:t xml:space="preserve">, B., Dhillon, S., </w:t>
      </w:r>
      <w:proofErr w:type="spellStart"/>
      <w:r w:rsidRPr="001E48C2">
        <w:rPr>
          <w:color w:val="000000"/>
        </w:rPr>
        <w:t>Freyer</w:t>
      </w:r>
      <w:proofErr w:type="spellEnd"/>
      <w:r w:rsidRPr="001E48C2">
        <w:rPr>
          <w:color w:val="000000"/>
        </w:rPr>
        <w:t xml:space="preserve">, A., Howard, R., </w:t>
      </w:r>
      <w:proofErr w:type="spellStart"/>
      <w:r w:rsidRPr="001E48C2">
        <w:rPr>
          <w:color w:val="000000"/>
        </w:rPr>
        <w:t>Talabi</w:t>
      </w:r>
      <w:proofErr w:type="spellEnd"/>
      <w:r w:rsidRPr="001E48C2">
        <w:rPr>
          <w:color w:val="000000"/>
        </w:rPr>
        <w:t>, O. and Mehta, R.L. (2013). The prevalence and nature of prescribing and monitoring errors in English general practice: a retrospective case note review. </w:t>
      </w:r>
      <w:r w:rsidRPr="001E48C2">
        <w:rPr>
          <w:i/>
          <w:iCs/>
          <w:color w:val="000000"/>
        </w:rPr>
        <w:t>British Journal of General Practice</w:t>
      </w:r>
      <w:r w:rsidRPr="001E48C2">
        <w:rPr>
          <w:color w:val="000000"/>
        </w:rPr>
        <w:t xml:space="preserve">, 63(613), </w:t>
      </w:r>
      <w:proofErr w:type="gramStart"/>
      <w:r w:rsidRPr="001E48C2">
        <w:rPr>
          <w:color w:val="000000"/>
        </w:rPr>
        <w:t>pp.e</w:t>
      </w:r>
      <w:proofErr w:type="gramEnd"/>
      <w:r w:rsidRPr="001E48C2">
        <w:rPr>
          <w:color w:val="000000"/>
        </w:rPr>
        <w:t xml:space="preserve">543–e553. </w:t>
      </w:r>
      <w:proofErr w:type="spellStart"/>
      <w:proofErr w:type="gramStart"/>
      <w:r w:rsidRPr="001E48C2">
        <w:rPr>
          <w:color w:val="000000"/>
        </w:rPr>
        <w:t>doi:https</w:t>
      </w:r>
      <w:proofErr w:type="spellEnd"/>
      <w:r w:rsidRPr="001E48C2">
        <w:rPr>
          <w:color w:val="000000"/>
        </w:rPr>
        <w:t>://doi.org/10.3399/bjgp13x670679</w:t>
      </w:r>
      <w:proofErr w:type="gramEnd"/>
      <w:r w:rsidR="0042470E">
        <w:rPr>
          <w:color w:val="000000"/>
        </w:rPr>
        <w:t xml:space="preserve"> (Accessed 10</w:t>
      </w:r>
      <w:r w:rsidR="0042470E" w:rsidRPr="0042470E">
        <w:rPr>
          <w:color w:val="000000"/>
          <w:vertAlign w:val="superscript"/>
        </w:rPr>
        <w:t>th</w:t>
      </w:r>
      <w:r w:rsidR="0042470E">
        <w:rPr>
          <w:color w:val="000000"/>
        </w:rPr>
        <w:t xml:space="preserve"> March 2026).</w:t>
      </w:r>
    </w:p>
    <w:p w14:paraId="2F540377" w14:textId="3F6D2769" w:rsidR="00B378CE" w:rsidRPr="00B378CE" w:rsidRDefault="00B378CE" w:rsidP="00B378CE">
      <w:pPr>
        <w:spacing w:after="240" w:line="360" w:lineRule="atLeast"/>
        <w:rPr>
          <w:color w:val="000000"/>
        </w:rPr>
      </w:pPr>
      <w:r w:rsidRPr="00B378CE">
        <w:rPr>
          <w:color w:val="000000"/>
        </w:rPr>
        <w:t>Bansal, N., Karlsen, S., Sashidharan, S.P., Cohen, R., Chew-Graham, C.A. and Malpass, A. (2022). Understanding Ethnic Inequalities in Mental Healthcare in the UK: a meta-</w:t>
      </w:r>
      <w:r w:rsidRPr="00B378CE">
        <w:rPr>
          <w:color w:val="000000"/>
        </w:rPr>
        <w:lastRenderedPageBreak/>
        <w:t>ethnography. </w:t>
      </w:r>
      <w:r w:rsidRPr="00B378CE">
        <w:rPr>
          <w:i/>
          <w:iCs/>
          <w:color w:val="000000"/>
        </w:rPr>
        <w:t>PLOS Medicine</w:t>
      </w:r>
      <w:r w:rsidRPr="00B378CE">
        <w:rPr>
          <w:color w:val="000000"/>
        </w:rPr>
        <w:t xml:space="preserve">,19(12), pp.1–36. </w:t>
      </w:r>
      <w:proofErr w:type="spellStart"/>
      <w:proofErr w:type="gramStart"/>
      <w:r w:rsidRPr="00B378CE">
        <w:rPr>
          <w:color w:val="000000"/>
        </w:rPr>
        <w:t>doi:https</w:t>
      </w:r>
      <w:proofErr w:type="spellEnd"/>
      <w:r w:rsidRPr="00B378CE">
        <w:rPr>
          <w:color w:val="000000"/>
        </w:rPr>
        <w:t>://doi.org/10.1371/journal.pmed.1004139</w:t>
      </w:r>
      <w:proofErr w:type="gramEnd"/>
      <w:r w:rsidR="0042470E">
        <w:rPr>
          <w:color w:val="000000"/>
        </w:rPr>
        <w:t xml:space="preserve"> (Accessed 5</w:t>
      </w:r>
      <w:r w:rsidR="0042470E" w:rsidRPr="0042470E">
        <w:rPr>
          <w:color w:val="000000"/>
          <w:vertAlign w:val="superscript"/>
        </w:rPr>
        <w:t>th</w:t>
      </w:r>
      <w:r w:rsidR="0042470E">
        <w:rPr>
          <w:color w:val="000000"/>
        </w:rPr>
        <w:t xml:space="preserve"> Feb. 2026).</w:t>
      </w:r>
    </w:p>
    <w:p w14:paraId="3C7815CE" w14:textId="309E16C4" w:rsidR="00B378CE" w:rsidRDefault="00D56324" w:rsidP="00D56324">
      <w:pPr>
        <w:spacing w:after="240" w:line="360" w:lineRule="atLeast"/>
        <w:rPr>
          <w:color w:val="000000"/>
        </w:rPr>
      </w:pPr>
      <w:r w:rsidRPr="00D56324">
        <w:rPr>
          <w:color w:val="000000"/>
        </w:rPr>
        <w:t>Barry, E., Greenhalgh, T., Shaw, S. and Papoutsi, C. (2023). Explaining the UK’s ‘high-risk’ approach to type 2 diabetes prevention: findings from a qualitative interview study with policy-makers in England. </w:t>
      </w:r>
      <w:r w:rsidRPr="00D56324">
        <w:rPr>
          <w:i/>
          <w:iCs/>
          <w:color w:val="000000"/>
        </w:rPr>
        <w:t>BMJ Open</w:t>
      </w:r>
      <w:r w:rsidRPr="00D56324">
        <w:rPr>
          <w:color w:val="000000"/>
        </w:rPr>
        <w:t xml:space="preserve">, 13(2), p.e066301. </w:t>
      </w:r>
      <w:proofErr w:type="spellStart"/>
      <w:proofErr w:type="gramStart"/>
      <w:r w:rsidRPr="00D56324">
        <w:rPr>
          <w:color w:val="000000"/>
        </w:rPr>
        <w:t>doi:https</w:t>
      </w:r>
      <w:proofErr w:type="spellEnd"/>
      <w:r w:rsidRPr="00D56324">
        <w:rPr>
          <w:color w:val="000000"/>
        </w:rPr>
        <w:t>://doi.org/10.1136/bmjopen-2022-066301</w:t>
      </w:r>
      <w:proofErr w:type="gramEnd"/>
      <w:r w:rsidR="0042470E">
        <w:rPr>
          <w:color w:val="000000"/>
        </w:rPr>
        <w:t xml:space="preserve"> (Accessed 10</w:t>
      </w:r>
      <w:r w:rsidR="0042470E" w:rsidRPr="0042470E">
        <w:rPr>
          <w:color w:val="000000"/>
          <w:vertAlign w:val="superscript"/>
        </w:rPr>
        <w:t>th</w:t>
      </w:r>
      <w:r w:rsidR="0042470E">
        <w:rPr>
          <w:color w:val="000000"/>
        </w:rPr>
        <w:t xml:space="preserve"> March 2026).</w:t>
      </w:r>
    </w:p>
    <w:p w14:paraId="76619257" w14:textId="320AD325" w:rsidR="00E90E87" w:rsidRPr="00D56324" w:rsidRDefault="00E90E87" w:rsidP="00D56324">
      <w:pPr>
        <w:spacing w:after="240" w:line="360" w:lineRule="atLeast"/>
        <w:rPr>
          <w:color w:val="000000"/>
        </w:rPr>
      </w:pPr>
      <w:r w:rsidRPr="00E90E87">
        <w:rPr>
          <w:color w:val="000000"/>
        </w:rPr>
        <w:t xml:space="preserve">Bergman, M., </w:t>
      </w:r>
      <w:proofErr w:type="spellStart"/>
      <w:r w:rsidRPr="00E90E87">
        <w:rPr>
          <w:color w:val="000000"/>
        </w:rPr>
        <w:t>Buysschaert</w:t>
      </w:r>
      <w:proofErr w:type="spellEnd"/>
      <w:r w:rsidRPr="00E90E87">
        <w:rPr>
          <w:color w:val="000000"/>
        </w:rPr>
        <w:t xml:space="preserve">, M., Schwarz, P.E., Albright, A., Narayan, K.V. and </w:t>
      </w:r>
      <w:proofErr w:type="spellStart"/>
      <w:r w:rsidRPr="00E90E87">
        <w:rPr>
          <w:color w:val="000000"/>
        </w:rPr>
        <w:t>Yach</w:t>
      </w:r>
      <w:proofErr w:type="spellEnd"/>
      <w:r w:rsidRPr="00E90E87">
        <w:rPr>
          <w:color w:val="000000"/>
        </w:rPr>
        <w:t>, D. (2012). Diabetes prevention: global health policy and perspectives from the ground. </w:t>
      </w:r>
      <w:r w:rsidRPr="00E90E87">
        <w:rPr>
          <w:i/>
          <w:iCs/>
          <w:color w:val="000000"/>
        </w:rPr>
        <w:t>Diabetes management (London, England)</w:t>
      </w:r>
      <w:r w:rsidRPr="00E90E87">
        <w:rPr>
          <w:color w:val="000000"/>
        </w:rPr>
        <w:t xml:space="preserve">, 2(4), pp.309–321. </w:t>
      </w:r>
      <w:proofErr w:type="spellStart"/>
      <w:proofErr w:type="gramStart"/>
      <w:r w:rsidRPr="00E90E87">
        <w:rPr>
          <w:color w:val="000000"/>
        </w:rPr>
        <w:t>doi:https</w:t>
      </w:r>
      <w:proofErr w:type="spellEnd"/>
      <w:r w:rsidRPr="00E90E87">
        <w:rPr>
          <w:color w:val="000000"/>
        </w:rPr>
        <w:t>://doi.org/10.2217/dmt.12.34</w:t>
      </w:r>
      <w:proofErr w:type="gramEnd"/>
      <w:r w:rsidR="0042470E">
        <w:rPr>
          <w:color w:val="000000"/>
        </w:rPr>
        <w:t xml:space="preserve"> (Accessed </w:t>
      </w:r>
      <w:r w:rsidR="00A86396">
        <w:rPr>
          <w:color w:val="000000"/>
        </w:rPr>
        <w:t>12</w:t>
      </w:r>
      <w:r w:rsidR="00A86396" w:rsidRPr="00A86396">
        <w:rPr>
          <w:color w:val="000000"/>
          <w:vertAlign w:val="superscript"/>
        </w:rPr>
        <w:t>th</w:t>
      </w:r>
      <w:r w:rsidR="00A86396">
        <w:rPr>
          <w:color w:val="000000"/>
        </w:rPr>
        <w:t xml:space="preserve"> </w:t>
      </w:r>
      <w:r w:rsidR="0042470E">
        <w:rPr>
          <w:color w:val="000000"/>
        </w:rPr>
        <w:t>Nov. 2025).</w:t>
      </w:r>
    </w:p>
    <w:p w14:paraId="7792B0D3" w14:textId="2784118D" w:rsidR="00D56324" w:rsidRDefault="00D56324" w:rsidP="00D56324">
      <w:pPr>
        <w:spacing w:after="240" w:line="360" w:lineRule="atLeast"/>
        <w:rPr>
          <w:color w:val="000000"/>
        </w:rPr>
      </w:pPr>
      <w:r w:rsidRPr="00D56324">
        <w:rPr>
          <w:color w:val="000000"/>
        </w:rPr>
        <w:t>Beyera, G.K., O’Brien, J. and Campbell, S. (2021). Choosing a health behaviour theory or model for related research projects: A narrative review. </w:t>
      </w:r>
      <w:r w:rsidRPr="00D56324">
        <w:rPr>
          <w:i/>
          <w:iCs/>
          <w:color w:val="000000"/>
        </w:rPr>
        <w:t>Journal of Research in Nursing</w:t>
      </w:r>
      <w:r w:rsidRPr="00D56324">
        <w:rPr>
          <w:color w:val="000000"/>
        </w:rPr>
        <w:t xml:space="preserve">, 27(5), p.174498712110515. </w:t>
      </w:r>
      <w:proofErr w:type="spellStart"/>
      <w:proofErr w:type="gramStart"/>
      <w:r w:rsidRPr="00D56324">
        <w:rPr>
          <w:color w:val="000000"/>
        </w:rPr>
        <w:t>doi:https</w:t>
      </w:r>
      <w:proofErr w:type="spellEnd"/>
      <w:r w:rsidRPr="00D56324">
        <w:rPr>
          <w:color w:val="000000"/>
        </w:rPr>
        <w:t>://doi.org/10.1177/17449871211051566</w:t>
      </w:r>
      <w:proofErr w:type="gramEnd"/>
      <w:r w:rsidR="0042470E">
        <w:rPr>
          <w:color w:val="000000"/>
        </w:rPr>
        <w:t xml:space="preserve"> (Accessed 18</w:t>
      </w:r>
      <w:r w:rsidR="0042470E" w:rsidRPr="0042470E">
        <w:rPr>
          <w:color w:val="000000"/>
          <w:vertAlign w:val="superscript"/>
        </w:rPr>
        <w:t>th</w:t>
      </w:r>
      <w:r w:rsidR="0042470E">
        <w:rPr>
          <w:color w:val="000000"/>
        </w:rPr>
        <w:t xml:space="preserve"> Nov. 2025).</w:t>
      </w:r>
    </w:p>
    <w:p w14:paraId="1B5E3471" w14:textId="1434CE21" w:rsidR="00B378CE" w:rsidRDefault="00B378CE" w:rsidP="00D56324">
      <w:pPr>
        <w:spacing w:after="240" w:line="360" w:lineRule="atLeast"/>
        <w:rPr>
          <w:color w:val="000000"/>
        </w:rPr>
      </w:pPr>
      <w:r w:rsidRPr="00B378CE">
        <w:rPr>
          <w:color w:val="000000"/>
        </w:rPr>
        <w:t>Bliss, A., Williamson, S. and Alayo, L. (2023). </w:t>
      </w:r>
      <w:r w:rsidRPr="00B378CE">
        <w:rPr>
          <w:i/>
          <w:iCs/>
          <w:color w:val="000000"/>
        </w:rPr>
        <w:t>The State of Integrated Care Systems 2023/24</w:t>
      </w:r>
      <w:r w:rsidRPr="00B378CE">
        <w:rPr>
          <w:color w:val="000000"/>
        </w:rPr>
        <w:t xml:space="preserve">. NHS Confederation. Available at: </w:t>
      </w:r>
      <w:hyperlink r:id="rId8" w:history="1">
        <w:r w:rsidR="00DD02CA" w:rsidRPr="00EC02CF">
          <w:rPr>
            <w:rStyle w:val="Hyperlink"/>
          </w:rPr>
          <w:t>https://www.nhsconfed.org/publications/state-integrated-care-systems-202324</w:t>
        </w:r>
      </w:hyperlink>
      <w:r w:rsidR="0042470E">
        <w:rPr>
          <w:color w:val="000000"/>
        </w:rPr>
        <w:t xml:space="preserve"> (Accessed 17</w:t>
      </w:r>
      <w:r w:rsidR="0042470E" w:rsidRPr="0042470E">
        <w:rPr>
          <w:color w:val="000000"/>
          <w:vertAlign w:val="superscript"/>
        </w:rPr>
        <w:t>th</w:t>
      </w:r>
      <w:r w:rsidR="0042470E">
        <w:rPr>
          <w:color w:val="000000"/>
        </w:rPr>
        <w:t xml:space="preserve"> Feb. 2026).</w:t>
      </w:r>
    </w:p>
    <w:p w14:paraId="59A86BA5" w14:textId="7CAA9151" w:rsidR="00DD02CA" w:rsidRDefault="00DD02CA" w:rsidP="00D56324">
      <w:pPr>
        <w:spacing w:after="240" w:line="360" w:lineRule="atLeast"/>
        <w:rPr>
          <w:color w:val="000000"/>
        </w:rPr>
      </w:pPr>
      <w:r w:rsidRPr="00DD02CA">
        <w:rPr>
          <w:color w:val="000000"/>
        </w:rPr>
        <w:t xml:space="preserve">Conquer, S., Iles, R., Windle, K., </w:t>
      </w:r>
      <w:proofErr w:type="spellStart"/>
      <w:r w:rsidRPr="00DD02CA">
        <w:rPr>
          <w:color w:val="000000"/>
        </w:rPr>
        <w:t>Heathershaw</w:t>
      </w:r>
      <w:proofErr w:type="spellEnd"/>
      <w:r w:rsidRPr="00DD02CA">
        <w:rPr>
          <w:color w:val="000000"/>
        </w:rPr>
        <w:t>, R. and Ski, C.F. (2024). Transforming Integrated Care Through Co-production: A Systematic Review Using Meta-ethnography. </w:t>
      </w:r>
      <w:r w:rsidRPr="00DD02CA">
        <w:rPr>
          <w:i/>
          <w:iCs/>
          <w:color w:val="000000"/>
        </w:rPr>
        <w:t>International journal of integrated care</w:t>
      </w:r>
      <w:r w:rsidRPr="00DD02CA">
        <w:rPr>
          <w:color w:val="000000"/>
        </w:rPr>
        <w:t xml:space="preserve">, 24(1), pp.17–17. </w:t>
      </w:r>
      <w:proofErr w:type="spellStart"/>
      <w:proofErr w:type="gramStart"/>
      <w:r w:rsidRPr="00DD02CA">
        <w:rPr>
          <w:color w:val="000000"/>
        </w:rPr>
        <w:t>doi:https</w:t>
      </w:r>
      <w:proofErr w:type="spellEnd"/>
      <w:r w:rsidRPr="00DD02CA">
        <w:rPr>
          <w:color w:val="000000"/>
        </w:rPr>
        <w:t>://doi.org/10.5334/ijic.7603</w:t>
      </w:r>
      <w:proofErr w:type="gramEnd"/>
      <w:r w:rsidR="0042470E">
        <w:rPr>
          <w:color w:val="000000"/>
        </w:rPr>
        <w:t xml:space="preserve"> (Accessed 20</w:t>
      </w:r>
      <w:r w:rsidR="0042470E" w:rsidRPr="0042470E">
        <w:rPr>
          <w:color w:val="000000"/>
          <w:vertAlign w:val="superscript"/>
        </w:rPr>
        <w:t>th</w:t>
      </w:r>
      <w:r w:rsidR="0042470E">
        <w:rPr>
          <w:color w:val="000000"/>
        </w:rPr>
        <w:t xml:space="preserve"> March 2026).</w:t>
      </w:r>
    </w:p>
    <w:p w14:paraId="7D78FB1B" w14:textId="1DA94BDD" w:rsidR="003F0DB8" w:rsidRDefault="003F0DB8" w:rsidP="00D56324">
      <w:pPr>
        <w:spacing w:after="240" w:line="360" w:lineRule="atLeast"/>
        <w:rPr>
          <w:color w:val="000000"/>
        </w:rPr>
      </w:pPr>
      <w:r w:rsidRPr="003F0DB8">
        <w:rPr>
          <w:color w:val="000000"/>
        </w:rPr>
        <w:t>Dailah, H.G. (2024). The Influence of Nurse-Led Interventions on Diseases Management in Patients with Diabetes Mellitus: A Narrative Review. </w:t>
      </w:r>
      <w:r w:rsidRPr="003F0DB8">
        <w:rPr>
          <w:i/>
          <w:iCs/>
          <w:color w:val="000000"/>
        </w:rPr>
        <w:t>Healthcare</w:t>
      </w:r>
      <w:r w:rsidRPr="003F0DB8">
        <w:rPr>
          <w:color w:val="000000"/>
        </w:rPr>
        <w:t>,</w:t>
      </w:r>
      <w:r w:rsidR="00E64A3B">
        <w:rPr>
          <w:color w:val="000000"/>
        </w:rPr>
        <w:t xml:space="preserve"> </w:t>
      </w:r>
      <w:r w:rsidRPr="003F0DB8">
        <w:rPr>
          <w:color w:val="000000"/>
        </w:rPr>
        <w:t xml:space="preserve">12(3), p.352. </w:t>
      </w:r>
      <w:proofErr w:type="spellStart"/>
      <w:proofErr w:type="gramStart"/>
      <w:r w:rsidRPr="003F0DB8">
        <w:rPr>
          <w:color w:val="000000"/>
        </w:rPr>
        <w:t>doi:https</w:t>
      </w:r>
      <w:proofErr w:type="spellEnd"/>
      <w:r w:rsidRPr="003F0DB8">
        <w:rPr>
          <w:color w:val="000000"/>
        </w:rPr>
        <w:t>://doi.org/10.3390/healthcare12030352</w:t>
      </w:r>
      <w:proofErr w:type="gramEnd"/>
      <w:r w:rsidR="0042470E">
        <w:rPr>
          <w:color w:val="000000"/>
        </w:rPr>
        <w:t xml:space="preserve"> (Accessed </w:t>
      </w:r>
      <w:r w:rsidR="005D7526">
        <w:rPr>
          <w:color w:val="000000"/>
        </w:rPr>
        <w:t>23</w:t>
      </w:r>
      <w:r w:rsidR="005D7526" w:rsidRPr="005D7526">
        <w:rPr>
          <w:color w:val="000000"/>
          <w:vertAlign w:val="superscript"/>
        </w:rPr>
        <w:t>rd</w:t>
      </w:r>
      <w:r w:rsidR="005D7526">
        <w:rPr>
          <w:color w:val="000000"/>
        </w:rPr>
        <w:t xml:space="preserve"> Feb. 2026).</w:t>
      </w:r>
    </w:p>
    <w:p w14:paraId="71F96267" w14:textId="358025EB" w:rsidR="006716BD" w:rsidRDefault="006716BD" w:rsidP="00D56324">
      <w:pPr>
        <w:spacing w:after="240" w:line="360" w:lineRule="atLeast"/>
        <w:rPr>
          <w:color w:val="000000"/>
        </w:rPr>
      </w:pPr>
      <w:r w:rsidRPr="006716BD">
        <w:rPr>
          <w:color w:val="000000"/>
        </w:rPr>
        <w:t>DESMOND (2023). </w:t>
      </w:r>
      <w:r w:rsidRPr="006716BD">
        <w:rPr>
          <w:i/>
          <w:iCs/>
          <w:color w:val="000000"/>
        </w:rPr>
        <w:t>DESMOND</w:t>
      </w:r>
      <w:r w:rsidRPr="006716BD">
        <w:rPr>
          <w:color w:val="000000"/>
        </w:rPr>
        <w:t xml:space="preserve">.  DESMOND. Available at: </w:t>
      </w:r>
      <w:hyperlink r:id="rId9" w:history="1">
        <w:r w:rsidR="00385118" w:rsidRPr="00EC02CF">
          <w:rPr>
            <w:rStyle w:val="Hyperlink"/>
          </w:rPr>
          <w:t>https://www.desmond.nhs.uk</w:t>
        </w:r>
      </w:hyperlink>
      <w:r w:rsidR="005D7526">
        <w:rPr>
          <w:color w:val="000000"/>
        </w:rPr>
        <w:t xml:space="preserve"> (Accessed 1</w:t>
      </w:r>
      <w:r w:rsidR="005D7526" w:rsidRPr="005D7526">
        <w:rPr>
          <w:color w:val="000000"/>
          <w:vertAlign w:val="superscript"/>
        </w:rPr>
        <w:t>st</w:t>
      </w:r>
      <w:r w:rsidR="005D7526">
        <w:rPr>
          <w:color w:val="000000"/>
        </w:rPr>
        <w:t xml:space="preserve"> March 2026).</w:t>
      </w:r>
    </w:p>
    <w:p w14:paraId="1D3AB3EA" w14:textId="14DBA258" w:rsidR="00385118" w:rsidRDefault="00385118" w:rsidP="00D56324">
      <w:pPr>
        <w:spacing w:after="240" w:line="360" w:lineRule="atLeast"/>
        <w:rPr>
          <w:color w:val="000000"/>
        </w:rPr>
      </w:pPr>
      <w:r w:rsidRPr="00385118">
        <w:rPr>
          <w:color w:val="000000"/>
        </w:rPr>
        <w:t>Diabetes UK (2020). </w:t>
      </w:r>
      <w:r w:rsidRPr="00385118">
        <w:rPr>
          <w:i/>
          <w:iCs/>
          <w:color w:val="000000"/>
        </w:rPr>
        <w:t>Ethnicity and type 2 diabetes</w:t>
      </w:r>
      <w:r w:rsidRPr="00385118">
        <w:rPr>
          <w:color w:val="000000"/>
        </w:rPr>
        <w:t xml:space="preserve">.  Diabetes UK. Available at: </w:t>
      </w:r>
      <w:hyperlink r:id="rId10" w:history="1">
        <w:r w:rsidR="00A03190" w:rsidRPr="00385118">
          <w:rPr>
            <w:rStyle w:val="Hyperlink"/>
          </w:rPr>
          <w:t>https://www.diabetes.org.uk/about-diabetes/type-2-diabetes/diabetes-ethnicity</w:t>
        </w:r>
      </w:hyperlink>
      <w:r w:rsidR="005D7526">
        <w:rPr>
          <w:color w:val="000000"/>
        </w:rPr>
        <w:t xml:space="preserve"> (Accessed </w:t>
      </w:r>
      <w:r w:rsidR="00A80DA3">
        <w:rPr>
          <w:color w:val="000000"/>
        </w:rPr>
        <w:t>4</w:t>
      </w:r>
      <w:r w:rsidR="00A80DA3" w:rsidRPr="00A80DA3">
        <w:rPr>
          <w:color w:val="000000"/>
          <w:vertAlign w:val="superscript"/>
        </w:rPr>
        <w:t>th</w:t>
      </w:r>
      <w:r w:rsidR="005D7526">
        <w:rPr>
          <w:color w:val="000000"/>
        </w:rPr>
        <w:t xml:space="preserve"> Nov. 2025).</w:t>
      </w:r>
    </w:p>
    <w:p w14:paraId="00C6CDDC" w14:textId="6C8903BA" w:rsidR="00A03190" w:rsidRPr="00D56324" w:rsidRDefault="00A03190" w:rsidP="00D56324">
      <w:pPr>
        <w:spacing w:after="240" w:line="360" w:lineRule="atLeast"/>
        <w:rPr>
          <w:color w:val="000000"/>
        </w:rPr>
      </w:pPr>
      <w:r w:rsidRPr="00A03190">
        <w:rPr>
          <w:color w:val="000000"/>
        </w:rPr>
        <w:t>Diabetes UK (2024). </w:t>
      </w:r>
      <w:r w:rsidRPr="00A03190">
        <w:rPr>
          <w:i/>
          <w:iCs/>
          <w:color w:val="000000"/>
        </w:rPr>
        <w:t>30% of people living with type 2 diabetes in England are undiagnosed, ONS analysis shows</w:t>
      </w:r>
      <w:r w:rsidRPr="00A03190">
        <w:rPr>
          <w:color w:val="000000"/>
        </w:rPr>
        <w:t xml:space="preserve">. Diabetes UK. Available at: </w:t>
      </w:r>
      <w:hyperlink r:id="rId11" w:history="1">
        <w:r w:rsidR="005D7526" w:rsidRPr="00A03190">
          <w:rPr>
            <w:rStyle w:val="Hyperlink"/>
          </w:rPr>
          <w:t>https://www.diabetes.org.uk/about-us/news-</w:t>
        </w:r>
        <w:r w:rsidR="005D7526" w:rsidRPr="00A03190">
          <w:rPr>
            <w:rStyle w:val="Hyperlink"/>
          </w:rPr>
          <w:lastRenderedPageBreak/>
          <w:t>and-views/30-people-living-type-2-diabetes-england-are-undiagnosed-ons-analysis-shows</w:t>
        </w:r>
      </w:hyperlink>
      <w:r w:rsidR="005D7526">
        <w:rPr>
          <w:color w:val="000000"/>
        </w:rPr>
        <w:t xml:space="preserve"> (Accessed 10</w:t>
      </w:r>
      <w:proofErr w:type="gramStart"/>
      <w:r w:rsidR="00A80DA3" w:rsidRPr="00A80DA3">
        <w:rPr>
          <w:color w:val="000000"/>
          <w:vertAlign w:val="superscript"/>
        </w:rPr>
        <w:t>th</w:t>
      </w:r>
      <w:r w:rsidR="00A80DA3">
        <w:rPr>
          <w:color w:val="000000"/>
        </w:rPr>
        <w:t xml:space="preserve"> </w:t>
      </w:r>
      <w:r w:rsidR="005D7526">
        <w:rPr>
          <w:color w:val="000000"/>
        </w:rPr>
        <w:t xml:space="preserve"> Dec.</w:t>
      </w:r>
      <w:proofErr w:type="gramEnd"/>
      <w:r w:rsidR="005D7526">
        <w:rPr>
          <w:color w:val="000000"/>
        </w:rPr>
        <w:t xml:space="preserve"> 2025).</w:t>
      </w:r>
    </w:p>
    <w:p w14:paraId="64C8F0DB" w14:textId="4526F44B" w:rsidR="005D6EEC" w:rsidRDefault="005D6EEC" w:rsidP="005D6EEC">
      <w:pPr>
        <w:pStyle w:val="NormalWeb"/>
        <w:spacing w:before="0" w:beforeAutospacing="0" w:after="240" w:afterAutospacing="0" w:line="360" w:lineRule="atLeast"/>
        <w:rPr>
          <w:color w:val="000000"/>
        </w:rPr>
      </w:pPr>
      <w:r>
        <w:rPr>
          <w:color w:val="000000"/>
        </w:rPr>
        <w:t>Diabetes UK (2023).</w:t>
      </w:r>
      <w:r>
        <w:rPr>
          <w:rStyle w:val="apple-converted-space"/>
          <w:rFonts w:eastAsia="Calibri Light"/>
          <w:color w:val="000000"/>
        </w:rPr>
        <w:t> </w:t>
      </w:r>
      <w:r>
        <w:rPr>
          <w:i/>
          <w:iCs/>
          <w:color w:val="000000"/>
        </w:rPr>
        <w:t>How Many People in the UK Have diabetes?</w:t>
      </w:r>
      <w:r>
        <w:rPr>
          <w:rStyle w:val="apple-converted-space"/>
          <w:rFonts w:eastAsia="Calibri Light"/>
          <w:color w:val="000000"/>
        </w:rPr>
        <w:t> </w:t>
      </w:r>
      <w:r>
        <w:rPr>
          <w:color w:val="000000"/>
        </w:rPr>
        <w:t xml:space="preserve"> Diabetes UK. Available at: https://www.diabetes.org.uk/about-us/about-the-charity/our-strategy/statistics </w:t>
      </w:r>
      <w:r w:rsidR="00F869CD">
        <w:rPr>
          <w:color w:val="000000"/>
        </w:rPr>
        <w:t>(</w:t>
      </w:r>
      <w:r>
        <w:rPr>
          <w:color w:val="000000"/>
        </w:rPr>
        <w:t>Accessed 27</w:t>
      </w:r>
      <w:r w:rsidR="00A80DA3" w:rsidRPr="00A80DA3">
        <w:rPr>
          <w:color w:val="000000"/>
          <w:vertAlign w:val="superscript"/>
        </w:rPr>
        <w:t>th</w:t>
      </w:r>
      <w:r>
        <w:rPr>
          <w:color w:val="000000"/>
        </w:rPr>
        <w:t xml:space="preserve"> Feb. 2026</w:t>
      </w:r>
      <w:r w:rsidR="00F869CD">
        <w:rPr>
          <w:color w:val="000000"/>
        </w:rPr>
        <w:t>)</w:t>
      </w:r>
      <w:r>
        <w:rPr>
          <w:color w:val="000000"/>
        </w:rPr>
        <w:t>.</w:t>
      </w:r>
    </w:p>
    <w:p w14:paraId="0BCCF0D5" w14:textId="49F11D50" w:rsidR="005D6EEC" w:rsidRDefault="005D6EEC" w:rsidP="005D6EEC">
      <w:pPr>
        <w:pStyle w:val="NormalWeb"/>
        <w:spacing w:before="0" w:beforeAutospacing="0" w:after="240" w:afterAutospacing="0" w:line="360" w:lineRule="atLeast"/>
        <w:rPr>
          <w:color w:val="000000"/>
        </w:rPr>
      </w:pPr>
      <w:r>
        <w:rPr>
          <w:color w:val="000000"/>
        </w:rPr>
        <w:t>England, N. (2025).</w:t>
      </w:r>
      <w:r>
        <w:rPr>
          <w:rStyle w:val="apple-converted-space"/>
          <w:rFonts w:eastAsia="Calibri Light"/>
          <w:color w:val="000000"/>
        </w:rPr>
        <w:t> </w:t>
      </w:r>
      <w:r>
        <w:rPr>
          <w:i/>
          <w:iCs/>
          <w:color w:val="000000"/>
        </w:rPr>
        <w:t>NHS England» NHS initiative helps thousands more tackle their diabetes risk</w:t>
      </w:r>
      <w:r>
        <w:rPr>
          <w:color w:val="000000"/>
        </w:rPr>
        <w:t>.</w:t>
      </w:r>
      <w:r w:rsidR="00F869CD">
        <w:rPr>
          <w:color w:val="000000"/>
        </w:rPr>
        <w:t xml:space="preserve"> </w:t>
      </w:r>
      <w:r>
        <w:rPr>
          <w:color w:val="000000"/>
        </w:rPr>
        <w:t xml:space="preserve">England.nhs.uk. Available at: https://www.england.nhs.uk/2025/05/nhs-initiative-helps-thousands-more-tackle-their-diabetes-risk/ </w:t>
      </w:r>
      <w:r w:rsidR="00F869CD">
        <w:rPr>
          <w:color w:val="000000"/>
        </w:rPr>
        <w:t>(</w:t>
      </w:r>
      <w:r>
        <w:rPr>
          <w:color w:val="000000"/>
        </w:rPr>
        <w:t>Accessed 24</w:t>
      </w:r>
      <w:r w:rsidR="00A80DA3" w:rsidRPr="00A80DA3">
        <w:rPr>
          <w:color w:val="000000"/>
          <w:vertAlign w:val="superscript"/>
        </w:rPr>
        <w:t>th</w:t>
      </w:r>
      <w:r>
        <w:rPr>
          <w:color w:val="000000"/>
        </w:rPr>
        <w:t xml:space="preserve"> Feb. 2026</w:t>
      </w:r>
      <w:r w:rsidR="00F869CD">
        <w:rPr>
          <w:color w:val="000000"/>
        </w:rPr>
        <w:t>)</w:t>
      </w:r>
      <w:r>
        <w:rPr>
          <w:color w:val="000000"/>
        </w:rPr>
        <w:t>.</w:t>
      </w:r>
    </w:p>
    <w:p w14:paraId="4BCDB0AE" w14:textId="789A267B" w:rsidR="00524A00" w:rsidRDefault="00524A00" w:rsidP="00016F6F">
      <w:pPr>
        <w:spacing w:after="240" w:line="360" w:lineRule="atLeast"/>
        <w:rPr>
          <w:color w:val="000000"/>
        </w:rPr>
      </w:pPr>
      <w:r w:rsidRPr="00524A00">
        <w:rPr>
          <w:color w:val="000000"/>
        </w:rPr>
        <w:t>Fritzell, J. and Fors, S. (2025). Health inequalities in the Nordic countries: A comparative overview and update. </w:t>
      </w:r>
      <w:r w:rsidRPr="00524A00">
        <w:rPr>
          <w:i/>
          <w:iCs/>
          <w:color w:val="000000"/>
        </w:rPr>
        <w:t>Journal of Internal Medicine</w:t>
      </w:r>
      <w:r w:rsidRPr="00524A00">
        <w:rPr>
          <w:color w:val="000000"/>
        </w:rPr>
        <w:t xml:space="preserve">, 298(6), pp.591–603. </w:t>
      </w:r>
      <w:proofErr w:type="spellStart"/>
      <w:proofErr w:type="gramStart"/>
      <w:r w:rsidRPr="00524A00">
        <w:rPr>
          <w:color w:val="000000"/>
        </w:rPr>
        <w:t>doi:https</w:t>
      </w:r>
      <w:proofErr w:type="spellEnd"/>
      <w:r w:rsidRPr="00524A00">
        <w:rPr>
          <w:color w:val="000000"/>
        </w:rPr>
        <w:t>://doi.org/10.1111/joim.70029</w:t>
      </w:r>
      <w:proofErr w:type="gramEnd"/>
      <w:r w:rsidR="005D7526">
        <w:rPr>
          <w:color w:val="000000"/>
        </w:rPr>
        <w:t xml:space="preserve"> (Accessed 5</w:t>
      </w:r>
      <w:r w:rsidR="005D7526" w:rsidRPr="005D7526">
        <w:rPr>
          <w:color w:val="000000"/>
          <w:vertAlign w:val="superscript"/>
        </w:rPr>
        <w:t>th</w:t>
      </w:r>
      <w:r w:rsidR="005D7526">
        <w:rPr>
          <w:color w:val="000000"/>
        </w:rPr>
        <w:t xml:space="preserve"> Nov. 2025).</w:t>
      </w:r>
    </w:p>
    <w:p w14:paraId="24DB93B5" w14:textId="5A2EBCBC" w:rsidR="00016F6F" w:rsidRPr="00016F6F" w:rsidRDefault="00016F6F" w:rsidP="00016F6F">
      <w:pPr>
        <w:spacing w:after="240" w:line="360" w:lineRule="atLeast"/>
        <w:rPr>
          <w:color w:val="000000"/>
        </w:rPr>
      </w:pPr>
      <w:r w:rsidRPr="00016F6F">
        <w:rPr>
          <w:color w:val="000000"/>
        </w:rPr>
        <w:t>Galaviz, K.I., Narayan, K.M.V., Lobelo, F. and Weber, M.B. (2019). Lifestyle and the Prevention of Type 2 Diabetes: A Status Report. </w:t>
      </w:r>
      <w:r w:rsidRPr="00016F6F">
        <w:rPr>
          <w:i/>
          <w:iCs/>
          <w:color w:val="000000"/>
        </w:rPr>
        <w:t>American Journal of Lifestyle Medicine</w:t>
      </w:r>
      <w:r w:rsidRPr="00016F6F">
        <w:rPr>
          <w:color w:val="000000"/>
        </w:rPr>
        <w:t>, 12(1), pp.4–20</w:t>
      </w:r>
      <w:r w:rsidR="005D7526">
        <w:rPr>
          <w:color w:val="000000"/>
        </w:rPr>
        <w:t xml:space="preserve"> (Accessed 12</w:t>
      </w:r>
      <w:r w:rsidR="005D7526" w:rsidRPr="005D7526">
        <w:rPr>
          <w:color w:val="000000"/>
          <w:vertAlign w:val="superscript"/>
        </w:rPr>
        <w:t>th</w:t>
      </w:r>
      <w:r w:rsidR="005D7526">
        <w:rPr>
          <w:color w:val="000000"/>
        </w:rPr>
        <w:t xml:space="preserve"> Dec. 2025).</w:t>
      </w:r>
    </w:p>
    <w:p w14:paraId="503FC4BD" w14:textId="0970C3DF" w:rsidR="005D6EEC" w:rsidRDefault="005D6EEC" w:rsidP="005D6EEC">
      <w:pPr>
        <w:pStyle w:val="NormalWeb"/>
        <w:spacing w:before="0" w:beforeAutospacing="0" w:after="240" w:afterAutospacing="0" w:line="360" w:lineRule="atLeast"/>
        <w:rPr>
          <w:color w:val="000000"/>
        </w:rPr>
      </w:pPr>
      <w:r>
        <w:rPr>
          <w:color w:val="000000"/>
        </w:rPr>
        <w:t>Gavina, C., Carvalho, D.S., Dias, D.M., Bernardo, F., Martinho, H., Couceiro, J., Santos-Araújo, C., Dinis-Oliveira, R.J. and Taveira-Gomes, T. (2022). Premature Mortality in Type 2 Diabetes Mellitus Associated with Heart Failure and Chronic Kidney Disease: 20 Years of Real-World Data.</w:t>
      </w:r>
      <w:r>
        <w:rPr>
          <w:rStyle w:val="apple-converted-space"/>
          <w:rFonts w:eastAsia="Calibri Light"/>
          <w:color w:val="000000"/>
        </w:rPr>
        <w:t> </w:t>
      </w:r>
      <w:r>
        <w:rPr>
          <w:i/>
          <w:iCs/>
          <w:color w:val="000000"/>
        </w:rPr>
        <w:t>Journal of Clinical Medicine</w:t>
      </w:r>
      <w:r>
        <w:rPr>
          <w:color w:val="000000"/>
        </w:rPr>
        <w:t xml:space="preserve">, 11(8), p.2131. </w:t>
      </w:r>
      <w:proofErr w:type="spellStart"/>
      <w:proofErr w:type="gramStart"/>
      <w:r>
        <w:rPr>
          <w:color w:val="000000"/>
        </w:rPr>
        <w:t>doi:https</w:t>
      </w:r>
      <w:proofErr w:type="spellEnd"/>
      <w:r>
        <w:rPr>
          <w:color w:val="000000"/>
        </w:rPr>
        <w:t>://doi.org/10.3390/jcm11082131</w:t>
      </w:r>
      <w:proofErr w:type="gramEnd"/>
      <w:r w:rsidR="005D7526">
        <w:rPr>
          <w:color w:val="000000"/>
        </w:rPr>
        <w:t xml:space="preserve"> (Accessed 27</w:t>
      </w:r>
      <w:r w:rsidR="005D7526" w:rsidRPr="005D7526">
        <w:rPr>
          <w:color w:val="000000"/>
          <w:vertAlign w:val="superscript"/>
        </w:rPr>
        <w:t>th</w:t>
      </w:r>
      <w:r w:rsidR="005D7526">
        <w:rPr>
          <w:color w:val="000000"/>
        </w:rPr>
        <w:t xml:space="preserve"> Dec. 2025).</w:t>
      </w:r>
    </w:p>
    <w:p w14:paraId="781766B7" w14:textId="76898EE7" w:rsidR="009C10DB" w:rsidRDefault="009C10DB" w:rsidP="009C10DB">
      <w:pPr>
        <w:spacing w:after="240" w:line="360" w:lineRule="atLeast"/>
        <w:rPr>
          <w:color w:val="000000"/>
        </w:rPr>
      </w:pPr>
      <w:proofErr w:type="spellStart"/>
      <w:r w:rsidRPr="009C10DB">
        <w:rPr>
          <w:color w:val="000000"/>
        </w:rPr>
        <w:t>Gieroba</w:t>
      </w:r>
      <w:proofErr w:type="spellEnd"/>
      <w:r w:rsidRPr="009C10DB">
        <w:rPr>
          <w:color w:val="000000"/>
        </w:rPr>
        <w:t xml:space="preserve">, B., </w:t>
      </w:r>
      <w:proofErr w:type="spellStart"/>
      <w:r w:rsidRPr="009C10DB">
        <w:rPr>
          <w:color w:val="000000"/>
        </w:rPr>
        <w:t>Kryska</w:t>
      </w:r>
      <w:proofErr w:type="spellEnd"/>
      <w:r w:rsidRPr="009C10DB">
        <w:rPr>
          <w:color w:val="000000"/>
        </w:rPr>
        <w:t xml:space="preserve">, A. and </w:t>
      </w:r>
      <w:proofErr w:type="spellStart"/>
      <w:r w:rsidRPr="009C10DB">
        <w:rPr>
          <w:color w:val="000000"/>
        </w:rPr>
        <w:t>Sroka-Bartnicka</w:t>
      </w:r>
      <w:proofErr w:type="spellEnd"/>
      <w:r w:rsidRPr="009C10DB">
        <w:rPr>
          <w:color w:val="000000"/>
        </w:rPr>
        <w:t>, A. (2025). Type 2 diabetes mellitus – conventional therapies and future perspectives in innovative treatment. </w:t>
      </w:r>
      <w:r w:rsidRPr="009C10DB">
        <w:rPr>
          <w:i/>
          <w:iCs/>
          <w:color w:val="000000"/>
        </w:rPr>
        <w:t>Biochemistry and Biophysics Reports</w:t>
      </w:r>
      <w:r w:rsidRPr="009C10DB">
        <w:rPr>
          <w:color w:val="000000"/>
        </w:rPr>
        <w:t xml:space="preserve">, 42, p.102037. </w:t>
      </w:r>
      <w:proofErr w:type="spellStart"/>
      <w:proofErr w:type="gramStart"/>
      <w:r w:rsidRPr="009C10DB">
        <w:rPr>
          <w:color w:val="000000"/>
        </w:rPr>
        <w:t>doi:https</w:t>
      </w:r>
      <w:proofErr w:type="spellEnd"/>
      <w:r w:rsidRPr="009C10DB">
        <w:rPr>
          <w:color w:val="000000"/>
        </w:rPr>
        <w:t>://doi.org/10.1016/j.bbrep.2025.102037</w:t>
      </w:r>
      <w:proofErr w:type="gramEnd"/>
      <w:r w:rsidR="005D7526">
        <w:rPr>
          <w:color w:val="000000"/>
        </w:rPr>
        <w:t xml:space="preserve"> (Accessed 17</w:t>
      </w:r>
      <w:r w:rsidR="005D7526" w:rsidRPr="005D7526">
        <w:rPr>
          <w:color w:val="000000"/>
          <w:vertAlign w:val="superscript"/>
        </w:rPr>
        <w:t>th</w:t>
      </w:r>
      <w:r w:rsidR="005D7526">
        <w:rPr>
          <w:color w:val="000000"/>
        </w:rPr>
        <w:t xml:space="preserve"> March. 2026)</w:t>
      </w:r>
    </w:p>
    <w:p w14:paraId="2DA97BE8" w14:textId="4C3CA703" w:rsidR="00994EFA" w:rsidRPr="009C10DB" w:rsidRDefault="00994EFA" w:rsidP="009C10DB">
      <w:pPr>
        <w:spacing w:after="240" w:line="360" w:lineRule="atLeast"/>
        <w:rPr>
          <w:color w:val="000000"/>
        </w:rPr>
      </w:pPr>
      <w:r w:rsidRPr="00994EFA">
        <w:rPr>
          <w:color w:val="000000"/>
        </w:rPr>
        <w:t>Goff, L.M. (2019). Ethnicity and Type 2 diabetes in the UK. </w:t>
      </w:r>
      <w:r w:rsidRPr="00994EFA">
        <w:rPr>
          <w:i/>
          <w:iCs/>
          <w:color w:val="000000"/>
        </w:rPr>
        <w:t>Diabetic Medicine</w:t>
      </w:r>
      <w:r w:rsidRPr="00994EFA">
        <w:rPr>
          <w:color w:val="000000"/>
        </w:rPr>
        <w:t>,</w:t>
      </w:r>
      <w:r w:rsidR="005D7526">
        <w:rPr>
          <w:color w:val="000000"/>
        </w:rPr>
        <w:t xml:space="preserve"> </w:t>
      </w:r>
      <w:r w:rsidRPr="00994EFA">
        <w:rPr>
          <w:color w:val="000000"/>
        </w:rPr>
        <w:t xml:space="preserve">36(8), pp.927–938. Available at: https://onlinelibrary.wiley.com/doi/full/10.1111/dme.13895?saml_referrer </w:t>
      </w:r>
      <w:r>
        <w:rPr>
          <w:color w:val="000000"/>
        </w:rPr>
        <w:t>(</w:t>
      </w:r>
      <w:r w:rsidRPr="00994EFA">
        <w:rPr>
          <w:color w:val="000000"/>
        </w:rPr>
        <w:t>Accessed 24</w:t>
      </w:r>
      <w:r w:rsidR="00A80DA3" w:rsidRPr="00A80DA3">
        <w:rPr>
          <w:color w:val="000000"/>
          <w:vertAlign w:val="superscript"/>
        </w:rPr>
        <w:t>th</w:t>
      </w:r>
      <w:r w:rsidRPr="00994EFA">
        <w:rPr>
          <w:color w:val="000000"/>
        </w:rPr>
        <w:t xml:space="preserve"> Feb. 2026</w:t>
      </w:r>
      <w:r>
        <w:rPr>
          <w:color w:val="000000"/>
        </w:rPr>
        <w:t>)</w:t>
      </w:r>
      <w:r w:rsidRPr="00994EFA">
        <w:rPr>
          <w:color w:val="000000"/>
        </w:rPr>
        <w:t>.</w:t>
      </w:r>
    </w:p>
    <w:p w14:paraId="396B6AB1" w14:textId="19CAEFC9" w:rsidR="005D6EEC" w:rsidRDefault="005D6EEC" w:rsidP="005D6EEC">
      <w:pPr>
        <w:pStyle w:val="NormalWeb"/>
        <w:spacing w:before="0" w:beforeAutospacing="0" w:after="240" w:afterAutospacing="0" w:line="360" w:lineRule="atLeast"/>
        <w:rPr>
          <w:color w:val="000000"/>
        </w:rPr>
      </w:pPr>
      <w:r>
        <w:rPr>
          <w:color w:val="000000"/>
        </w:rPr>
        <w:t>Goyal, R., Jialal, I. and Singhal, M. (2023).</w:t>
      </w:r>
      <w:r>
        <w:rPr>
          <w:rStyle w:val="apple-converted-space"/>
          <w:rFonts w:eastAsia="Calibri Light"/>
          <w:color w:val="000000"/>
        </w:rPr>
        <w:t> </w:t>
      </w:r>
      <w:r>
        <w:rPr>
          <w:i/>
          <w:iCs/>
          <w:color w:val="000000"/>
        </w:rPr>
        <w:t>Type 2 diabetes</w:t>
      </w:r>
      <w:r>
        <w:rPr>
          <w:color w:val="000000"/>
        </w:rPr>
        <w:t xml:space="preserve">. National Center for Biotechnology Information. Available at: https://www.ncbi.nlm.nih.gov/books/NBK513253/ </w:t>
      </w:r>
      <w:r w:rsidR="00F869CD">
        <w:rPr>
          <w:color w:val="000000"/>
        </w:rPr>
        <w:t>(</w:t>
      </w:r>
      <w:r>
        <w:rPr>
          <w:color w:val="000000"/>
        </w:rPr>
        <w:t>Accessed 27</w:t>
      </w:r>
      <w:r w:rsidR="00A80DA3" w:rsidRPr="00A80DA3">
        <w:rPr>
          <w:color w:val="000000"/>
          <w:vertAlign w:val="superscript"/>
        </w:rPr>
        <w:t>th</w:t>
      </w:r>
      <w:r>
        <w:rPr>
          <w:color w:val="000000"/>
        </w:rPr>
        <w:t xml:space="preserve"> Feb. 2026</w:t>
      </w:r>
      <w:r w:rsidR="00F869CD">
        <w:rPr>
          <w:color w:val="000000"/>
        </w:rPr>
        <w:t>)</w:t>
      </w:r>
      <w:r>
        <w:rPr>
          <w:color w:val="000000"/>
        </w:rPr>
        <w:t>.</w:t>
      </w:r>
    </w:p>
    <w:p w14:paraId="5B62131A" w14:textId="462A17B8" w:rsidR="003B503B" w:rsidRDefault="003B503B" w:rsidP="003B503B">
      <w:pPr>
        <w:spacing w:after="240" w:line="360" w:lineRule="atLeast"/>
        <w:rPr>
          <w:color w:val="000000"/>
        </w:rPr>
      </w:pPr>
      <w:r w:rsidRPr="003B503B">
        <w:rPr>
          <w:color w:val="000000"/>
        </w:rPr>
        <w:t xml:space="preserve">Hamidi, S., Gholamnezhad, Z., Kasraie, N. and Sahebkar, A. (2022). The Effects of Self-Efficacy and Physical Activity Improving Methods on the Quality of Life in Patients with </w:t>
      </w:r>
      <w:r w:rsidRPr="003B503B">
        <w:rPr>
          <w:color w:val="000000"/>
        </w:rPr>
        <w:lastRenderedPageBreak/>
        <w:t>Diabetes: A Systematic Review. </w:t>
      </w:r>
      <w:r w:rsidRPr="003B503B">
        <w:rPr>
          <w:i/>
          <w:iCs/>
          <w:color w:val="000000"/>
        </w:rPr>
        <w:t>Journal of Diabetes Research</w:t>
      </w:r>
      <w:r w:rsidRPr="003B503B">
        <w:rPr>
          <w:color w:val="000000"/>
        </w:rPr>
        <w:t xml:space="preserve">, 2022, p.e2884933. </w:t>
      </w:r>
      <w:proofErr w:type="spellStart"/>
      <w:proofErr w:type="gramStart"/>
      <w:r w:rsidRPr="003B503B">
        <w:rPr>
          <w:color w:val="000000"/>
        </w:rPr>
        <w:t>doi:https</w:t>
      </w:r>
      <w:proofErr w:type="spellEnd"/>
      <w:r w:rsidRPr="003B503B">
        <w:rPr>
          <w:color w:val="000000"/>
        </w:rPr>
        <w:t>://doi.org/10.1155/2022/2884933</w:t>
      </w:r>
      <w:proofErr w:type="gramEnd"/>
      <w:r w:rsidR="005D7526">
        <w:rPr>
          <w:color w:val="000000"/>
        </w:rPr>
        <w:t xml:space="preserve"> (Accessed 18</w:t>
      </w:r>
      <w:r w:rsidR="005D7526" w:rsidRPr="005D7526">
        <w:rPr>
          <w:color w:val="000000"/>
          <w:vertAlign w:val="superscript"/>
        </w:rPr>
        <w:t>th</w:t>
      </w:r>
      <w:r w:rsidR="005D7526">
        <w:rPr>
          <w:color w:val="000000"/>
        </w:rPr>
        <w:t xml:space="preserve"> Jan. 2026).</w:t>
      </w:r>
    </w:p>
    <w:p w14:paraId="7ABA61F0" w14:textId="0200716B" w:rsidR="006A59F5" w:rsidRPr="003B503B" w:rsidRDefault="006A59F5" w:rsidP="003B503B">
      <w:pPr>
        <w:spacing w:after="240" w:line="360" w:lineRule="atLeast"/>
        <w:rPr>
          <w:color w:val="000000"/>
        </w:rPr>
      </w:pPr>
      <w:r w:rsidRPr="006A59F5">
        <w:rPr>
          <w:color w:val="000000"/>
        </w:rPr>
        <w:t>Hayes, S.L., Mann, M.K., Morgan, F.M., Kelly, M.J. and Weightman, A.L. (2012). Collaboration between Local Health and Local Government Agencies for Health Improvement. </w:t>
      </w:r>
      <w:r w:rsidRPr="006A59F5">
        <w:rPr>
          <w:i/>
          <w:iCs/>
          <w:color w:val="000000"/>
        </w:rPr>
        <w:t>Cochrane Database of Systematic Reviews</w:t>
      </w:r>
      <w:r w:rsidRPr="006A59F5">
        <w:rPr>
          <w:color w:val="000000"/>
        </w:rPr>
        <w:t xml:space="preserve">, 10(10). </w:t>
      </w:r>
      <w:proofErr w:type="spellStart"/>
      <w:proofErr w:type="gramStart"/>
      <w:r w:rsidRPr="006A59F5">
        <w:rPr>
          <w:color w:val="000000"/>
        </w:rPr>
        <w:t>doi:https</w:t>
      </w:r>
      <w:proofErr w:type="spellEnd"/>
      <w:r w:rsidRPr="006A59F5">
        <w:rPr>
          <w:color w:val="000000"/>
        </w:rPr>
        <w:t>://doi.org/10.1002/14651858.cd007825.pub6</w:t>
      </w:r>
      <w:proofErr w:type="gramEnd"/>
      <w:r w:rsidR="005D7526">
        <w:rPr>
          <w:color w:val="000000"/>
        </w:rPr>
        <w:t xml:space="preserve"> (Accessed 10</w:t>
      </w:r>
      <w:r w:rsidR="005D7526" w:rsidRPr="005D7526">
        <w:rPr>
          <w:color w:val="000000"/>
          <w:vertAlign w:val="superscript"/>
        </w:rPr>
        <w:t>th</w:t>
      </w:r>
      <w:r w:rsidR="005D7526">
        <w:rPr>
          <w:color w:val="000000"/>
        </w:rPr>
        <w:t xml:space="preserve"> Jan. 2026).</w:t>
      </w:r>
    </w:p>
    <w:p w14:paraId="68E8CE95" w14:textId="66C40E63" w:rsidR="005D6EEC" w:rsidRDefault="005D6EEC" w:rsidP="005D6EEC">
      <w:pPr>
        <w:pStyle w:val="NormalWeb"/>
        <w:spacing w:before="0" w:beforeAutospacing="0" w:after="240" w:afterAutospacing="0" w:line="360" w:lineRule="atLeast"/>
        <w:rPr>
          <w:color w:val="000000"/>
        </w:rPr>
      </w:pPr>
      <w:r>
        <w:rPr>
          <w:color w:val="000000"/>
        </w:rPr>
        <w:t>He, K.-J., Wang, H., Xu, J., Gong, G., Liu, X. and Guan, H. (2024). Global burden of type 2 diabetes mellitus from 1990 to 2021, with projections of prevalence to 2044: a systematic analysis across SDI levels for the global burden of disease study 2021.</w:t>
      </w:r>
      <w:r>
        <w:rPr>
          <w:rStyle w:val="apple-converted-space"/>
          <w:rFonts w:eastAsia="Calibri Light"/>
          <w:color w:val="000000"/>
        </w:rPr>
        <w:t> </w:t>
      </w:r>
      <w:r>
        <w:rPr>
          <w:i/>
          <w:iCs/>
          <w:color w:val="000000"/>
        </w:rPr>
        <w:t>Frontiers in Endocrinology</w:t>
      </w:r>
      <w:r>
        <w:rPr>
          <w:color w:val="000000"/>
        </w:rPr>
        <w:t xml:space="preserve">, 15. </w:t>
      </w:r>
      <w:proofErr w:type="spellStart"/>
      <w:proofErr w:type="gramStart"/>
      <w:r>
        <w:rPr>
          <w:color w:val="000000"/>
        </w:rPr>
        <w:t>doi:https</w:t>
      </w:r>
      <w:proofErr w:type="spellEnd"/>
      <w:r>
        <w:rPr>
          <w:color w:val="000000"/>
        </w:rPr>
        <w:t>://doi.org/10.3389/fendo.2024.1501690</w:t>
      </w:r>
      <w:proofErr w:type="gramEnd"/>
      <w:r w:rsidR="005D7526">
        <w:rPr>
          <w:color w:val="000000"/>
        </w:rPr>
        <w:t xml:space="preserve"> (Accessed 28</w:t>
      </w:r>
      <w:r w:rsidR="005D7526" w:rsidRPr="005D7526">
        <w:rPr>
          <w:color w:val="000000"/>
          <w:vertAlign w:val="superscript"/>
        </w:rPr>
        <w:t>th</w:t>
      </w:r>
      <w:r w:rsidR="005D7526">
        <w:rPr>
          <w:color w:val="000000"/>
        </w:rPr>
        <w:t xml:space="preserve"> Jan. 2026).</w:t>
      </w:r>
    </w:p>
    <w:p w14:paraId="22B51746" w14:textId="183E2578" w:rsidR="00B23993" w:rsidRPr="00B23993" w:rsidRDefault="00B23993" w:rsidP="00B23993">
      <w:pPr>
        <w:spacing w:after="240" w:line="360" w:lineRule="atLeast"/>
        <w:rPr>
          <w:color w:val="000000"/>
        </w:rPr>
      </w:pPr>
      <w:r w:rsidRPr="00B23993">
        <w:rPr>
          <w:color w:val="000000"/>
        </w:rPr>
        <w:t>Hill-Briggs, F. (2020). Social determinants of health and diabetes: A scientific review. </w:t>
      </w:r>
      <w:r w:rsidRPr="00B23993">
        <w:rPr>
          <w:i/>
          <w:iCs/>
          <w:color w:val="000000"/>
        </w:rPr>
        <w:t>Diabetes Care</w:t>
      </w:r>
      <w:r w:rsidRPr="00B23993">
        <w:rPr>
          <w:color w:val="000000"/>
        </w:rPr>
        <w:t xml:space="preserve">, 44(1), pp.258–279. </w:t>
      </w:r>
      <w:proofErr w:type="spellStart"/>
      <w:proofErr w:type="gramStart"/>
      <w:r w:rsidRPr="00B23993">
        <w:rPr>
          <w:color w:val="000000"/>
        </w:rPr>
        <w:t>doi:https</w:t>
      </w:r>
      <w:proofErr w:type="spellEnd"/>
      <w:r w:rsidRPr="00B23993">
        <w:rPr>
          <w:color w:val="000000"/>
        </w:rPr>
        <w:t>://doi.org/10.2337/dci20-0053</w:t>
      </w:r>
      <w:proofErr w:type="gramEnd"/>
      <w:r w:rsidR="005D7526">
        <w:rPr>
          <w:color w:val="000000"/>
        </w:rPr>
        <w:t xml:space="preserve"> (Accessed 11</w:t>
      </w:r>
      <w:r w:rsidR="005D7526" w:rsidRPr="005D7526">
        <w:rPr>
          <w:color w:val="000000"/>
          <w:vertAlign w:val="superscript"/>
        </w:rPr>
        <w:t>th</w:t>
      </w:r>
      <w:r w:rsidR="005D7526">
        <w:rPr>
          <w:color w:val="000000"/>
        </w:rPr>
        <w:t xml:space="preserve">  March 2026).</w:t>
      </w:r>
    </w:p>
    <w:p w14:paraId="464A1281" w14:textId="4329601E" w:rsidR="005D6EEC" w:rsidRDefault="005D6EEC" w:rsidP="005D6EEC">
      <w:pPr>
        <w:pStyle w:val="NormalWeb"/>
        <w:spacing w:before="0" w:beforeAutospacing="0" w:after="240" w:afterAutospacing="0" w:line="360" w:lineRule="atLeast"/>
        <w:rPr>
          <w:color w:val="000000"/>
        </w:rPr>
      </w:pPr>
      <w:r>
        <w:rPr>
          <w:color w:val="000000"/>
        </w:rPr>
        <w:t>Holt‐Lunstad, J. (2024). Social connection as a critical factor for mental and physical health: evidence, trends, challenges, and future implications.</w:t>
      </w:r>
      <w:r>
        <w:rPr>
          <w:rStyle w:val="apple-converted-space"/>
          <w:rFonts w:eastAsia="Calibri Light"/>
          <w:color w:val="000000"/>
        </w:rPr>
        <w:t> </w:t>
      </w:r>
      <w:r>
        <w:rPr>
          <w:i/>
          <w:iCs/>
          <w:color w:val="000000"/>
        </w:rPr>
        <w:t>World Psychiatry</w:t>
      </w:r>
      <w:r>
        <w:rPr>
          <w:color w:val="000000"/>
        </w:rPr>
        <w:t xml:space="preserve">, 23(3), pp.312–332. </w:t>
      </w:r>
      <w:proofErr w:type="spellStart"/>
      <w:proofErr w:type="gramStart"/>
      <w:r>
        <w:rPr>
          <w:color w:val="000000"/>
        </w:rPr>
        <w:t>doi:https</w:t>
      </w:r>
      <w:proofErr w:type="spellEnd"/>
      <w:r>
        <w:rPr>
          <w:color w:val="000000"/>
        </w:rPr>
        <w:t>://doi.org/10.1002/wps.21224</w:t>
      </w:r>
      <w:proofErr w:type="gramEnd"/>
      <w:r w:rsidR="005D7526">
        <w:rPr>
          <w:color w:val="000000"/>
        </w:rPr>
        <w:t xml:space="preserve"> (Accessed 19</w:t>
      </w:r>
      <w:r w:rsidR="005D7526" w:rsidRPr="005D7526">
        <w:rPr>
          <w:color w:val="000000"/>
          <w:vertAlign w:val="superscript"/>
        </w:rPr>
        <w:t>th</w:t>
      </w:r>
      <w:r w:rsidR="005D7526">
        <w:rPr>
          <w:color w:val="000000"/>
        </w:rPr>
        <w:t xml:space="preserve"> Nov. 2025).</w:t>
      </w:r>
    </w:p>
    <w:p w14:paraId="59D14489" w14:textId="4EDEDFCD" w:rsidR="00055EF2" w:rsidRDefault="00055EF2" w:rsidP="00055EF2">
      <w:pPr>
        <w:spacing w:after="240" w:line="360" w:lineRule="atLeast"/>
        <w:rPr>
          <w:color w:val="000000"/>
        </w:rPr>
      </w:pPr>
      <w:r w:rsidRPr="00055EF2">
        <w:rPr>
          <w:color w:val="000000"/>
        </w:rPr>
        <w:t>Hossain, Md.J., Al‐Mamun, Md. and Islam, Md.R. (2024). Diabetes mellitus, the fastest growing global public health concern: Early detection should be focused. </w:t>
      </w:r>
      <w:r w:rsidRPr="00055EF2">
        <w:rPr>
          <w:i/>
          <w:iCs/>
          <w:color w:val="000000"/>
        </w:rPr>
        <w:t>Health science</w:t>
      </w:r>
      <w:r w:rsidR="00D56324">
        <w:rPr>
          <w:i/>
          <w:iCs/>
          <w:color w:val="000000"/>
        </w:rPr>
        <w:t xml:space="preserve"> </w:t>
      </w:r>
      <w:r w:rsidRPr="00055EF2">
        <w:rPr>
          <w:i/>
          <w:iCs/>
          <w:color w:val="000000"/>
        </w:rPr>
        <w:t>reports</w:t>
      </w:r>
      <w:r w:rsidRPr="00055EF2">
        <w:rPr>
          <w:color w:val="000000"/>
        </w:rPr>
        <w:t xml:space="preserve">, 7(3). </w:t>
      </w:r>
      <w:proofErr w:type="spellStart"/>
      <w:proofErr w:type="gramStart"/>
      <w:r w:rsidRPr="00055EF2">
        <w:rPr>
          <w:color w:val="000000"/>
        </w:rPr>
        <w:t>doi:https</w:t>
      </w:r>
      <w:proofErr w:type="spellEnd"/>
      <w:r w:rsidRPr="00055EF2">
        <w:rPr>
          <w:color w:val="000000"/>
        </w:rPr>
        <w:t>://doi.org/10.1002/hsr2.2004</w:t>
      </w:r>
      <w:proofErr w:type="gramEnd"/>
      <w:r w:rsidR="005D7526">
        <w:rPr>
          <w:color w:val="000000"/>
        </w:rPr>
        <w:t xml:space="preserve"> (Accessed 17</w:t>
      </w:r>
      <w:r w:rsidR="005D7526" w:rsidRPr="005D7526">
        <w:rPr>
          <w:color w:val="000000"/>
          <w:vertAlign w:val="superscript"/>
        </w:rPr>
        <w:t>th</w:t>
      </w:r>
      <w:r w:rsidR="005D7526">
        <w:rPr>
          <w:color w:val="000000"/>
        </w:rPr>
        <w:t xml:space="preserve"> Dec. 2025).</w:t>
      </w:r>
    </w:p>
    <w:p w14:paraId="3C6EEF40" w14:textId="341DB3EF" w:rsidR="008C0282" w:rsidRPr="00055EF2" w:rsidRDefault="008C0282" w:rsidP="00055EF2">
      <w:pPr>
        <w:spacing w:after="240" w:line="360" w:lineRule="atLeast"/>
        <w:rPr>
          <w:color w:val="000000"/>
        </w:rPr>
      </w:pPr>
      <w:r w:rsidRPr="008C0282">
        <w:rPr>
          <w:color w:val="000000"/>
        </w:rPr>
        <w:t>Hu, F.B. (2011). Globalization of Diabetes: The role of diet, lifestyle, and genes. </w:t>
      </w:r>
      <w:r w:rsidRPr="008C0282">
        <w:rPr>
          <w:i/>
          <w:iCs/>
          <w:color w:val="000000"/>
        </w:rPr>
        <w:t>Diabetes Care</w:t>
      </w:r>
      <w:r w:rsidRPr="008C0282">
        <w:rPr>
          <w:color w:val="000000"/>
        </w:rPr>
        <w:t xml:space="preserve">, 34(6), pp.1249–1257. </w:t>
      </w:r>
      <w:proofErr w:type="spellStart"/>
      <w:proofErr w:type="gramStart"/>
      <w:r w:rsidRPr="008C0282">
        <w:rPr>
          <w:color w:val="000000"/>
        </w:rPr>
        <w:t>doi:https</w:t>
      </w:r>
      <w:proofErr w:type="spellEnd"/>
      <w:r w:rsidRPr="008C0282">
        <w:rPr>
          <w:color w:val="000000"/>
        </w:rPr>
        <w:t>://doi.org/10.2337/dc11-0442</w:t>
      </w:r>
      <w:proofErr w:type="gramEnd"/>
      <w:r w:rsidR="005D7526">
        <w:rPr>
          <w:color w:val="000000"/>
        </w:rPr>
        <w:t xml:space="preserve"> (Accessed 11</w:t>
      </w:r>
      <w:r w:rsidR="005D7526" w:rsidRPr="005D7526">
        <w:rPr>
          <w:color w:val="000000"/>
          <w:vertAlign w:val="superscript"/>
        </w:rPr>
        <w:t>th</w:t>
      </w:r>
      <w:r w:rsidR="005D7526">
        <w:rPr>
          <w:color w:val="000000"/>
        </w:rPr>
        <w:t xml:space="preserve"> March 2026).</w:t>
      </w:r>
    </w:p>
    <w:p w14:paraId="22B4B9AE" w14:textId="77D58C85" w:rsidR="005D6EEC" w:rsidRDefault="005D6EEC" w:rsidP="005D6EEC">
      <w:pPr>
        <w:pStyle w:val="NormalWeb"/>
        <w:spacing w:before="0" w:beforeAutospacing="0" w:after="240" w:afterAutospacing="0" w:line="360" w:lineRule="atLeast"/>
        <w:rPr>
          <w:color w:val="000000"/>
        </w:rPr>
      </w:pPr>
      <w:r>
        <w:rPr>
          <w:color w:val="000000"/>
        </w:rPr>
        <w:t>Ismail, L., Materwala, H. and Kaabi, J.A. (2021). Association of Risk Factors with Type 2 Diabetes: A Systematic Review.</w:t>
      </w:r>
      <w:r>
        <w:rPr>
          <w:rStyle w:val="apple-converted-space"/>
          <w:rFonts w:eastAsia="Calibri Light"/>
          <w:color w:val="000000"/>
        </w:rPr>
        <w:t> </w:t>
      </w:r>
      <w:r>
        <w:rPr>
          <w:i/>
          <w:iCs/>
          <w:color w:val="000000"/>
        </w:rPr>
        <w:t>Computational and Structural Biotechnology Journal</w:t>
      </w:r>
      <w:r>
        <w:rPr>
          <w:color w:val="000000"/>
        </w:rPr>
        <w:t xml:space="preserve">, 19(19), pp.1759–1785. </w:t>
      </w:r>
      <w:proofErr w:type="spellStart"/>
      <w:proofErr w:type="gramStart"/>
      <w:r>
        <w:rPr>
          <w:color w:val="000000"/>
        </w:rPr>
        <w:t>doi:https</w:t>
      </w:r>
      <w:proofErr w:type="spellEnd"/>
      <w:r>
        <w:rPr>
          <w:color w:val="000000"/>
        </w:rPr>
        <w:t>://doi.org/10.1016/j.csbj.2021.03.003</w:t>
      </w:r>
      <w:proofErr w:type="gramEnd"/>
      <w:r w:rsidR="005D7526">
        <w:rPr>
          <w:color w:val="000000"/>
        </w:rPr>
        <w:t xml:space="preserve"> (Accessed 28</w:t>
      </w:r>
      <w:r w:rsidR="005D7526" w:rsidRPr="005D7526">
        <w:rPr>
          <w:color w:val="000000"/>
          <w:vertAlign w:val="superscript"/>
        </w:rPr>
        <w:t>th</w:t>
      </w:r>
      <w:r w:rsidR="005D7526">
        <w:rPr>
          <w:color w:val="000000"/>
        </w:rPr>
        <w:t xml:space="preserve"> Nov. 2026).</w:t>
      </w:r>
    </w:p>
    <w:p w14:paraId="54940C26" w14:textId="22B19EED" w:rsidR="00BC3301" w:rsidRDefault="00BC3301" w:rsidP="00BC3301">
      <w:pPr>
        <w:spacing w:after="240" w:line="360" w:lineRule="atLeast"/>
        <w:rPr>
          <w:color w:val="000000"/>
        </w:rPr>
      </w:pPr>
      <w:r w:rsidRPr="00BC3301">
        <w:rPr>
          <w:color w:val="000000"/>
        </w:rPr>
        <w:t>Karamanou, M. (2016). Milestones in the history of diabetes mellitus: The main contributors. </w:t>
      </w:r>
      <w:r w:rsidRPr="00BC3301">
        <w:rPr>
          <w:i/>
          <w:iCs/>
          <w:color w:val="000000"/>
        </w:rPr>
        <w:t>World Journal of Diabetes</w:t>
      </w:r>
      <w:r w:rsidRPr="00BC3301">
        <w:rPr>
          <w:color w:val="000000"/>
        </w:rPr>
        <w:t xml:space="preserve">, 7(1), p.1. </w:t>
      </w:r>
      <w:proofErr w:type="spellStart"/>
      <w:proofErr w:type="gramStart"/>
      <w:r w:rsidRPr="00BC3301">
        <w:rPr>
          <w:color w:val="000000"/>
        </w:rPr>
        <w:t>doi:https</w:t>
      </w:r>
      <w:proofErr w:type="spellEnd"/>
      <w:r w:rsidRPr="00BC3301">
        <w:rPr>
          <w:color w:val="000000"/>
        </w:rPr>
        <w:t>://doi.org/10.4239/wjd.v7.i1.1</w:t>
      </w:r>
      <w:proofErr w:type="gramEnd"/>
      <w:r w:rsidR="005D7526">
        <w:rPr>
          <w:color w:val="000000"/>
        </w:rPr>
        <w:t xml:space="preserve"> (Accessed 17</w:t>
      </w:r>
      <w:r w:rsidR="005D7526" w:rsidRPr="005D7526">
        <w:rPr>
          <w:color w:val="000000"/>
          <w:vertAlign w:val="superscript"/>
        </w:rPr>
        <w:t>th</w:t>
      </w:r>
      <w:r w:rsidR="005D7526">
        <w:rPr>
          <w:color w:val="000000"/>
        </w:rPr>
        <w:t xml:space="preserve"> Dec. 2025).</w:t>
      </w:r>
    </w:p>
    <w:p w14:paraId="132AC1D7" w14:textId="688F52F2" w:rsidR="005E6063" w:rsidRDefault="005E6063" w:rsidP="00BC3301">
      <w:pPr>
        <w:spacing w:after="240" w:line="360" w:lineRule="atLeast"/>
        <w:rPr>
          <w:color w:val="000000"/>
        </w:rPr>
      </w:pPr>
      <w:r w:rsidRPr="005E6063">
        <w:rPr>
          <w:color w:val="000000"/>
        </w:rPr>
        <w:lastRenderedPageBreak/>
        <w:t>Khalil, Y., Abu-Khalaf, L., Abu-Khalaf, R., Abu-Khalaf, S. and Al-</w:t>
      </w:r>
      <w:proofErr w:type="spellStart"/>
      <w:r w:rsidRPr="005E6063">
        <w:rPr>
          <w:color w:val="000000"/>
        </w:rPr>
        <w:t>Balootti</w:t>
      </w:r>
      <w:proofErr w:type="spellEnd"/>
      <w:r w:rsidRPr="005E6063">
        <w:rPr>
          <w:color w:val="000000"/>
        </w:rPr>
        <w:t>, K. (2025). The Biopsychosocial Model in Type 2 Diabetes Mellitus: A Narrative Review. </w:t>
      </w:r>
      <w:proofErr w:type="spellStart"/>
      <w:r w:rsidRPr="005E6063">
        <w:rPr>
          <w:i/>
          <w:iCs/>
          <w:color w:val="000000"/>
        </w:rPr>
        <w:t>Cureus</w:t>
      </w:r>
      <w:proofErr w:type="spellEnd"/>
      <w:r w:rsidRPr="005E6063">
        <w:rPr>
          <w:color w:val="000000"/>
        </w:rPr>
        <w:t xml:space="preserve">. </w:t>
      </w:r>
      <w:proofErr w:type="spellStart"/>
      <w:proofErr w:type="gramStart"/>
      <w:r w:rsidRPr="005E6063">
        <w:rPr>
          <w:color w:val="000000"/>
        </w:rPr>
        <w:t>doi:https</w:t>
      </w:r>
      <w:proofErr w:type="spellEnd"/>
      <w:r w:rsidRPr="005E6063">
        <w:rPr>
          <w:color w:val="000000"/>
        </w:rPr>
        <w:t>://doi.org/10.7759/cureus.96814</w:t>
      </w:r>
      <w:proofErr w:type="gramEnd"/>
      <w:r>
        <w:rPr>
          <w:color w:val="000000"/>
        </w:rPr>
        <w:t xml:space="preserve"> (Accessed 6</w:t>
      </w:r>
      <w:r w:rsidRPr="005E6063">
        <w:rPr>
          <w:color w:val="000000"/>
          <w:vertAlign w:val="superscript"/>
        </w:rPr>
        <w:t>th</w:t>
      </w:r>
      <w:r>
        <w:rPr>
          <w:color w:val="000000"/>
        </w:rPr>
        <w:t xml:space="preserve"> April 2026).</w:t>
      </w:r>
    </w:p>
    <w:p w14:paraId="6170B6D3" w14:textId="6B31698F" w:rsidR="00FC6655" w:rsidRDefault="00FC6655" w:rsidP="00FC6655">
      <w:pPr>
        <w:spacing w:after="240" w:line="360" w:lineRule="atLeast"/>
        <w:rPr>
          <w:color w:val="000000"/>
        </w:rPr>
      </w:pPr>
      <w:r w:rsidRPr="00FC6655">
        <w:rPr>
          <w:color w:val="000000"/>
        </w:rPr>
        <w:t>Kirkman, M.S. (2012). Diabetes in Older Adults. </w:t>
      </w:r>
      <w:r w:rsidRPr="00FC6655">
        <w:rPr>
          <w:i/>
          <w:iCs/>
          <w:color w:val="000000"/>
        </w:rPr>
        <w:t>Diabetes Care</w:t>
      </w:r>
      <w:r w:rsidRPr="00FC6655">
        <w:rPr>
          <w:color w:val="000000"/>
        </w:rPr>
        <w:t xml:space="preserve">, 35(12), pp.2650–2664. </w:t>
      </w:r>
      <w:proofErr w:type="spellStart"/>
      <w:proofErr w:type="gramStart"/>
      <w:r w:rsidRPr="00FC6655">
        <w:rPr>
          <w:color w:val="000000"/>
        </w:rPr>
        <w:t>doi:https</w:t>
      </w:r>
      <w:proofErr w:type="spellEnd"/>
      <w:r w:rsidRPr="00FC6655">
        <w:rPr>
          <w:color w:val="000000"/>
        </w:rPr>
        <w:t>://doi.org/10.2337/dc12-1801</w:t>
      </w:r>
      <w:proofErr w:type="gramEnd"/>
      <w:r w:rsidR="005D7526">
        <w:rPr>
          <w:color w:val="000000"/>
        </w:rPr>
        <w:t xml:space="preserve"> (Accessed 25</w:t>
      </w:r>
      <w:r w:rsidR="005D7526" w:rsidRPr="005D7526">
        <w:rPr>
          <w:color w:val="000000"/>
          <w:vertAlign w:val="superscript"/>
        </w:rPr>
        <w:t>th</w:t>
      </w:r>
      <w:r w:rsidR="005D7526">
        <w:rPr>
          <w:color w:val="000000"/>
        </w:rPr>
        <w:t xml:space="preserve"> Nov. 2025).</w:t>
      </w:r>
    </w:p>
    <w:p w14:paraId="7F3CEF36" w14:textId="295B633B" w:rsidR="00652AA8" w:rsidRDefault="00652AA8" w:rsidP="00FC6655">
      <w:pPr>
        <w:spacing w:after="240" w:line="360" w:lineRule="atLeast"/>
        <w:rPr>
          <w:color w:val="000000"/>
        </w:rPr>
      </w:pPr>
      <w:proofErr w:type="spellStart"/>
      <w:r w:rsidRPr="00652AA8">
        <w:rPr>
          <w:color w:val="000000"/>
        </w:rPr>
        <w:t>Koulouvari</w:t>
      </w:r>
      <w:proofErr w:type="spellEnd"/>
      <w:r w:rsidRPr="00652AA8">
        <w:rPr>
          <w:color w:val="000000"/>
        </w:rPr>
        <w:t xml:space="preserve">, A.-D., </w:t>
      </w:r>
      <w:proofErr w:type="spellStart"/>
      <w:r w:rsidRPr="00652AA8">
        <w:rPr>
          <w:color w:val="000000"/>
        </w:rPr>
        <w:t>Margariti</w:t>
      </w:r>
      <w:proofErr w:type="spellEnd"/>
      <w:r w:rsidRPr="00652AA8">
        <w:rPr>
          <w:color w:val="000000"/>
        </w:rPr>
        <w:t xml:space="preserve">, A., </w:t>
      </w:r>
      <w:proofErr w:type="spellStart"/>
      <w:r w:rsidRPr="00652AA8">
        <w:rPr>
          <w:color w:val="000000"/>
        </w:rPr>
        <w:t>Sakellari</w:t>
      </w:r>
      <w:proofErr w:type="spellEnd"/>
      <w:r w:rsidRPr="00652AA8">
        <w:rPr>
          <w:color w:val="000000"/>
        </w:rPr>
        <w:t xml:space="preserve">, E., </w:t>
      </w:r>
      <w:proofErr w:type="spellStart"/>
      <w:r w:rsidRPr="00652AA8">
        <w:rPr>
          <w:color w:val="000000"/>
        </w:rPr>
        <w:t>Barbouni</w:t>
      </w:r>
      <w:proofErr w:type="spellEnd"/>
      <w:r w:rsidRPr="00652AA8">
        <w:rPr>
          <w:color w:val="000000"/>
        </w:rPr>
        <w:t xml:space="preserve">, A. and </w:t>
      </w:r>
      <w:proofErr w:type="spellStart"/>
      <w:r w:rsidRPr="00652AA8">
        <w:rPr>
          <w:color w:val="000000"/>
        </w:rPr>
        <w:t>Lagiou</w:t>
      </w:r>
      <w:proofErr w:type="spellEnd"/>
      <w:r w:rsidRPr="00652AA8">
        <w:rPr>
          <w:color w:val="000000"/>
        </w:rPr>
        <w:t xml:space="preserve">, A. (2025). Applications of </w:t>
      </w:r>
      <w:proofErr w:type="spellStart"/>
      <w:r w:rsidRPr="00652AA8">
        <w:rPr>
          <w:color w:val="000000"/>
        </w:rPr>
        <w:t>Behavioral</w:t>
      </w:r>
      <w:proofErr w:type="spellEnd"/>
      <w:r w:rsidRPr="00652AA8">
        <w:rPr>
          <w:color w:val="000000"/>
        </w:rPr>
        <w:t xml:space="preserve"> Change Theories and Models in Health Promotion Interventions: A Rapid Review. </w:t>
      </w:r>
      <w:proofErr w:type="spellStart"/>
      <w:r w:rsidRPr="00652AA8">
        <w:rPr>
          <w:i/>
          <w:iCs/>
          <w:color w:val="000000"/>
        </w:rPr>
        <w:t>Behavioral</w:t>
      </w:r>
      <w:proofErr w:type="spellEnd"/>
      <w:r w:rsidRPr="00652AA8">
        <w:rPr>
          <w:i/>
          <w:iCs/>
          <w:color w:val="000000"/>
        </w:rPr>
        <w:t xml:space="preserve"> </w:t>
      </w:r>
      <w:proofErr w:type="gramStart"/>
      <w:r w:rsidRPr="00652AA8">
        <w:rPr>
          <w:i/>
          <w:iCs/>
          <w:color w:val="000000"/>
        </w:rPr>
        <w:t>Sciences</w:t>
      </w:r>
      <w:r w:rsidRPr="00652AA8">
        <w:rPr>
          <w:color w:val="000000"/>
        </w:rPr>
        <w:t>,  15</w:t>
      </w:r>
      <w:proofErr w:type="gramEnd"/>
      <w:r w:rsidRPr="00652AA8">
        <w:rPr>
          <w:color w:val="000000"/>
        </w:rPr>
        <w:t xml:space="preserve">(5), p.580. </w:t>
      </w:r>
      <w:proofErr w:type="spellStart"/>
      <w:proofErr w:type="gramStart"/>
      <w:r w:rsidRPr="00652AA8">
        <w:rPr>
          <w:color w:val="000000"/>
        </w:rPr>
        <w:t>doi:https</w:t>
      </w:r>
      <w:proofErr w:type="spellEnd"/>
      <w:r w:rsidRPr="00652AA8">
        <w:rPr>
          <w:color w:val="000000"/>
        </w:rPr>
        <w:t>://doi.org/10.3390/bs15050580</w:t>
      </w:r>
      <w:proofErr w:type="gramEnd"/>
      <w:r w:rsidR="005D7526">
        <w:rPr>
          <w:color w:val="000000"/>
        </w:rPr>
        <w:t xml:space="preserve"> (Accessed 11</w:t>
      </w:r>
      <w:r w:rsidR="005D7526" w:rsidRPr="005D7526">
        <w:rPr>
          <w:color w:val="000000"/>
          <w:vertAlign w:val="superscript"/>
        </w:rPr>
        <w:t>th</w:t>
      </w:r>
      <w:r w:rsidR="005D7526">
        <w:rPr>
          <w:color w:val="000000"/>
        </w:rPr>
        <w:t xml:space="preserve"> Dec. 2025).</w:t>
      </w:r>
    </w:p>
    <w:p w14:paraId="00CA399F" w14:textId="0BA0D549" w:rsidR="009C2993" w:rsidRDefault="009C2993" w:rsidP="00FC6655">
      <w:pPr>
        <w:spacing w:after="240" w:line="360" w:lineRule="atLeast"/>
        <w:rPr>
          <w:color w:val="000000"/>
        </w:rPr>
      </w:pPr>
      <w:proofErr w:type="spellStart"/>
      <w:r w:rsidRPr="009C2993">
        <w:rPr>
          <w:color w:val="000000"/>
        </w:rPr>
        <w:t>Kriznik</w:t>
      </w:r>
      <w:proofErr w:type="spellEnd"/>
      <w:r w:rsidRPr="009C2993">
        <w:rPr>
          <w:color w:val="000000"/>
        </w:rPr>
        <w:t xml:space="preserve">, N.M., </w:t>
      </w:r>
      <w:proofErr w:type="spellStart"/>
      <w:r w:rsidRPr="009C2993">
        <w:rPr>
          <w:color w:val="000000"/>
        </w:rPr>
        <w:t>Kinmonth</w:t>
      </w:r>
      <w:proofErr w:type="spellEnd"/>
      <w:r w:rsidRPr="009C2993">
        <w:rPr>
          <w:color w:val="000000"/>
        </w:rPr>
        <w:t>, A.L., Ling, T. and Kelly, M.P. (2018). Moving beyond individual choice in policies to reduce health inequalities: the integration of dynamic with individual explanations. </w:t>
      </w:r>
      <w:r w:rsidRPr="009C2993">
        <w:rPr>
          <w:i/>
          <w:iCs/>
          <w:color w:val="000000"/>
        </w:rPr>
        <w:t>Journal of Public Health</w:t>
      </w:r>
      <w:r w:rsidRPr="009C2993">
        <w:rPr>
          <w:color w:val="000000"/>
        </w:rPr>
        <w:t xml:space="preserve">, 40(4), pp.764–775. </w:t>
      </w:r>
      <w:proofErr w:type="spellStart"/>
      <w:proofErr w:type="gramStart"/>
      <w:r w:rsidRPr="009C2993">
        <w:rPr>
          <w:color w:val="000000"/>
        </w:rPr>
        <w:t>doi:https</w:t>
      </w:r>
      <w:proofErr w:type="spellEnd"/>
      <w:r w:rsidRPr="009C2993">
        <w:rPr>
          <w:color w:val="000000"/>
        </w:rPr>
        <w:t>://doi.org/10.1093/</w:t>
      </w:r>
      <w:proofErr w:type="spellStart"/>
      <w:r w:rsidRPr="009C2993">
        <w:rPr>
          <w:color w:val="000000"/>
        </w:rPr>
        <w:t>pubmed</w:t>
      </w:r>
      <w:proofErr w:type="spellEnd"/>
      <w:r w:rsidRPr="009C2993">
        <w:rPr>
          <w:color w:val="000000"/>
        </w:rPr>
        <w:t>/fdy045</w:t>
      </w:r>
      <w:proofErr w:type="gramEnd"/>
      <w:r w:rsidR="005D7526">
        <w:rPr>
          <w:color w:val="000000"/>
        </w:rPr>
        <w:t xml:space="preserve"> (Accessed 20</w:t>
      </w:r>
      <w:r w:rsidR="005D7526" w:rsidRPr="005D7526">
        <w:rPr>
          <w:color w:val="000000"/>
          <w:vertAlign w:val="superscript"/>
        </w:rPr>
        <w:t>th</w:t>
      </w:r>
      <w:r w:rsidR="005D7526">
        <w:rPr>
          <w:color w:val="000000"/>
        </w:rPr>
        <w:t xml:space="preserve"> Dec. 2025).</w:t>
      </w:r>
    </w:p>
    <w:p w14:paraId="0A440163" w14:textId="7D01771D" w:rsidR="005D6EEC" w:rsidRDefault="005D6EEC" w:rsidP="005D6EEC">
      <w:pPr>
        <w:pStyle w:val="NormalWeb"/>
        <w:spacing w:before="0" w:beforeAutospacing="0" w:after="240" w:afterAutospacing="0" w:line="360" w:lineRule="atLeast"/>
        <w:rPr>
          <w:color w:val="000000"/>
        </w:rPr>
      </w:pPr>
      <w:r>
        <w:rPr>
          <w:color w:val="000000"/>
        </w:rPr>
        <w:t>Kyrou, I., Tsigos, C., Mavrogianni, C., Cardon, G., Van Stappen, V., Latomme, J., Kivelä, J., Wikström, K., Tsochev, K., Nanasi, A., Semanova, C., Mateo-Gallego, R., Lamiquiz-Moneo, I., Dafoulas, G., Timpel, P., Schwarz, P.E.H., Iotova, V., Tankova, T., Makrilakis, K. and Manios, Y. (2020). Sociodemographic and lifestyle-related risk factors for identifying vulnerable groups for type 2 diabetes: a narrative review with emphasis on data from Europe.</w:t>
      </w:r>
      <w:r>
        <w:rPr>
          <w:rStyle w:val="apple-converted-space"/>
          <w:rFonts w:eastAsia="Calibri Light"/>
          <w:color w:val="000000"/>
        </w:rPr>
        <w:t> </w:t>
      </w:r>
      <w:r>
        <w:rPr>
          <w:i/>
          <w:iCs/>
          <w:color w:val="000000"/>
        </w:rPr>
        <w:t>BMC Endocrine Disorders</w:t>
      </w:r>
      <w:r>
        <w:rPr>
          <w:color w:val="000000"/>
        </w:rPr>
        <w:t xml:space="preserve">, 20(S1). </w:t>
      </w:r>
      <w:proofErr w:type="spellStart"/>
      <w:proofErr w:type="gramStart"/>
      <w:r>
        <w:rPr>
          <w:color w:val="000000"/>
        </w:rPr>
        <w:t>doi:https</w:t>
      </w:r>
      <w:proofErr w:type="spellEnd"/>
      <w:r>
        <w:rPr>
          <w:color w:val="000000"/>
        </w:rPr>
        <w:t>://doi.org/10.1186/s12902-019-0463-3</w:t>
      </w:r>
      <w:r w:rsidR="005D7526">
        <w:rPr>
          <w:color w:val="000000"/>
        </w:rPr>
        <w:t>(Accessed</w:t>
      </w:r>
      <w:proofErr w:type="gramEnd"/>
      <w:r w:rsidR="005D7526">
        <w:rPr>
          <w:color w:val="000000"/>
        </w:rPr>
        <w:t xml:space="preserve"> 19</w:t>
      </w:r>
      <w:r w:rsidR="005D7526" w:rsidRPr="005D7526">
        <w:rPr>
          <w:color w:val="000000"/>
          <w:vertAlign w:val="superscript"/>
        </w:rPr>
        <w:t>th</w:t>
      </w:r>
      <w:r w:rsidR="005D7526">
        <w:rPr>
          <w:color w:val="000000"/>
        </w:rPr>
        <w:t xml:space="preserve"> March 2026).</w:t>
      </w:r>
    </w:p>
    <w:p w14:paraId="0BB71345" w14:textId="53A3CDF5" w:rsidR="0072240C" w:rsidRDefault="0072240C" w:rsidP="0072240C">
      <w:pPr>
        <w:spacing w:after="240" w:line="360" w:lineRule="atLeast"/>
        <w:rPr>
          <w:color w:val="000000"/>
        </w:rPr>
      </w:pPr>
      <w:r w:rsidRPr="0072240C">
        <w:rPr>
          <w:color w:val="000000"/>
        </w:rPr>
        <w:t>Lee, I., Kang, M., Choi, J.H., Lim, H. and Chon, S. (2025). Clinically Practical and Affordable Lifestyle Modification to Prevent Diabetes Mellitus in Real Practice. </w:t>
      </w:r>
      <w:r w:rsidRPr="0072240C">
        <w:rPr>
          <w:i/>
          <w:iCs/>
          <w:color w:val="000000"/>
        </w:rPr>
        <w:t>Diabetes &amp; Metabolism Journal</w:t>
      </w:r>
      <w:r w:rsidRPr="0072240C">
        <w:rPr>
          <w:color w:val="000000"/>
        </w:rPr>
        <w:t xml:space="preserve">, 49(5), pp.951–963. </w:t>
      </w:r>
      <w:proofErr w:type="spellStart"/>
      <w:proofErr w:type="gramStart"/>
      <w:r w:rsidRPr="0072240C">
        <w:rPr>
          <w:color w:val="000000"/>
        </w:rPr>
        <w:t>doi:https</w:t>
      </w:r>
      <w:proofErr w:type="spellEnd"/>
      <w:r w:rsidRPr="0072240C">
        <w:rPr>
          <w:color w:val="000000"/>
        </w:rPr>
        <w:t>://doi.org/10.4093/dmj.2025.0675</w:t>
      </w:r>
      <w:r w:rsidR="005D7526">
        <w:rPr>
          <w:color w:val="000000"/>
        </w:rPr>
        <w:t>(Accessed</w:t>
      </w:r>
      <w:proofErr w:type="gramEnd"/>
      <w:r w:rsidR="005D7526">
        <w:rPr>
          <w:color w:val="000000"/>
        </w:rPr>
        <w:t xml:space="preserve"> 23</w:t>
      </w:r>
      <w:r w:rsidR="005D7526" w:rsidRPr="005D7526">
        <w:rPr>
          <w:color w:val="000000"/>
          <w:vertAlign w:val="superscript"/>
        </w:rPr>
        <w:t>rd</w:t>
      </w:r>
      <w:r w:rsidR="005D7526">
        <w:rPr>
          <w:color w:val="000000"/>
        </w:rPr>
        <w:t xml:space="preserve"> Jan. 2026).</w:t>
      </w:r>
    </w:p>
    <w:p w14:paraId="278CC743" w14:textId="42B25493" w:rsidR="00401261" w:rsidRDefault="00401261" w:rsidP="00401261">
      <w:pPr>
        <w:spacing w:after="240" w:line="360" w:lineRule="atLeast"/>
        <w:rPr>
          <w:color w:val="000000"/>
        </w:rPr>
      </w:pPr>
      <w:r w:rsidRPr="00401261">
        <w:rPr>
          <w:color w:val="000000"/>
        </w:rPr>
        <w:t>Marmot, M. (2017). The Health Gap: The Challenge of an Unequal World: the argument. </w:t>
      </w:r>
      <w:r w:rsidRPr="00401261">
        <w:rPr>
          <w:i/>
          <w:iCs/>
          <w:color w:val="000000"/>
        </w:rPr>
        <w:t>International Journal of Epidemiology</w:t>
      </w:r>
      <w:r w:rsidRPr="00401261">
        <w:rPr>
          <w:color w:val="000000"/>
        </w:rPr>
        <w:t xml:space="preserve">, 46(4), pp.1312–1318. </w:t>
      </w:r>
      <w:proofErr w:type="spellStart"/>
      <w:proofErr w:type="gramStart"/>
      <w:r w:rsidRPr="00401261">
        <w:rPr>
          <w:color w:val="000000"/>
        </w:rPr>
        <w:t>doi:https</w:t>
      </w:r>
      <w:proofErr w:type="spellEnd"/>
      <w:r w:rsidRPr="00401261">
        <w:rPr>
          <w:color w:val="000000"/>
        </w:rPr>
        <w:t>://doi.org/10.1093/</w:t>
      </w:r>
      <w:proofErr w:type="spellStart"/>
      <w:r w:rsidRPr="00401261">
        <w:rPr>
          <w:color w:val="000000"/>
        </w:rPr>
        <w:t>ije</w:t>
      </w:r>
      <w:proofErr w:type="spellEnd"/>
      <w:r w:rsidRPr="00401261">
        <w:rPr>
          <w:color w:val="000000"/>
        </w:rPr>
        <w:t>/dyx163</w:t>
      </w:r>
      <w:proofErr w:type="gramEnd"/>
      <w:r w:rsidR="005D7526">
        <w:rPr>
          <w:color w:val="000000"/>
        </w:rPr>
        <w:t xml:space="preserve"> (Accessed 19</w:t>
      </w:r>
      <w:r w:rsidR="005D7526" w:rsidRPr="005D7526">
        <w:rPr>
          <w:color w:val="000000"/>
          <w:vertAlign w:val="superscript"/>
        </w:rPr>
        <w:t>th</w:t>
      </w:r>
      <w:r w:rsidR="005D7526">
        <w:rPr>
          <w:color w:val="000000"/>
        </w:rPr>
        <w:t xml:space="preserve"> Jan. 2026).</w:t>
      </w:r>
    </w:p>
    <w:p w14:paraId="76B8ADE4" w14:textId="057F349F" w:rsidR="00CE5C43" w:rsidRPr="00401261" w:rsidRDefault="00CE5C43" w:rsidP="00401261">
      <w:pPr>
        <w:spacing w:after="240" w:line="360" w:lineRule="atLeast"/>
        <w:rPr>
          <w:color w:val="000000"/>
        </w:rPr>
      </w:pPr>
      <w:r w:rsidRPr="00CE5C43">
        <w:rPr>
          <w:color w:val="000000"/>
        </w:rPr>
        <w:t xml:space="preserve">McKee, M., </w:t>
      </w:r>
      <w:proofErr w:type="spellStart"/>
      <w:r w:rsidRPr="00CE5C43">
        <w:rPr>
          <w:color w:val="000000"/>
        </w:rPr>
        <w:t>Dunnell</w:t>
      </w:r>
      <w:proofErr w:type="spellEnd"/>
      <w:r w:rsidRPr="00CE5C43">
        <w:rPr>
          <w:color w:val="000000"/>
        </w:rPr>
        <w:t xml:space="preserve">, K., Anderson, M., </w:t>
      </w:r>
      <w:proofErr w:type="spellStart"/>
      <w:r w:rsidRPr="00CE5C43">
        <w:rPr>
          <w:color w:val="000000"/>
        </w:rPr>
        <w:t>Brayne</w:t>
      </w:r>
      <w:proofErr w:type="spellEnd"/>
      <w:r w:rsidRPr="00CE5C43">
        <w:rPr>
          <w:color w:val="000000"/>
        </w:rPr>
        <w:t>, C., Charlesworth, A., Johnston-Webber, C., Knapp, M., McGuire, A., Newton, J.N., Taylor, D. and Watt, R.G. (2021). The changing health needs of the UK population. </w:t>
      </w:r>
      <w:r w:rsidRPr="00CE5C43">
        <w:rPr>
          <w:i/>
          <w:iCs/>
          <w:color w:val="000000"/>
        </w:rPr>
        <w:t>The Lancet</w:t>
      </w:r>
      <w:r w:rsidRPr="00CE5C43">
        <w:rPr>
          <w:color w:val="000000"/>
        </w:rPr>
        <w:t>, 397(10288), pp.1979–1991</w:t>
      </w:r>
      <w:r w:rsidR="005D7526">
        <w:rPr>
          <w:color w:val="000000"/>
        </w:rPr>
        <w:t xml:space="preserve"> (Accessed 12</w:t>
      </w:r>
      <w:r w:rsidR="005D7526" w:rsidRPr="005D7526">
        <w:rPr>
          <w:color w:val="000000"/>
          <w:vertAlign w:val="superscript"/>
        </w:rPr>
        <w:t>th</w:t>
      </w:r>
      <w:r w:rsidR="005D7526">
        <w:rPr>
          <w:color w:val="000000"/>
        </w:rPr>
        <w:t xml:space="preserve"> March 2026).</w:t>
      </w:r>
    </w:p>
    <w:p w14:paraId="6DF5D6C7" w14:textId="3BA567C6" w:rsidR="005D6EEC" w:rsidRDefault="005D6EEC" w:rsidP="005D6EEC">
      <w:pPr>
        <w:pStyle w:val="NormalWeb"/>
        <w:spacing w:before="0" w:beforeAutospacing="0" w:after="240" w:afterAutospacing="0" w:line="360" w:lineRule="atLeast"/>
        <w:rPr>
          <w:color w:val="000000"/>
        </w:rPr>
      </w:pPr>
      <w:r>
        <w:rPr>
          <w:color w:val="000000"/>
        </w:rPr>
        <w:t xml:space="preserve">McManus, E., Meacock, R., Parkinson, B. and Sutton, M. (2022). Population Level Impact of the NHS Diabetes Prevention Programme on Incidence of Type 2 Diabetes in England: an </w:t>
      </w:r>
      <w:r>
        <w:rPr>
          <w:color w:val="000000"/>
        </w:rPr>
        <w:lastRenderedPageBreak/>
        <w:t>Observational Study.</w:t>
      </w:r>
      <w:r>
        <w:rPr>
          <w:rStyle w:val="apple-converted-space"/>
          <w:rFonts w:eastAsia="Calibri Light"/>
          <w:color w:val="000000"/>
        </w:rPr>
        <w:t> </w:t>
      </w:r>
      <w:r>
        <w:rPr>
          <w:i/>
          <w:iCs/>
          <w:color w:val="000000"/>
        </w:rPr>
        <w:t>The Lancet Regional Health - Europe</w:t>
      </w:r>
      <w:r>
        <w:rPr>
          <w:color w:val="000000"/>
        </w:rPr>
        <w:t xml:space="preserve">, 19(100420), p.100420. </w:t>
      </w:r>
      <w:proofErr w:type="spellStart"/>
      <w:proofErr w:type="gramStart"/>
      <w:r>
        <w:rPr>
          <w:color w:val="000000"/>
        </w:rPr>
        <w:t>doi:https</w:t>
      </w:r>
      <w:proofErr w:type="spellEnd"/>
      <w:r>
        <w:rPr>
          <w:color w:val="000000"/>
        </w:rPr>
        <w:t>://doi.org/10.1016/j.lanepe.2022.100420</w:t>
      </w:r>
      <w:proofErr w:type="gramEnd"/>
      <w:r w:rsidR="005D7526">
        <w:rPr>
          <w:color w:val="000000"/>
        </w:rPr>
        <w:t xml:space="preserve"> (Accessed 10</w:t>
      </w:r>
      <w:r w:rsidR="005D7526" w:rsidRPr="005D7526">
        <w:rPr>
          <w:color w:val="000000"/>
          <w:vertAlign w:val="superscript"/>
        </w:rPr>
        <w:t>th</w:t>
      </w:r>
      <w:r w:rsidR="005D7526">
        <w:rPr>
          <w:color w:val="000000"/>
        </w:rPr>
        <w:t xml:space="preserve"> Nov. 2025).</w:t>
      </w:r>
    </w:p>
    <w:p w14:paraId="0B3D89C1" w14:textId="5B65599E" w:rsidR="005D6EEC" w:rsidRDefault="005D6EEC" w:rsidP="005D6EEC">
      <w:pPr>
        <w:pStyle w:val="NormalWeb"/>
        <w:spacing w:before="0" w:beforeAutospacing="0" w:after="240" w:afterAutospacing="0" w:line="360" w:lineRule="atLeast"/>
        <w:rPr>
          <w:color w:val="000000"/>
        </w:rPr>
      </w:pPr>
      <w:r>
        <w:rPr>
          <w:color w:val="000000"/>
        </w:rPr>
        <w:t>National Institute of Mental Health (2020).</w:t>
      </w:r>
      <w:r>
        <w:rPr>
          <w:rStyle w:val="apple-converted-space"/>
          <w:rFonts w:eastAsia="Calibri Light"/>
          <w:color w:val="000000"/>
        </w:rPr>
        <w:t> </w:t>
      </w:r>
      <w:r>
        <w:rPr>
          <w:i/>
          <w:iCs/>
          <w:color w:val="000000"/>
        </w:rPr>
        <w:t>What is Prevalence?</w:t>
      </w:r>
      <w:r>
        <w:rPr>
          <w:color w:val="000000"/>
        </w:rPr>
        <w:t xml:space="preserve"> National Institute of Mental Health. Available at: https://www.nimh.nih.gov/health/statistics/what-is-prevalence </w:t>
      </w:r>
      <w:r w:rsidR="008D4CF6">
        <w:rPr>
          <w:color w:val="000000"/>
        </w:rPr>
        <w:t>(</w:t>
      </w:r>
      <w:r>
        <w:rPr>
          <w:color w:val="000000"/>
        </w:rPr>
        <w:t>Accessed 27</w:t>
      </w:r>
      <w:r w:rsidR="00A86396" w:rsidRPr="00A86396">
        <w:rPr>
          <w:color w:val="000000"/>
          <w:vertAlign w:val="superscript"/>
        </w:rPr>
        <w:t>th</w:t>
      </w:r>
      <w:r w:rsidR="00A86396">
        <w:rPr>
          <w:color w:val="000000"/>
        </w:rPr>
        <w:t xml:space="preserve"> </w:t>
      </w:r>
      <w:r>
        <w:rPr>
          <w:color w:val="000000"/>
        </w:rPr>
        <w:t>Feb. 2026</w:t>
      </w:r>
      <w:r w:rsidR="008D4CF6">
        <w:rPr>
          <w:color w:val="000000"/>
        </w:rPr>
        <w:t>)</w:t>
      </w:r>
      <w:r>
        <w:rPr>
          <w:color w:val="000000"/>
        </w:rPr>
        <w:t>.</w:t>
      </w:r>
    </w:p>
    <w:p w14:paraId="03A5EBA9" w14:textId="5194765C" w:rsidR="00015022" w:rsidRPr="00015022" w:rsidRDefault="00015022" w:rsidP="00015022">
      <w:pPr>
        <w:spacing w:after="240" w:line="360" w:lineRule="atLeast"/>
        <w:rPr>
          <w:color w:val="000000"/>
        </w:rPr>
      </w:pPr>
      <w:r w:rsidRPr="00015022">
        <w:rPr>
          <w:color w:val="000000"/>
        </w:rPr>
        <w:t>NHS digital (2023). </w:t>
      </w:r>
      <w:r w:rsidRPr="00015022">
        <w:rPr>
          <w:i/>
          <w:iCs/>
          <w:color w:val="000000"/>
        </w:rPr>
        <w:t xml:space="preserve">Adults’ health: </w:t>
      </w:r>
      <w:proofErr w:type="spellStart"/>
      <w:r w:rsidRPr="00015022">
        <w:rPr>
          <w:i/>
          <w:iCs/>
          <w:color w:val="000000"/>
        </w:rPr>
        <w:t>Diabetes</w:t>
      </w:r>
      <w:r w:rsidRPr="00015022">
        <w:rPr>
          <w:color w:val="000000"/>
        </w:rPr>
        <w:t>.NDRS</w:t>
      </w:r>
      <w:proofErr w:type="spellEnd"/>
      <w:r w:rsidRPr="00015022">
        <w:rPr>
          <w:color w:val="000000"/>
        </w:rPr>
        <w:t>. Available at: https://digital.nhs.uk/data-and-information/publications/statistical/health-survey-for-england/2021-part-2/adult-health-diabetes (Accessed 15 Mar. 2026).</w:t>
      </w:r>
    </w:p>
    <w:p w14:paraId="52DA7586" w14:textId="438D30D6" w:rsidR="005D6EEC" w:rsidRDefault="005D6EEC" w:rsidP="005D6EEC">
      <w:pPr>
        <w:pStyle w:val="NormalWeb"/>
        <w:spacing w:before="0" w:beforeAutospacing="0" w:after="240" w:afterAutospacing="0" w:line="360" w:lineRule="atLeast"/>
        <w:rPr>
          <w:color w:val="000000"/>
        </w:rPr>
      </w:pPr>
      <w:r>
        <w:rPr>
          <w:color w:val="000000"/>
        </w:rPr>
        <w:t>NHS England (2023).</w:t>
      </w:r>
      <w:r>
        <w:rPr>
          <w:rStyle w:val="apple-converted-space"/>
          <w:rFonts w:eastAsia="Calibri Light"/>
          <w:color w:val="000000"/>
        </w:rPr>
        <w:t> </w:t>
      </w:r>
      <w:r>
        <w:rPr>
          <w:i/>
          <w:iCs/>
          <w:color w:val="000000"/>
        </w:rPr>
        <w:t>What Are Healthcare Inequalities?</w:t>
      </w:r>
      <w:r>
        <w:rPr>
          <w:color w:val="000000"/>
        </w:rPr>
        <w:t xml:space="preserve"> NHS England. Available at: https://www.england.nhs.uk/about/equality/equality-hub/national-healthcare-inequalities-improvement-programme/what-are-healthcare-inequalities/ </w:t>
      </w:r>
      <w:r w:rsidR="008D4CF6">
        <w:rPr>
          <w:color w:val="000000"/>
        </w:rPr>
        <w:t>(</w:t>
      </w:r>
      <w:r>
        <w:rPr>
          <w:color w:val="000000"/>
        </w:rPr>
        <w:t>Accessed 27 Feb. 2026</w:t>
      </w:r>
      <w:r w:rsidR="008D4CF6">
        <w:rPr>
          <w:color w:val="000000"/>
        </w:rPr>
        <w:t>)</w:t>
      </w:r>
      <w:r>
        <w:rPr>
          <w:color w:val="000000"/>
        </w:rPr>
        <w:t>.</w:t>
      </w:r>
    </w:p>
    <w:p w14:paraId="1A9752F8" w14:textId="270C1F39" w:rsidR="00596877" w:rsidRDefault="00596877" w:rsidP="00E53F8E">
      <w:pPr>
        <w:spacing w:after="240" w:line="360" w:lineRule="atLeast"/>
        <w:rPr>
          <w:color w:val="000000"/>
        </w:rPr>
      </w:pPr>
      <w:r w:rsidRPr="00596877">
        <w:rPr>
          <w:color w:val="000000"/>
        </w:rPr>
        <w:t>NHS England (2023). </w:t>
      </w:r>
      <w:r w:rsidRPr="00596877">
        <w:rPr>
          <w:i/>
          <w:iCs/>
          <w:color w:val="000000"/>
        </w:rPr>
        <w:t>NHS Diabetes Prevention Programme (NHS DPP)</w:t>
      </w:r>
      <w:r w:rsidRPr="00596877">
        <w:rPr>
          <w:color w:val="000000"/>
        </w:rPr>
        <w:t xml:space="preserve">.  NHS England. Available at: https://www.england.nhs.uk/diabetes/diabetes-prevention/ </w:t>
      </w:r>
      <w:r w:rsidR="00E64A3B">
        <w:rPr>
          <w:color w:val="000000"/>
        </w:rPr>
        <w:t>(</w:t>
      </w:r>
      <w:r w:rsidRPr="00596877">
        <w:rPr>
          <w:color w:val="000000"/>
        </w:rPr>
        <w:t>Accessed Nov. 2025</w:t>
      </w:r>
      <w:r w:rsidR="00E64A3B">
        <w:rPr>
          <w:color w:val="000000"/>
        </w:rPr>
        <w:t>)</w:t>
      </w:r>
      <w:r w:rsidRPr="00596877">
        <w:rPr>
          <w:color w:val="000000"/>
        </w:rPr>
        <w:t>.</w:t>
      </w:r>
    </w:p>
    <w:p w14:paraId="62BFEA77" w14:textId="47C24D95" w:rsidR="00227B08" w:rsidRPr="00E53F8E" w:rsidRDefault="00452D1F" w:rsidP="00E53F8E">
      <w:pPr>
        <w:spacing w:after="240" w:line="360" w:lineRule="atLeast"/>
        <w:rPr>
          <w:color w:val="000000"/>
        </w:rPr>
      </w:pPr>
      <w:r w:rsidRPr="00452D1F">
        <w:rPr>
          <w:color w:val="000000"/>
        </w:rPr>
        <w:t>NHS England (2019). </w:t>
      </w:r>
      <w:r w:rsidRPr="00452D1F">
        <w:rPr>
          <w:i/>
          <w:iCs/>
          <w:color w:val="000000"/>
        </w:rPr>
        <w:t>NHS England» Obesity</w:t>
      </w:r>
      <w:r w:rsidRPr="00452D1F">
        <w:rPr>
          <w:color w:val="000000"/>
        </w:rPr>
        <w:t xml:space="preserve">. England.nhs.uk. Available at: https://www.england.nhs.uk/ourwork/prevention/obesity/ </w:t>
      </w:r>
      <w:r>
        <w:rPr>
          <w:color w:val="000000"/>
        </w:rPr>
        <w:t>(</w:t>
      </w:r>
      <w:r w:rsidRPr="00452D1F">
        <w:rPr>
          <w:color w:val="000000"/>
        </w:rPr>
        <w:t>Accessed 20 Feb. 2026</w:t>
      </w:r>
      <w:r>
        <w:rPr>
          <w:color w:val="000000"/>
        </w:rPr>
        <w:t>)</w:t>
      </w:r>
      <w:r w:rsidRPr="00452D1F">
        <w:rPr>
          <w:color w:val="000000"/>
        </w:rPr>
        <w:t>.</w:t>
      </w:r>
    </w:p>
    <w:p w14:paraId="1FDD3EF5" w14:textId="0BCEF568" w:rsidR="00DA61AE" w:rsidRDefault="003646DE" w:rsidP="00AF5B89">
      <w:pPr>
        <w:spacing w:after="240" w:line="360" w:lineRule="atLeast"/>
        <w:rPr>
          <w:color w:val="000000"/>
        </w:rPr>
      </w:pPr>
      <w:r w:rsidRPr="003646DE">
        <w:rPr>
          <w:color w:val="000000"/>
        </w:rPr>
        <w:t>NHS England (2019). </w:t>
      </w:r>
      <w:r w:rsidRPr="003646DE">
        <w:rPr>
          <w:i/>
          <w:iCs/>
          <w:color w:val="000000"/>
        </w:rPr>
        <w:t>NHS England» Diabetes treatment and care programme</w:t>
      </w:r>
      <w:r w:rsidRPr="003646DE">
        <w:rPr>
          <w:color w:val="000000"/>
        </w:rPr>
        <w:t xml:space="preserve">.  England.nhs.uk. Available at: </w:t>
      </w:r>
      <w:hyperlink r:id="rId12" w:history="1">
        <w:r w:rsidR="00AF5B89" w:rsidRPr="00EC02CF">
          <w:rPr>
            <w:rStyle w:val="Hyperlink"/>
          </w:rPr>
          <w:t>https://www.england.nhs.uk/diabetes/treatment-care/</w:t>
        </w:r>
      </w:hyperlink>
      <w:r w:rsidRPr="003646DE">
        <w:rPr>
          <w:color w:val="000000"/>
        </w:rPr>
        <w:t>.</w:t>
      </w:r>
      <w:r w:rsidR="00AF5B89" w:rsidRPr="00AF5B89">
        <w:rPr>
          <w:color w:val="000000"/>
        </w:rPr>
        <w:t>England, N. (2023)</w:t>
      </w:r>
      <w:r w:rsidR="005D7526">
        <w:rPr>
          <w:color w:val="000000"/>
        </w:rPr>
        <w:t xml:space="preserve"> (Accessed 18</w:t>
      </w:r>
      <w:r w:rsidR="005D7526" w:rsidRPr="005D7526">
        <w:rPr>
          <w:color w:val="000000"/>
          <w:vertAlign w:val="superscript"/>
        </w:rPr>
        <w:t>th</w:t>
      </w:r>
      <w:r w:rsidR="005D7526">
        <w:rPr>
          <w:color w:val="000000"/>
        </w:rPr>
        <w:t xml:space="preserve"> Nov. 2026).</w:t>
      </w:r>
      <w:r w:rsidR="00AF5B89" w:rsidRPr="00AF5B89">
        <w:rPr>
          <w:color w:val="000000"/>
        </w:rPr>
        <w:t> </w:t>
      </w:r>
    </w:p>
    <w:p w14:paraId="21C86D48" w14:textId="4868EDD0" w:rsidR="00AF5B89" w:rsidRPr="00D770DC" w:rsidRDefault="00AF5B89" w:rsidP="00AF5B89">
      <w:pPr>
        <w:spacing w:after="240" w:line="360" w:lineRule="atLeast"/>
        <w:rPr>
          <w:color w:val="000000" w:themeColor="text1"/>
        </w:rPr>
      </w:pPr>
      <w:r w:rsidRPr="00AF5B89">
        <w:rPr>
          <w:i/>
          <w:iCs/>
          <w:color w:val="000000"/>
        </w:rPr>
        <w:t>NHS England — Midlands» Black and South Asian people in the West Midlands urged to act now to prevent or delay Type 2 diabetes</w:t>
      </w:r>
      <w:r w:rsidRPr="00AF5B89">
        <w:rPr>
          <w:color w:val="000000"/>
        </w:rPr>
        <w:t xml:space="preserve">. England.nhs.uk. Available at: </w:t>
      </w:r>
      <w:hyperlink r:id="rId13" w:history="1">
        <w:r w:rsidR="005D7526" w:rsidRPr="00D770DC">
          <w:rPr>
            <w:rStyle w:val="Hyperlink"/>
            <w:color w:val="000000" w:themeColor="text1"/>
          </w:rPr>
          <w:t>https://www.england.nhs.uk/midlands/2023/01/25/black-and-south-asian-people-in-the-west-midlands-urged-to-act-now-to-prevent-or-delay-type-2-diabetes/(Accessed</w:t>
        </w:r>
      </w:hyperlink>
      <w:r w:rsidR="005D7526" w:rsidRPr="00D770DC">
        <w:rPr>
          <w:color w:val="000000" w:themeColor="text1"/>
        </w:rPr>
        <w:t xml:space="preserve"> 12</w:t>
      </w:r>
      <w:r w:rsidR="005D7526" w:rsidRPr="00D770DC">
        <w:rPr>
          <w:color w:val="000000" w:themeColor="text1"/>
          <w:vertAlign w:val="superscript"/>
        </w:rPr>
        <w:t>th</w:t>
      </w:r>
      <w:r w:rsidR="005D7526" w:rsidRPr="00D770DC">
        <w:rPr>
          <w:color w:val="000000" w:themeColor="text1"/>
        </w:rPr>
        <w:t xml:space="preserve"> Nov. 2025).</w:t>
      </w:r>
    </w:p>
    <w:p w14:paraId="69DDEF9F" w14:textId="7A35C438" w:rsidR="00DA61AE" w:rsidRDefault="00DA61AE" w:rsidP="00AF5B89">
      <w:pPr>
        <w:spacing w:after="240" w:line="360" w:lineRule="atLeast"/>
        <w:rPr>
          <w:color w:val="000000"/>
        </w:rPr>
      </w:pPr>
      <w:r w:rsidRPr="00DA61AE">
        <w:rPr>
          <w:color w:val="000000"/>
        </w:rPr>
        <w:t>NICE (2022). </w:t>
      </w:r>
      <w:r w:rsidRPr="00DA61AE">
        <w:rPr>
          <w:i/>
          <w:iCs/>
          <w:color w:val="000000"/>
        </w:rPr>
        <w:t>Type 2 Diabetes in adults: Choosing Medicines Factors to Take into Account When choosing, Reviewing and Changing Medicines</w:t>
      </w:r>
      <w:r w:rsidRPr="00DA61AE">
        <w:rPr>
          <w:color w:val="000000"/>
        </w:rPr>
        <w:t>.  </w:t>
      </w:r>
      <w:r w:rsidRPr="00DA61AE">
        <w:rPr>
          <w:i/>
          <w:iCs/>
          <w:color w:val="000000"/>
        </w:rPr>
        <w:t>National Institute for Health and Care Excellence</w:t>
      </w:r>
      <w:r w:rsidRPr="00DA61AE">
        <w:rPr>
          <w:color w:val="000000"/>
        </w:rPr>
        <w:t xml:space="preserve">. Available at: https://www.nice.org.uk/guidance/ng28/resources/visual-summary-full-version-choosing-medicines-for-firstline-and-further-treatment-pdf-10956472093 </w:t>
      </w:r>
      <w:r>
        <w:rPr>
          <w:color w:val="000000"/>
        </w:rPr>
        <w:t>(</w:t>
      </w:r>
      <w:r w:rsidRPr="00DA61AE">
        <w:rPr>
          <w:color w:val="000000"/>
        </w:rPr>
        <w:t>Accessed 10 Mar. 2026</w:t>
      </w:r>
      <w:r>
        <w:rPr>
          <w:color w:val="000000"/>
        </w:rPr>
        <w:t>)</w:t>
      </w:r>
      <w:r w:rsidRPr="00DA61AE">
        <w:rPr>
          <w:color w:val="000000"/>
        </w:rPr>
        <w:t>.</w:t>
      </w:r>
    </w:p>
    <w:p w14:paraId="7BB5934C" w14:textId="5BC3EE32" w:rsidR="00EE1271" w:rsidRPr="00AF5B89" w:rsidRDefault="00EE1271" w:rsidP="00AF5B89">
      <w:pPr>
        <w:spacing w:after="240" w:line="360" w:lineRule="atLeast"/>
        <w:rPr>
          <w:color w:val="000000"/>
        </w:rPr>
      </w:pPr>
      <w:r w:rsidRPr="00EE1271">
        <w:rPr>
          <w:color w:val="000000"/>
        </w:rPr>
        <w:t>NICE (2025). </w:t>
      </w:r>
      <w:r w:rsidRPr="00EE1271">
        <w:rPr>
          <w:i/>
          <w:iCs/>
          <w:color w:val="000000"/>
        </w:rPr>
        <w:t>Overweight and Obesity Management NICE Guideline</w:t>
      </w:r>
      <w:r w:rsidRPr="00EE1271">
        <w:rPr>
          <w:color w:val="000000"/>
        </w:rPr>
        <w:t xml:space="preserve">. Available at: https://www.nice.org.uk/guidance/ng246/resources/overweight-and-obesity-management-pdf-66143959958725 </w:t>
      </w:r>
      <w:r w:rsidR="003F02BF">
        <w:rPr>
          <w:color w:val="000000"/>
        </w:rPr>
        <w:t>(</w:t>
      </w:r>
      <w:r w:rsidRPr="00EE1271">
        <w:rPr>
          <w:color w:val="000000"/>
        </w:rPr>
        <w:t>Accessed 10 Mar. 2026</w:t>
      </w:r>
      <w:r w:rsidR="003F02BF">
        <w:rPr>
          <w:color w:val="000000"/>
        </w:rPr>
        <w:t>)</w:t>
      </w:r>
      <w:r w:rsidRPr="00EE1271">
        <w:rPr>
          <w:color w:val="000000"/>
        </w:rPr>
        <w:t>.</w:t>
      </w:r>
    </w:p>
    <w:p w14:paraId="3D102C50" w14:textId="2647FA4D" w:rsidR="00AF5B89" w:rsidRDefault="001E48C2" w:rsidP="003646DE">
      <w:pPr>
        <w:spacing w:after="240" w:line="360" w:lineRule="atLeast"/>
        <w:rPr>
          <w:color w:val="000000"/>
        </w:rPr>
      </w:pPr>
      <w:r w:rsidRPr="001E48C2">
        <w:rPr>
          <w:color w:val="000000"/>
        </w:rPr>
        <w:lastRenderedPageBreak/>
        <w:t>Office for Health Improvement &amp; Disparities (2025). </w:t>
      </w:r>
      <w:r w:rsidRPr="001E48C2">
        <w:rPr>
          <w:i/>
          <w:iCs/>
          <w:color w:val="000000"/>
        </w:rPr>
        <w:t>Diabetes profile: Statistical commentary, March 2025</w:t>
      </w:r>
      <w:r w:rsidRPr="001E48C2">
        <w:rPr>
          <w:color w:val="000000"/>
        </w:rPr>
        <w:t xml:space="preserve">. GOV.UK. Available at: https://www.gov.uk/government/statistics/diabetes-profile-update-march-2025/diabetes-profile-statistical-commentary-march-2025 </w:t>
      </w:r>
      <w:r>
        <w:rPr>
          <w:color w:val="000000"/>
        </w:rPr>
        <w:t>(</w:t>
      </w:r>
      <w:r w:rsidRPr="001E48C2">
        <w:rPr>
          <w:color w:val="000000"/>
        </w:rPr>
        <w:t>Accessed 20 Mar. 2026</w:t>
      </w:r>
      <w:r>
        <w:rPr>
          <w:color w:val="000000"/>
        </w:rPr>
        <w:t>)</w:t>
      </w:r>
      <w:r w:rsidRPr="001E48C2">
        <w:rPr>
          <w:color w:val="000000"/>
        </w:rPr>
        <w:t>.</w:t>
      </w:r>
    </w:p>
    <w:p w14:paraId="325A1FDC" w14:textId="1410D2DF" w:rsidR="00EE4373" w:rsidRPr="003646DE" w:rsidRDefault="00EE4373" w:rsidP="003646DE">
      <w:pPr>
        <w:spacing w:after="240" w:line="360" w:lineRule="atLeast"/>
        <w:rPr>
          <w:color w:val="000000"/>
        </w:rPr>
      </w:pPr>
      <w:r w:rsidRPr="00EE4373">
        <w:rPr>
          <w:color w:val="000000"/>
        </w:rPr>
        <w:t>Office for national statistics (2024). </w:t>
      </w:r>
      <w:r w:rsidRPr="00EE4373">
        <w:rPr>
          <w:i/>
          <w:iCs/>
          <w:color w:val="000000"/>
        </w:rPr>
        <w:t>Risk factors for pre-diabetes and undiagnosed type 2 diabetes in England - Office for National Statistics</w:t>
      </w:r>
      <w:r w:rsidRPr="00EE4373">
        <w:rPr>
          <w:color w:val="000000"/>
        </w:rPr>
        <w:t xml:space="preserve">. www.ons.gov.uk. Available at: </w:t>
      </w:r>
      <w:hyperlink r:id="rId14" w:history="1">
        <w:r w:rsidR="005D7526" w:rsidRPr="00EE4373">
          <w:rPr>
            <w:rStyle w:val="Hyperlink"/>
          </w:rPr>
          <w:t>https://www.ons.gov.uk/peoplepopulationandcommunity/healthandsocialcare/healthinequalities/bulletins/riskfactorsforprediabetesandundiagnosedtype2diabetesinengland/2013to2019</w:t>
        </w:r>
      </w:hyperlink>
      <w:r w:rsidR="005D7526">
        <w:rPr>
          <w:color w:val="000000"/>
        </w:rPr>
        <w:t xml:space="preserve"> (Accessed 10</w:t>
      </w:r>
      <w:r w:rsidR="00A80DA3" w:rsidRPr="00A80DA3">
        <w:rPr>
          <w:color w:val="000000"/>
          <w:vertAlign w:val="superscript"/>
        </w:rPr>
        <w:t>th</w:t>
      </w:r>
      <w:r w:rsidR="005D7526">
        <w:rPr>
          <w:color w:val="000000"/>
        </w:rPr>
        <w:t xml:space="preserve"> </w:t>
      </w:r>
      <w:r w:rsidR="00D5469C">
        <w:rPr>
          <w:color w:val="000000"/>
        </w:rPr>
        <w:t xml:space="preserve">Jan. 2026). </w:t>
      </w:r>
    </w:p>
    <w:p w14:paraId="21DB694D" w14:textId="1234E475" w:rsidR="005D6EEC" w:rsidRDefault="005D6EEC" w:rsidP="005D6EEC">
      <w:pPr>
        <w:pStyle w:val="NormalWeb"/>
        <w:spacing w:before="0" w:beforeAutospacing="0" w:after="240" w:afterAutospacing="0" w:line="360" w:lineRule="atLeast"/>
        <w:rPr>
          <w:color w:val="000000"/>
        </w:rPr>
      </w:pPr>
      <w:r>
        <w:rPr>
          <w:color w:val="000000"/>
        </w:rPr>
        <w:t>Ofori, S. and Unachukwu, C. (2014). Holistic approach to prevention and management of type 2 diabetes mellitus in a family setting.</w:t>
      </w:r>
      <w:r>
        <w:rPr>
          <w:rStyle w:val="apple-converted-space"/>
          <w:rFonts w:eastAsia="Calibri Light"/>
          <w:color w:val="000000"/>
        </w:rPr>
        <w:t> </w:t>
      </w:r>
      <w:r>
        <w:rPr>
          <w:i/>
          <w:iCs/>
          <w:color w:val="000000"/>
        </w:rPr>
        <w:t>Diabetes, Metabolic Syndrome and Obesity: Targets and Therapy</w:t>
      </w:r>
      <w:r>
        <w:rPr>
          <w:color w:val="000000"/>
        </w:rPr>
        <w:t xml:space="preserve">, 7(7), p.159. </w:t>
      </w:r>
      <w:proofErr w:type="spellStart"/>
      <w:proofErr w:type="gramStart"/>
      <w:r>
        <w:rPr>
          <w:color w:val="000000"/>
        </w:rPr>
        <w:t>doi:https</w:t>
      </w:r>
      <w:proofErr w:type="spellEnd"/>
      <w:r>
        <w:rPr>
          <w:color w:val="000000"/>
        </w:rPr>
        <w:t>://doi.org/10.2147/dmso.s62320</w:t>
      </w:r>
      <w:proofErr w:type="gramEnd"/>
      <w:r w:rsidR="00D5469C">
        <w:rPr>
          <w:color w:val="000000"/>
        </w:rPr>
        <w:t xml:space="preserve"> (Accessed 4</w:t>
      </w:r>
      <w:r w:rsidR="00D5469C" w:rsidRPr="00D5469C">
        <w:rPr>
          <w:color w:val="000000"/>
          <w:vertAlign w:val="superscript"/>
        </w:rPr>
        <w:t>th</w:t>
      </w:r>
      <w:r w:rsidR="00D5469C">
        <w:rPr>
          <w:color w:val="000000"/>
        </w:rPr>
        <w:t xml:space="preserve"> Nov. 2025).</w:t>
      </w:r>
    </w:p>
    <w:p w14:paraId="5676D8B3" w14:textId="554A377C" w:rsidR="009D328D" w:rsidRPr="009D328D" w:rsidRDefault="009D328D" w:rsidP="009D328D">
      <w:pPr>
        <w:spacing w:after="240" w:line="360" w:lineRule="atLeast"/>
        <w:rPr>
          <w:color w:val="000000"/>
        </w:rPr>
      </w:pPr>
      <w:proofErr w:type="spellStart"/>
      <w:r w:rsidRPr="009D328D">
        <w:rPr>
          <w:color w:val="000000"/>
        </w:rPr>
        <w:t>Pianese</w:t>
      </w:r>
      <w:proofErr w:type="spellEnd"/>
      <w:r w:rsidRPr="009D328D">
        <w:rPr>
          <w:color w:val="000000"/>
        </w:rPr>
        <w:t xml:space="preserve">, L. and </w:t>
      </w:r>
      <w:proofErr w:type="spellStart"/>
      <w:r w:rsidRPr="009D328D">
        <w:rPr>
          <w:color w:val="000000"/>
        </w:rPr>
        <w:t>Bordoni</w:t>
      </w:r>
      <w:proofErr w:type="spellEnd"/>
      <w:r w:rsidRPr="009D328D">
        <w:rPr>
          <w:color w:val="000000"/>
        </w:rPr>
        <w:t>, B. (2025). Beyond the Biomedical Model: A Critical Review of the Approach to Chronic Pain and the Proposal of an Integrated Functional Model. </w:t>
      </w:r>
      <w:proofErr w:type="spellStart"/>
      <w:r w:rsidRPr="009D328D">
        <w:rPr>
          <w:i/>
          <w:iCs/>
          <w:color w:val="000000"/>
        </w:rPr>
        <w:t>Cureus</w:t>
      </w:r>
      <w:proofErr w:type="spellEnd"/>
      <w:r w:rsidRPr="009D328D">
        <w:rPr>
          <w:color w:val="000000"/>
        </w:rPr>
        <w:t xml:space="preserve">, 17(6), p.e85717. </w:t>
      </w:r>
      <w:proofErr w:type="spellStart"/>
      <w:proofErr w:type="gramStart"/>
      <w:r w:rsidRPr="009D328D">
        <w:rPr>
          <w:color w:val="000000"/>
        </w:rPr>
        <w:t>doi:https</w:t>
      </w:r>
      <w:proofErr w:type="spellEnd"/>
      <w:r w:rsidRPr="009D328D">
        <w:rPr>
          <w:color w:val="000000"/>
        </w:rPr>
        <w:t>://doi.org/10.7759/cureus.85717</w:t>
      </w:r>
      <w:proofErr w:type="gramEnd"/>
      <w:r w:rsidR="00D5469C">
        <w:rPr>
          <w:color w:val="000000"/>
        </w:rPr>
        <w:t xml:space="preserve"> (Accessed 12</w:t>
      </w:r>
      <w:r w:rsidR="00D5469C" w:rsidRPr="00D5469C">
        <w:rPr>
          <w:color w:val="000000"/>
          <w:vertAlign w:val="superscript"/>
        </w:rPr>
        <w:t>th</w:t>
      </w:r>
      <w:r w:rsidR="00D5469C">
        <w:rPr>
          <w:color w:val="000000"/>
        </w:rPr>
        <w:t xml:space="preserve"> Nov. 2025).</w:t>
      </w:r>
    </w:p>
    <w:p w14:paraId="7A4AC91A" w14:textId="2ABAD973" w:rsidR="001E6860" w:rsidRPr="001E6860" w:rsidRDefault="001E6860" w:rsidP="001E6860">
      <w:pPr>
        <w:spacing w:after="240" w:line="360" w:lineRule="atLeast"/>
        <w:rPr>
          <w:color w:val="000000"/>
        </w:rPr>
      </w:pPr>
      <w:proofErr w:type="spellStart"/>
      <w:r w:rsidRPr="001E6860">
        <w:rPr>
          <w:color w:val="000000"/>
        </w:rPr>
        <w:t>Purssell</w:t>
      </w:r>
      <w:proofErr w:type="spellEnd"/>
      <w:r w:rsidRPr="001E6860">
        <w:rPr>
          <w:color w:val="000000"/>
        </w:rPr>
        <w:t>, E. and Gould, D. (2021). Undertaking qualitative reviews in nursing and education - A method of thematic analysis for students and clinicians. </w:t>
      </w:r>
      <w:r w:rsidRPr="001E6860">
        <w:rPr>
          <w:i/>
          <w:iCs/>
          <w:color w:val="000000"/>
        </w:rPr>
        <w:t>International Journal of Nursing Studies Advances</w:t>
      </w:r>
      <w:r w:rsidRPr="001E6860">
        <w:rPr>
          <w:color w:val="000000"/>
        </w:rPr>
        <w:t xml:space="preserve">, 3(100036), p.100036. </w:t>
      </w:r>
      <w:proofErr w:type="spellStart"/>
      <w:proofErr w:type="gramStart"/>
      <w:r w:rsidRPr="001E6860">
        <w:rPr>
          <w:color w:val="000000"/>
        </w:rPr>
        <w:t>doi:https</w:t>
      </w:r>
      <w:proofErr w:type="spellEnd"/>
      <w:r w:rsidRPr="001E6860">
        <w:rPr>
          <w:color w:val="000000"/>
        </w:rPr>
        <w:t>://doi.org/10.1016/j.ijnsa.2021.100036</w:t>
      </w:r>
      <w:proofErr w:type="gramEnd"/>
      <w:r w:rsidRPr="001E6860">
        <w:rPr>
          <w:color w:val="000000"/>
        </w:rPr>
        <w:t>.</w:t>
      </w:r>
      <w:r w:rsidR="00A80DA3">
        <w:rPr>
          <w:color w:val="000000"/>
        </w:rPr>
        <w:t xml:space="preserve"> (Accessed 10</w:t>
      </w:r>
      <w:r w:rsidR="00A80DA3" w:rsidRPr="00A80DA3">
        <w:rPr>
          <w:color w:val="000000"/>
          <w:vertAlign w:val="superscript"/>
        </w:rPr>
        <w:t>th</w:t>
      </w:r>
      <w:r w:rsidR="00A80DA3">
        <w:rPr>
          <w:color w:val="000000"/>
        </w:rPr>
        <w:t xml:space="preserve"> Jan. 2026).</w:t>
      </w:r>
    </w:p>
    <w:p w14:paraId="7C88A921" w14:textId="2406479C" w:rsidR="00C31C73" w:rsidRDefault="00C31C73" w:rsidP="008C0282">
      <w:pPr>
        <w:spacing w:after="240" w:line="360" w:lineRule="atLeast"/>
        <w:rPr>
          <w:color w:val="000000"/>
        </w:rPr>
      </w:pPr>
      <w:r w:rsidRPr="00C31C73">
        <w:rPr>
          <w:color w:val="000000"/>
        </w:rPr>
        <w:t>Raleigh, V. (2023). </w:t>
      </w:r>
      <w:r w:rsidRPr="00C31C73">
        <w:rPr>
          <w:i/>
          <w:iCs/>
          <w:color w:val="000000"/>
        </w:rPr>
        <w:t>The Health of People from Ethnic Minority Groups in England</w:t>
      </w:r>
      <w:r w:rsidRPr="00C31C73">
        <w:rPr>
          <w:color w:val="000000"/>
        </w:rPr>
        <w:t xml:space="preserve">. [online] The King’s Fund. Available at: https://www.kingsfund.org.uk/insight-and-analysis/long-reads/health-people-ethnic-minority-groups-england </w:t>
      </w:r>
      <w:r>
        <w:rPr>
          <w:color w:val="000000"/>
        </w:rPr>
        <w:t>(</w:t>
      </w:r>
      <w:r w:rsidRPr="00C31C73">
        <w:rPr>
          <w:color w:val="000000"/>
        </w:rPr>
        <w:t>Accessed 10</w:t>
      </w:r>
      <w:r w:rsidR="00A80DA3" w:rsidRPr="00A80DA3">
        <w:rPr>
          <w:color w:val="000000"/>
          <w:vertAlign w:val="superscript"/>
        </w:rPr>
        <w:t>th</w:t>
      </w:r>
      <w:r w:rsidRPr="00C31C73">
        <w:rPr>
          <w:color w:val="000000"/>
        </w:rPr>
        <w:t xml:space="preserve"> Feb. 2026</w:t>
      </w:r>
      <w:r>
        <w:rPr>
          <w:color w:val="000000"/>
        </w:rPr>
        <w:t>)</w:t>
      </w:r>
      <w:r w:rsidRPr="00C31C73">
        <w:rPr>
          <w:color w:val="000000"/>
        </w:rPr>
        <w:t>.</w:t>
      </w:r>
    </w:p>
    <w:p w14:paraId="2EB9A00E" w14:textId="4D88202F" w:rsidR="00AD2DFF" w:rsidRDefault="00AD2DFF" w:rsidP="00AD2DFF">
      <w:pPr>
        <w:pStyle w:val="NormalWeb"/>
        <w:spacing w:before="0" w:beforeAutospacing="0" w:after="240" w:afterAutospacing="0" w:line="360" w:lineRule="atLeast"/>
        <w:rPr>
          <w:color w:val="000000"/>
        </w:rPr>
      </w:pPr>
      <w:r>
        <w:rPr>
          <w:color w:val="000000"/>
        </w:rPr>
        <w:t xml:space="preserve">Reed, J., Bain, S. and </w:t>
      </w:r>
      <w:proofErr w:type="spellStart"/>
      <w:r>
        <w:rPr>
          <w:color w:val="000000"/>
        </w:rPr>
        <w:t>Kanamarlapudi</w:t>
      </w:r>
      <w:proofErr w:type="spellEnd"/>
      <w:r>
        <w:rPr>
          <w:color w:val="000000"/>
        </w:rPr>
        <w:t>, V. (2021). A Review of Current Trends with Type 2 Diabetes Epidemiology, Aetiology, Pathogenesis, Treatments and Future Perspectives.</w:t>
      </w:r>
      <w:r>
        <w:rPr>
          <w:rStyle w:val="apple-converted-space"/>
          <w:rFonts w:eastAsia="Calibri Light"/>
          <w:color w:val="000000"/>
        </w:rPr>
        <w:t> </w:t>
      </w:r>
      <w:r>
        <w:rPr>
          <w:i/>
          <w:iCs/>
          <w:color w:val="000000"/>
        </w:rPr>
        <w:t>Diabetes, Metabolic Syndrome and Obesity: Targets and Therapy</w:t>
      </w:r>
      <w:r>
        <w:rPr>
          <w:color w:val="000000"/>
        </w:rPr>
        <w:t xml:space="preserve">, Volume 14(1), pp.3567–3602. </w:t>
      </w:r>
      <w:proofErr w:type="spellStart"/>
      <w:proofErr w:type="gramStart"/>
      <w:r>
        <w:rPr>
          <w:color w:val="000000"/>
        </w:rPr>
        <w:t>doi:https</w:t>
      </w:r>
      <w:proofErr w:type="spellEnd"/>
      <w:r>
        <w:rPr>
          <w:color w:val="000000"/>
        </w:rPr>
        <w:t>://doi.org/10.2147/DMSO.S319895</w:t>
      </w:r>
      <w:r w:rsidR="00D5469C">
        <w:rPr>
          <w:color w:val="000000"/>
        </w:rPr>
        <w:t>(Accessed</w:t>
      </w:r>
      <w:proofErr w:type="gramEnd"/>
      <w:r w:rsidR="00D5469C">
        <w:rPr>
          <w:color w:val="000000"/>
        </w:rPr>
        <w:t xml:space="preserve"> 28</w:t>
      </w:r>
      <w:r w:rsidR="00D5469C" w:rsidRPr="00D5469C">
        <w:rPr>
          <w:color w:val="000000"/>
          <w:vertAlign w:val="superscript"/>
        </w:rPr>
        <w:t>th</w:t>
      </w:r>
      <w:r w:rsidR="00D5469C">
        <w:rPr>
          <w:color w:val="000000"/>
        </w:rPr>
        <w:t xml:space="preserve"> Dec. 2025)</w:t>
      </w:r>
    </w:p>
    <w:p w14:paraId="6C286B3B" w14:textId="1B499E84" w:rsidR="00AD2DFF" w:rsidRDefault="00AD2DFF" w:rsidP="008C0282">
      <w:pPr>
        <w:spacing w:after="240" w:line="360" w:lineRule="atLeast"/>
        <w:rPr>
          <w:color w:val="000000"/>
        </w:rPr>
      </w:pPr>
      <w:proofErr w:type="spellStart"/>
      <w:r w:rsidRPr="00AD2DFF">
        <w:rPr>
          <w:color w:val="000000"/>
        </w:rPr>
        <w:t>Romieu</w:t>
      </w:r>
      <w:proofErr w:type="spellEnd"/>
      <w:r w:rsidRPr="00AD2DFF">
        <w:rPr>
          <w:color w:val="000000"/>
        </w:rPr>
        <w:t xml:space="preserve">, I., </w:t>
      </w:r>
      <w:proofErr w:type="spellStart"/>
      <w:r w:rsidRPr="00AD2DFF">
        <w:rPr>
          <w:color w:val="000000"/>
        </w:rPr>
        <w:t>Dossus</w:t>
      </w:r>
      <w:proofErr w:type="spellEnd"/>
      <w:r w:rsidRPr="00AD2DFF">
        <w:rPr>
          <w:color w:val="000000"/>
        </w:rPr>
        <w:t xml:space="preserve">, L., </w:t>
      </w:r>
      <w:proofErr w:type="spellStart"/>
      <w:r w:rsidRPr="00AD2DFF">
        <w:rPr>
          <w:color w:val="000000"/>
        </w:rPr>
        <w:t>Barquera</w:t>
      </w:r>
      <w:proofErr w:type="spellEnd"/>
      <w:r w:rsidRPr="00AD2DFF">
        <w:rPr>
          <w:color w:val="000000"/>
        </w:rPr>
        <w:t xml:space="preserve">, S., </w:t>
      </w:r>
      <w:proofErr w:type="spellStart"/>
      <w:r w:rsidRPr="00AD2DFF">
        <w:rPr>
          <w:color w:val="000000"/>
        </w:rPr>
        <w:t>Blottière</w:t>
      </w:r>
      <w:proofErr w:type="spellEnd"/>
      <w:r w:rsidRPr="00AD2DFF">
        <w:rPr>
          <w:color w:val="000000"/>
        </w:rPr>
        <w:t xml:space="preserve">, H.M., Franks, P.W., Gunter, M., </w:t>
      </w:r>
      <w:proofErr w:type="spellStart"/>
      <w:r w:rsidRPr="00AD2DFF">
        <w:rPr>
          <w:color w:val="000000"/>
        </w:rPr>
        <w:t>Hwalla</w:t>
      </w:r>
      <w:proofErr w:type="spellEnd"/>
      <w:r w:rsidRPr="00AD2DFF">
        <w:rPr>
          <w:color w:val="000000"/>
        </w:rPr>
        <w:t xml:space="preserve">, N., </w:t>
      </w:r>
      <w:proofErr w:type="spellStart"/>
      <w:r w:rsidRPr="00AD2DFF">
        <w:rPr>
          <w:color w:val="000000"/>
        </w:rPr>
        <w:t>Hursting</w:t>
      </w:r>
      <w:proofErr w:type="spellEnd"/>
      <w:r w:rsidRPr="00AD2DFF">
        <w:rPr>
          <w:color w:val="000000"/>
        </w:rPr>
        <w:t xml:space="preserve">, S.D., </w:t>
      </w:r>
      <w:proofErr w:type="spellStart"/>
      <w:r w:rsidRPr="00AD2DFF">
        <w:rPr>
          <w:color w:val="000000"/>
        </w:rPr>
        <w:t>Leitzmann</w:t>
      </w:r>
      <w:proofErr w:type="spellEnd"/>
      <w:r w:rsidRPr="00AD2DFF">
        <w:rPr>
          <w:color w:val="000000"/>
        </w:rPr>
        <w:t xml:space="preserve">, M., Margetts, B., Nishida, C., </w:t>
      </w:r>
      <w:proofErr w:type="spellStart"/>
      <w:r w:rsidRPr="00AD2DFF">
        <w:rPr>
          <w:color w:val="000000"/>
        </w:rPr>
        <w:t>Potischman</w:t>
      </w:r>
      <w:proofErr w:type="spellEnd"/>
      <w:r w:rsidRPr="00AD2DFF">
        <w:rPr>
          <w:color w:val="000000"/>
        </w:rPr>
        <w:t xml:space="preserve">, N., </w:t>
      </w:r>
      <w:proofErr w:type="spellStart"/>
      <w:r w:rsidRPr="00AD2DFF">
        <w:rPr>
          <w:color w:val="000000"/>
        </w:rPr>
        <w:t>Seidell</w:t>
      </w:r>
      <w:proofErr w:type="spellEnd"/>
      <w:r w:rsidRPr="00AD2DFF">
        <w:rPr>
          <w:color w:val="000000"/>
        </w:rPr>
        <w:t xml:space="preserve">, J., </w:t>
      </w:r>
      <w:proofErr w:type="spellStart"/>
      <w:r w:rsidRPr="00AD2DFF">
        <w:rPr>
          <w:color w:val="000000"/>
        </w:rPr>
        <w:t>Stepien</w:t>
      </w:r>
      <w:proofErr w:type="spellEnd"/>
      <w:r w:rsidRPr="00AD2DFF">
        <w:rPr>
          <w:color w:val="000000"/>
        </w:rPr>
        <w:t xml:space="preserve">, M., Wang, Y., </w:t>
      </w:r>
      <w:proofErr w:type="spellStart"/>
      <w:r w:rsidRPr="00AD2DFF">
        <w:rPr>
          <w:color w:val="000000"/>
        </w:rPr>
        <w:t>Westerterp</w:t>
      </w:r>
      <w:proofErr w:type="spellEnd"/>
      <w:r w:rsidRPr="00AD2DFF">
        <w:rPr>
          <w:color w:val="000000"/>
        </w:rPr>
        <w:t xml:space="preserve">, K., </w:t>
      </w:r>
      <w:proofErr w:type="spellStart"/>
      <w:r w:rsidRPr="00AD2DFF">
        <w:rPr>
          <w:color w:val="000000"/>
        </w:rPr>
        <w:t>Winichagoon</w:t>
      </w:r>
      <w:proofErr w:type="spellEnd"/>
      <w:r w:rsidRPr="00AD2DFF">
        <w:rPr>
          <w:color w:val="000000"/>
        </w:rPr>
        <w:t>, P., Wiseman, M. and Willett, W.C. (2017). Energy balance and obesity: what are the main drivers? </w:t>
      </w:r>
      <w:r w:rsidRPr="00AD2DFF">
        <w:rPr>
          <w:i/>
          <w:iCs/>
          <w:color w:val="000000"/>
        </w:rPr>
        <w:t>Cancer Causes &amp; Control</w:t>
      </w:r>
      <w:r w:rsidRPr="00AD2DFF">
        <w:rPr>
          <w:color w:val="000000"/>
        </w:rPr>
        <w:t xml:space="preserve">, 28(3), pp.247–258. </w:t>
      </w:r>
      <w:proofErr w:type="spellStart"/>
      <w:proofErr w:type="gramStart"/>
      <w:r w:rsidRPr="00AD2DFF">
        <w:rPr>
          <w:color w:val="000000"/>
        </w:rPr>
        <w:t>doi:https</w:t>
      </w:r>
      <w:proofErr w:type="spellEnd"/>
      <w:r w:rsidRPr="00AD2DFF">
        <w:rPr>
          <w:color w:val="000000"/>
        </w:rPr>
        <w:t>://doi.org/10.1007/s10552-017-0869-z</w:t>
      </w:r>
      <w:r w:rsidR="00D5469C">
        <w:rPr>
          <w:color w:val="000000"/>
        </w:rPr>
        <w:t>(Accessed</w:t>
      </w:r>
      <w:proofErr w:type="gramEnd"/>
      <w:r w:rsidR="00D5469C">
        <w:rPr>
          <w:color w:val="000000"/>
        </w:rPr>
        <w:t xml:space="preserve"> 10</w:t>
      </w:r>
      <w:r w:rsidR="00D5469C" w:rsidRPr="00D5469C">
        <w:rPr>
          <w:color w:val="000000"/>
          <w:vertAlign w:val="superscript"/>
        </w:rPr>
        <w:t>th</w:t>
      </w:r>
      <w:r w:rsidR="00D5469C">
        <w:rPr>
          <w:color w:val="000000"/>
        </w:rPr>
        <w:t xml:space="preserve"> Feb. 2026).</w:t>
      </w:r>
    </w:p>
    <w:p w14:paraId="4FBC82EA" w14:textId="59D9C0D2" w:rsidR="008C0282" w:rsidRDefault="008C0282" w:rsidP="008C0282">
      <w:pPr>
        <w:spacing w:after="240" w:line="360" w:lineRule="atLeast"/>
        <w:rPr>
          <w:color w:val="000000"/>
        </w:rPr>
      </w:pPr>
      <w:r w:rsidRPr="008C0282">
        <w:rPr>
          <w:color w:val="000000"/>
        </w:rPr>
        <w:lastRenderedPageBreak/>
        <w:t>Sattar, N. (2019). Advances in the clinical management of type 2 diabetes: a brief history of the past 15 years and challenges for the future. </w:t>
      </w:r>
      <w:r w:rsidRPr="008C0282">
        <w:rPr>
          <w:i/>
          <w:iCs/>
          <w:color w:val="000000"/>
        </w:rPr>
        <w:t>BMC Medicine</w:t>
      </w:r>
      <w:r w:rsidRPr="008C0282">
        <w:rPr>
          <w:color w:val="000000"/>
        </w:rPr>
        <w:t xml:space="preserve">, 17(1). </w:t>
      </w:r>
      <w:proofErr w:type="spellStart"/>
      <w:proofErr w:type="gramStart"/>
      <w:r w:rsidRPr="008C0282">
        <w:rPr>
          <w:color w:val="000000"/>
        </w:rPr>
        <w:t>doi:https</w:t>
      </w:r>
      <w:proofErr w:type="spellEnd"/>
      <w:r w:rsidRPr="008C0282">
        <w:rPr>
          <w:color w:val="000000"/>
        </w:rPr>
        <w:t>://doi.org/10.1186/s12916-019-1281-1</w:t>
      </w:r>
      <w:r w:rsidR="00D5469C">
        <w:rPr>
          <w:color w:val="000000"/>
        </w:rPr>
        <w:t>(Accessed</w:t>
      </w:r>
      <w:proofErr w:type="gramEnd"/>
      <w:r w:rsidR="00D5469C">
        <w:rPr>
          <w:color w:val="000000"/>
        </w:rPr>
        <w:t xml:space="preserve"> 13</w:t>
      </w:r>
      <w:r w:rsidR="00D5469C" w:rsidRPr="00D5469C">
        <w:rPr>
          <w:color w:val="000000"/>
          <w:vertAlign w:val="superscript"/>
        </w:rPr>
        <w:t>th</w:t>
      </w:r>
      <w:r w:rsidR="00D5469C">
        <w:rPr>
          <w:color w:val="000000"/>
        </w:rPr>
        <w:t xml:space="preserve"> Mar. 2026).</w:t>
      </w:r>
    </w:p>
    <w:p w14:paraId="5157D7D5" w14:textId="6633E3B1" w:rsidR="00600F43" w:rsidRDefault="00600F43" w:rsidP="008C0282">
      <w:pPr>
        <w:spacing w:after="240" w:line="360" w:lineRule="atLeast"/>
        <w:rPr>
          <w:color w:val="000000"/>
        </w:rPr>
      </w:pPr>
      <w:r w:rsidRPr="00600F43">
        <w:rPr>
          <w:color w:val="000000"/>
        </w:rPr>
        <w:t xml:space="preserve">Smith, J.R., Greaves, C.J., Thompson, J.L., Taylor, R.S., Jones, M., Armstrong, R., </w:t>
      </w:r>
      <w:proofErr w:type="spellStart"/>
      <w:r w:rsidRPr="00600F43">
        <w:rPr>
          <w:color w:val="000000"/>
        </w:rPr>
        <w:t>Moorlock</w:t>
      </w:r>
      <w:proofErr w:type="spellEnd"/>
      <w:r w:rsidRPr="00600F43">
        <w:rPr>
          <w:color w:val="000000"/>
        </w:rPr>
        <w:t>, S., Griffin, A., Solomon-Moore, E., Biddle, M.S.Y., Price, L. and Abraham, C. (2019). The community-based prevention of diabetes (</w:t>
      </w:r>
      <w:proofErr w:type="spellStart"/>
      <w:r w:rsidRPr="00600F43">
        <w:rPr>
          <w:color w:val="000000"/>
        </w:rPr>
        <w:t>ComPoD</w:t>
      </w:r>
      <w:proofErr w:type="spellEnd"/>
      <w:r w:rsidRPr="00600F43">
        <w:rPr>
          <w:color w:val="000000"/>
        </w:rPr>
        <w:t xml:space="preserve">) study: a randomised, waiting </w:t>
      </w:r>
      <w:proofErr w:type="gramStart"/>
      <w:r w:rsidRPr="00600F43">
        <w:rPr>
          <w:color w:val="000000"/>
        </w:rPr>
        <w:t>list controlled</w:t>
      </w:r>
      <w:proofErr w:type="gramEnd"/>
      <w:r w:rsidRPr="00600F43">
        <w:rPr>
          <w:color w:val="000000"/>
        </w:rPr>
        <w:t xml:space="preserve"> trial of a voluntary sector-led diabetes prevention programme. </w:t>
      </w:r>
      <w:r w:rsidRPr="00600F43">
        <w:rPr>
          <w:i/>
          <w:iCs/>
          <w:color w:val="000000"/>
        </w:rPr>
        <w:t xml:space="preserve">International Journal of </w:t>
      </w:r>
      <w:proofErr w:type="spellStart"/>
      <w:r w:rsidRPr="00600F43">
        <w:rPr>
          <w:i/>
          <w:iCs/>
          <w:color w:val="000000"/>
        </w:rPr>
        <w:t>Behavioral</w:t>
      </w:r>
      <w:proofErr w:type="spellEnd"/>
      <w:r w:rsidRPr="00600F43">
        <w:rPr>
          <w:i/>
          <w:iCs/>
          <w:color w:val="000000"/>
        </w:rPr>
        <w:t xml:space="preserve"> Nutrition and Physical Activity</w:t>
      </w:r>
      <w:r w:rsidRPr="00600F43">
        <w:rPr>
          <w:color w:val="000000"/>
        </w:rPr>
        <w:t xml:space="preserve">, 16(1). </w:t>
      </w:r>
      <w:proofErr w:type="spellStart"/>
      <w:proofErr w:type="gramStart"/>
      <w:r w:rsidRPr="00600F43">
        <w:rPr>
          <w:color w:val="000000"/>
        </w:rPr>
        <w:t>doi:https</w:t>
      </w:r>
      <w:proofErr w:type="spellEnd"/>
      <w:r w:rsidRPr="00600F43">
        <w:rPr>
          <w:color w:val="000000"/>
        </w:rPr>
        <w:t>://doi.org/10.1186/s12966-019-0877-3</w:t>
      </w:r>
      <w:r w:rsidR="00D5469C">
        <w:rPr>
          <w:color w:val="000000"/>
        </w:rPr>
        <w:t>(Accessed</w:t>
      </w:r>
      <w:proofErr w:type="gramEnd"/>
      <w:r w:rsidR="00D5469C">
        <w:rPr>
          <w:color w:val="000000"/>
        </w:rPr>
        <w:t xml:space="preserve"> 10</w:t>
      </w:r>
      <w:r w:rsidR="00D5469C" w:rsidRPr="00D5469C">
        <w:rPr>
          <w:color w:val="000000"/>
          <w:vertAlign w:val="superscript"/>
        </w:rPr>
        <w:t>th</w:t>
      </w:r>
      <w:r w:rsidR="00D5469C">
        <w:rPr>
          <w:color w:val="000000"/>
        </w:rPr>
        <w:t xml:space="preserve"> Jan. 2026).</w:t>
      </w:r>
    </w:p>
    <w:p w14:paraId="0C03AB25" w14:textId="3C302D9F" w:rsidR="005C2AEC" w:rsidRPr="005C2AEC" w:rsidRDefault="005C2AEC" w:rsidP="005C2AEC">
      <w:pPr>
        <w:spacing w:after="240" w:line="360" w:lineRule="atLeast"/>
        <w:rPr>
          <w:color w:val="000000"/>
        </w:rPr>
      </w:pPr>
      <w:r w:rsidRPr="005C2AEC">
        <w:rPr>
          <w:color w:val="000000"/>
        </w:rPr>
        <w:t>Sugandh, F.N.U., Chandio, M., Raveena, F.N.U., Kumar, L., Karishma, F.N.U., Khuwaja, S., Memon, U.A., Bai, K., Kashif, M., Varrassi, G., Khatri, M., Kumar, S., Sugandh, F., Chandio, M., Raveena, F.N.U., Kumar, L., Karishma, F.N.U., Khuwaja, S., Memon, U.A. and Bai, K. (2023). Advances in the management of diabetes mellitus: A focus on personalized medicine. </w:t>
      </w:r>
      <w:r w:rsidRPr="005C2AEC">
        <w:rPr>
          <w:i/>
          <w:iCs/>
          <w:color w:val="000000"/>
        </w:rPr>
        <w:t>Cureus</w:t>
      </w:r>
      <w:r w:rsidRPr="005C2AEC">
        <w:rPr>
          <w:color w:val="000000"/>
        </w:rPr>
        <w:t xml:space="preserve">, 15(8), pp.1–13. </w:t>
      </w:r>
      <w:proofErr w:type="spellStart"/>
      <w:proofErr w:type="gramStart"/>
      <w:r w:rsidRPr="005C2AEC">
        <w:rPr>
          <w:color w:val="000000"/>
        </w:rPr>
        <w:t>doi:https</w:t>
      </w:r>
      <w:proofErr w:type="spellEnd"/>
      <w:r w:rsidRPr="005C2AEC">
        <w:rPr>
          <w:color w:val="000000"/>
        </w:rPr>
        <w:t>://doi.org/10.7759/cureus.43697</w:t>
      </w:r>
      <w:r w:rsidR="00D5469C">
        <w:rPr>
          <w:color w:val="000000"/>
        </w:rPr>
        <w:t>(Accessed</w:t>
      </w:r>
      <w:proofErr w:type="gramEnd"/>
      <w:r w:rsidR="00D5469C">
        <w:rPr>
          <w:color w:val="000000"/>
        </w:rPr>
        <w:t xml:space="preserve"> 14</w:t>
      </w:r>
      <w:r w:rsidR="00D5469C" w:rsidRPr="00D5469C">
        <w:rPr>
          <w:color w:val="000000"/>
          <w:vertAlign w:val="superscript"/>
        </w:rPr>
        <w:t>th</w:t>
      </w:r>
      <w:r w:rsidR="00D5469C">
        <w:rPr>
          <w:color w:val="000000"/>
        </w:rPr>
        <w:t xml:space="preserve"> Feb.2026).</w:t>
      </w:r>
    </w:p>
    <w:p w14:paraId="04BCAF98" w14:textId="5F5DFBA6" w:rsidR="00317206" w:rsidRDefault="00317206" w:rsidP="00E56415">
      <w:pPr>
        <w:spacing w:after="240" w:line="360" w:lineRule="atLeast"/>
        <w:rPr>
          <w:color w:val="000000"/>
        </w:rPr>
      </w:pPr>
      <w:proofErr w:type="spellStart"/>
      <w:r w:rsidRPr="00317206">
        <w:rPr>
          <w:color w:val="000000"/>
        </w:rPr>
        <w:t>Syeda</w:t>
      </w:r>
      <w:proofErr w:type="spellEnd"/>
      <w:r w:rsidRPr="00317206">
        <w:rPr>
          <w:color w:val="000000"/>
        </w:rPr>
        <w:t xml:space="preserve">, A., </w:t>
      </w:r>
      <w:proofErr w:type="spellStart"/>
      <w:r w:rsidRPr="00317206">
        <w:rPr>
          <w:color w:val="000000"/>
        </w:rPr>
        <w:t>Battillo</w:t>
      </w:r>
      <w:proofErr w:type="spellEnd"/>
      <w:r w:rsidRPr="00317206">
        <w:rPr>
          <w:color w:val="000000"/>
        </w:rPr>
        <w:t xml:space="preserve">, D., </w:t>
      </w:r>
      <w:proofErr w:type="spellStart"/>
      <w:r w:rsidRPr="00317206">
        <w:rPr>
          <w:color w:val="000000"/>
        </w:rPr>
        <w:t>Visaria</w:t>
      </w:r>
      <w:proofErr w:type="spellEnd"/>
      <w:r w:rsidRPr="00317206">
        <w:rPr>
          <w:color w:val="000000"/>
        </w:rPr>
        <w:t xml:space="preserve">, A. and </w:t>
      </w:r>
      <w:proofErr w:type="spellStart"/>
      <w:r w:rsidRPr="00317206">
        <w:rPr>
          <w:color w:val="000000"/>
        </w:rPr>
        <w:t>Malin</w:t>
      </w:r>
      <w:proofErr w:type="spellEnd"/>
      <w:r w:rsidRPr="00317206">
        <w:rPr>
          <w:color w:val="000000"/>
        </w:rPr>
        <w:t xml:space="preserve">, S.K. (2023). The Importance of Exercise for </w:t>
      </w:r>
      <w:proofErr w:type="spellStart"/>
      <w:r w:rsidRPr="00317206">
        <w:rPr>
          <w:color w:val="000000"/>
        </w:rPr>
        <w:t>Glycemic</w:t>
      </w:r>
      <w:proofErr w:type="spellEnd"/>
      <w:r w:rsidRPr="00317206">
        <w:rPr>
          <w:color w:val="000000"/>
        </w:rPr>
        <w:t xml:space="preserve"> Control in Type 2 Diabetes. </w:t>
      </w:r>
      <w:r w:rsidRPr="00317206">
        <w:rPr>
          <w:i/>
          <w:iCs/>
          <w:color w:val="000000"/>
        </w:rPr>
        <w:t>American Journal of Medicine Open</w:t>
      </w:r>
      <w:r w:rsidRPr="00317206">
        <w:rPr>
          <w:color w:val="000000"/>
        </w:rPr>
        <w:t xml:space="preserve">, 9(9), p.100031. </w:t>
      </w:r>
      <w:proofErr w:type="spellStart"/>
      <w:proofErr w:type="gramStart"/>
      <w:r w:rsidRPr="00317206">
        <w:rPr>
          <w:color w:val="000000"/>
        </w:rPr>
        <w:t>doi:https</w:t>
      </w:r>
      <w:proofErr w:type="spellEnd"/>
      <w:r w:rsidRPr="00317206">
        <w:rPr>
          <w:color w:val="000000"/>
        </w:rPr>
        <w:t>://doi.org/10.1016/j.ajmo.2023.100031</w:t>
      </w:r>
      <w:r w:rsidR="00D5469C">
        <w:rPr>
          <w:color w:val="000000"/>
        </w:rPr>
        <w:t>(Accessed</w:t>
      </w:r>
      <w:proofErr w:type="gramEnd"/>
      <w:r w:rsidR="00D5469C">
        <w:rPr>
          <w:color w:val="000000"/>
        </w:rPr>
        <w:t xml:space="preserve"> 19</w:t>
      </w:r>
      <w:r w:rsidR="00D5469C" w:rsidRPr="00D5469C">
        <w:rPr>
          <w:color w:val="000000"/>
          <w:vertAlign w:val="superscript"/>
        </w:rPr>
        <w:t>th</w:t>
      </w:r>
      <w:r w:rsidR="00D5469C">
        <w:rPr>
          <w:color w:val="000000"/>
        </w:rPr>
        <w:t xml:space="preserve"> Nov. 2025).</w:t>
      </w:r>
    </w:p>
    <w:p w14:paraId="7D2C1E72" w14:textId="65E3BF6A" w:rsidR="00E56415" w:rsidRPr="00E56415" w:rsidRDefault="00E56415" w:rsidP="00E56415">
      <w:pPr>
        <w:spacing w:after="240" w:line="360" w:lineRule="atLeast"/>
        <w:rPr>
          <w:color w:val="000000"/>
        </w:rPr>
      </w:pPr>
      <w:r w:rsidRPr="00E56415">
        <w:rPr>
          <w:color w:val="000000"/>
        </w:rPr>
        <w:t>Thomas, J. and Harden, A. (2008). Methods for the Thematic Synthesis of Qualitative Research in Systematic Reviews. </w:t>
      </w:r>
      <w:r w:rsidRPr="00E56415">
        <w:rPr>
          <w:i/>
          <w:iCs/>
          <w:color w:val="000000"/>
        </w:rPr>
        <w:t>BMC Medical Research Methodology</w:t>
      </w:r>
      <w:r w:rsidRPr="00E56415">
        <w:rPr>
          <w:color w:val="000000"/>
        </w:rPr>
        <w:t xml:space="preserve">, 8(1), pp.1–10. </w:t>
      </w:r>
      <w:proofErr w:type="spellStart"/>
      <w:proofErr w:type="gramStart"/>
      <w:r w:rsidRPr="00E56415">
        <w:rPr>
          <w:color w:val="000000"/>
        </w:rPr>
        <w:t>doi:https</w:t>
      </w:r>
      <w:proofErr w:type="spellEnd"/>
      <w:r w:rsidRPr="00E56415">
        <w:rPr>
          <w:color w:val="000000"/>
        </w:rPr>
        <w:t>://doi.org/10.1186/1471-2288-8-45</w:t>
      </w:r>
      <w:proofErr w:type="gramEnd"/>
      <w:r w:rsidR="00D5469C">
        <w:rPr>
          <w:color w:val="000000"/>
        </w:rPr>
        <w:t xml:space="preserve"> (Accessed 17</w:t>
      </w:r>
      <w:r w:rsidR="00D5469C" w:rsidRPr="00D5469C">
        <w:rPr>
          <w:color w:val="000000"/>
          <w:vertAlign w:val="superscript"/>
        </w:rPr>
        <w:t>th</w:t>
      </w:r>
      <w:r w:rsidR="00D5469C">
        <w:rPr>
          <w:color w:val="000000"/>
        </w:rPr>
        <w:t xml:space="preserve"> Dec. 2025).</w:t>
      </w:r>
    </w:p>
    <w:p w14:paraId="78DAF85F" w14:textId="66FED44F" w:rsidR="005D6EEC" w:rsidRDefault="005D6EEC" w:rsidP="005D6EEC">
      <w:pPr>
        <w:pStyle w:val="NormalWeb"/>
        <w:spacing w:before="0" w:beforeAutospacing="0" w:after="240" w:afterAutospacing="0" w:line="360" w:lineRule="atLeast"/>
        <w:rPr>
          <w:color w:val="000000"/>
        </w:rPr>
      </w:pPr>
      <w:proofErr w:type="spellStart"/>
      <w:r>
        <w:rPr>
          <w:color w:val="000000"/>
        </w:rPr>
        <w:t>Tulchinsky</w:t>
      </w:r>
      <w:proofErr w:type="spellEnd"/>
      <w:r>
        <w:rPr>
          <w:color w:val="000000"/>
        </w:rPr>
        <w:t xml:space="preserve">, T.H. and </w:t>
      </w:r>
      <w:proofErr w:type="spellStart"/>
      <w:r>
        <w:rPr>
          <w:color w:val="000000"/>
        </w:rPr>
        <w:t>Varavikova</w:t>
      </w:r>
      <w:proofErr w:type="spellEnd"/>
      <w:r>
        <w:rPr>
          <w:color w:val="000000"/>
        </w:rPr>
        <w:t>, E.A. (2014). Measuring, Monitoring, and Evaluating the Health of a Population.</w:t>
      </w:r>
      <w:r>
        <w:rPr>
          <w:rStyle w:val="apple-converted-space"/>
          <w:rFonts w:eastAsia="Calibri Light"/>
          <w:color w:val="000000"/>
        </w:rPr>
        <w:t> </w:t>
      </w:r>
      <w:r>
        <w:rPr>
          <w:i/>
          <w:iCs/>
          <w:color w:val="000000"/>
        </w:rPr>
        <w:t>The New Public Health</w:t>
      </w:r>
      <w:r>
        <w:rPr>
          <w:color w:val="000000"/>
        </w:rPr>
        <w:t xml:space="preserve">, pp.91–147. </w:t>
      </w:r>
      <w:proofErr w:type="spellStart"/>
      <w:proofErr w:type="gramStart"/>
      <w:r>
        <w:rPr>
          <w:color w:val="000000"/>
        </w:rPr>
        <w:t>doi:https</w:t>
      </w:r>
      <w:proofErr w:type="spellEnd"/>
      <w:r>
        <w:rPr>
          <w:color w:val="000000"/>
        </w:rPr>
        <w:t>://doi.org/10.1016/b978-0-12-415766-8.00003-3</w:t>
      </w:r>
      <w:r w:rsidR="00D5469C">
        <w:rPr>
          <w:color w:val="000000"/>
        </w:rPr>
        <w:t>(Accessed</w:t>
      </w:r>
      <w:proofErr w:type="gramEnd"/>
      <w:r w:rsidR="00D5469C">
        <w:rPr>
          <w:color w:val="000000"/>
        </w:rPr>
        <w:t xml:space="preserve"> 20</w:t>
      </w:r>
      <w:r w:rsidR="00D5469C" w:rsidRPr="00D5469C">
        <w:rPr>
          <w:color w:val="000000"/>
          <w:vertAlign w:val="superscript"/>
        </w:rPr>
        <w:t>th</w:t>
      </w:r>
      <w:r w:rsidR="00D5469C">
        <w:rPr>
          <w:color w:val="000000"/>
        </w:rPr>
        <w:t xml:space="preserve"> Feb. 2026).</w:t>
      </w:r>
    </w:p>
    <w:p w14:paraId="32CA3EF3" w14:textId="022FF591" w:rsidR="005D1C0F" w:rsidRDefault="005D1C0F" w:rsidP="005D1C0F">
      <w:pPr>
        <w:pStyle w:val="NormalWeb"/>
        <w:spacing w:before="0" w:beforeAutospacing="0" w:after="240" w:afterAutospacing="0" w:line="360" w:lineRule="atLeast"/>
        <w:rPr>
          <w:color w:val="000000"/>
        </w:rPr>
      </w:pPr>
      <w:r>
        <w:rPr>
          <w:color w:val="000000"/>
        </w:rPr>
        <w:t>Vecchio, I., Tornali, C., Bragazzi, N.L. and Martini, M. (2018). The Discovery of Insulin: an Important Milestone in the History of Medicine.</w:t>
      </w:r>
      <w:r>
        <w:rPr>
          <w:rStyle w:val="apple-converted-space"/>
          <w:rFonts w:eastAsia="Calibri Light"/>
          <w:color w:val="000000"/>
        </w:rPr>
        <w:t> </w:t>
      </w:r>
      <w:r>
        <w:rPr>
          <w:i/>
          <w:iCs/>
          <w:color w:val="000000"/>
        </w:rPr>
        <w:t>Frontiers in Endocrinology</w:t>
      </w:r>
      <w:r>
        <w:rPr>
          <w:color w:val="000000"/>
        </w:rPr>
        <w:t xml:space="preserve">, 9(613). </w:t>
      </w:r>
      <w:proofErr w:type="spellStart"/>
      <w:proofErr w:type="gramStart"/>
      <w:r>
        <w:rPr>
          <w:color w:val="000000"/>
        </w:rPr>
        <w:t>doi:https</w:t>
      </w:r>
      <w:proofErr w:type="spellEnd"/>
      <w:r>
        <w:rPr>
          <w:color w:val="000000"/>
        </w:rPr>
        <w:t>://doi.org/10.3389/fendo.2018.00613</w:t>
      </w:r>
      <w:r w:rsidR="00D5469C">
        <w:rPr>
          <w:color w:val="000000"/>
        </w:rPr>
        <w:t>(Accessed</w:t>
      </w:r>
      <w:proofErr w:type="gramEnd"/>
      <w:r w:rsidR="00D5469C">
        <w:rPr>
          <w:color w:val="000000"/>
        </w:rPr>
        <w:t xml:space="preserve"> 18</w:t>
      </w:r>
      <w:r w:rsidR="00D5469C" w:rsidRPr="00D5469C">
        <w:rPr>
          <w:color w:val="000000"/>
          <w:vertAlign w:val="superscript"/>
        </w:rPr>
        <w:t>th</w:t>
      </w:r>
      <w:r w:rsidR="00D5469C">
        <w:rPr>
          <w:color w:val="000000"/>
        </w:rPr>
        <w:t xml:space="preserve"> Feb. 2026).</w:t>
      </w:r>
    </w:p>
    <w:p w14:paraId="5369D7F9" w14:textId="3A00D8F1" w:rsidR="00D56324" w:rsidRDefault="00D56324" w:rsidP="00D56324">
      <w:pPr>
        <w:spacing w:after="240" w:line="360" w:lineRule="atLeast"/>
        <w:rPr>
          <w:color w:val="000000"/>
        </w:rPr>
      </w:pPr>
      <w:r w:rsidRPr="00D56324">
        <w:rPr>
          <w:color w:val="000000"/>
        </w:rPr>
        <w:t>Wade, D.T. and Halligan, P.W. (2004). Do Biomedical Models of Illness Make for Good Healthcare systems? </w:t>
      </w:r>
      <w:r w:rsidRPr="00D56324">
        <w:rPr>
          <w:i/>
          <w:iCs/>
          <w:color w:val="000000"/>
        </w:rPr>
        <w:t>BMJ</w:t>
      </w:r>
      <w:r w:rsidRPr="00D56324">
        <w:rPr>
          <w:color w:val="000000"/>
        </w:rPr>
        <w:t xml:space="preserve">, 329(7479), pp.1398–1401. </w:t>
      </w:r>
      <w:proofErr w:type="spellStart"/>
      <w:proofErr w:type="gramStart"/>
      <w:r w:rsidRPr="00D56324">
        <w:rPr>
          <w:color w:val="000000"/>
        </w:rPr>
        <w:t>doi:https</w:t>
      </w:r>
      <w:proofErr w:type="spellEnd"/>
      <w:r w:rsidRPr="00D56324">
        <w:rPr>
          <w:color w:val="000000"/>
        </w:rPr>
        <w:t>://doi.org/10.1136/bmj.329.7479.1398</w:t>
      </w:r>
      <w:r w:rsidR="00D5469C">
        <w:rPr>
          <w:color w:val="000000"/>
        </w:rPr>
        <w:t>(Accessed</w:t>
      </w:r>
      <w:proofErr w:type="gramEnd"/>
      <w:r w:rsidR="00D5469C">
        <w:rPr>
          <w:color w:val="000000"/>
        </w:rPr>
        <w:t xml:space="preserve"> 27</w:t>
      </w:r>
      <w:r w:rsidR="00D5469C" w:rsidRPr="00D5469C">
        <w:rPr>
          <w:color w:val="000000"/>
          <w:vertAlign w:val="superscript"/>
        </w:rPr>
        <w:t>th</w:t>
      </w:r>
      <w:r w:rsidR="00D5469C">
        <w:rPr>
          <w:color w:val="000000"/>
        </w:rPr>
        <w:t xml:space="preserve"> Nov. 2025).</w:t>
      </w:r>
    </w:p>
    <w:p w14:paraId="59B047F5" w14:textId="590CDB73" w:rsidR="00B92E00" w:rsidRDefault="00B92E00" w:rsidP="00D56324">
      <w:pPr>
        <w:spacing w:after="240" w:line="360" w:lineRule="atLeast"/>
        <w:rPr>
          <w:color w:val="000000"/>
        </w:rPr>
      </w:pPr>
      <w:r w:rsidRPr="00B92E00">
        <w:rPr>
          <w:color w:val="000000"/>
        </w:rPr>
        <w:t xml:space="preserve">Watkinson, R., McManus, E., </w:t>
      </w:r>
      <w:proofErr w:type="spellStart"/>
      <w:r w:rsidRPr="00B92E00">
        <w:rPr>
          <w:color w:val="000000"/>
        </w:rPr>
        <w:t>Meacock</w:t>
      </w:r>
      <w:proofErr w:type="spellEnd"/>
      <w:r w:rsidRPr="00B92E00">
        <w:rPr>
          <w:color w:val="000000"/>
        </w:rPr>
        <w:t>, R. and Sutton, M. (2024). Age- and deprivation-related inequalities in identification of people at high risk of type 2 diabetes in England. </w:t>
      </w:r>
      <w:r w:rsidRPr="00B92E00">
        <w:rPr>
          <w:i/>
          <w:iCs/>
          <w:color w:val="000000"/>
        </w:rPr>
        <w:t xml:space="preserve">BMC </w:t>
      </w:r>
      <w:r w:rsidRPr="00B92E00">
        <w:rPr>
          <w:i/>
          <w:iCs/>
          <w:color w:val="000000"/>
        </w:rPr>
        <w:lastRenderedPageBreak/>
        <w:t>Public Health</w:t>
      </w:r>
      <w:r w:rsidRPr="00B92E00">
        <w:rPr>
          <w:color w:val="000000"/>
        </w:rPr>
        <w:t xml:space="preserve">, 24(1). </w:t>
      </w:r>
      <w:proofErr w:type="spellStart"/>
      <w:proofErr w:type="gramStart"/>
      <w:r w:rsidRPr="00B92E00">
        <w:rPr>
          <w:color w:val="000000"/>
        </w:rPr>
        <w:t>doi:https</w:t>
      </w:r>
      <w:proofErr w:type="spellEnd"/>
      <w:r w:rsidRPr="00B92E00">
        <w:rPr>
          <w:color w:val="000000"/>
        </w:rPr>
        <w:t>://doi.org/10.1186/s12889-024-19571-x</w:t>
      </w:r>
      <w:proofErr w:type="gramEnd"/>
      <w:r w:rsidR="00D5469C">
        <w:rPr>
          <w:color w:val="000000"/>
        </w:rPr>
        <w:t xml:space="preserve"> (Accessed28th Dec. 2025).</w:t>
      </w:r>
    </w:p>
    <w:p w14:paraId="34BDB02D" w14:textId="73AAF126" w:rsidR="00040AAE" w:rsidRDefault="00040AAE" w:rsidP="00D56324">
      <w:pPr>
        <w:spacing w:after="240" w:line="360" w:lineRule="atLeast"/>
        <w:rPr>
          <w:color w:val="000000"/>
        </w:rPr>
      </w:pPr>
      <w:proofErr w:type="spellStart"/>
      <w:r w:rsidRPr="00040AAE">
        <w:rPr>
          <w:color w:val="000000"/>
        </w:rPr>
        <w:t>Wilderink</w:t>
      </w:r>
      <w:proofErr w:type="spellEnd"/>
      <w:r w:rsidRPr="00040AAE">
        <w:rPr>
          <w:color w:val="000000"/>
        </w:rPr>
        <w:t xml:space="preserve">, L., Bakker, I., </w:t>
      </w:r>
      <w:proofErr w:type="spellStart"/>
      <w:r w:rsidRPr="00040AAE">
        <w:rPr>
          <w:color w:val="000000"/>
        </w:rPr>
        <w:t>Schuit</w:t>
      </w:r>
      <w:proofErr w:type="spellEnd"/>
      <w:r w:rsidRPr="00040AAE">
        <w:rPr>
          <w:color w:val="000000"/>
        </w:rPr>
        <w:t xml:space="preserve">, A.J., </w:t>
      </w:r>
      <w:proofErr w:type="spellStart"/>
      <w:r w:rsidRPr="00040AAE">
        <w:rPr>
          <w:color w:val="000000"/>
        </w:rPr>
        <w:t>Seidell</w:t>
      </w:r>
      <w:proofErr w:type="spellEnd"/>
      <w:r w:rsidRPr="00040AAE">
        <w:rPr>
          <w:color w:val="000000"/>
        </w:rPr>
        <w:t>, J.C., Pop, I.A. and Renders, C.M. (2022). A Theoretical Perspective on Why Socioeconomic Health Inequalities Are Persistent: Building the Case for an Effective Approach. </w:t>
      </w:r>
      <w:r w:rsidRPr="00040AAE">
        <w:rPr>
          <w:i/>
          <w:iCs/>
          <w:color w:val="000000"/>
        </w:rPr>
        <w:t>International Journal of Environmental Research and Public Health</w:t>
      </w:r>
      <w:r w:rsidRPr="00040AAE">
        <w:rPr>
          <w:color w:val="000000"/>
        </w:rPr>
        <w:t xml:space="preserve">, [online] 19(14), p.8384. </w:t>
      </w:r>
      <w:proofErr w:type="spellStart"/>
      <w:proofErr w:type="gramStart"/>
      <w:r w:rsidRPr="00040AAE">
        <w:rPr>
          <w:color w:val="000000"/>
        </w:rPr>
        <w:t>doi:https</w:t>
      </w:r>
      <w:proofErr w:type="spellEnd"/>
      <w:r w:rsidRPr="00040AAE">
        <w:rPr>
          <w:color w:val="000000"/>
        </w:rPr>
        <w:t>://doi.org/10.3390/ijerph19148384</w:t>
      </w:r>
      <w:r w:rsidR="00776D26">
        <w:rPr>
          <w:color w:val="000000"/>
        </w:rPr>
        <w:t>(Accessed</w:t>
      </w:r>
      <w:proofErr w:type="gramEnd"/>
      <w:r w:rsidR="00776D26">
        <w:rPr>
          <w:color w:val="000000"/>
        </w:rPr>
        <w:t xml:space="preserve"> 24</w:t>
      </w:r>
      <w:r w:rsidR="00776D26" w:rsidRPr="00776D26">
        <w:rPr>
          <w:color w:val="000000"/>
          <w:vertAlign w:val="superscript"/>
        </w:rPr>
        <w:t>th</w:t>
      </w:r>
      <w:r w:rsidR="00776D26">
        <w:rPr>
          <w:color w:val="000000"/>
        </w:rPr>
        <w:t xml:space="preserve"> Feb. 2026).</w:t>
      </w:r>
    </w:p>
    <w:p w14:paraId="4547AF35" w14:textId="5A2BE06F" w:rsidR="0072240C" w:rsidRPr="0072240C" w:rsidRDefault="0072240C" w:rsidP="0072240C">
      <w:pPr>
        <w:spacing w:after="240" w:line="360" w:lineRule="atLeast"/>
        <w:rPr>
          <w:color w:val="000000"/>
        </w:rPr>
      </w:pPr>
      <w:r w:rsidRPr="0072240C">
        <w:rPr>
          <w:color w:val="000000"/>
        </w:rPr>
        <w:t xml:space="preserve">Woodward, A., </w:t>
      </w:r>
      <w:proofErr w:type="spellStart"/>
      <w:r w:rsidRPr="0072240C">
        <w:rPr>
          <w:color w:val="000000"/>
        </w:rPr>
        <w:t>Nimmons</w:t>
      </w:r>
      <w:proofErr w:type="spellEnd"/>
      <w:r w:rsidRPr="0072240C">
        <w:rPr>
          <w:color w:val="000000"/>
        </w:rPr>
        <w:t xml:space="preserve">, D., Davies, N., Walters, K., Stevenson, F.A., </w:t>
      </w:r>
      <w:proofErr w:type="spellStart"/>
      <w:r w:rsidRPr="0072240C">
        <w:rPr>
          <w:color w:val="000000"/>
        </w:rPr>
        <w:t>Protheroe</w:t>
      </w:r>
      <w:proofErr w:type="spellEnd"/>
      <w:r w:rsidRPr="0072240C">
        <w:rPr>
          <w:color w:val="000000"/>
        </w:rPr>
        <w:t>, J., Chew-Graham, C.A. and Armstrong, M. (2024). A qualitative exploration of the barriers and facilitators to self‐managing multiple long‐term conditions amongst people experiencing socioeconomic deprivation. </w:t>
      </w:r>
      <w:r w:rsidRPr="0072240C">
        <w:rPr>
          <w:i/>
          <w:iCs/>
          <w:color w:val="000000"/>
        </w:rPr>
        <w:t xml:space="preserve">Health </w:t>
      </w:r>
      <w:proofErr w:type="gramStart"/>
      <w:r w:rsidRPr="0072240C">
        <w:rPr>
          <w:i/>
          <w:iCs/>
          <w:color w:val="000000"/>
        </w:rPr>
        <w:t>expectations</w:t>
      </w:r>
      <w:r w:rsidRPr="0072240C">
        <w:rPr>
          <w:color w:val="000000"/>
        </w:rPr>
        <w:t>,  27</w:t>
      </w:r>
      <w:proofErr w:type="gramEnd"/>
      <w:r w:rsidRPr="0072240C">
        <w:rPr>
          <w:color w:val="000000"/>
        </w:rPr>
        <w:t xml:space="preserve">(2). </w:t>
      </w:r>
      <w:proofErr w:type="spellStart"/>
      <w:proofErr w:type="gramStart"/>
      <w:r w:rsidRPr="0072240C">
        <w:rPr>
          <w:color w:val="000000"/>
        </w:rPr>
        <w:t>doi:https</w:t>
      </w:r>
      <w:proofErr w:type="spellEnd"/>
      <w:r w:rsidRPr="0072240C">
        <w:rPr>
          <w:color w:val="000000"/>
        </w:rPr>
        <w:t>://doi.org/10.1111/hex.14046</w:t>
      </w:r>
      <w:proofErr w:type="gramEnd"/>
      <w:r w:rsidR="00776D26">
        <w:rPr>
          <w:color w:val="000000"/>
        </w:rPr>
        <w:t xml:space="preserve"> (Accessed 22</w:t>
      </w:r>
      <w:r w:rsidR="00776D26" w:rsidRPr="00776D26">
        <w:rPr>
          <w:color w:val="000000"/>
          <w:vertAlign w:val="superscript"/>
        </w:rPr>
        <w:t>nd</w:t>
      </w:r>
      <w:r w:rsidR="00776D26">
        <w:rPr>
          <w:color w:val="000000"/>
        </w:rPr>
        <w:t xml:space="preserve"> Feb. 2026)</w:t>
      </w:r>
      <w:r w:rsidRPr="0072240C">
        <w:rPr>
          <w:color w:val="000000"/>
        </w:rPr>
        <w:t>.</w:t>
      </w:r>
    </w:p>
    <w:p w14:paraId="54B51A96" w14:textId="350EC42A" w:rsidR="00D56324" w:rsidRPr="00D56324" w:rsidRDefault="00D56324" w:rsidP="00D56324">
      <w:pPr>
        <w:spacing w:after="240" w:line="360" w:lineRule="atLeast"/>
        <w:rPr>
          <w:color w:val="000000"/>
        </w:rPr>
      </w:pPr>
      <w:r w:rsidRPr="00D56324">
        <w:rPr>
          <w:color w:val="000000"/>
        </w:rPr>
        <w:t>World Health Organization (2024). </w:t>
      </w:r>
      <w:r w:rsidRPr="00D56324">
        <w:rPr>
          <w:i/>
          <w:iCs/>
          <w:color w:val="000000"/>
        </w:rPr>
        <w:t>Diabetes</w:t>
      </w:r>
      <w:r w:rsidRPr="00D56324">
        <w:rPr>
          <w:color w:val="000000"/>
        </w:rPr>
        <w:t>.</w:t>
      </w:r>
      <w:r>
        <w:rPr>
          <w:color w:val="000000"/>
        </w:rPr>
        <w:t xml:space="preserve"> </w:t>
      </w:r>
      <w:r w:rsidRPr="00D56324">
        <w:rPr>
          <w:color w:val="000000"/>
        </w:rPr>
        <w:t xml:space="preserve">World Health Organization. Available at: https://www.who.int/news-room/fact-sheets/detail/diabetes </w:t>
      </w:r>
      <w:r w:rsidR="00E64A3B">
        <w:rPr>
          <w:color w:val="000000"/>
        </w:rPr>
        <w:t>(</w:t>
      </w:r>
      <w:r w:rsidRPr="00D56324">
        <w:rPr>
          <w:color w:val="000000"/>
        </w:rPr>
        <w:t>Accessed 12</w:t>
      </w:r>
      <w:r w:rsidR="00A86396" w:rsidRPr="00A86396">
        <w:rPr>
          <w:color w:val="000000"/>
          <w:vertAlign w:val="superscript"/>
        </w:rPr>
        <w:t>th</w:t>
      </w:r>
      <w:r w:rsidRPr="00D56324">
        <w:rPr>
          <w:color w:val="000000"/>
        </w:rPr>
        <w:t xml:space="preserve"> Nov. 2025</w:t>
      </w:r>
      <w:r w:rsidR="00E64A3B">
        <w:rPr>
          <w:color w:val="000000"/>
        </w:rPr>
        <w:t>)</w:t>
      </w:r>
      <w:r w:rsidRPr="00D56324">
        <w:rPr>
          <w:color w:val="000000"/>
        </w:rPr>
        <w:t>.</w:t>
      </w:r>
    </w:p>
    <w:p w14:paraId="197E2CE0" w14:textId="56571604" w:rsidR="009302F3" w:rsidRDefault="009302F3" w:rsidP="009302F3">
      <w:pPr>
        <w:spacing w:after="240" w:line="360" w:lineRule="atLeast"/>
        <w:rPr>
          <w:color w:val="000000"/>
        </w:rPr>
      </w:pPr>
      <w:r w:rsidRPr="009302F3">
        <w:rPr>
          <w:color w:val="000000"/>
        </w:rPr>
        <w:t>Wu, Y., Ding, Y., Tanaka, Y. and Zhang, W. (2014). Risk Factors Contributing to Type 2 Diabetes and Recent Advances in the Treatment and Prevention. </w:t>
      </w:r>
      <w:r w:rsidRPr="009302F3">
        <w:rPr>
          <w:i/>
          <w:iCs/>
          <w:color w:val="000000"/>
        </w:rPr>
        <w:t>International Journal of Medical Sciences</w:t>
      </w:r>
      <w:r w:rsidRPr="009302F3">
        <w:rPr>
          <w:color w:val="000000"/>
        </w:rPr>
        <w:t xml:space="preserve">, 11(11), pp.1185–1200. </w:t>
      </w:r>
      <w:proofErr w:type="spellStart"/>
      <w:proofErr w:type="gramStart"/>
      <w:r w:rsidRPr="009302F3">
        <w:rPr>
          <w:color w:val="000000"/>
        </w:rPr>
        <w:t>doi:https</w:t>
      </w:r>
      <w:proofErr w:type="spellEnd"/>
      <w:r w:rsidRPr="009302F3">
        <w:rPr>
          <w:color w:val="000000"/>
        </w:rPr>
        <w:t>://doi.org/10.7150/ijms.10001</w:t>
      </w:r>
      <w:r w:rsidR="00776D26">
        <w:rPr>
          <w:color w:val="000000"/>
        </w:rPr>
        <w:t>(Accessed</w:t>
      </w:r>
      <w:proofErr w:type="gramEnd"/>
      <w:r w:rsidR="00776D26">
        <w:rPr>
          <w:color w:val="000000"/>
        </w:rPr>
        <w:t xml:space="preserve"> 20</w:t>
      </w:r>
      <w:r w:rsidR="00776D26" w:rsidRPr="00776D26">
        <w:rPr>
          <w:color w:val="000000"/>
          <w:vertAlign w:val="superscript"/>
        </w:rPr>
        <w:t>th</w:t>
      </w:r>
      <w:r w:rsidR="00776D26">
        <w:rPr>
          <w:color w:val="000000"/>
        </w:rPr>
        <w:t xml:space="preserve"> Feb. 2026).</w:t>
      </w:r>
    </w:p>
    <w:p w14:paraId="5ACBF779" w14:textId="3708F2D3" w:rsidR="001E48C2" w:rsidRDefault="001E48C2" w:rsidP="001E48C2">
      <w:pPr>
        <w:spacing w:after="240" w:line="360" w:lineRule="atLeast"/>
        <w:rPr>
          <w:color w:val="000000"/>
        </w:rPr>
      </w:pPr>
      <w:r w:rsidRPr="001E48C2">
        <w:rPr>
          <w:color w:val="000000"/>
        </w:rPr>
        <w:t xml:space="preserve">Zakir, M., Ahuja, N., </w:t>
      </w:r>
      <w:proofErr w:type="spellStart"/>
      <w:r w:rsidRPr="001E48C2">
        <w:rPr>
          <w:color w:val="000000"/>
        </w:rPr>
        <w:t>Surksha</w:t>
      </w:r>
      <w:proofErr w:type="spellEnd"/>
      <w:r w:rsidRPr="001E48C2">
        <w:rPr>
          <w:color w:val="000000"/>
        </w:rPr>
        <w:t xml:space="preserve">, M.A., Sachdev, R., </w:t>
      </w:r>
      <w:proofErr w:type="spellStart"/>
      <w:r w:rsidRPr="001E48C2">
        <w:rPr>
          <w:color w:val="000000"/>
        </w:rPr>
        <w:t>Kalariya</w:t>
      </w:r>
      <w:proofErr w:type="spellEnd"/>
      <w:r w:rsidRPr="001E48C2">
        <w:rPr>
          <w:color w:val="000000"/>
        </w:rPr>
        <w:t xml:space="preserve">, Y., Nasir, M., Kashif, M., </w:t>
      </w:r>
      <w:proofErr w:type="spellStart"/>
      <w:r w:rsidRPr="001E48C2">
        <w:rPr>
          <w:color w:val="000000"/>
        </w:rPr>
        <w:t>Shahzeen</w:t>
      </w:r>
      <w:proofErr w:type="spellEnd"/>
      <w:r w:rsidRPr="001E48C2">
        <w:rPr>
          <w:color w:val="000000"/>
        </w:rPr>
        <w:t xml:space="preserve">, F., Tayyab, A., Khan, M.S. </w:t>
      </w:r>
      <w:proofErr w:type="spellStart"/>
      <w:r w:rsidRPr="001E48C2">
        <w:rPr>
          <w:color w:val="000000"/>
        </w:rPr>
        <w:t>moazzam</w:t>
      </w:r>
      <w:proofErr w:type="spellEnd"/>
      <w:r w:rsidRPr="001E48C2">
        <w:rPr>
          <w:color w:val="000000"/>
        </w:rPr>
        <w:t xml:space="preserve">, </w:t>
      </w:r>
      <w:proofErr w:type="spellStart"/>
      <w:r w:rsidRPr="001E48C2">
        <w:rPr>
          <w:color w:val="000000"/>
        </w:rPr>
        <w:t>Junejo</w:t>
      </w:r>
      <w:proofErr w:type="spellEnd"/>
      <w:r w:rsidRPr="001E48C2">
        <w:rPr>
          <w:color w:val="000000"/>
        </w:rPr>
        <w:t xml:space="preserve">, M., Manoj Kumar, F., </w:t>
      </w:r>
      <w:proofErr w:type="spellStart"/>
      <w:r w:rsidRPr="001E48C2">
        <w:rPr>
          <w:color w:val="000000"/>
        </w:rPr>
        <w:t>Varrassi</w:t>
      </w:r>
      <w:proofErr w:type="spellEnd"/>
      <w:r w:rsidRPr="001E48C2">
        <w:rPr>
          <w:color w:val="000000"/>
        </w:rPr>
        <w:t>, G., Kumar, S., Khatri, M. and Mohamad, T. (2023). Cardiovascular Complications of Diabetes: from Microvascular to Macrovascular Pathways. </w:t>
      </w:r>
      <w:proofErr w:type="spellStart"/>
      <w:r w:rsidRPr="001E48C2">
        <w:rPr>
          <w:i/>
          <w:iCs/>
          <w:color w:val="000000"/>
        </w:rPr>
        <w:t>Cureus</w:t>
      </w:r>
      <w:proofErr w:type="spellEnd"/>
      <w:r w:rsidRPr="001E48C2">
        <w:rPr>
          <w:color w:val="000000"/>
        </w:rPr>
        <w:t xml:space="preserve">, 15(9). </w:t>
      </w:r>
      <w:proofErr w:type="spellStart"/>
      <w:proofErr w:type="gramStart"/>
      <w:r w:rsidRPr="001E48C2">
        <w:rPr>
          <w:color w:val="000000"/>
        </w:rPr>
        <w:t>doi:https</w:t>
      </w:r>
      <w:proofErr w:type="spellEnd"/>
      <w:r w:rsidRPr="001E48C2">
        <w:rPr>
          <w:color w:val="000000"/>
        </w:rPr>
        <w:t>://doi.org/10.7759/cureus.45835</w:t>
      </w:r>
      <w:r w:rsidR="00776D26">
        <w:rPr>
          <w:color w:val="000000"/>
        </w:rPr>
        <w:t>(Accessed</w:t>
      </w:r>
      <w:proofErr w:type="gramEnd"/>
      <w:r w:rsidR="00776D26">
        <w:rPr>
          <w:color w:val="000000"/>
        </w:rPr>
        <w:t xml:space="preserve"> 18</w:t>
      </w:r>
      <w:r w:rsidR="00776D26" w:rsidRPr="00776D26">
        <w:rPr>
          <w:color w:val="000000"/>
          <w:vertAlign w:val="superscript"/>
        </w:rPr>
        <w:t>th</w:t>
      </w:r>
      <w:r w:rsidR="00776D26">
        <w:rPr>
          <w:color w:val="000000"/>
        </w:rPr>
        <w:t xml:space="preserve"> Jan. 2026).</w:t>
      </w:r>
    </w:p>
    <w:p w14:paraId="4ADE39CB" w14:textId="5F187ED2" w:rsidR="00EE4373" w:rsidRDefault="00EE4373" w:rsidP="00EE4373">
      <w:pPr>
        <w:spacing w:after="240" w:line="360" w:lineRule="atLeast"/>
        <w:rPr>
          <w:color w:val="000000"/>
        </w:rPr>
      </w:pPr>
      <w:r w:rsidRPr="00EE4373">
        <w:rPr>
          <w:color w:val="000000"/>
        </w:rPr>
        <w:t xml:space="preserve">Zhang, J., Zhang, Z., Zhang, K., Ge, X., Sun, R. and </w:t>
      </w:r>
      <w:proofErr w:type="spellStart"/>
      <w:r w:rsidRPr="00EE4373">
        <w:rPr>
          <w:color w:val="000000"/>
        </w:rPr>
        <w:t>Zhai</w:t>
      </w:r>
      <w:proofErr w:type="spellEnd"/>
      <w:r w:rsidRPr="00EE4373">
        <w:rPr>
          <w:color w:val="000000"/>
        </w:rPr>
        <w:t>, X. (2023). Early detection of type 2 diabetes risk: limitations of current diagnostic criteria. </w:t>
      </w:r>
      <w:r w:rsidRPr="00EE4373">
        <w:rPr>
          <w:i/>
          <w:iCs/>
          <w:color w:val="000000"/>
        </w:rPr>
        <w:t>Frontiers in Endocrinology</w:t>
      </w:r>
      <w:r w:rsidRPr="00EE4373">
        <w:rPr>
          <w:color w:val="000000"/>
        </w:rPr>
        <w:t xml:space="preserve">, 14(14). </w:t>
      </w:r>
      <w:proofErr w:type="spellStart"/>
      <w:proofErr w:type="gramStart"/>
      <w:r w:rsidRPr="00EE4373">
        <w:rPr>
          <w:color w:val="000000"/>
        </w:rPr>
        <w:t>doi:https</w:t>
      </w:r>
      <w:proofErr w:type="spellEnd"/>
      <w:r w:rsidRPr="00EE4373">
        <w:rPr>
          <w:color w:val="000000"/>
        </w:rPr>
        <w:t>://doi.org/10.3389/fendo.2023.1260623</w:t>
      </w:r>
      <w:r w:rsidR="00776D26">
        <w:rPr>
          <w:color w:val="000000"/>
        </w:rPr>
        <w:t>(Accessed</w:t>
      </w:r>
      <w:proofErr w:type="gramEnd"/>
      <w:r w:rsidR="00776D26">
        <w:rPr>
          <w:color w:val="000000"/>
        </w:rPr>
        <w:t xml:space="preserve"> 22</w:t>
      </w:r>
      <w:r w:rsidR="00776D26" w:rsidRPr="00776D26">
        <w:rPr>
          <w:color w:val="000000"/>
          <w:vertAlign w:val="superscript"/>
        </w:rPr>
        <w:t>nd</w:t>
      </w:r>
      <w:r w:rsidR="00776D26">
        <w:rPr>
          <w:color w:val="000000"/>
        </w:rPr>
        <w:t xml:space="preserve"> Dec. 2025).</w:t>
      </w:r>
    </w:p>
    <w:p w14:paraId="49C6355A" w14:textId="53F98939" w:rsidR="00C72A80" w:rsidRDefault="00C72A80" w:rsidP="00EE4373">
      <w:pPr>
        <w:spacing w:after="240" w:line="360" w:lineRule="atLeast"/>
        <w:rPr>
          <w:color w:val="000000"/>
        </w:rPr>
      </w:pPr>
    </w:p>
    <w:p w14:paraId="27122D25" w14:textId="7F5AAB52" w:rsidR="00C72A80" w:rsidRDefault="00C72A80" w:rsidP="00EE4373">
      <w:pPr>
        <w:spacing w:after="240" w:line="360" w:lineRule="atLeast"/>
        <w:rPr>
          <w:color w:val="000000"/>
        </w:rPr>
      </w:pPr>
    </w:p>
    <w:p w14:paraId="546B628C" w14:textId="36B07525" w:rsidR="00C72A80" w:rsidRDefault="00C72A80" w:rsidP="00EE4373">
      <w:pPr>
        <w:spacing w:after="240" w:line="360" w:lineRule="atLeast"/>
        <w:rPr>
          <w:color w:val="000000"/>
        </w:rPr>
      </w:pPr>
    </w:p>
    <w:p w14:paraId="2A8ACF94" w14:textId="12884851" w:rsidR="00C72A80" w:rsidRDefault="00C72A80" w:rsidP="00EE4373">
      <w:pPr>
        <w:spacing w:after="240" w:line="360" w:lineRule="atLeast"/>
        <w:rPr>
          <w:color w:val="000000"/>
        </w:rPr>
      </w:pPr>
    </w:p>
    <w:p w14:paraId="114B02BA" w14:textId="05B44F00" w:rsidR="00A86396" w:rsidRDefault="00A86396" w:rsidP="00EE4373">
      <w:pPr>
        <w:spacing w:after="240" w:line="360" w:lineRule="atLeast"/>
        <w:rPr>
          <w:color w:val="000000"/>
        </w:rPr>
      </w:pPr>
    </w:p>
    <w:p w14:paraId="714753AB" w14:textId="77777777" w:rsidR="00A86396" w:rsidRDefault="00A86396" w:rsidP="00EE4373">
      <w:pPr>
        <w:spacing w:after="240" w:line="360" w:lineRule="atLeast"/>
        <w:rPr>
          <w:color w:val="000000"/>
        </w:rPr>
      </w:pPr>
    </w:p>
    <w:p w14:paraId="5CF9B4F4" w14:textId="7B41EE2C" w:rsidR="00C72A80" w:rsidRDefault="00C72A80" w:rsidP="00EE4373">
      <w:pPr>
        <w:spacing w:after="240" w:line="360" w:lineRule="atLeast"/>
        <w:rPr>
          <w:color w:val="000000"/>
        </w:rPr>
      </w:pPr>
    </w:p>
    <w:p w14:paraId="45B98168" w14:textId="77777777" w:rsidR="008A3D91" w:rsidRDefault="008A3D91" w:rsidP="00EE4373">
      <w:pPr>
        <w:spacing w:after="240" w:line="360" w:lineRule="atLeast"/>
        <w:rPr>
          <w:color w:val="000000"/>
        </w:rPr>
      </w:pPr>
    </w:p>
    <w:p w14:paraId="727840AE" w14:textId="37474F49" w:rsidR="00C72A80" w:rsidRPr="000E6EF6" w:rsidRDefault="00C72A80" w:rsidP="00EE4373">
      <w:pPr>
        <w:spacing w:after="240" w:line="360" w:lineRule="atLeast"/>
        <w:rPr>
          <w:rFonts w:ascii="Arial" w:hAnsi="Arial" w:cs="Arial"/>
          <w:b/>
          <w:bCs/>
          <w:color w:val="000000"/>
          <w:sz w:val="22"/>
          <w:szCs w:val="22"/>
        </w:rPr>
      </w:pPr>
      <w:r w:rsidRPr="000E6EF6">
        <w:rPr>
          <w:rFonts w:ascii="Arial" w:hAnsi="Arial" w:cs="Arial"/>
          <w:b/>
          <w:bCs/>
          <w:color w:val="000000"/>
          <w:sz w:val="22"/>
          <w:szCs w:val="22"/>
        </w:rPr>
        <w:t>Appendi</w:t>
      </w:r>
      <w:r w:rsidR="00977B6D" w:rsidRPr="000E6EF6">
        <w:rPr>
          <w:rFonts w:ascii="Arial" w:hAnsi="Arial" w:cs="Arial"/>
          <w:b/>
          <w:bCs/>
          <w:color w:val="000000"/>
          <w:sz w:val="22"/>
          <w:szCs w:val="22"/>
        </w:rPr>
        <w:t>c</w:t>
      </w:r>
      <w:r w:rsidRPr="000E6EF6">
        <w:rPr>
          <w:rFonts w:ascii="Arial" w:hAnsi="Arial" w:cs="Arial"/>
          <w:b/>
          <w:bCs/>
          <w:color w:val="000000"/>
          <w:sz w:val="22"/>
          <w:szCs w:val="22"/>
        </w:rPr>
        <w:t>es</w:t>
      </w:r>
    </w:p>
    <w:p w14:paraId="4A7FF891" w14:textId="41CD5D2F" w:rsidR="00B60EC6" w:rsidRPr="000E6EF6" w:rsidRDefault="00B60EC6" w:rsidP="00EE4373">
      <w:pPr>
        <w:spacing w:after="240" w:line="360" w:lineRule="atLeast"/>
        <w:rPr>
          <w:rFonts w:ascii="Arial" w:hAnsi="Arial" w:cs="Arial"/>
          <w:b/>
          <w:bCs/>
          <w:color w:val="000000"/>
          <w:sz w:val="22"/>
          <w:szCs w:val="22"/>
        </w:rPr>
      </w:pPr>
      <w:r w:rsidRPr="000E6EF6">
        <w:rPr>
          <w:rFonts w:ascii="Arial" w:hAnsi="Arial" w:cs="Arial"/>
          <w:b/>
          <w:bCs/>
          <w:color w:val="000000"/>
          <w:sz w:val="22"/>
          <w:szCs w:val="22"/>
        </w:rPr>
        <w:t>Appendix 1: Search Strategy Table</w:t>
      </w:r>
    </w:p>
    <w:p w14:paraId="7E7C9D5A" w14:textId="11F3BEED" w:rsidR="00B60EC6" w:rsidRPr="000E6EF6" w:rsidRDefault="000E6EF6" w:rsidP="00EE4373">
      <w:pPr>
        <w:spacing w:after="240" w:line="360" w:lineRule="atLeast"/>
        <w:rPr>
          <w:rFonts w:ascii="Arial" w:hAnsi="Arial" w:cs="Arial"/>
          <w:color w:val="000000"/>
          <w:sz w:val="22"/>
          <w:szCs w:val="22"/>
        </w:rPr>
      </w:pPr>
      <w:r>
        <w:rPr>
          <w:rFonts w:ascii="Arial" w:hAnsi="Arial" w:cs="Arial"/>
          <w:color w:val="000000"/>
          <w:sz w:val="22"/>
          <w:szCs w:val="22"/>
        </w:rPr>
        <w:t xml:space="preserve">. </w:t>
      </w:r>
      <w:r w:rsidR="00B60EC6" w:rsidRPr="000E6EF6">
        <w:rPr>
          <w:rFonts w:ascii="Arial" w:hAnsi="Arial" w:cs="Arial"/>
          <w:color w:val="000000"/>
          <w:sz w:val="22"/>
          <w:szCs w:val="22"/>
        </w:rPr>
        <w:t>Keywords</w:t>
      </w:r>
      <w:r w:rsidR="0036536C" w:rsidRPr="000E6EF6">
        <w:rPr>
          <w:rFonts w:ascii="Arial" w:hAnsi="Arial" w:cs="Arial"/>
          <w:color w:val="000000"/>
          <w:sz w:val="22"/>
          <w:szCs w:val="22"/>
        </w:rPr>
        <w:t xml:space="preserve">: </w:t>
      </w:r>
      <w:r w:rsidR="00B60EC6" w:rsidRPr="000E6EF6">
        <w:rPr>
          <w:rFonts w:ascii="Arial" w:hAnsi="Arial" w:cs="Arial"/>
          <w:color w:val="000000"/>
          <w:sz w:val="22"/>
          <w:szCs w:val="22"/>
        </w:rPr>
        <w:t>“Type 2 diabetes”, “prevalence”, “risk factors”, “management”, “UK adults”</w:t>
      </w:r>
    </w:p>
    <w:p w14:paraId="096D7862" w14:textId="7245F8C3" w:rsidR="0036536C" w:rsidRPr="000E6EF6" w:rsidRDefault="000E6EF6" w:rsidP="00EE4373">
      <w:pPr>
        <w:spacing w:after="240" w:line="360" w:lineRule="atLeast"/>
        <w:rPr>
          <w:rFonts w:ascii="Arial" w:hAnsi="Arial" w:cs="Arial"/>
          <w:color w:val="000000"/>
          <w:sz w:val="22"/>
          <w:szCs w:val="22"/>
        </w:rPr>
      </w:pPr>
      <w:r>
        <w:rPr>
          <w:rFonts w:ascii="Arial" w:hAnsi="Arial" w:cs="Arial"/>
          <w:color w:val="000000"/>
          <w:sz w:val="22"/>
          <w:szCs w:val="22"/>
        </w:rPr>
        <w:t xml:space="preserve">. </w:t>
      </w:r>
      <w:r w:rsidR="0036536C" w:rsidRPr="000E6EF6">
        <w:rPr>
          <w:rFonts w:ascii="Arial" w:hAnsi="Arial" w:cs="Arial"/>
          <w:color w:val="000000"/>
          <w:sz w:val="22"/>
          <w:szCs w:val="22"/>
        </w:rPr>
        <w:t>Databases: Google Scholar, PubMed</w:t>
      </w:r>
      <w:r w:rsidR="00082300" w:rsidRPr="000E6EF6">
        <w:rPr>
          <w:rFonts w:ascii="Arial" w:hAnsi="Arial" w:cs="Arial"/>
          <w:color w:val="000000"/>
          <w:sz w:val="22"/>
          <w:szCs w:val="22"/>
        </w:rPr>
        <w:t>, ScienceDirect, UWTSD Library</w:t>
      </w:r>
    </w:p>
    <w:p w14:paraId="758F466E" w14:textId="2298D626" w:rsidR="00082300" w:rsidRPr="000E6EF6" w:rsidRDefault="000E6EF6" w:rsidP="00EE4373">
      <w:pPr>
        <w:spacing w:after="240" w:line="360" w:lineRule="atLeast"/>
        <w:rPr>
          <w:rFonts w:ascii="Arial" w:hAnsi="Arial" w:cs="Arial"/>
          <w:color w:val="000000"/>
          <w:sz w:val="22"/>
          <w:szCs w:val="22"/>
        </w:rPr>
      </w:pPr>
      <w:r>
        <w:rPr>
          <w:rFonts w:ascii="Arial" w:hAnsi="Arial" w:cs="Arial"/>
          <w:color w:val="000000"/>
          <w:sz w:val="22"/>
          <w:szCs w:val="22"/>
        </w:rPr>
        <w:t xml:space="preserve">. </w:t>
      </w:r>
      <w:r w:rsidR="00082300" w:rsidRPr="000E6EF6">
        <w:rPr>
          <w:rFonts w:ascii="Arial" w:hAnsi="Arial" w:cs="Arial"/>
          <w:color w:val="000000"/>
          <w:sz w:val="22"/>
          <w:szCs w:val="22"/>
        </w:rPr>
        <w:t>Filters: Last 10 years, English, peer-reviewed</w:t>
      </w:r>
    </w:p>
    <w:p w14:paraId="0E315DEE" w14:textId="7749E808" w:rsidR="000E6EF6" w:rsidRDefault="000E6EF6" w:rsidP="00EE4373">
      <w:pPr>
        <w:spacing w:after="240" w:line="360" w:lineRule="atLeast"/>
        <w:rPr>
          <w:rFonts w:ascii="Arial" w:hAnsi="Arial" w:cs="Arial"/>
          <w:b/>
          <w:bCs/>
          <w:color w:val="000000"/>
          <w:sz w:val="22"/>
          <w:szCs w:val="22"/>
        </w:rPr>
      </w:pPr>
      <w:r w:rsidRPr="000E6EF6">
        <w:rPr>
          <w:rFonts w:ascii="Arial" w:hAnsi="Arial" w:cs="Arial"/>
          <w:b/>
          <w:bCs/>
          <w:color w:val="000000"/>
          <w:sz w:val="22"/>
          <w:szCs w:val="22"/>
        </w:rPr>
        <w:t>Appendix 2: Inclusion and Exclusion Criteria</w:t>
      </w:r>
    </w:p>
    <w:p w14:paraId="6957715E" w14:textId="7FB88028" w:rsidR="000E6EF6" w:rsidRPr="000E6EF6" w:rsidRDefault="000E6EF6" w:rsidP="00EE4373">
      <w:pPr>
        <w:spacing w:after="240" w:line="360" w:lineRule="atLeast"/>
        <w:rPr>
          <w:rFonts w:ascii="Arial" w:hAnsi="Arial" w:cs="Arial"/>
          <w:b/>
          <w:bCs/>
          <w:color w:val="000000"/>
          <w:sz w:val="22"/>
          <w:szCs w:val="22"/>
        </w:rPr>
      </w:pPr>
      <w:r w:rsidRPr="000E6EF6">
        <w:rPr>
          <w:rFonts w:ascii="Arial" w:hAnsi="Arial" w:cs="Arial"/>
          <w:b/>
          <w:bCs/>
          <w:color w:val="000000"/>
          <w:sz w:val="22"/>
          <w:szCs w:val="22"/>
        </w:rPr>
        <w:t>Inclusion:</w:t>
      </w:r>
    </w:p>
    <w:p w14:paraId="6419718B" w14:textId="54C06B78" w:rsidR="000E6EF6" w:rsidRDefault="000E6EF6" w:rsidP="00EE4373">
      <w:pPr>
        <w:spacing w:after="240" w:line="360" w:lineRule="atLeast"/>
        <w:rPr>
          <w:rFonts w:ascii="Arial" w:hAnsi="Arial" w:cs="Arial"/>
          <w:color w:val="000000"/>
          <w:sz w:val="22"/>
          <w:szCs w:val="22"/>
        </w:rPr>
      </w:pPr>
      <w:r>
        <w:rPr>
          <w:rFonts w:ascii="Arial" w:hAnsi="Arial" w:cs="Arial"/>
          <w:color w:val="000000"/>
          <w:sz w:val="22"/>
          <w:szCs w:val="22"/>
        </w:rPr>
        <w:t>. Peer-reviewed articles</w:t>
      </w:r>
    </w:p>
    <w:p w14:paraId="74E7BCBF" w14:textId="5C5C2B26" w:rsidR="000E6EF6" w:rsidRDefault="000E6EF6" w:rsidP="00EE4373">
      <w:pPr>
        <w:spacing w:after="240" w:line="360" w:lineRule="atLeast"/>
        <w:rPr>
          <w:rFonts w:ascii="Arial" w:hAnsi="Arial" w:cs="Arial"/>
          <w:color w:val="000000"/>
          <w:sz w:val="22"/>
          <w:szCs w:val="22"/>
        </w:rPr>
      </w:pPr>
      <w:r>
        <w:rPr>
          <w:rFonts w:ascii="Arial" w:hAnsi="Arial" w:cs="Arial"/>
          <w:color w:val="000000"/>
          <w:sz w:val="22"/>
          <w:szCs w:val="22"/>
        </w:rPr>
        <w:t>. UK-focused studies</w:t>
      </w:r>
    </w:p>
    <w:p w14:paraId="56F030C0" w14:textId="74B2881E" w:rsidR="000E6EF6" w:rsidRDefault="000E6EF6" w:rsidP="00EE4373">
      <w:pPr>
        <w:spacing w:after="240" w:line="360" w:lineRule="atLeast"/>
        <w:rPr>
          <w:rFonts w:ascii="Arial" w:hAnsi="Arial" w:cs="Arial"/>
          <w:color w:val="000000"/>
          <w:sz w:val="22"/>
          <w:szCs w:val="22"/>
        </w:rPr>
      </w:pPr>
      <w:r>
        <w:rPr>
          <w:rFonts w:ascii="Arial" w:hAnsi="Arial" w:cs="Arial"/>
          <w:color w:val="000000"/>
          <w:sz w:val="22"/>
          <w:szCs w:val="22"/>
        </w:rPr>
        <w:t>. Published within the last 10 years</w:t>
      </w:r>
    </w:p>
    <w:p w14:paraId="001CEB3A" w14:textId="01B945ED" w:rsidR="000E6EF6" w:rsidRDefault="000E6EF6" w:rsidP="00EE4373">
      <w:pPr>
        <w:spacing w:after="240" w:line="360" w:lineRule="atLeast"/>
        <w:rPr>
          <w:rFonts w:ascii="Arial" w:hAnsi="Arial" w:cs="Arial"/>
          <w:b/>
          <w:bCs/>
          <w:color w:val="000000"/>
          <w:sz w:val="22"/>
          <w:szCs w:val="22"/>
        </w:rPr>
      </w:pPr>
      <w:r w:rsidRPr="000E6EF6">
        <w:rPr>
          <w:rFonts w:ascii="Arial" w:hAnsi="Arial" w:cs="Arial"/>
          <w:b/>
          <w:bCs/>
          <w:color w:val="000000"/>
          <w:sz w:val="22"/>
          <w:szCs w:val="22"/>
        </w:rPr>
        <w:t>Exclusion:</w:t>
      </w:r>
    </w:p>
    <w:p w14:paraId="3BBC3F35" w14:textId="79B012D0" w:rsidR="000E6EF6" w:rsidRDefault="000E6EF6" w:rsidP="00EE4373">
      <w:pPr>
        <w:spacing w:after="240" w:line="360" w:lineRule="atLeast"/>
        <w:rPr>
          <w:rFonts w:ascii="Arial" w:hAnsi="Arial" w:cs="Arial"/>
          <w:color w:val="000000"/>
          <w:sz w:val="22"/>
          <w:szCs w:val="22"/>
        </w:rPr>
      </w:pPr>
      <w:r w:rsidRPr="000E6EF6">
        <w:rPr>
          <w:rFonts w:ascii="Arial" w:hAnsi="Arial" w:cs="Arial"/>
          <w:color w:val="000000"/>
          <w:sz w:val="22"/>
          <w:szCs w:val="22"/>
        </w:rPr>
        <w:t>. Non</w:t>
      </w:r>
      <w:r>
        <w:rPr>
          <w:rFonts w:ascii="Arial" w:hAnsi="Arial" w:cs="Arial"/>
          <w:color w:val="000000"/>
          <w:sz w:val="22"/>
          <w:szCs w:val="22"/>
        </w:rPr>
        <w:t>-academic sources</w:t>
      </w:r>
    </w:p>
    <w:p w14:paraId="72CEABA6" w14:textId="06A45C3A" w:rsidR="000E6EF6" w:rsidRDefault="000E6EF6" w:rsidP="00EE4373">
      <w:pPr>
        <w:spacing w:after="240" w:line="360" w:lineRule="atLeast"/>
        <w:rPr>
          <w:rFonts w:ascii="Arial" w:hAnsi="Arial" w:cs="Arial"/>
          <w:color w:val="000000"/>
          <w:sz w:val="22"/>
          <w:szCs w:val="22"/>
        </w:rPr>
      </w:pPr>
      <w:r>
        <w:rPr>
          <w:rFonts w:ascii="Arial" w:hAnsi="Arial" w:cs="Arial"/>
          <w:color w:val="000000"/>
          <w:sz w:val="22"/>
          <w:szCs w:val="22"/>
        </w:rPr>
        <w:t>. Type 1 diabetes studies</w:t>
      </w:r>
    </w:p>
    <w:p w14:paraId="6A72C993" w14:textId="3A1D6FC0" w:rsidR="0057266E" w:rsidRDefault="0057266E" w:rsidP="00EE4373">
      <w:pPr>
        <w:spacing w:after="240" w:line="360" w:lineRule="atLeast"/>
        <w:rPr>
          <w:rFonts w:ascii="Arial" w:hAnsi="Arial" w:cs="Arial"/>
          <w:color w:val="000000"/>
          <w:sz w:val="22"/>
          <w:szCs w:val="22"/>
        </w:rPr>
      </w:pPr>
      <w:r>
        <w:rPr>
          <w:rFonts w:ascii="Arial" w:hAnsi="Arial" w:cs="Arial"/>
          <w:color w:val="000000"/>
          <w:sz w:val="22"/>
          <w:szCs w:val="22"/>
        </w:rPr>
        <w:t>. Paediatric populations</w:t>
      </w:r>
    </w:p>
    <w:p w14:paraId="1654EA0D" w14:textId="27FAB9AF" w:rsidR="0057266E" w:rsidRDefault="0057266E" w:rsidP="00EE4373">
      <w:pPr>
        <w:spacing w:after="240" w:line="360" w:lineRule="atLeast"/>
        <w:rPr>
          <w:rFonts w:ascii="Arial" w:hAnsi="Arial" w:cs="Arial"/>
          <w:b/>
          <w:bCs/>
          <w:color w:val="000000"/>
          <w:sz w:val="22"/>
          <w:szCs w:val="22"/>
        </w:rPr>
      </w:pPr>
      <w:r w:rsidRPr="0057266E">
        <w:rPr>
          <w:rFonts w:ascii="Arial" w:hAnsi="Arial" w:cs="Arial"/>
          <w:b/>
          <w:bCs/>
          <w:color w:val="000000"/>
          <w:sz w:val="22"/>
          <w:szCs w:val="22"/>
        </w:rPr>
        <w:t>Appendix 3: CRAAP Framework</w:t>
      </w:r>
    </w:p>
    <w:p w14:paraId="58B249D6" w14:textId="2AA4949B" w:rsidR="0057266E" w:rsidRDefault="0057266E" w:rsidP="00EE4373">
      <w:pPr>
        <w:spacing w:after="240" w:line="360" w:lineRule="atLeast"/>
        <w:rPr>
          <w:rFonts w:ascii="Arial" w:hAnsi="Arial" w:cs="Arial"/>
          <w:color w:val="000000"/>
          <w:sz w:val="22"/>
          <w:szCs w:val="22"/>
        </w:rPr>
      </w:pPr>
      <w:r>
        <w:rPr>
          <w:rFonts w:ascii="Arial" w:hAnsi="Arial" w:cs="Arial"/>
          <w:color w:val="000000"/>
          <w:sz w:val="22"/>
          <w:szCs w:val="22"/>
        </w:rPr>
        <w:t>. Currency</w:t>
      </w:r>
    </w:p>
    <w:p w14:paraId="06E5D8C0" w14:textId="57EBC322" w:rsidR="0057266E" w:rsidRDefault="0057266E" w:rsidP="00EE4373">
      <w:pPr>
        <w:spacing w:after="240" w:line="360" w:lineRule="atLeast"/>
        <w:rPr>
          <w:rFonts w:ascii="Arial" w:hAnsi="Arial" w:cs="Arial"/>
          <w:color w:val="000000"/>
          <w:sz w:val="22"/>
          <w:szCs w:val="22"/>
        </w:rPr>
      </w:pPr>
      <w:r>
        <w:rPr>
          <w:rFonts w:ascii="Arial" w:hAnsi="Arial" w:cs="Arial"/>
          <w:color w:val="000000"/>
          <w:sz w:val="22"/>
          <w:szCs w:val="22"/>
        </w:rPr>
        <w:t xml:space="preserve">. Relevance </w:t>
      </w:r>
    </w:p>
    <w:p w14:paraId="0AA9D69B" w14:textId="3AE46D43" w:rsidR="0057266E" w:rsidRDefault="0057266E" w:rsidP="00EE4373">
      <w:pPr>
        <w:spacing w:after="240" w:line="360" w:lineRule="atLeast"/>
        <w:rPr>
          <w:rFonts w:ascii="Arial" w:hAnsi="Arial" w:cs="Arial"/>
          <w:color w:val="000000"/>
          <w:sz w:val="22"/>
          <w:szCs w:val="22"/>
        </w:rPr>
      </w:pPr>
      <w:r>
        <w:rPr>
          <w:rFonts w:ascii="Arial" w:hAnsi="Arial" w:cs="Arial"/>
          <w:color w:val="000000"/>
          <w:sz w:val="22"/>
          <w:szCs w:val="22"/>
        </w:rPr>
        <w:t>. Authority</w:t>
      </w:r>
    </w:p>
    <w:p w14:paraId="68407409" w14:textId="51D6DF71" w:rsidR="0057266E" w:rsidRDefault="0057266E" w:rsidP="00EE4373">
      <w:pPr>
        <w:spacing w:after="240" w:line="360" w:lineRule="atLeast"/>
        <w:rPr>
          <w:rFonts w:ascii="Arial" w:hAnsi="Arial" w:cs="Arial"/>
          <w:color w:val="000000"/>
          <w:sz w:val="22"/>
          <w:szCs w:val="22"/>
        </w:rPr>
      </w:pPr>
      <w:r>
        <w:rPr>
          <w:rFonts w:ascii="Arial" w:hAnsi="Arial" w:cs="Arial"/>
          <w:color w:val="000000"/>
          <w:sz w:val="22"/>
          <w:szCs w:val="22"/>
        </w:rPr>
        <w:t>. Accuracy</w:t>
      </w:r>
    </w:p>
    <w:p w14:paraId="3B46D88E" w14:textId="2B5DE143" w:rsidR="0057266E" w:rsidRDefault="0057266E" w:rsidP="00EE4373">
      <w:pPr>
        <w:spacing w:after="240" w:line="360" w:lineRule="atLeast"/>
        <w:rPr>
          <w:rFonts w:ascii="Arial" w:hAnsi="Arial" w:cs="Arial"/>
          <w:color w:val="000000"/>
          <w:sz w:val="22"/>
          <w:szCs w:val="22"/>
        </w:rPr>
      </w:pPr>
      <w:r>
        <w:rPr>
          <w:rFonts w:ascii="Arial" w:hAnsi="Arial" w:cs="Arial"/>
          <w:color w:val="000000"/>
          <w:sz w:val="22"/>
          <w:szCs w:val="22"/>
        </w:rPr>
        <w:t xml:space="preserve">. Purpose </w:t>
      </w:r>
    </w:p>
    <w:p w14:paraId="3E270EEE" w14:textId="2E0FFF3D" w:rsidR="00341F65" w:rsidRDefault="00341F65" w:rsidP="00EE4373">
      <w:pPr>
        <w:spacing w:after="240" w:line="360" w:lineRule="atLeast"/>
        <w:rPr>
          <w:rFonts w:ascii="Arial" w:hAnsi="Arial" w:cs="Arial"/>
          <w:b/>
          <w:bCs/>
          <w:color w:val="000000"/>
          <w:sz w:val="22"/>
          <w:szCs w:val="22"/>
        </w:rPr>
      </w:pPr>
      <w:r w:rsidRPr="00341F65">
        <w:rPr>
          <w:rFonts w:ascii="Arial" w:hAnsi="Arial" w:cs="Arial"/>
          <w:b/>
          <w:bCs/>
          <w:color w:val="000000"/>
          <w:sz w:val="22"/>
          <w:szCs w:val="22"/>
        </w:rPr>
        <w:lastRenderedPageBreak/>
        <w:t>Appendix 4: Thematic Coding Framework</w:t>
      </w:r>
    </w:p>
    <w:p w14:paraId="36BF9829" w14:textId="0A045506" w:rsidR="00341F65" w:rsidRDefault="00341F65" w:rsidP="00EE4373">
      <w:pPr>
        <w:spacing w:after="240" w:line="360" w:lineRule="atLeast"/>
        <w:rPr>
          <w:rFonts w:ascii="Arial" w:hAnsi="Arial" w:cs="Arial"/>
          <w:color w:val="000000"/>
          <w:sz w:val="22"/>
          <w:szCs w:val="22"/>
        </w:rPr>
      </w:pPr>
      <w:r>
        <w:rPr>
          <w:rFonts w:ascii="Arial" w:hAnsi="Arial" w:cs="Arial"/>
          <w:color w:val="000000"/>
          <w:sz w:val="22"/>
          <w:szCs w:val="22"/>
        </w:rPr>
        <w:t>Themes identified:</w:t>
      </w:r>
    </w:p>
    <w:p w14:paraId="633E80CC" w14:textId="56768054" w:rsidR="00341F65" w:rsidRDefault="00341F65" w:rsidP="00EE4373">
      <w:pPr>
        <w:spacing w:after="240" w:line="360" w:lineRule="atLeast"/>
        <w:rPr>
          <w:rFonts w:ascii="Arial" w:hAnsi="Arial" w:cs="Arial"/>
          <w:color w:val="000000"/>
          <w:sz w:val="22"/>
          <w:szCs w:val="22"/>
        </w:rPr>
      </w:pPr>
      <w:r>
        <w:rPr>
          <w:rFonts w:ascii="Arial" w:hAnsi="Arial" w:cs="Arial"/>
          <w:color w:val="000000"/>
          <w:sz w:val="22"/>
          <w:szCs w:val="22"/>
        </w:rPr>
        <w:t>. Prevalence</w:t>
      </w:r>
    </w:p>
    <w:p w14:paraId="1B2601AA" w14:textId="3B3D06C5" w:rsidR="00341F65" w:rsidRDefault="00341F65" w:rsidP="00EE4373">
      <w:pPr>
        <w:spacing w:after="240" w:line="360" w:lineRule="atLeast"/>
        <w:rPr>
          <w:rFonts w:ascii="Arial" w:hAnsi="Arial" w:cs="Arial"/>
          <w:color w:val="000000"/>
          <w:sz w:val="22"/>
          <w:szCs w:val="22"/>
        </w:rPr>
      </w:pPr>
      <w:r>
        <w:rPr>
          <w:rFonts w:ascii="Arial" w:hAnsi="Arial" w:cs="Arial"/>
          <w:color w:val="000000"/>
          <w:sz w:val="22"/>
          <w:szCs w:val="22"/>
        </w:rPr>
        <w:t>. Risk factors</w:t>
      </w:r>
    </w:p>
    <w:p w14:paraId="2F398CF5" w14:textId="6DF20B48" w:rsidR="00341F65" w:rsidRPr="00341F65" w:rsidRDefault="00341F65" w:rsidP="00EE4373">
      <w:pPr>
        <w:spacing w:after="240" w:line="360" w:lineRule="atLeast"/>
        <w:rPr>
          <w:rFonts w:ascii="Arial" w:hAnsi="Arial" w:cs="Arial"/>
          <w:color w:val="000000"/>
          <w:sz w:val="22"/>
          <w:szCs w:val="22"/>
        </w:rPr>
      </w:pPr>
      <w:r>
        <w:rPr>
          <w:rFonts w:ascii="Arial" w:hAnsi="Arial" w:cs="Arial"/>
          <w:color w:val="000000"/>
          <w:sz w:val="22"/>
          <w:szCs w:val="22"/>
        </w:rPr>
        <w:t>. Management Strategies</w:t>
      </w:r>
    </w:p>
    <w:p w14:paraId="714166D5" w14:textId="77777777" w:rsidR="00EE4373" w:rsidRPr="001E48C2" w:rsidRDefault="00EE4373" w:rsidP="001E48C2">
      <w:pPr>
        <w:spacing w:after="240" w:line="360" w:lineRule="atLeast"/>
        <w:rPr>
          <w:color w:val="000000"/>
        </w:rPr>
      </w:pPr>
    </w:p>
    <w:p w14:paraId="7CDDD014" w14:textId="77777777" w:rsidR="001E48C2" w:rsidRPr="009302F3" w:rsidRDefault="001E48C2" w:rsidP="009302F3">
      <w:pPr>
        <w:spacing w:after="240" w:line="360" w:lineRule="atLeast"/>
        <w:rPr>
          <w:color w:val="000000"/>
        </w:rPr>
      </w:pPr>
    </w:p>
    <w:p w14:paraId="17F57D3C" w14:textId="77777777" w:rsidR="009302F3" w:rsidRDefault="009302F3" w:rsidP="005D1C0F">
      <w:pPr>
        <w:pStyle w:val="NormalWeb"/>
        <w:spacing w:before="0" w:beforeAutospacing="0" w:after="240" w:afterAutospacing="0" w:line="360" w:lineRule="atLeast"/>
        <w:rPr>
          <w:color w:val="000000"/>
        </w:rPr>
      </w:pPr>
    </w:p>
    <w:p w14:paraId="6C5277C9" w14:textId="77777777" w:rsidR="005D1C0F" w:rsidRDefault="005D1C0F" w:rsidP="005D6EEC">
      <w:pPr>
        <w:pStyle w:val="NormalWeb"/>
        <w:spacing w:before="0" w:beforeAutospacing="0" w:after="240" w:afterAutospacing="0" w:line="360" w:lineRule="atLeast"/>
        <w:rPr>
          <w:color w:val="000000"/>
        </w:rPr>
      </w:pPr>
    </w:p>
    <w:p w14:paraId="6702A2FF" w14:textId="77777777" w:rsidR="00CC3D52" w:rsidRPr="00EE13B9" w:rsidRDefault="00CC3D52" w:rsidP="001B055C">
      <w:pPr>
        <w:spacing w:line="360" w:lineRule="auto"/>
        <w:rPr>
          <w:rFonts w:ascii="Arial" w:hAnsi="Arial" w:cs="Arial"/>
          <w:b/>
          <w:bCs/>
          <w:sz w:val="28"/>
          <w:szCs w:val="28"/>
        </w:rPr>
      </w:pPr>
    </w:p>
    <w:p w14:paraId="1196AD78" w14:textId="3CDFEB86" w:rsidR="001B055C" w:rsidRDefault="001B055C" w:rsidP="001B055C">
      <w:pPr>
        <w:pStyle w:val="ListParagraph"/>
        <w:ind w:left="360"/>
      </w:pPr>
    </w:p>
    <w:sectPr w:rsidR="001B05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tos">
    <w:altName w:val="Calibri"/>
    <w:panose1 w:val="020B0604020202020204"/>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2FF" w:usb1="420024FF"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B53000"/>
    <w:multiLevelType w:val="hybridMultilevel"/>
    <w:tmpl w:val="365844A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455C8F"/>
    <w:multiLevelType w:val="multilevel"/>
    <w:tmpl w:val="4C9EDA0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9718DF"/>
    <w:multiLevelType w:val="hybridMultilevel"/>
    <w:tmpl w:val="B6B24D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630AB5"/>
    <w:multiLevelType w:val="multilevel"/>
    <w:tmpl w:val="EE40D5C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0"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9"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1"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6"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2"/>
  </w:num>
  <w:num w:numId="3">
    <w:abstractNumId w:val="11"/>
  </w:num>
  <w:num w:numId="4">
    <w:abstractNumId w:val="19"/>
  </w:num>
  <w:num w:numId="5">
    <w:abstractNumId w:val="30"/>
  </w:num>
  <w:num w:numId="6">
    <w:abstractNumId w:val="14"/>
  </w:num>
  <w:num w:numId="7">
    <w:abstractNumId w:val="28"/>
  </w:num>
  <w:num w:numId="8">
    <w:abstractNumId w:val="35"/>
  </w:num>
  <w:num w:numId="9">
    <w:abstractNumId w:val="33"/>
  </w:num>
  <w:num w:numId="10">
    <w:abstractNumId w:val="10"/>
  </w:num>
  <w:num w:numId="11">
    <w:abstractNumId w:val="24"/>
  </w:num>
  <w:num w:numId="12">
    <w:abstractNumId w:val="27"/>
  </w:num>
  <w:num w:numId="13">
    <w:abstractNumId w:val="5"/>
  </w:num>
  <w:num w:numId="14">
    <w:abstractNumId w:val="9"/>
  </w:num>
  <w:num w:numId="15">
    <w:abstractNumId w:val="18"/>
  </w:num>
  <w:num w:numId="16">
    <w:abstractNumId w:val="12"/>
  </w:num>
  <w:num w:numId="17">
    <w:abstractNumId w:val="31"/>
  </w:num>
  <w:num w:numId="18">
    <w:abstractNumId w:val="17"/>
  </w:num>
  <w:num w:numId="19">
    <w:abstractNumId w:val="6"/>
  </w:num>
  <w:num w:numId="20">
    <w:abstractNumId w:val="20"/>
  </w:num>
  <w:num w:numId="21">
    <w:abstractNumId w:val="23"/>
  </w:num>
  <w:num w:numId="22">
    <w:abstractNumId w:val="25"/>
  </w:num>
  <w:num w:numId="23">
    <w:abstractNumId w:val="13"/>
  </w:num>
  <w:num w:numId="24">
    <w:abstractNumId w:val="3"/>
  </w:num>
  <w:num w:numId="25">
    <w:abstractNumId w:val="22"/>
  </w:num>
  <w:num w:numId="26">
    <w:abstractNumId w:val="1"/>
  </w:num>
  <w:num w:numId="27">
    <w:abstractNumId w:val="26"/>
  </w:num>
  <w:num w:numId="28">
    <w:abstractNumId w:val="0"/>
  </w:num>
  <w:num w:numId="29">
    <w:abstractNumId w:val="4"/>
  </w:num>
  <w:num w:numId="30">
    <w:abstractNumId w:val="21"/>
  </w:num>
  <w:num w:numId="31">
    <w:abstractNumId w:val="15"/>
  </w:num>
  <w:num w:numId="32">
    <w:abstractNumId w:val="29"/>
  </w:num>
  <w:num w:numId="33">
    <w:abstractNumId w:val="37"/>
  </w:num>
  <w:num w:numId="34">
    <w:abstractNumId w:val="36"/>
  </w:num>
  <w:num w:numId="35">
    <w:abstractNumId w:val="32"/>
  </w:num>
  <w:num w:numId="36">
    <w:abstractNumId w:val="34"/>
  </w:num>
  <w:num w:numId="37">
    <w:abstractNumId w:val="8"/>
  </w:num>
  <w:num w:numId="3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C56"/>
    <w:rsid w:val="000129EE"/>
    <w:rsid w:val="00015022"/>
    <w:rsid w:val="00016F6F"/>
    <w:rsid w:val="00022A0B"/>
    <w:rsid w:val="00023108"/>
    <w:rsid w:val="00035EEF"/>
    <w:rsid w:val="000369C7"/>
    <w:rsid w:val="00037342"/>
    <w:rsid w:val="00040AAE"/>
    <w:rsid w:val="000416C7"/>
    <w:rsid w:val="00041B0B"/>
    <w:rsid w:val="00045DA2"/>
    <w:rsid w:val="000510A8"/>
    <w:rsid w:val="00055EF2"/>
    <w:rsid w:val="00064B08"/>
    <w:rsid w:val="00064D63"/>
    <w:rsid w:val="00065798"/>
    <w:rsid w:val="00082300"/>
    <w:rsid w:val="00086967"/>
    <w:rsid w:val="000A03D2"/>
    <w:rsid w:val="000A17BC"/>
    <w:rsid w:val="000A5243"/>
    <w:rsid w:val="000A7F70"/>
    <w:rsid w:val="000C21A6"/>
    <w:rsid w:val="000C4494"/>
    <w:rsid w:val="000C7F47"/>
    <w:rsid w:val="000D0325"/>
    <w:rsid w:val="000D1A74"/>
    <w:rsid w:val="000D5178"/>
    <w:rsid w:val="000D6AFC"/>
    <w:rsid w:val="000E25E3"/>
    <w:rsid w:val="000E348F"/>
    <w:rsid w:val="000E6EF6"/>
    <w:rsid w:val="000F6E50"/>
    <w:rsid w:val="000F79B1"/>
    <w:rsid w:val="00112A83"/>
    <w:rsid w:val="00122C40"/>
    <w:rsid w:val="001331BF"/>
    <w:rsid w:val="0015246F"/>
    <w:rsid w:val="00174E8D"/>
    <w:rsid w:val="001B055C"/>
    <w:rsid w:val="001B2E76"/>
    <w:rsid w:val="001B38A8"/>
    <w:rsid w:val="001C34F5"/>
    <w:rsid w:val="001C701D"/>
    <w:rsid w:val="001C7347"/>
    <w:rsid w:val="001D77D2"/>
    <w:rsid w:val="001E08F2"/>
    <w:rsid w:val="001E3398"/>
    <w:rsid w:val="001E48C2"/>
    <w:rsid w:val="001E6860"/>
    <w:rsid w:val="00204038"/>
    <w:rsid w:val="00205DB7"/>
    <w:rsid w:val="00212A46"/>
    <w:rsid w:val="00226788"/>
    <w:rsid w:val="00227B08"/>
    <w:rsid w:val="00230508"/>
    <w:rsid w:val="00243767"/>
    <w:rsid w:val="00253682"/>
    <w:rsid w:val="00263303"/>
    <w:rsid w:val="00265409"/>
    <w:rsid w:val="00267283"/>
    <w:rsid w:val="00267FB5"/>
    <w:rsid w:val="002848AB"/>
    <w:rsid w:val="00297640"/>
    <w:rsid w:val="002A2117"/>
    <w:rsid w:val="002A6C4F"/>
    <w:rsid w:val="002B57D6"/>
    <w:rsid w:val="002B7685"/>
    <w:rsid w:val="002C0BD1"/>
    <w:rsid w:val="002C0EAB"/>
    <w:rsid w:val="002F0B35"/>
    <w:rsid w:val="002F66B8"/>
    <w:rsid w:val="003016EE"/>
    <w:rsid w:val="00304140"/>
    <w:rsid w:val="003045FF"/>
    <w:rsid w:val="0031157E"/>
    <w:rsid w:val="00317206"/>
    <w:rsid w:val="00317DAC"/>
    <w:rsid w:val="00320716"/>
    <w:rsid w:val="003216E8"/>
    <w:rsid w:val="00321D46"/>
    <w:rsid w:val="003330C8"/>
    <w:rsid w:val="00341ED0"/>
    <w:rsid w:val="00341F65"/>
    <w:rsid w:val="003458DD"/>
    <w:rsid w:val="00345ECB"/>
    <w:rsid w:val="00353E1A"/>
    <w:rsid w:val="003646DE"/>
    <w:rsid w:val="0036536C"/>
    <w:rsid w:val="00366C0D"/>
    <w:rsid w:val="00385118"/>
    <w:rsid w:val="00392095"/>
    <w:rsid w:val="003B0D19"/>
    <w:rsid w:val="003B137E"/>
    <w:rsid w:val="003B503B"/>
    <w:rsid w:val="003B7151"/>
    <w:rsid w:val="003C2D4E"/>
    <w:rsid w:val="003E495D"/>
    <w:rsid w:val="003F02BF"/>
    <w:rsid w:val="003F0316"/>
    <w:rsid w:val="003F0DB8"/>
    <w:rsid w:val="003F70C9"/>
    <w:rsid w:val="0040081B"/>
    <w:rsid w:val="00400A32"/>
    <w:rsid w:val="00401261"/>
    <w:rsid w:val="0040739A"/>
    <w:rsid w:val="00411DF3"/>
    <w:rsid w:val="00411EA7"/>
    <w:rsid w:val="00412A1F"/>
    <w:rsid w:val="00420404"/>
    <w:rsid w:val="00420763"/>
    <w:rsid w:val="00420791"/>
    <w:rsid w:val="0042470E"/>
    <w:rsid w:val="00427C44"/>
    <w:rsid w:val="00431063"/>
    <w:rsid w:val="00437873"/>
    <w:rsid w:val="004436F4"/>
    <w:rsid w:val="00447029"/>
    <w:rsid w:val="00450917"/>
    <w:rsid w:val="00452D1F"/>
    <w:rsid w:val="00461378"/>
    <w:rsid w:val="00462A79"/>
    <w:rsid w:val="00463AE7"/>
    <w:rsid w:val="00482327"/>
    <w:rsid w:val="00484BB7"/>
    <w:rsid w:val="00492FEE"/>
    <w:rsid w:val="00496C66"/>
    <w:rsid w:val="004A530C"/>
    <w:rsid w:val="004B5309"/>
    <w:rsid w:val="004C3695"/>
    <w:rsid w:val="004C50C0"/>
    <w:rsid w:val="004D0A69"/>
    <w:rsid w:val="004D44D5"/>
    <w:rsid w:val="004D4E0B"/>
    <w:rsid w:val="004D6302"/>
    <w:rsid w:val="004E49CA"/>
    <w:rsid w:val="004E780F"/>
    <w:rsid w:val="004F0E51"/>
    <w:rsid w:val="004F1EE8"/>
    <w:rsid w:val="00500C0B"/>
    <w:rsid w:val="005011E5"/>
    <w:rsid w:val="00504D1F"/>
    <w:rsid w:val="00520BB4"/>
    <w:rsid w:val="00522E90"/>
    <w:rsid w:val="00524A00"/>
    <w:rsid w:val="005266DA"/>
    <w:rsid w:val="0055345C"/>
    <w:rsid w:val="0055394D"/>
    <w:rsid w:val="0057266E"/>
    <w:rsid w:val="00581236"/>
    <w:rsid w:val="005876D2"/>
    <w:rsid w:val="00596877"/>
    <w:rsid w:val="005971DA"/>
    <w:rsid w:val="005A3FDD"/>
    <w:rsid w:val="005B1169"/>
    <w:rsid w:val="005B6BAB"/>
    <w:rsid w:val="005C2AEC"/>
    <w:rsid w:val="005C41EF"/>
    <w:rsid w:val="005C540E"/>
    <w:rsid w:val="005D1C0F"/>
    <w:rsid w:val="005D6EEC"/>
    <w:rsid w:val="005D7526"/>
    <w:rsid w:val="005E6063"/>
    <w:rsid w:val="005E702A"/>
    <w:rsid w:val="005F2669"/>
    <w:rsid w:val="005F40AC"/>
    <w:rsid w:val="005F7B51"/>
    <w:rsid w:val="00600F43"/>
    <w:rsid w:val="00610369"/>
    <w:rsid w:val="00647B46"/>
    <w:rsid w:val="00652194"/>
    <w:rsid w:val="00652AA8"/>
    <w:rsid w:val="00654C39"/>
    <w:rsid w:val="00655FB4"/>
    <w:rsid w:val="006615CC"/>
    <w:rsid w:val="00661C41"/>
    <w:rsid w:val="00664248"/>
    <w:rsid w:val="00665AC3"/>
    <w:rsid w:val="006716BD"/>
    <w:rsid w:val="00672DF5"/>
    <w:rsid w:val="006962D5"/>
    <w:rsid w:val="006A59F5"/>
    <w:rsid w:val="006C56E7"/>
    <w:rsid w:val="006C6A72"/>
    <w:rsid w:val="006D2AFC"/>
    <w:rsid w:val="006D371E"/>
    <w:rsid w:val="006D393E"/>
    <w:rsid w:val="0072240C"/>
    <w:rsid w:val="00726B56"/>
    <w:rsid w:val="00733719"/>
    <w:rsid w:val="007366C2"/>
    <w:rsid w:val="00736986"/>
    <w:rsid w:val="00743E88"/>
    <w:rsid w:val="00746829"/>
    <w:rsid w:val="007502B1"/>
    <w:rsid w:val="00753C81"/>
    <w:rsid w:val="00776D26"/>
    <w:rsid w:val="007915E9"/>
    <w:rsid w:val="007A406A"/>
    <w:rsid w:val="007A606C"/>
    <w:rsid w:val="007C2788"/>
    <w:rsid w:val="007C736F"/>
    <w:rsid w:val="007D62DB"/>
    <w:rsid w:val="007E4911"/>
    <w:rsid w:val="007E50A5"/>
    <w:rsid w:val="007F0200"/>
    <w:rsid w:val="007F18AC"/>
    <w:rsid w:val="00802F6A"/>
    <w:rsid w:val="00822AB2"/>
    <w:rsid w:val="0082697E"/>
    <w:rsid w:val="00830ECD"/>
    <w:rsid w:val="00850AD4"/>
    <w:rsid w:val="00864A09"/>
    <w:rsid w:val="0087191D"/>
    <w:rsid w:val="00884194"/>
    <w:rsid w:val="00886374"/>
    <w:rsid w:val="00886C26"/>
    <w:rsid w:val="00887A09"/>
    <w:rsid w:val="008A3B08"/>
    <w:rsid w:val="008A3D91"/>
    <w:rsid w:val="008C0282"/>
    <w:rsid w:val="008D026B"/>
    <w:rsid w:val="008D4CF6"/>
    <w:rsid w:val="008E730D"/>
    <w:rsid w:val="008F7EC6"/>
    <w:rsid w:val="00901B9A"/>
    <w:rsid w:val="00903B48"/>
    <w:rsid w:val="00922575"/>
    <w:rsid w:val="00926A6C"/>
    <w:rsid w:val="009302F3"/>
    <w:rsid w:val="00932829"/>
    <w:rsid w:val="009339DC"/>
    <w:rsid w:val="00965566"/>
    <w:rsid w:val="00977B6D"/>
    <w:rsid w:val="00990523"/>
    <w:rsid w:val="00994AE3"/>
    <w:rsid w:val="00994EFA"/>
    <w:rsid w:val="009964EF"/>
    <w:rsid w:val="009A1032"/>
    <w:rsid w:val="009A21F1"/>
    <w:rsid w:val="009B0C5B"/>
    <w:rsid w:val="009C0239"/>
    <w:rsid w:val="009C10DB"/>
    <w:rsid w:val="009C2993"/>
    <w:rsid w:val="009C7B53"/>
    <w:rsid w:val="009D328D"/>
    <w:rsid w:val="009D738E"/>
    <w:rsid w:val="009E2E17"/>
    <w:rsid w:val="00A03190"/>
    <w:rsid w:val="00A23058"/>
    <w:rsid w:val="00A24EF0"/>
    <w:rsid w:val="00A3037B"/>
    <w:rsid w:val="00A415BD"/>
    <w:rsid w:val="00A44DD0"/>
    <w:rsid w:val="00A51EC5"/>
    <w:rsid w:val="00A57F5C"/>
    <w:rsid w:val="00A662B2"/>
    <w:rsid w:val="00A75ECC"/>
    <w:rsid w:val="00A80DA3"/>
    <w:rsid w:val="00A86396"/>
    <w:rsid w:val="00A87228"/>
    <w:rsid w:val="00A95ABE"/>
    <w:rsid w:val="00A9702F"/>
    <w:rsid w:val="00AA398F"/>
    <w:rsid w:val="00AA667A"/>
    <w:rsid w:val="00AC2C4F"/>
    <w:rsid w:val="00AC784D"/>
    <w:rsid w:val="00AD1EAC"/>
    <w:rsid w:val="00AD2DFF"/>
    <w:rsid w:val="00AE66D7"/>
    <w:rsid w:val="00AE697A"/>
    <w:rsid w:val="00AE727F"/>
    <w:rsid w:val="00AF53ED"/>
    <w:rsid w:val="00AF5B89"/>
    <w:rsid w:val="00B0758B"/>
    <w:rsid w:val="00B15E54"/>
    <w:rsid w:val="00B23993"/>
    <w:rsid w:val="00B378CE"/>
    <w:rsid w:val="00B37CBB"/>
    <w:rsid w:val="00B439CC"/>
    <w:rsid w:val="00B53375"/>
    <w:rsid w:val="00B60EC6"/>
    <w:rsid w:val="00B613A0"/>
    <w:rsid w:val="00B63C96"/>
    <w:rsid w:val="00B65EF4"/>
    <w:rsid w:val="00B76D0F"/>
    <w:rsid w:val="00B83037"/>
    <w:rsid w:val="00B92E00"/>
    <w:rsid w:val="00BB14E4"/>
    <w:rsid w:val="00BC3301"/>
    <w:rsid w:val="00BD521C"/>
    <w:rsid w:val="00BE3F9C"/>
    <w:rsid w:val="00BE5F92"/>
    <w:rsid w:val="00BE6654"/>
    <w:rsid w:val="00BE7AE9"/>
    <w:rsid w:val="00BF0068"/>
    <w:rsid w:val="00C04B00"/>
    <w:rsid w:val="00C11124"/>
    <w:rsid w:val="00C14C98"/>
    <w:rsid w:val="00C17845"/>
    <w:rsid w:val="00C24FC7"/>
    <w:rsid w:val="00C31C73"/>
    <w:rsid w:val="00C53B1E"/>
    <w:rsid w:val="00C66B96"/>
    <w:rsid w:val="00C72A80"/>
    <w:rsid w:val="00C7380B"/>
    <w:rsid w:val="00C93786"/>
    <w:rsid w:val="00C946E7"/>
    <w:rsid w:val="00CA380C"/>
    <w:rsid w:val="00CA4AA2"/>
    <w:rsid w:val="00CA6A9C"/>
    <w:rsid w:val="00CB1827"/>
    <w:rsid w:val="00CB6C56"/>
    <w:rsid w:val="00CC2689"/>
    <w:rsid w:val="00CC3D52"/>
    <w:rsid w:val="00CC7B16"/>
    <w:rsid w:val="00CD27CC"/>
    <w:rsid w:val="00CD4BA6"/>
    <w:rsid w:val="00CD51F4"/>
    <w:rsid w:val="00CE253A"/>
    <w:rsid w:val="00CE5C43"/>
    <w:rsid w:val="00D016A3"/>
    <w:rsid w:val="00D1372C"/>
    <w:rsid w:val="00D1448E"/>
    <w:rsid w:val="00D1705A"/>
    <w:rsid w:val="00D2317F"/>
    <w:rsid w:val="00D269D0"/>
    <w:rsid w:val="00D26C76"/>
    <w:rsid w:val="00D37F33"/>
    <w:rsid w:val="00D4154B"/>
    <w:rsid w:val="00D43B21"/>
    <w:rsid w:val="00D5469C"/>
    <w:rsid w:val="00D55C8F"/>
    <w:rsid w:val="00D56324"/>
    <w:rsid w:val="00D57939"/>
    <w:rsid w:val="00D6037F"/>
    <w:rsid w:val="00D62622"/>
    <w:rsid w:val="00D66A80"/>
    <w:rsid w:val="00D66D52"/>
    <w:rsid w:val="00D67C18"/>
    <w:rsid w:val="00D75904"/>
    <w:rsid w:val="00D770DC"/>
    <w:rsid w:val="00D865D4"/>
    <w:rsid w:val="00D90B14"/>
    <w:rsid w:val="00D92969"/>
    <w:rsid w:val="00D95248"/>
    <w:rsid w:val="00DA139E"/>
    <w:rsid w:val="00DA61AE"/>
    <w:rsid w:val="00DB3FB5"/>
    <w:rsid w:val="00DB5DCC"/>
    <w:rsid w:val="00DC0130"/>
    <w:rsid w:val="00DC5E4F"/>
    <w:rsid w:val="00DC779E"/>
    <w:rsid w:val="00DD02CA"/>
    <w:rsid w:val="00E024C5"/>
    <w:rsid w:val="00E02EC1"/>
    <w:rsid w:val="00E04206"/>
    <w:rsid w:val="00E06529"/>
    <w:rsid w:val="00E17B6C"/>
    <w:rsid w:val="00E32380"/>
    <w:rsid w:val="00E3555E"/>
    <w:rsid w:val="00E43913"/>
    <w:rsid w:val="00E52633"/>
    <w:rsid w:val="00E53F8E"/>
    <w:rsid w:val="00E56415"/>
    <w:rsid w:val="00E624C7"/>
    <w:rsid w:val="00E64A3B"/>
    <w:rsid w:val="00E90E87"/>
    <w:rsid w:val="00EA1549"/>
    <w:rsid w:val="00EA38DD"/>
    <w:rsid w:val="00EC0515"/>
    <w:rsid w:val="00EC30C2"/>
    <w:rsid w:val="00EC691C"/>
    <w:rsid w:val="00ED0EE0"/>
    <w:rsid w:val="00ED4286"/>
    <w:rsid w:val="00EE1271"/>
    <w:rsid w:val="00EE3689"/>
    <w:rsid w:val="00EE4373"/>
    <w:rsid w:val="00EE505C"/>
    <w:rsid w:val="00F002C0"/>
    <w:rsid w:val="00F0410F"/>
    <w:rsid w:val="00F0752A"/>
    <w:rsid w:val="00F16CC3"/>
    <w:rsid w:val="00F171F3"/>
    <w:rsid w:val="00F2658C"/>
    <w:rsid w:val="00F30613"/>
    <w:rsid w:val="00F51E2C"/>
    <w:rsid w:val="00F5644A"/>
    <w:rsid w:val="00F576EF"/>
    <w:rsid w:val="00F60A5D"/>
    <w:rsid w:val="00F76310"/>
    <w:rsid w:val="00F81BF9"/>
    <w:rsid w:val="00F86226"/>
    <w:rsid w:val="00F869CD"/>
    <w:rsid w:val="00F97153"/>
    <w:rsid w:val="00FA1A6E"/>
    <w:rsid w:val="00FC1F65"/>
    <w:rsid w:val="00FC2DDC"/>
    <w:rsid w:val="00FC3E38"/>
    <w:rsid w:val="00FC4F0B"/>
    <w:rsid w:val="00FC6655"/>
    <w:rsid w:val="00FF1E56"/>
    <w:rsid w:val="00FF3D32"/>
    <w:rsid w:val="00FF610A"/>
    <w:rsid w:val="00FF6A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99532"/>
  <w15:chartTrackingRefBased/>
  <w15:docId w15:val="{74CFE2AB-0E56-E040-99C6-C1B3F3F08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3375"/>
    <w:rPr>
      <w:rFonts w:ascii="Times New Roman" w:eastAsia="Times New Roman" w:hAnsi="Times New Roman" w:cs="Times New Roman"/>
      <w:lang w:eastAsia="en-GB"/>
    </w:rPr>
  </w:style>
  <w:style w:type="paragraph" w:styleId="Heading1">
    <w:name w:val="heading 1"/>
    <w:basedOn w:val="Normal"/>
    <w:link w:val="Heading1Char"/>
    <w:uiPriority w:val="9"/>
    <w:qFormat/>
    <w:rsid w:val="00230508"/>
    <w:pPr>
      <w:widowControl w:val="0"/>
      <w:autoSpaceDE w:val="0"/>
      <w:autoSpaceDN w:val="0"/>
      <w:ind w:left="220"/>
      <w:outlineLvl w:val="0"/>
    </w:pPr>
    <w:rPr>
      <w:rFonts w:ascii="Arial" w:eastAsia="Calibri Light" w:hAnsi="Arial" w:cs="Calibri Light"/>
      <w:b/>
      <w:sz w:val="32"/>
      <w:szCs w:val="32"/>
      <w:lang w:bidi="en-GB"/>
    </w:rPr>
  </w:style>
  <w:style w:type="paragraph" w:styleId="Heading2">
    <w:name w:val="heading 2"/>
    <w:basedOn w:val="Normal"/>
    <w:next w:val="Normal"/>
    <w:link w:val="Heading2Char"/>
    <w:uiPriority w:val="9"/>
    <w:unhideWhenUsed/>
    <w:qFormat/>
    <w:rsid w:val="001C34F5"/>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4">
    <w:name w:val="heading 4"/>
    <w:basedOn w:val="Normal"/>
    <w:next w:val="Normal"/>
    <w:link w:val="Heading4Char"/>
    <w:uiPriority w:val="9"/>
    <w:unhideWhenUsed/>
    <w:qFormat/>
    <w:rsid w:val="001C34F5"/>
    <w:pPr>
      <w:keepNext/>
      <w:keepLines/>
      <w:spacing w:before="40" w:line="360" w:lineRule="auto"/>
      <w:jc w:val="both"/>
      <w:outlineLvl w:val="3"/>
    </w:pPr>
    <w:rPr>
      <w:rFonts w:asciiTheme="majorHAnsi" w:eastAsiaTheme="majorEastAsia" w:hAnsiTheme="majorHAnsi" w:cstheme="majorBidi"/>
      <w:i/>
      <w:iCs/>
      <w:color w:val="2F5496" w:themeColor="accent1" w:themeShade="BF"/>
      <w:kern w:val="2"/>
      <w:sz w:val="22"/>
      <w:szCs w:val="2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5F92"/>
    <w:pPr>
      <w:ind w:left="720"/>
      <w:contextualSpacing/>
    </w:pPr>
    <w:rPr>
      <w:rFonts w:asciiTheme="minorHAnsi" w:eastAsiaTheme="minorHAnsi" w:hAnsiTheme="minorHAnsi" w:cstheme="minorBidi"/>
      <w:lang w:eastAsia="en-US"/>
    </w:rPr>
  </w:style>
  <w:style w:type="character" w:customStyle="1" w:styleId="Heading1Char">
    <w:name w:val="Heading 1 Char"/>
    <w:basedOn w:val="DefaultParagraphFont"/>
    <w:link w:val="Heading1"/>
    <w:uiPriority w:val="9"/>
    <w:rsid w:val="00230508"/>
    <w:rPr>
      <w:rFonts w:ascii="Arial" w:eastAsia="Calibri Light" w:hAnsi="Arial" w:cs="Calibri Light"/>
      <w:b/>
      <w:sz w:val="32"/>
      <w:szCs w:val="32"/>
      <w:lang w:eastAsia="en-GB" w:bidi="en-GB"/>
    </w:rPr>
  </w:style>
  <w:style w:type="paragraph" w:styleId="BodyText">
    <w:name w:val="Body Text"/>
    <w:basedOn w:val="Normal"/>
    <w:link w:val="BodyTextChar"/>
    <w:uiPriority w:val="1"/>
    <w:unhideWhenUsed/>
    <w:qFormat/>
    <w:rsid w:val="00230508"/>
    <w:pPr>
      <w:widowControl w:val="0"/>
      <w:autoSpaceDE w:val="0"/>
      <w:autoSpaceDN w:val="0"/>
    </w:pPr>
    <w:rPr>
      <w:rFonts w:ascii="Arial" w:eastAsia="Calibri Light" w:hAnsi="Arial" w:cs="Calibri Light"/>
      <w:sz w:val="22"/>
      <w:szCs w:val="22"/>
      <w:lang w:bidi="en-GB"/>
    </w:rPr>
  </w:style>
  <w:style w:type="character" w:customStyle="1" w:styleId="BodyTextChar">
    <w:name w:val="Body Text Char"/>
    <w:basedOn w:val="DefaultParagraphFont"/>
    <w:link w:val="BodyText"/>
    <w:uiPriority w:val="1"/>
    <w:rsid w:val="00230508"/>
    <w:rPr>
      <w:rFonts w:ascii="Arial" w:eastAsia="Calibri Light" w:hAnsi="Arial" w:cs="Calibri Light"/>
      <w:sz w:val="22"/>
      <w:szCs w:val="22"/>
      <w:lang w:eastAsia="en-GB" w:bidi="en-GB"/>
    </w:rPr>
  </w:style>
  <w:style w:type="paragraph" w:styleId="NormalWeb">
    <w:name w:val="Normal (Web)"/>
    <w:basedOn w:val="Normal"/>
    <w:uiPriority w:val="99"/>
    <w:unhideWhenUsed/>
    <w:rsid w:val="00230508"/>
    <w:pPr>
      <w:spacing w:before="100" w:beforeAutospacing="1" w:after="100" w:afterAutospacing="1"/>
    </w:pPr>
  </w:style>
  <w:style w:type="character" w:customStyle="1" w:styleId="apple-converted-space">
    <w:name w:val="apple-converted-space"/>
    <w:basedOn w:val="DefaultParagraphFont"/>
    <w:rsid w:val="004C3695"/>
  </w:style>
  <w:style w:type="table" w:styleId="TableGrid">
    <w:name w:val="Table Grid"/>
    <w:basedOn w:val="TableNormal"/>
    <w:uiPriority w:val="39"/>
    <w:rsid w:val="005876D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5345C"/>
    <w:rPr>
      <w:color w:val="0563C1" w:themeColor="hyperlink"/>
      <w:u w:val="single"/>
    </w:rPr>
  </w:style>
  <w:style w:type="character" w:styleId="UnresolvedMention">
    <w:name w:val="Unresolved Mention"/>
    <w:basedOn w:val="DefaultParagraphFont"/>
    <w:uiPriority w:val="99"/>
    <w:semiHidden/>
    <w:unhideWhenUsed/>
    <w:rsid w:val="0055345C"/>
    <w:rPr>
      <w:color w:val="605E5C"/>
      <w:shd w:val="clear" w:color="auto" w:fill="E1DFDD"/>
    </w:rPr>
  </w:style>
  <w:style w:type="character" w:styleId="FollowedHyperlink">
    <w:name w:val="FollowedHyperlink"/>
    <w:basedOn w:val="DefaultParagraphFont"/>
    <w:uiPriority w:val="99"/>
    <w:semiHidden/>
    <w:unhideWhenUsed/>
    <w:rsid w:val="0055345C"/>
    <w:rPr>
      <w:color w:val="954F72" w:themeColor="followedHyperlink"/>
      <w:u w:val="single"/>
    </w:rPr>
  </w:style>
  <w:style w:type="character" w:customStyle="1" w:styleId="Heading2Char">
    <w:name w:val="Heading 2 Char"/>
    <w:basedOn w:val="DefaultParagraphFont"/>
    <w:link w:val="Heading2"/>
    <w:uiPriority w:val="9"/>
    <w:rsid w:val="001C34F5"/>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rsid w:val="001C34F5"/>
    <w:rPr>
      <w:rFonts w:asciiTheme="majorHAnsi" w:eastAsiaTheme="majorEastAsia" w:hAnsiTheme="majorHAnsi" w:cstheme="majorBidi"/>
      <w:i/>
      <w:iCs/>
      <w:color w:val="2F5496" w:themeColor="accent1" w:themeShade="BF"/>
      <w:kern w:val="2"/>
      <w:sz w:val="22"/>
      <w:szCs w:val="22"/>
      <w:lang w:eastAsia="zh-CN"/>
      <w14:ligatures w14:val="standardContextual"/>
    </w:rPr>
  </w:style>
  <w:style w:type="character" w:styleId="Strong">
    <w:name w:val="Strong"/>
    <w:basedOn w:val="DefaultParagraphFont"/>
    <w:uiPriority w:val="22"/>
    <w:qFormat/>
    <w:rsid w:val="001C34F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11087">
      <w:bodyDiv w:val="1"/>
      <w:marLeft w:val="0"/>
      <w:marRight w:val="0"/>
      <w:marTop w:val="0"/>
      <w:marBottom w:val="0"/>
      <w:divBdr>
        <w:top w:val="none" w:sz="0" w:space="0" w:color="auto"/>
        <w:left w:val="none" w:sz="0" w:space="0" w:color="auto"/>
        <w:bottom w:val="none" w:sz="0" w:space="0" w:color="auto"/>
        <w:right w:val="none" w:sz="0" w:space="0" w:color="auto"/>
      </w:divBdr>
    </w:div>
    <w:div w:id="39407558">
      <w:bodyDiv w:val="1"/>
      <w:marLeft w:val="0"/>
      <w:marRight w:val="0"/>
      <w:marTop w:val="0"/>
      <w:marBottom w:val="0"/>
      <w:divBdr>
        <w:top w:val="none" w:sz="0" w:space="0" w:color="auto"/>
        <w:left w:val="none" w:sz="0" w:space="0" w:color="auto"/>
        <w:bottom w:val="none" w:sz="0" w:space="0" w:color="auto"/>
        <w:right w:val="none" w:sz="0" w:space="0" w:color="auto"/>
      </w:divBdr>
      <w:divsChild>
        <w:div w:id="2081365094">
          <w:marLeft w:val="0"/>
          <w:marRight w:val="0"/>
          <w:marTop w:val="0"/>
          <w:marBottom w:val="0"/>
          <w:divBdr>
            <w:top w:val="none" w:sz="0" w:space="0" w:color="auto"/>
            <w:left w:val="none" w:sz="0" w:space="0" w:color="auto"/>
            <w:bottom w:val="none" w:sz="0" w:space="0" w:color="auto"/>
            <w:right w:val="none" w:sz="0" w:space="0" w:color="auto"/>
          </w:divBdr>
        </w:div>
      </w:divsChild>
    </w:div>
    <w:div w:id="51275520">
      <w:bodyDiv w:val="1"/>
      <w:marLeft w:val="0"/>
      <w:marRight w:val="0"/>
      <w:marTop w:val="0"/>
      <w:marBottom w:val="0"/>
      <w:divBdr>
        <w:top w:val="none" w:sz="0" w:space="0" w:color="auto"/>
        <w:left w:val="none" w:sz="0" w:space="0" w:color="auto"/>
        <w:bottom w:val="none" w:sz="0" w:space="0" w:color="auto"/>
        <w:right w:val="none" w:sz="0" w:space="0" w:color="auto"/>
      </w:divBdr>
    </w:div>
    <w:div w:id="55934421">
      <w:bodyDiv w:val="1"/>
      <w:marLeft w:val="0"/>
      <w:marRight w:val="0"/>
      <w:marTop w:val="0"/>
      <w:marBottom w:val="0"/>
      <w:divBdr>
        <w:top w:val="none" w:sz="0" w:space="0" w:color="auto"/>
        <w:left w:val="none" w:sz="0" w:space="0" w:color="auto"/>
        <w:bottom w:val="none" w:sz="0" w:space="0" w:color="auto"/>
        <w:right w:val="none" w:sz="0" w:space="0" w:color="auto"/>
      </w:divBdr>
      <w:divsChild>
        <w:div w:id="1384326894">
          <w:marLeft w:val="0"/>
          <w:marRight w:val="0"/>
          <w:marTop w:val="0"/>
          <w:marBottom w:val="0"/>
          <w:divBdr>
            <w:top w:val="none" w:sz="0" w:space="0" w:color="auto"/>
            <w:left w:val="none" w:sz="0" w:space="0" w:color="auto"/>
            <w:bottom w:val="none" w:sz="0" w:space="0" w:color="auto"/>
            <w:right w:val="none" w:sz="0" w:space="0" w:color="auto"/>
          </w:divBdr>
        </w:div>
      </w:divsChild>
    </w:div>
    <w:div w:id="92552865">
      <w:bodyDiv w:val="1"/>
      <w:marLeft w:val="0"/>
      <w:marRight w:val="0"/>
      <w:marTop w:val="0"/>
      <w:marBottom w:val="0"/>
      <w:divBdr>
        <w:top w:val="none" w:sz="0" w:space="0" w:color="auto"/>
        <w:left w:val="none" w:sz="0" w:space="0" w:color="auto"/>
        <w:bottom w:val="none" w:sz="0" w:space="0" w:color="auto"/>
        <w:right w:val="none" w:sz="0" w:space="0" w:color="auto"/>
      </w:divBdr>
      <w:divsChild>
        <w:div w:id="750854123">
          <w:marLeft w:val="0"/>
          <w:marRight w:val="0"/>
          <w:marTop w:val="0"/>
          <w:marBottom w:val="0"/>
          <w:divBdr>
            <w:top w:val="none" w:sz="0" w:space="0" w:color="auto"/>
            <w:left w:val="none" w:sz="0" w:space="0" w:color="auto"/>
            <w:bottom w:val="none" w:sz="0" w:space="0" w:color="auto"/>
            <w:right w:val="none" w:sz="0" w:space="0" w:color="auto"/>
          </w:divBdr>
        </w:div>
      </w:divsChild>
    </w:div>
    <w:div w:id="93938391">
      <w:bodyDiv w:val="1"/>
      <w:marLeft w:val="0"/>
      <w:marRight w:val="0"/>
      <w:marTop w:val="0"/>
      <w:marBottom w:val="0"/>
      <w:divBdr>
        <w:top w:val="none" w:sz="0" w:space="0" w:color="auto"/>
        <w:left w:val="none" w:sz="0" w:space="0" w:color="auto"/>
        <w:bottom w:val="none" w:sz="0" w:space="0" w:color="auto"/>
        <w:right w:val="none" w:sz="0" w:space="0" w:color="auto"/>
      </w:divBdr>
      <w:divsChild>
        <w:div w:id="2008436008">
          <w:marLeft w:val="0"/>
          <w:marRight w:val="0"/>
          <w:marTop w:val="0"/>
          <w:marBottom w:val="0"/>
          <w:divBdr>
            <w:top w:val="none" w:sz="0" w:space="0" w:color="auto"/>
            <w:left w:val="none" w:sz="0" w:space="0" w:color="auto"/>
            <w:bottom w:val="none" w:sz="0" w:space="0" w:color="auto"/>
            <w:right w:val="none" w:sz="0" w:space="0" w:color="auto"/>
          </w:divBdr>
        </w:div>
      </w:divsChild>
    </w:div>
    <w:div w:id="144669152">
      <w:bodyDiv w:val="1"/>
      <w:marLeft w:val="0"/>
      <w:marRight w:val="0"/>
      <w:marTop w:val="0"/>
      <w:marBottom w:val="0"/>
      <w:divBdr>
        <w:top w:val="none" w:sz="0" w:space="0" w:color="auto"/>
        <w:left w:val="none" w:sz="0" w:space="0" w:color="auto"/>
        <w:bottom w:val="none" w:sz="0" w:space="0" w:color="auto"/>
        <w:right w:val="none" w:sz="0" w:space="0" w:color="auto"/>
      </w:divBdr>
    </w:div>
    <w:div w:id="152911307">
      <w:bodyDiv w:val="1"/>
      <w:marLeft w:val="0"/>
      <w:marRight w:val="0"/>
      <w:marTop w:val="0"/>
      <w:marBottom w:val="0"/>
      <w:divBdr>
        <w:top w:val="none" w:sz="0" w:space="0" w:color="auto"/>
        <w:left w:val="none" w:sz="0" w:space="0" w:color="auto"/>
        <w:bottom w:val="none" w:sz="0" w:space="0" w:color="auto"/>
        <w:right w:val="none" w:sz="0" w:space="0" w:color="auto"/>
      </w:divBdr>
      <w:divsChild>
        <w:div w:id="1929073440">
          <w:marLeft w:val="0"/>
          <w:marRight w:val="0"/>
          <w:marTop w:val="0"/>
          <w:marBottom w:val="0"/>
          <w:divBdr>
            <w:top w:val="none" w:sz="0" w:space="0" w:color="auto"/>
            <w:left w:val="none" w:sz="0" w:space="0" w:color="auto"/>
            <w:bottom w:val="none" w:sz="0" w:space="0" w:color="auto"/>
            <w:right w:val="none" w:sz="0" w:space="0" w:color="auto"/>
          </w:divBdr>
        </w:div>
      </w:divsChild>
    </w:div>
    <w:div w:id="156894690">
      <w:bodyDiv w:val="1"/>
      <w:marLeft w:val="0"/>
      <w:marRight w:val="0"/>
      <w:marTop w:val="0"/>
      <w:marBottom w:val="0"/>
      <w:divBdr>
        <w:top w:val="none" w:sz="0" w:space="0" w:color="auto"/>
        <w:left w:val="none" w:sz="0" w:space="0" w:color="auto"/>
        <w:bottom w:val="none" w:sz="0" w:space="0" w:color="auto"/>
        <w:right w:val="none" w:sz="0" w:space="0" w:color="auto"/>
      </w:divBdr>
      <w:divsChild>
        <w:div w:id="667561020">
          <w:marLeft w:val="0"/>
          <w:marRight w:val="0"/>
          <w:marTop w:val="0"/>
          <w:marBottom w:val="0"/>
          <w:divBdr>
            <w:top w:val="none" w:sz="0" w:space="0" w:color="auto"/>
            <w:left w:val="none" w:sz="0" w:space="0" w:color="auto"/>
            <w:bottom w:val="none" w:sz="0" w:space="0" w:color="auto"/>
            <w:right w:val="none" w:sz="0" w:space="0" w:color="auto"/>
          </w:divBdr>
        </w:div>
      </w:divsChild>
    </w:div>
    <w:div w:id="170996590">
      <w:bodyDiv w:val="1"/>
      <w:marLeft w:val="0"/>
      <w:marRight w:val="0"/>
      <w:marTop w:val="0"/>
      <w:marBottom w:val="0"/>
      <w:divBdr>
        <w:top w:val="none" w:sz="0" w:space="0" w:color="auto"/>
        <w:left w:val="none" w:sz="0" w:space="0" w:color="auto"/>
        <w:bottom w:val="none" w:sz="0" w:space="0" w:color="auto"/>
        <w:right w:val="none" w:sz="0" w:space="0" w:color="auto"/>
      </w:divBdr>
    </w:div>
    <w:div w:id="179859832">
      <w:bodyDiv w:val="1"/>
      <w:marLeft w:val="0"/>
      <w:marRight w:val="0"/>
      <w:marTop w:val="0"/>
      <w:marBottom w:val="0"/>
      <w:divBdr>
        <w:top w:val="none" w:sz="0" w:space="0" w:color="auto"/>
        <w:left w:val="none" w:sz="0" w:space="0" w:color="auto"/>
        <w:bottom w:val="none" w:sz="0" w:space="0" w:color="auto"/>
        <w:right w:val="none" w:sz="0" w:space="0" w:color="auto"/>
      </w:divBdr>
      <w:divsChild>
        <w:div w:id="618950113">
          <w:marLeft w:val="0"/>
          <w:marRight w:val="0"/>
          <w:marTop w:val="0"/>
          <w:marBottom w:val="0"/>
          <w:divBdr>
            <w:top w:val="none" w:sz="0" w:space="0" w:color="auto"/>
            <w:left w:val="none" w:sz="0" w:space="0" w:color="auto"/>
            <w:bottom w:val="none" w:sz="0" w:space="0" w:color="auto"/>
            <w:right w:val="none" w:sz="0" w:space="0" w:color="auto"/>
          </w:divBdr>
        </w:div>
      </w:divsChild>
    </w:div>
    <w:div w:id="193613094">
      <w:bodyDiv w:val="1"/>
      <w:marLeft w:val="0"/>
      <w:marRight w:val="0"/>
      <w:marTop w:val="0"/>
      <w:marBottom w:val="0"/>
      <w:divBdr>
        <w:top w:val="none" w:sz="0" w:space="0" w:color="auto"/>
        <w:left w:val="none" w:sz="0" w:space="0" w:color="auto"/>
        <w:bottom w:val="none" w:sz="0" w:space="0" w:color="auto"/>
        <w:right w:val="none" w:sz="0" w:space="0" w:color="auto"/>
      </w:divBdr>
    </w:div>
    <w:div w:id="195893626">
      <w:bodyDiv w:val="1"/>
      <w:marLeft w:val="0"/>
      <w:marRight w:val="0"/>
      <w:marTop w:val="0"/>
      <w:marBottom w:val="0"/>
      <w:divBdr>
        <w:top w:val="none" w:sz="0" w:space="0" w:color="auto"/>
        <w:left w:val="none" w:sz="0" w:space="0" w:color="auto"/>
        <w:bottom w:val="none" w:sz="0" w:space="0" w:color="auto"/>
        <w:right w:val="none" w:sz="0" w:space="0" w:color="auto"/>
      </w:divBdr>
    </w:div>
    <w:div w:id="212280448">
      <w:bodyDiv w:val="1"/>
      <w:marLeft w:val="0"/>
      <w:marRight w:val="0"/>
      <w:marTop w:val="0"/>
      <w:marBottom w:val="0"/>
      <w:divBdr>
        <w:top w:val="none" w:sz="0" w:space="0" w:color="auto"/>
        <w:left w:val="none" w:sz="0" w:space="0" w:color="auto"/>
        <w:bottom w:val="none" w:sz="0" w:space="0" w:color="auto"/>
        <w:right w:val="none" w:sz="0" w:space="0" w:color="auto"/>
      </w:divBdr>
    </w:div>
    <w:div w:id="224754947">
      <w:bodyDiv w:val="1"/>
      <w:marLeft w:val="0"/>
      <w:marRight w:val="0"/>
      <w:marTop w:val="0"/>
      <w:marBottom w:val="0"/>
      <w:divBdr>
        <w:top w:val="none" w:sz="0" w:space="0" w:color="auto"/>
        <w:left w:val="none" w:sz="0" w:space="0" w:color="auto"/>
        <w:bottom w:val="none" w:sz="0" w:space="0" w:color="auto"/>
        <w:right w:val="none" w:sz="0" w:space="0" w:color="auto"/>
      </w:divBdr>
    </w:div>
    <w:div w:id="248126926">
      <w:bodyDiv w:val="1"/>
      <w:marLeft w:val="0"/>
      <w:marRight w:val="0"/>
      <w:marTop w:val="0"/>
      <w:marBottom w:val="0"/>
      <w:divBdr>
        <w:top w:val="none" w:sz="0" w:space="0" w:color="auto"/>
        <w:left w:val="none" w:sz="0" w:space="0" w:color="auto"/>
        <w:bottom w:val="none" w:sz="0" w:space="0" w:color="auto"/>
        <w:right w:val="none" w:sz="0" w:space="0" w:color="auto"/>
      </w:divBdr>
    </w:div>
    <w:div w:id="248201263">
      <w:bodyDiv w:val="1"/>
      <w:marLeft w:val="0"/>
      <w:marRight w:val="0"/>
      <w:marTop w:val="0"/>
      <w:marBottom w:val="0"/>
      <w:divBdr>
        <w:top w:val="none" w:sz="0" w:space="0" w:color="auto"/>
        <w:left w:val="none" w:sz="0" w:space="0" w:color="auto"/>
        <w:bottom w:val="none" w:sz="0" w:space="0" w:color="auto"/>
        <w:right w:val="none" w:sz="0" w:space="0" w:color="auto"/>
      </w:divBdr>
    </w:div>
    <w:div w:id="274798271">
      <w:bodyDiv w:val="1"/>
      <w:marLeft w:val="0"/>
      <w:marRight w:val="0"/>
      <w:marTop w:val="0"/>
      <w:marBottom w:val="0"/>
      <w:divBdr>
        <w:top w:val="none" w:sz="0" w:space="0" w:color="auto"/>
        <w:left w:val="none" w:sz="0" w:space="0" w:color="auto"/>
        <w:bottom w:val="none" w:sz="0" w:space="0" w:color="auto"/>
        <w:right w:val="none" w:sz="0" w:space="0" w:color="auto"/>
      </w:divBdr>
      <w:divsChild>
        <w:div w:id="1304778398">
          <w:marLeft w:val="0"/>
          <w:marRight w:val="0"/>
          <w:marTop w:val="0"/>
          <w:marBottom w:val="0"/>
          <w:divBdr>
            <w:top w:val="none" w:sz="0" w:space="0" w:color="auto"/>
            <w:left w:val="none" w:sz="0" w:space="0" w:color="auto"/>
            <w:bottom w:val="none" w:sz="0" w:space="0" w:color="auto"/>
            <w:right w:val="none" w:sz="0" w:space="0" w:color="auto"/>
          </w:divBdr>
        </w:div>
      </w:divsChild>
    </w:div>
    <w:div w:id="304971129">
      <w:bodyDiv w:val="1"/>
      <w:marLeft w:val="0"/>
      <w:marRight w:val="0"/>
      <w:marTop w:val="0"/>
      <w:marBottom w:val="0"/>
      <w:divBdr>
        <w:top w:val="none" w:sz="0" w:space="0" w:color="auto"/>
        <w:left w:val="none" w:sz="0" w:space="0" w:color="auto"/>
        <w:bottom w:val="none" w:sz="0" w:space="0" w:color="auto"/>
        <w:right w:val="none" w:sz="0" w:space="0" w:color="auto"/>
      </w:divBdr>
      <w:divsChild>
        <w:div w:id="314528634">
          <w:marLeft w:val="0"/>
          <w:marRight w:val="0"/>
          <w:marTop w:val="0"/>
          <w:marBottom w:val="0"/>
          <w:divBdr>
            <w:top w:val="none" w:sz="0" w:space="0" w:color="auto"/>
            <w:left w:val="none" w:sz="0" w:space="0" w:color="auto"/>
            <w:bottom w:val="none" w:sz="0" w:space="0" w:color="auto"/>
            <w:right w:val="none" w:sz="0" w:space="0" w:color="auto"/>
          </w:divBdr>
        </w:div>
      </w:divsChild>
    </w:div>
    <w:div w:id="306982272">
      <w:bodyDiv w:val="1"/>
      <w:marLeft w:val="0"/>
      <w:marRight w:val="0"/>
      <w:marTop w:val="0"/>
      <w:marBottom w:val="0"/>
      <w:divBdr>
        <w:top w:val="none" w:sz="0" w:space="0" w:color="auto"/>
        <w:left w:val="none" w:sz="0" w:space="0" w:color="auto"/>
        <w:bottom w:val="none" w:sz="0" w:space="0" w:color="auto"/>
        <w:right w:val="none" w:sz="0" w:space="0" w:color="auto"/>
      </w:divBdr>
    </w:div>
    <w:div w:id="333336940">
      <w:bodyDiv w:val="1"/>
      <w:marLeft w:val="0"/>
      <w:marRight w:val="0"/>
      <w:marTop w:val="0"/>
      <w:marBottom w:val="0"/>
      <w:divBdr>
        <w:top w:val="none" w:sz="0" w:space="0" w:color="auto"/>
        <w:left w:val="none" w:sz="0" w:space="0" w:color="auto"/>
        <w:bottom w:val="none" w:sz="0" w:space="0" w:color="auto"/>
        <w:right w:val="none" w:sz="0" w:space="0" w:color="auto"/>
      </w:divBdr>
      <w:divsChild>
        <w:div w:id="1828279863">
          <w:marLeft w:val="0"/>
          <w:marRight w:val="0"/>
          <w:marTop w:val="0"/>
          <w:marBottom w:val="0"/>
          <w:divBdr>
            <w:top w:val="none" w:sz="0" w:space="0" w:color="auto"/>
            <w:left w:val="none" w:sz="0" w:space="0" w:color="auto"/>
            <w:bottom w:val="none" w:sz="0" w:space="0" w:color="auto"/>
            <w:right w:val="none" w:sz="0" w:space="0" w:color="auto"/>
          </w:divBdr>
        </w:div>
      </w:divsChild>
    </w:div>
    <w:div w:id="339477401">
      <w:bodyDiv w:val="1"/>
      <w:marLeft w:val="0"/>
      <w:marRight w:val="0"/>
      <w:marTop w:val="0"/>
      <w:marBottom w:val="0"/>
      <w:divBdr>
        <w:top w:val="none" w:sz="0" w:space="0" w:color="auto"/>
        <w:left w:val="none" w:sz="0" w:space="0" w:color="auto"/>
        <w:bottom w:val="none" w:sz="0" w:space="0" w:color="auto"/>
        <w:right w:val="none" w:sz="0" w:space="0" w:color="auto"/>
      </w:divBdr>
      <w:divsChild>
        <w:div w:id="1587574553">
          <w:marLeft w:val="0"/>
          <w:marRight w:val="0"/>
          <w:marTop w:val="0"/>
          <w:marBottom w:val="0"/>
          <w:divBdr>
            <w:top w:val="none" w:sz="0" w:space="0" w:color="auto"/>
            <w:left w:val="none" w:sz="0" w:space="0" w:color="auto"/>
            <w:bottom w:val="none" w:sz="0" w:space="0" w:color="auto"/>
            <w:right w:val="none" w:sz="0" w:space="0" w:color="auto"/>
          </w:divBdr>
        </w:div>
      </w:divsChild>
    </w:div>
    <w:div w:id="347100391">
      <w:bodyDiv w:val="1"/>
      <w:marLeft w:val="0"/>
      <w:marRight w:val="0"/>
      <w:marTop w:val="0"/>
      <w:marBottom w:val="0"/>
      <w:divBdr>
        <w:top w:val="none" w:sz="0" w:space="0" w:color="auto"/>
        <w:left w:val="none" w:sz="0" w:space="0" w:color="auto"/>
        <w:bottom w:val="none" w:sz="0" w:space="0" w:color="auto"/>
        <w:right w:val="none" w:sz="0" w:space="0" w:color="auto"/>
      </w:divBdr>
    </w:div>
    <w:div w:id="355272563">
      <w:bodyDiv w:val="1"/>
      <w:marLeft w:val="0"/>
      <w:marRight w:val="0"/>
      <w:marTop w:val="0"/>
      <w:marBottom w:val="0"/>
      <w:divBdr>
        <w:top w:val="none" w:sz="0" w:space="0" w:color="auto"/>
        <w:left w:val="none" w:sz="0" w:space="0" w:color="auto"/>
        <w:bottom w:val="none" w:sz="0" w:space="0" w:color="auto"/>
        <w:right w:val="none" w:sz="0" w:space="0" w:color="auto"/>
      </w:divBdr>
      <w:divsChild>
        <w:div w:id="1604847687">
          <w:marLeft w:val="0"/>
          <w:marRight w:val="0"/>
          <w:marTop w:val="0"/>
          <w:marBottom w:val="0"/>
          <w:divBdr>
            <w:top w:val="none" w:sz="0" w:space="0" w:color="auto"/>
            <w:left w:val="none" w:sz="0" w:space="0" w:color="auto"/>
            <w:bottom w:val="none" w:sz="0" w:space="0" w:color="auto"/>
            <w:right w:val="none" w:sz="0" w:space="0" w:color="auto"/>
          </w:divBdr>
        </w:div>
      </w:divsChild>
    </w:div>
    <w:div w:id="357700350">
      <w:bodyDiv w:val="1"/>
      <w:marLeft w:val="0"/>
      <w:marRight w:val="0"/>
      <w:marTop w:val="0"/>
      <w:marBottom w:val="0"/>
      <w:divBdr>
        <w:top w:val="none" w:sz="0" w:space="0" w:color="auto"/>
        <w:left w:val="none" w:sz="0" w:space="0" w:color="auto"/>
        <w:bottom w:val="none" w:sz="0" w:space="0" w:color="auto"/>
        <w:right w:val="none" w:sz="0" w:space="0" w:color="auto"/>
      </w:divBdr>
    </w:div>
    <w:div w:id="373893211">
      <w:bodyDiv w:val="1"/>
      <w:marLeft w:val="0"/>
      <w:marRight w:val="0"/>
      <w:marTop w:val="0"/>
      <w:marBottom w:val="0"/>
      <w:divBdr>
        <w:top w:val="none" w:sz="0" w:space="0" w:color="auto"/>
        <w:left w:val="none" w:sz="0" w:space="0" w:color="auto"/>
        <w:bottom w:val="none" w:sz="0" w:space="0" w:color="auto"/>
        <w:right w:val="none" w:sz="0" w:space="0" w:color="auto"/>
      </w:divBdr>
    </w:div>
    <w:div w:id="380062874">
      <w:bodyDiv w:val="1"/>
      <w:marLeft w:val="0"/>
      <w:marRight w:val="0"/>
      <w:marTop w:val="0"/>
      <w:marBottom w:val="0"/>
      <w:divBdr>
        <w:top w:val="none" w:sz="0" w:space="0" w:color="auto"/>
        <w:left w:val="none" w:sz="0" w:space="0" w:color="auto"/>
        <w:bottom w:val="none" w:sz="0" w:space="0" w:color="auto"/>
        <w:right w:val="none" w:sz="0" w:space="0" w:color="auto"/>
      </w:divBdr>
    </w:div>
    <w:div w:id="382678122">
      <w:bodyDiv w:val="1"/>
      <w:marLeft w:val="0"/>
      <w:marRight w:val="0"/>
      <w:marTop w:val="0"/>
      <w:marBottom w:val="0"/>
      <w:divBdr>
        <w:top w:val="none" w:sz="0" w:space="0" w:color="auto"/>
        <w:left w:val="none" w:sz="0" w:space="0" w:color="auto"/>
        <w:bottom w:val="none" w:sz="0" w:space="0" w:color="auto"/>
        <w:right w:val="none" w:sz="0" w:space="0" w:color="auto"/>
      </w:divBdr>
      <w:divsChild>
        <w:div w:id="1040084313">
          <w:marLeft w:val="0"/>
          <w:marRight w:val="0"/>
          <w:marTop w:val="0"/>
          <w:marBottom w:val="0"/>
          <w:divBdr>
            <w:top w:val="none" w:sz="0" w:space="0" w:color="auto"/>
            <w:left w:val="none" w:sz="0" w:space="0" w:color="auto"/>
            <w:bottom w:val="none" w:sz="0" w:space="0" w:color="auto"/>
            <w:right w:val="none" w:sz="0" w:space="0" w:color="auto"/>
          </w:divBdr>
        </w:div>
      </w:divsChild>
    </w:div>
    <w:div w:id="386878931">
      <w:bodyDiv w:val="1"/>
      <w:marLeft w:val="0"/>
      <w:marRight w:val="0"/>
      <w:marTop w:val="0"/>
      <w:marBottom w:val="0"/>
      <w:divBdr>
        <w:top w:val="none" w:sz="0" w:space="0" w:color="auto"/>
        <w:left w:val="none" w:sz="0" w:space="0" w:color="auto"/>
        <w:bottom w:val="none" w:sz="0" w:space="0" w:color="auto"/>
        <w:right w:val="none" w:sz="0" w:space="0" w:color="auto"/>
      </w:divBdr>
    </w:div>
    <w:div w:id="404762501">
      <w:bodyDiv w:val="1"/>
      <w:marLeft w:val="0"/>
      <w:marRight w:val="0"/>
      <w:marTop w:val="0"/>
      <w:marBottom w:val="0"/>
      <w:divBdr>
        <w:top w:val="none" w:sz="0" w:space="0" w:color="auto"/>
        <w:left w:val="none" w:sz="0" w:space="0" w:color="auto"/>
        <w:bottom w:val="none" w:sz="0" w:space="0" w:color="auto"/>
        <w:right w:val="none" w:sz="0" w:space="0" w:color="auto"/>
      </w:divBdr>
    </w:div>
    <w:div w:id="419378952">
      <w:bodyDiv w:val="1"/>
      <w:marLeft w:val="0"/>
      <w:marRight w:val="0"/>
      <w:marTop w:val="0"/>
      <w:marBottom w:val="0"/>
      <w:divBdr>
        <w:top w:val="none" w:sz="0" w:space="0" w:color="auto"/>
        <w:left w:val="none" w:sz="0" w:space="0" w:color="auto"/>
        <w:bottom w:val="none" w:sz="0" w:space="0" w:color="auto"/>
        <w:right w:val="none" w:sz="0" w:space="0" w:color="auto"/>
      </w:divBdr>
    </w:div>
    <w:div w:id="423497680">
      <w:bodyDiv w:val="1"/>
      <w:marLeft w:val="0"/>
      <w:marRight w:val="0"/>
      <w:marTop w:val="0"/>
      <w:marBottom w:val="0"/>
      <w:divBdr>
        <w:top w:val="none" w:sz="0" w:space="0" w:color="auto"/>
        <w:left w:val="none" w:sz="0" w:space="0" w:color="auto"/>
        <w:bottom w:val="none" w:sz="0" w:space="0" w:color="auto"/>
        <w:right w:val="none" w:sz="0" w:space="0" w:color="auto"/>
      </w:divBdr>
    </w:div>
    <w:div w:id="423498573">
      <w:bodyDiv w:val="1"/>
      <w:marLeft w:val="0"/>
      <w:marRight w:val="0"/>
      <w:marTop w:val="0"/>
      <w:marBottom w:val="0"/>
      <w:divBdr>
        <w:top w:val="none" w:sz="0" w:space="0" w:color="auto"/>
        <w:left w:val="none" w:sz="0" w:space="0" w:color="auto"/>
        <w:bottom w:val="none" w:sz="0" w:space="0" w:color="auto"/>
        <w:right w:val="none" w:sz="0" w:space="0" w:color="auto"/>
      </w:divBdr>
      <w:divsChild>
        <w:div w:id="678779944">
          <w:marLeft w:val="0"/>
          <w:marRight w:val="0"/>
          <w:marTop w:val="0"/>
          <w:marBottom w:val="0"/>
          <w:divBdr>
            <w:top w:val="none" w:sz="0" w:space="0" w:color="auto"/>
            <w:left w:val="none" w:sz="0" w:space="0" w:color="auto"/>
            <w:bottom w:val="none" w:sz="0" w:space="0" w:color="auto"/>
            <w:right w:val="none" w:sz="0" w:space="0" w:color="auto"/>
          </w:divBdr>
        </w:div>
      </w:divsChild>
    </w:div>
    <w:div w:id="423650412">
      <w:bodyDiv w:val="1"/>
      <w:marLeft w:val="0"/>
      <w:marRight w:val="0"/>
      <w:marTop w:val="0"/>
      <w:marBottom w:val="0"/>
      <w:divBdr>
        <w:top w:val="none" w:sz="0" w:space="0" w:color="auto"/>
        <w:left w:val="none" w:sz="0" w:space="0" w:color="auto"/>
        <w:bottom w:val="none" w:sz="0" w:space="0" w:color="auto"/>
        <w:right w:val="none" w:sz="0" w:space="0" w:color="auto"/>
      </w:divBdr>
    </w:div>
    <w:div w:id="424226251">
      <w:bodyDiv w:val="1"/>
      <w:marLeft w:val="0"/>
      <w:marRight w:val="0"/>
      <w:marTop w:val="0"/>
      <w:marBottom w:val="0"/>
      <w:divBdr>
        <w:top w:val="none" w:sz="0" w:space="0" w:color="auto"/>
        <w:left w:val="none" w:sz="0" w:space="0" w:color="auto"/>
        <w:bottom w:val="none" w:sz="0" w:space="0" w:color="auto"/>
        <w:right w:val="none" w:sz="0" w:space="0" w:color="auto"/>
      </w:divBdr>
    </w:div>
    <w:div w:id="467478484">
      <w:bodyDiv w:val="1"/>
      <w:marLeft w:val="0"/>
      <w:marRight w:val="0"/>
      <w:marTop w:val="0"/>
      <w:marBottom w:val="0"/>
      <w:divBdr>
        <w:top w:val="none" w:sz="0" w:space="0" w:color="auto"/>
        <w:left w:val="none" w:sz="0" w:space="0" w:color="auto"/>
        <w:bottom w:val="none" w:sz="0" w:space="0" w:color="auto"/>
        <w:right w:val="none" w:sz="0" w:space="0" w:color="auto"/>
      </w:divBdr>
    </w:div>
    <w:div w:id="471794448">
      <w:bodyDiv w:val="1"/>
      <w:marLeft w:val="0"/>
      <w:marRight w:val="0"/>
      <w:marTop w:val="0"/>
      <w:marBottom w:val="0"/>
      <w:divBdr>
        <w:top w:val="none" w:sz="0" w:space="0" w:color="auto"/>
        <w:left w:val="none" w:sz="0" w:space="0" w:color="auto"/>
        <w:bottom w:val="none" w:sz="0" w:space="0" w:color="auto"/>
        <w:right w:val="none" w:sz="0" w:space="0" w:color="auto"/>
      </w:divBdr>
    </w:div>
    <w:div w:id="473640433">
      <w:bodyDiv w:val="1"/>
      <w:marLeft w:val="0"/>
      <w:marRight w:val="0"/>
      <w:marTop w:val="0"/>
      <w:marBottom w:val="0"/>
      <w:divBdr>
        <w:top w:val="none" w:sz="0" w:space="0" w:color="auto"/>
        <w:left w:val="none" w:sz="0" w:space="0" w:color="auto"/>
        <w:bottom w:val="none" w:sz="0" w:space="0" w:color="auto"/>
        <w:right w:val="none" w:sz="0" w:space="0" w:color="auto"/>
      </w:divBdr>
    </w:div>
    <w:div w:id="475949924">
      <w:bodyDiv w:val="1"/>
      <w:marLeft w:val="0"/>
      <w:marRight w:val="0"/>
      <w:marTop w:val="0"/>
      <w:marBottom w:val="0"/>
      <w:divBdr>
        <w:top w:val="none" w:sz="0" w:space="0" w:color="auto"/>
        <w:left w:val="none" w:sz="0" w:space="0" w:color="auto"/>
        <w:bottom w:val="none" w:sz="0" w:space="0" w:color="auto"/>
        <w:right w:val="none" w:sz="0" w:space="0" w:color="auto"/>
      </w:divBdr>
    </w:div>
    <w:div w:id="478612744">
      <w:bodyDiv w:val="1"/>
      <w:marLeft w:val="0"/>
      <w:marRight w:val="0"/>
      <w:marTop w:val="0"/>
      <w:marBottom w:val="0"/>
      <w:divBdr>
        <w:top w:val="none" w:sz="0" w:space="0" w:color="auto"/>
        <w:left w:val="none" w:sz="0" w:space="0" w:color="auto"/>
        <w:bottom w:val="none" w:sz="0" w:space="0" w:color="auto"/>
        <w:right w:val="none" w:sz="0" w:space="0" w:color="auto"/>
      </w:divBdr>
    </w:div>
    <w:div w:id="484275231">
      <w:bodyDiv w:val="1"/>
      <w:marLeft w:val="0"/>
      <w:marRight w:val="0"/>
      <w:marTop w:val="0"/>
      <w:marBottom w:val="0"/>
      <w:divBdr>
        <w:top w:val="none" w:sz="0" w:space="0" w:color="auto"/>
        <w:left w:val="none" w:sz="0" w:space="0" w:color="auto"/>
        <w:bottom w:val="none" w:sz="0" w:space="0" w:color="auto"/>
        <w:right w:val="none" w:sz="0" w:space="0" w:color="auto"/>
      </w:divBdr>
    </w:div>
    <w:div w:id="516772528">
      <w:bodyDiv w:val="1"/>
      <w:marLeft w:val="0"/>
      <w:marRight w:val="0"/>
      <w:marTop w:val="0"/>
      <w:marBottom w:val="0"/>
      <w:divBdr>
        <w:top w:val="none" w:sz="0" w:space="0" w:color="auto"/>
        <w:left w:val="none" w:sz="0" w:space="0" w:color="auto"/>
        <w:bottom w:val="none" w:sz="0" w:space="0" w:color="auto"/>
        <w:right w:val="none" w:sz="0" w:space="0" w:color="auto"/>
      </w:divBdr>
      <w:divsChild>
        <w:div w:id="181824594">
          <w:marLeft w:val="0"/>
          <w:marRight w:val="0"/>
          <w:marTop w:val="0"/>
          <w:marBottom w:val="0"/>
          <w:divBdr>
            <w:top w:val="none" w:sz="0" w:space="0" w:color="auto"/>
            <w:left w:val="none" w:sz="0" w:space="0" w:color="auto"/>
            <w:bottom w:val="none" w:sz="0" w:space="0" w:color="auto"/>
            <w:right w:val="none" w:sz="0" w:space="0" w:color="auto"/>
          </w:divBdr>
        </w:div>
      </w:divsChild>
    </w:div>
    <w:div w:id="522743163">
      <w:bodyDiv w:val="1"/>
      <w:marLeft w:val="0"/>
      <w:marRight w:val="0"/>
      <w:marTop w:val="0"/>
      <w:marBottom w:val="0"/>
      <w:divBdr>
        <w:top w:val="none" w:sz="0" w:space="0" w:color="auto"/>
        <w:left w:val="none" w:sz="0" w:space="0" w:color="auto"/>
        <w:bottom w:val="none" w:sz="0" w:space="0" w:color="auto"/>
        <w:right w:val="none" w:sz="0" w:space="0" w:color="auto"/>
      </w:divBdr>
      <w:divsChild>
        <w:div w:id="538706678">
          <w:marLeft w:val="0"/>
          <w:marRight w:val="0"/>
          <w:marTop w:val="0"/>
          <w:marBottom w:val="0"/>
          <w:divBdr>
            <w:top w:val="none" w:sz="0" w:space="0" w:color="auto"/>
            <w:left w:val="none" w:sz="0" w:space="0" w:color="auto"/>
            <w:bottom w:val="none" w:sz="0" w:space="0" w:color="auto"/>
            <w:right w:val="none" w:sz="0" w:space="0" w:color="auto"/>
          </w:divBdr>
        </w:div>
      </w:divsChild>
    </w:div>
    <w:div w:id="535436188">
      <w:bodyDiv w:val="1"/>
      <w:marLeft w:val="0"/>
      <w:marRight w:val="0"/>
      <w:marTop w:val="0"/>
      <w:marBottom w:val="0"/>
      <w:divBdr>
        <w:top w:val="none" w:sz="0" w:space="0" w:color="auto"/>
        <w:left w:val="none" w:sz="0" w:space="0" w:color="auto"/>
        <w:bottom w:val="none" w:sz="0" w:space="0" w:color="auto"/>
        <w:right w:val="none" w:sz="0" w:space="0" w:color="auto"/>
      </w:divBdr>
      <w:divsChild>
        <w:div w:id="49308776">
          <w:marLeft w:val="0"/>
          <w:marRight w:val="0"/>
          <w:marTop w:val="0"/>
          <w:marBottom w:val="0"/>
          <w:divBdr>
            <w:top w:val="none" w:sz="0" w:space="0" w:color="auto"/>
            <w:left w:val="none" w:sz="0" w:space="0" w:color="auto"/>
            <w:bottom w:val="none" w:sz="0" w:space="0" w:color="auto"/>
            <w:right w:val="none" w:sz="0" w:space="0" w:color="auto"/>
          </w:divBdr>
        </w:div>
      </w:divsChild>
    </w:div>
    <w:div w:id="541676938">
      <w:bodyDiv w:val="1"/>
      <w:marLeft w:val="0"/>
      <w:marRight w:val="0"/>
      <w:marTop w:val="0"/>
      <w:marBottom w:val="0"/>
      <w:divBdr>
        <w:top w:val="none" w:sz="0" w:space="0" w:color="auto"/>
        <w:left w:val="none" w:sz="0" w:space="0" w:color="auto"/>
        <w:bottom w:val="none" w:sz="0" w:space="0" w:color="auto"/>
        <w:right w:val="none" w:sz="0" w:space="0" w:color="auto"/>
      </w:divBdr>
    </w:div>
    <w:div w:id="554390072">
      <w:bodyDiv w:val="1"/>
      <w:marLeft w:val="0"/>
      <w:marRight w:val="0"/>
      <w:marTop w:val="0"/>
      <w:marBottom w:val="0"/>
      <w:divBdr>
        <w:top w:val="none" w:sz="0" w:space="0" w:color="auto"/>
        <w:left w:val="none" w:sz="0" w:space="0" w:color="auto"/>
        <w:bottom w:val="none" w:sz="0" w:space="0" w:color="auto"/>
        <w:right w:val="none" w:sz="0" w:space="0" w:color="auto"/>
      </w:divBdr>
    </w:div>
    <w:div w:id="587664281">
      <w:bodyDiv w:val="1"/>
      <w:marLeft w:val="0"/>
      <w:marRight w:val="0"/>
      <w:marTop w:val="0"/>
      <w:marBottom w:val="0"/>
      <w:divBdr>
        <w:top w:val="none" w:sz="0" w:space="0" w:color="auto"/>
        <w:left w:val="none" w:sz="0" w:space="0" w:color="auto"/>
        <w:bottom w:val="none" w:sz="0" w:space="0" w:color="auto"/>
        <w:right w:val="none" w:sz="0" w:space="0" w:color="auto"/>
      </w:divBdr>
      <w:divsChild>
        <w:div w:id="2015914920">
          <w:marLeft w:val="0"/>
          <w:marRight w:val="0"/>
          <w:marTop w:val="0"/>
          <w:marBottom w:val="0"/>
          <w:divBdr>
            <w:top w:val="none" w:sz="0" w:space="0" w:color="auto"/>
            <w:left w:val="none" w:sz="0" w:space="0" w:color="auto"/>
            <w:bottom w:val="none" w:sz="0" w:space="0" w:color="auto"/>
            <w:right w:val="none" w:sz="0" w:space="0" w:color="auto"/>
          </w:divBdr>
        </w:div>
      </w:divsChild>
    </w:div>
    <w:div w:id="598489743">
      <w:bodyDiv w:val="1"/>
      <w:marLeft w:val="0"/>
      <w:marRight w:val="0"/>
      <w:marTop w:val="0"/>
      <w:marBottom w:val="0"/>
      <w:divBdr>
        <w:top w:val="none" w:sz="0" w:space="0" w:color="auto"/>
        <w:left w:val="none" w:sz="0" w:space="0" w:color="auto"/>
        <w:bottom w:val="none" w:sz="0" w:space="0" w:color="auto"/>
        <w:right w:val="none" w:sz="0" w:space="0" w:color="auto"/>
      </w:divBdr>
      <w:divsChild>
        <w:div w:id="1012221307">
          <w:marLeft w:val="0"/>
          <w:marRight w:val="0"/>
          <w:marTop w:val="0"/>
          <w:marBottom w:val="0"/>
          <w:divBdr>
            <w:top w:val="none" w:sz="0" w:space="0" w:color="auto"/>
            <w:left w:val="none" w:sz="0" w:space="0" w:color="auto"/>
            <w:bottom w:val="none" w:sz="0" w:space="0" w:color="auto"/>
            <w:right w:val="none" w:sz="0" w:space="0" w:color="auto"/>
          </w:divBdr>
        </w:div>
      </w:divsChild>
    </w:div>
    <w:div w:id="621956130">
      <w:bodyDiv w:val="1"/>
      <w:marLeft w:val="0"/>
      <w:marRight w:val="0"/>
      <w:marTop w:val="0"/>
      <w:marBottom w:val="0"/>
      <w:divBdr>
        <w:top w:val="none" w:sz="0" w:space="0" w:color="auto"/>
        <w:left w:val="none" w:sz="0" w:space="0" w:color="auto"/>
        <w:bottom w:val="none" w:sz="0" w:space="0" w:color="auto"/>
        <w:right w:val="none" w:sz="0" w:space="0" w:color="auto"/>
      </w:divBdr>
      <w:divsChild>
        <w:div w:id="1658797935">
          <w:marLeft w:val="0"/>
          <w:marRight w:val="0"/>
          <w:marTop w:val="0"/>
          <w:marBottom w:val="0"/>
          <w:divBdr>
            <w:top w:val="none" w:sz="0" w:space="0" w:color="auto"/>
            <w:left w:val="none" w:sz="0" w:space="0" w:color="auto"/>
            <w:bottom w:val="none" w:sz="0" w:space="0" w:color="auto"/>
            <w:right w:val="none" w:sz="0" w:space="0" w:color="auto"/>
          </w:divBdr>
        </w:div>
      </w:divsChild>
    </w:div>
    <w:div w:id="626934917">
      <w:bodyDiv w:val="1"/>
      <w:marLeft w:val="0"/>
      <w:marRight w:val="0"/>
      <w:marTop w:val="0"/>
      <w:marBottom w:val="0"/>
      <w:divBdr>
        <w:top w:val="none" w:sz="0" w:space="0" w:color="auto"/>
        <w:left w:val="none" w:sz="0" w:space="0" w:color="auto"/>
        <w:bottom w:val="none" w:sz="0" w:space="0" w:color="auto"/>
        <w:right w:val="none" w:sz="0" w:space="0" w:color="auto"/>
      </w:divBdr>
    </w:div>
    <w:div w:id="636112535">
      <w:bodyDiv w:val="1"/>
      <w:marLeft w:val="0"/>
      <w:marRight w:val="0"/>
      <w:marTop w:val="0"/>
      <w:marBottom w:val="0"/>
      <w:divBdr>
        <w:top w:val="none" w:sz="0" w:space="0" w:color="auto"/>
        <w:left w:val="none" w:sz="0" w:space="0" w:color="auto"/>
        <w:bottom w:val="none" w:sz="0" w:space="0" w:color="auto"/>
        <w:right w:val="none" w:sz="0" w:space="0" w:color="auto"/>
      </w:divBdr>
    </w:div>
    <w:div w:id="656961773">
      <w:bodyDiv w:val="1"/>
      <w:marLeft w:val="0"/>
      <w:marRight w:val="0"/>
      <w:marTop w:val="0"/>
      <w:marBottom w:val="0"/>
      <w:divBdr>
        <w:top w:val="none" w:sz="0" w:space="0" w:color="auto"/>
        <w:left w:val="none" w:sz="0" w:space="0" w:color="auto"/>
        <w:bottom w:val="none" w:sz="0" w:space="0" w:color="auto"/>
        <w:right w:val="none" w:sz="0" w:space="0" w:color="auto"/>
      </w:divBdr>
    </w:div>
    <w:div w:id="665089815">
      <w:bodyDiv w:val="1"/>
      <w:marLeft w:val="0"/>
      <w:marRight w:val="0"/>
      <w:marTop w:val="0"/>
      <w:marBottom w:val="0"/>
      <w:divBdr>
        <w:top w:val="none" w:sz="0" w:space="0" w:color="auto"/>
        <w:left w:val="none" w:sz="0" w:space="0" w:color="auto"/>
        <w:bottom w:val="none" w:sz="0" w:space="0" w:color="auto"/>
        <w:right w:val="none" w:sz="0" w:space="0" w:color="auto"/>
      </w:divBdr>
      <w:divsChild>
        <w:div w:id="294456392">
          <w:marLeft w:val="0"/>
          <w:marRight w:val="0"/>
          <w:marTop w:val="0"/>
          <w:marBottom w:val="0"/>
          <w:divBdr>
            <w:top w:val="none" w:sz="0" w:space="0" w:color="auto"/>
            <w:left w:val="none" w:sz="0" w:space="0" w:color="auto"/>
            <w:bottom w:val="none" w:sz="0" w:space="0" w:color="auto"/>
            <w:right w:val="none" w:sz="0" w:space="0" w:color="auto"/>
          </w:divBdr>
        </w:div>
      </w:divsChild>
    </w:div>
    <w:div w:id="668102679">
      <w:bodyDiv w:val="1"/>
      <w:marLeft w:val="0"/>
      <w:marRight w:val="0"/>
      <w:marTop w:val="0"/>
      <w:marBottom w:val="0"/>
      <w:divBdr>
        <w:top w:val="none" w:sz="0" w:space="0" w:color="auto"/>
        <w:left w:val="none" w:sz="0" w:space="0" w:color="auto"/>
        <w:bottom w:val="none" w:sz="0" w:space="0" w:color="auto"/>
        <w:right w:val="none" w:sz="0" w:space="0" w:color="auto"/>
      </w:divBdr>
    </w:div>
    <w:div w:id="673342389">
      <w:bodyDiv w:val="1"/>
      <w:marLeft w:val="0"/>
      <w:marRight w:val="0"/>
      <w:marTop w:val="0"/>
      <w:marBottom w:val="0"/>
      <w:divBdr>
        <w:top w:val="none" w:sz="0" w:space="0" w:color="auto"/>
        <w:left w:val="none" w:sz="0" w:space="0" w:color="auto"/>
        <w:bottom w:val="none" w:sz="0" w:space="0" w:color="auto"/>
        <w:right w:val="none" w:sz="0" w:space="0" w:color="auto"/>
      </w:divBdr>
    </w:div>
    <w:div w:id="678894836">
      <w:bodyDiv w:val="1"/>
      <w:marLeft w:val="0"/>
      <w:marRight w:val="0"/>
      <w:marTop w:val="0"/>
      <w:marBottom w:val="0"/>
      <w:divBdr>
        <w:top w:val="none" w:sz="0" w:space="0" w:color="auto"/>
        <w:left w:val="none" w:sz="0" w:space="0" w:color="auto"/>
        <w:bottom w:val="none" w:sz="0" w:space="0" w:color="auto"/>
        <w:right w:val="none" w:sz="0" w:space="0" w:color="auto"/>
      </w:divBdr>
    </w:div>
    <w:div w:id="702442992">
      <w:bodyDiv w:val="1"/>
      <w:marLeft w:val="0"/>
      <w:marRight w:val="0"/>
      <w:marTop w:val="0"/>
      <w:marBottom w:val="0"/>
      <w:divBdr>
        <w:top w:val="none" w:sz="0" w:space="0" w:color="auto"/>
        <w:left w:val="none" w:sz="0" w:space="0" w:color="auto"/>
        <w:bottom w:val="none" w:sz="0" w:space="0" w:color="auto"/>
        <w:right w:val="none" w:sz="0" w:space="0" w:color="auto"/>
      </w:divBdr>
    </w:div>
    <w:div w:id="705834857">
      <w:bodyDiv w:val="1"/>
      <w:marLeft w:val="0"/>
      <w:marRight w:val="0"/>
      <w:marTop w:val="0"/>
      <w:marBottom w:val="0"/>
      <w:divBdr>
        <w:top w:val="none" w:sz="0" w:space="0" w:color="auto"/>
        <w:left w:val="none" w:sz="0" w:space="0" w:color="auto"/>
        <w:bottom w:val="none" w:sz="0" w:space="0" w:color="auto"/>
        <w:right w:val="none" w:sz="0" w:space="0" w:color="auto"/>
      </w:divBdr>
      <w:divsChild>
        <w:div w:id="262958836">
          <w:marLeft w:val="0"/>
          <w:marRight w:val="0"/>
          <w:marTop w:val="0"/>
          <w:marBottom w:val="0"/>
          <w:divBdr>
            <w:top w:val="none" w:sz="0" w:space="0" w:color="auto"/>
            <w:left w:val="none" w:sz="0" w:space="0" w:color="auto"/>
            <w:bottom w:val="none" w:sz="0" w:space="0" w:color="auto"/>
            <w:right w:val="none" w:sz="0" w:space="0" w:color="auto"/>
          </w:divBdr>
        </w:div>
      </w:divsChild>
    </w:div>
    <w:div w:id="710691388">
      <w:bodyDiv w:val="1"/>
      <w:marLeft w:val="0"/>
      <w:marRight w:val="0"/>
      <w:marTop w:val="0"/>
      <w:marBottom w:val="0"/>
      <w:divBdr>
        <w:top w:val="none" w:sz="0" w:space="0" w:color="auto"/>
        <w:left w:val="none" w:sz="0" w:space="0" w:color="auto"/>
        <w:bottom w:val="none" w:sz="0" w:space="0" w:color="auto"/>
        <w:right w:val="none" w:sz="0" w:space="0" w:color="auto"/>
      </w:divBdr>
      <w:divsChild>
        <w:div w:id="2035109097">
          <w:marLeft w:val="0"/>
          <w:marRight w:val="0"/>
          <w:marTop w:val="0"/>
          <w:marBottom w:val="0"/>
          <w:divBdr>
            <w:top w:val="none" w:sz="0" w:space="0" w:color="auto"/>
            <w:left w:val="none" w:sz="0" w:space="0" w:color="auto"/>
            <w:bottom w:val="none" w:sz="0" w:space="0" w:color="auto"/>
            <w:right w:val="none" w:sz="0" w:space="0" w:color="auto"/>
          </w:divBdr>
        </w:div>
      </w:divsChild>
    </w:div>
    <w:div w:id="716783280">
      <w:bodyDiv w:val="1"/>
      <w:marLeft w:val="0"/>
      <w:marRight w:val="0"/>
      <w:marTop w:val="0"/>
      <w:marBottom w:val="0"/>
      <w:divBdr>
        <w:top w:val="none" w:sz="0" w:space="0" w:color="auto"/>
        <w:left w:val="none" w:sz="0" w:space="0" w:color="auto"/>
        <w:bottom w:val="none" w:sz="0" w:space="0" w:color="auto"/>
        <w:right w:val="none" w:sz="0" w:space="0" w:color="auto"/>
      </w:divBdr>
      <w:divsChild>
        <w:div w:id="555624352">
          <w:marLeft w:val="0"/>
          <w:marRight w:val="0"/>
          <w:marTop w:val="0"/>
          <w:marBottom w:val="0"/>
          <w:divBdr>
            <w:top w:val="none" w:sz="0" w:space="0" w:color="auto"/>
            <w:left w:val="none" w:sz="0" w:space="0" w:color="auto"/>
            <w:bottom w:val="none" w:sz="0" w:space="0" w:color="auto"/>
            <w:right w:val="none" w:sz="0" w:space="0" w:color="auto"/>
          </w:divBdr>
        </w:div>
      </w:divsChild>
    </w:div>
    <w:div w:id="740562668">
      <w:bodyDiv w:val="1"/>
      <w:marLeft w:val="0"/>
      <w:marRight w:val="0"/>
      <w:marTop w:val="0"/>
      <w:marBottom w:val="0"/>
      <w:divBdr>
        <w:top w:val="none" w:sz="0" w:space="0" w:color="auto"/>
        <w:left w:val="none" w:sz="0" w:space="0" w:color="auto"/>
        <w:bottom w:val="none" w:sz="0" w:space="0" w:color="auto"/>
        <w:right w:val="none" w:sz="0" w:space="0" w:color="auto"/>
      </w:divBdr>
      <w:divsChild>
        <w:div w:id="702289722">
          <w:marLeft w:val="0"/>
          <w:marRight w:val="0"/>
          <w:marTop w:val="0"/>
          <w:marBottom w:val="0"/>
          <w:divBdr>
            <w:top w:val="none" w:sz="0" w:space="0" w:color="auto"/>
            <w:left w:val="none" w:sz="0" w:space="0" w:color="auto"/>
            <w:bottom w:val="none" w:sz="0" w:space="0" w:color="auto"/>
            <w:right w:val="none" w:sz="0" w:space="0" w:color="auto"/>
          </w:divBdr>
        </w:div>
      </w:divsChild>
    </w:div>
    <w:div w:id="747654879">
      <w:bodyDiv w:val="1"/>
      <w:marLeft w:val="0"/>
      <w:marRight w:val="0"/>
      <w:marTop w:val="0"/>
      <w:marBottom w:val="0"/>
      <w:divBdr>
        <w:top w:val="none" w:sz="0" w:space="0" w:color="auto"/>
        <w:left w:val="none" w:sz="0" w:space="0" w:color="auto"/>
        <w:bottom w:val="none" w:sz="0" w:space="0" w:color="auto"/>
        <w:right w:val="none" w:sz="0" w:space="0" w:color="auto"/>
      </w:divBdr>
    </w:div>
    <w:div w:id="763378248">
      <w:bodyDiv w:val="1"/>
      <w:marLeft w:val="0"/>
      <w:marRight w:val="0"/>
      <w:marTop w:val="0"/>
      <w:marBottom w:val="0"/>
      <w:divBdr>
        <w:top w:val="none" w:sz="0" w:space="0" w:color="auto"/>
        <w:left w:val="none" w:sz="0" w:space="0" w:color="auto"/>
        <w:bottom w:val="none" w:sz="0" w:space="0" w:color="auto"/>
        <w:right w:val="none" w:sz="0" w:space="0" w:color="auto"/>
      </w:divBdr>
    </w:div>
    <w:div w:id="790637236">
      <w:bodyDiv w:val="1"/>
      <w:marLeft w:val="0"/>
      <w:marRight w:val="0"/>
      <w:marTop w:val="0"/>
      <w:marBottom w:val="0"/>
      <w:divBdr>
        <w:top w:val="none" w:sz="0" w:space="0" w:color="auto"/>
        <w:left w:val="none" w:sz="0" w:space="0" w:color="auto"/>
        <w:bottom w:val="none" w:sz="0" w:space="0" w:color="auto"/>
        <w:right w:val="none" w:sz="0" w:space="0" w:color="auto"/>
      </w:divBdr>
      <w:divsChild>
        <w:div w:id="1566186416">
          <w:marLeft w:val="0"/>
          <w:marRight w:val="0"/>
          <w:marTop w:val="0"/>
          <w:marBottom w:val="0"/>
          <w:divBdr>
            <w:top w:val="none" w:sz="0" w:space="0" w:color="auto"/>
            <w:left w:val="none" w:sz="0" w:space="0" w:color="auto"/>
            <w:bottom w:val="none" w:sz="0" w:space="0" w:color="auto"/>
            <w:right w:val="none" w:sz="0" w:space="0" w:color="auto"/>
          </w:divBdr>
        </w:div>
      </w:divsChild>
    </w:div>
    <w:div w:id="823280923">
      <w:bodyDiv w:val="1"/>
      <w:marLeft w:val="0"/>
      <w:marRight w:val="0"/>
      <w:marTop w:val="0"/>
      <w:marBottom w:val="0"/>
      <w:divBdr>
        <w:top w:val="none" w:sz="0" w:space="0" w:color="auto"/>
        <w:left w:val="none" w:sz="0" w:space="0" w:color="auto"/>
        <w:bottom w:val="none" w:sz="0" w:space="0" w:color="auto"/>
        <w:right w:val="none" w:sz="0" w:space="0" w:color="auto"/>
      </w:divBdr>
      <w:divsChild>
        <w:div w:id="389379742">
          <w:marLeft w:val="0"/>
          <w:marRight w:val="0"/>
          <w:marTop w:val="0"/>
          <w:marBottom w:val="0"/>
          <w:divBdr>
            <w:top w:val="none" w:sz="0" w:space="0" w:color="auto"/>
            <w:left w:val="none" w:sz="0" w:space="0" w:color="auto"/>
            <w:bottom w:val="none" w:sz="0" w:space="0" w:color="auto"/>
            <w:right w:val="none" w:sz="0" w:space="0" w:color="auto"/>
          </w:divBdr>
        </w:div>
      </w:divsChild>
    </w:div>
    <w:div w:id="842820409">
      <w:bodyDiv w:val="1"/>
      <w:marLeft w:val="0"/>
      <w:marRight w:val="0"/>
      <w:marTop w:val="0"/>
      <w:marBottom w:val="0"/>
      <w:divBdr>
        <w:top w:val="none" w:sz="0" w:space="0" w:color="auto"/>
        <w:left w:val="none" w:sz="0" w:space="0" w:color="auto"/>
        <w:bottom w:val="none" w:sz="0" w:space="0" w:color="auto"/>
        <w:right w:val="none" w:sz="0" w:space="0" w:color="auto"/>
      </w:divBdr>
    </w:div>
    <w:div w:id="844128295">
      <w:bodyDiv w:val="1"/>
      <w:marLeft w:val="0"/>
      <w:marRight w:val="0"/>
      <w:marTop w:val="0"/>
      <w:marBottom w:val="0"/>
      <w:divBdr>
        <w:top w:val="none" w:sz="0" w:space="0" w:color="auto"/>
        <w:left w:val="none" w:sz="0" w:space="0" w:color="auto"/>
        <w:bottom w:val="none" w:sz="0" w:space="0" w:color="auto"/>
        <w:right w:val="none" w:sz="0" w:space="0" w:color="auto"/>
      </w:divBdr>
    </w:div>
    <w:div w:id="866793604">
      <w:bodyDiv w:val="1"/>
      <w:marLeft w:val="0"/>
      <w:marRight w:val="0"/>
      <w:marTop w:val="0"/>
      <w:marBottom w:val="0"/>
      <w:divBdr>
        <w:top w:val="none" w:sz="0" w:space="0" w:color="auto"/>
        <w:left w:val="none" w:sz="0" w:space="0" w:color="auto"/>
        <w:bottom w:val="none" w:sz="0" w:space="0" w:color="auto"/>
        <w:right w:val="none" w:sz="0" w:space="0" w:color="auto"/>
      </w:divBdr>
      <w:divsChild>
        <w:div w:id="306008328">
          <w:marLeft w:val="0"/>
          <w:marRight w:val="0"/>
          <w:marTop w:val="0"/>
          <w:marBottom w:val="0"/>
          <w:divBdr>
            <w:top w:val="none" w:sz="0" w:space="0" w:color="auto"/>
            <w:left w:val="none" w:sz="0" w:space="0" w:color="auto"/>
            <w:bottom w:val="none" w:sz="0" w:space="0" w:color="auto"/>
            <w:right w:val="none" w:sz="0" w:space="0" w:color="auto"/>
          </w:divBdr>
        </w:div>
      </w:divsChild>
    </w:div>
    <w:div w:id="867838394">
      <w:bodyDiv w:val="1"/>
      <w:marLeft w:val="0"/>
      <w:marRight w:val="0"/>
      <w:marTop w:val="0"/>
      <w:marBottom w:val="0"/>
      <w:divBdr>
        <w:top w:val="none" w:sz="0" w:space="0" w:color="auto"/>
        <w:left w:val="none" w:sz="0" w:space="0" w:color="auto"/>
        <w:bottom w:val="none" w:sz="0" w:space="0" w:color="auto"/>
        <w:right w:val="none" w:sz="0" w:space="0" w:color="auto"/>
      </w:divBdr>
      <w:divsChild>
        <w:div w:id="1590190208">
          <w:marLeft w:val="0"/>
          <w:marRight w:val="0"/>
          <w:marTop w:val="0"/>
          <w:marBottom w:val="0"/>
          <w:divBdr>
            <w:top w:val="none" w:sz="0" w:space="0" w:color="auto"/>
            <w:left w:val="none" w:sz="0" w:space="0" w:color="auto"/>
            <w:bottom w:val="none" w:sz="0" w:space="0" w:color="auto"/>
            <w:right w:val="none" w:sz="0" w:space="0" w:color="auto"/>
          </w:divBdr>
        </w:div>
      </w:divsChild>
    </w:div>
    <w:div w:id="868025448">
      <w:bodyDiv w:val="1"/>
      <w:marLeft w:val="0"/>
      <w:marRight w:val="0"/>
      <w:marTop w:val="0"/>
      <w:marBottom w:val="0"/>
      <w:divBdr>
        <w:top w:val="none" w:sz="0" w:space="0" w:color="auto"/>
        <w:left w:val="none" w:sz="0" w:space="0" w:color="auto"/>
        <w:bottom w:val="none" w:sz="0" w:space="0" w:color="auto"/>
        <w:right w:val="none" w:sz="0" w:space="0" w:color="auto"/>
      </w:divBdr>
    </w:div>
    <w:div w:id="888105299">
      <w:bodyDiv w:val="1"/>
      <w:marLeft w:val="0"/>
      <w:marRight w:val="0"/>
      <w:marTop w:val="0"/>
      <w:marBottom w:val="0"/>
      <w:divBdr>
        <w:top w:val="none" w:sz="0" w:space="0" w:color="auto"/>
        <w:left w:val="none" w:sz="0" w:space="0" w:color="auto"/>
        <w:bottom w:val="none" w:sz="0" w:space="0" w:color="auto"/>
        <w:right w:val="none" w:sz="0" w:space="0" w:color="auto"/>
      </w:divBdr>
    </w:div>
    <w:div w:id="893857573">
      <w:bodyDiv w:val="1"/>
      <w:marLeft w:val="0"/>
      <w:marRight w:val="0"/>
      <w:marTop w:val="0"/>
      <w:marBottom w:val="0"/>
      <w:divBdr>
        <w:top w:val="none" w:sz="0" w:space="0" w:color="auto"/>
        <w:left w:val="none" w:sz="0" w:space="0" w:color="auto"/>
        <w:bottom w:val="none" w:sz="0" w:space="0" w:color="auto"/>
        <w:right w:val="none" w:sz="0" w:space="0" w:color="auto"/>
      </w:divBdr>
    </w:div>
    <w:div w:id="894466559">
      <w:bodyDiv w:val="1"/>
      <w:marLeft w:val="0"/>
      <w:marRight w:val="0"/>
      <w:marTop w:val="0"/>
      <w:marBottom w:val="0"/>
      <w:divBdr>
        <w:top w:val="none" w:sz="0" w:space="0" w:color="auto"/>
        <w:left w:val="none" w:sz="0" w:space="0" w:color="auto"/>
        <w:bottom w:val="none" w:sz="0" w:space="0" w:color="auto"/>
        <w:right w:val="none" w:sz="0" w:space="0" w:color="auto"/>
      </w:divBdr>
    </w:div>
    <w:div w:id="899752982">
      <w:bodyDiv w:val="1"/>
      <w:marLeft w:val="0"/>
      <w:marRight w:val="0"/>
      <w:marTop w:val="0"/>
      <w:marBottom w:val="0"/>
      <w:divBdr>
        <w:top w:val="none" w:sz="0" w:space="0" w:color="auto"/>
        <w:left w:val="none" w:sz="0" w:space="0" w:color="auto"/>
        <w:bottom w:val="none" w:sz="0" w:space="0" w:color="auto"/>
        <w:right w:val="none" w:sz="0" w:space="0" w:color="auto"/>
      </w:divBdr>
      <w:divsChild>
        <w:div w:id="1173061492">
          <w:marLeft w:val="0"/>
          <w:marRight w:val="0"/>
          <w:marTop w:val="0"/>
          <w:marBottom w:val="0"/>
          <w:divBdr>
            <w:top w:val="none" w:sz="0" w:space="0" w:color="auto"/>
            <w:left w:val="none" w:sz="0" w:space="0" w:color="auto"/>
            <w:bottom w:val="none" w:sz="0" w:space="0" w:color="auto"/>
            <w:right w:val="none" w:sz="0" w:space="0" w:color="auto"/>
          </w:divBdr>
        </w:div>
      </w:divsChild>
    </w:div>
    <w:div w:id="902258590">
      <w:bodyDiv w:val="1"/>
      <w:marLeft w:val="0"/>
      <w:marRight w:val="0"/>
      <w:marTop w:val="0"/>
      <w:marBottom w:val="0"/>
      <w:divBdr>
        <w:top w:val="none" w:sz="0" w:space="0" w:color="auto"/>
        <w:left w:val="none" w:sz="0" w:space="0" w:color="auto"/>
        <w:bottom w:val="none" w:sz="0" w:space="0" w:color="auto"/>
        <w:right w:val="none" w:sz="0" w:space="0" w:color="auto"/>
      </w:divBdr>
      <w:divsChild>
        <w:div w:id="26031996">
          <w:marLeft w:val="0"/>
          <w:marRight w:val="0"/>
          <w:marTop w:val="0"/>
          <w:marBottom w:val="0"/>
          <w:divBdr>
            <w:top w:val="none" w:sz="0" w:space="0" w:color="auto"/>
            <w:left w:val="none" w:sz="0" w:space="0" w:color="auto"/>
            <w:bottom w:val="none" w:sz="0" w:space="0" w:color="auto"/>
            <w:right w:val="none" w:sz="0" w:space="0" w:color="auto"/>
          </w:divBdr>
        </w:div>
      </w:divsChild>
    </w:div>
    <w:div w:id="910433015">
      <w:bodyDiv w:val="1"/>
      <w:marLeft w:val="0"/>
      <w:marRight w:val="0"/>
      <w:marTop w:val="0"/>
      <w:marBottom w:val="0"/>
      <w:divBdr>
        <w:top w:val="none" w:sz="0" w:space="0" w:color="auto"/>
        <w:left w:val="none" w:sz="0" w:space="0" w:color="auto"/>
        <w:bottom w:val="none" w:sz="0" w:space="0" w:color="auto"/>
        <w:right w:val="none" w:sz="0" w:space="0" w:color="auto"/>
      </w:divBdr>
    </w:div>
    <w:div w:id="911818104">
      <w:bodyDiv w:val="1"/>
      <w:marLeft w:val="0"/>
      <w:marRight w:val="0"/>
      <w:marTop w:val="0"/>
      <w:marBottom w:val="0"/>
      <w:divBdr>
        <w:top w:val="none" w:sz="0" w:space="0" w:color="auto"/>
        <w:left w:val="none" w:sz="0" w:space="0" w:color="auto"/>
        <w:bottom w:val="none" w:sz="0" w:space="0" w:color="auto"/>
        <w:right w:val="none" w:sz="0" w:space="0" w:color="auto"/>
      </w:divBdr>
      <w:divsChild>
        <w:div w:id="2116249151">
          <w:marLeft w:val="0"/>
          <w:marRight w:val="0"/>
          <w:marTop w:val="0"/>
          <w:marBottom w:val="0"/>
          <w:divBdr>
            <w:top w:val="none" w:sz="0" w:space="0" w:color="auto"/>
            <w:left w:val="none" w:sz="0" w:space="0" w:color="auto"/>
            <w:bottom w:val="none" w:sz="0" w:space="0" w:color="auto"/>
            <w:right w:val="none" w:sz="0" w:space="0" w:color="auto"/>
          </w:divBdr>
        </w:div>
      </w:divsChild>
    </w:div>
    <w:div w:id="917790794">
      <w:bodyDiv w:val="1"/>
      <w:marLeft w:val="0"/>
      <w:marRight w:val="0"/>
      <w:marTop w:val="0"/>
      <w:marBottom w:val="0"/>
      <w:divBdr>
        <w:top w:val="none" w:sz="0" w:space="0" w:color="auto"/>
        <w:left w:val="none" w:sz="0" w:space="0" w:color="auto"/>
        <w:bottom w:val="none" w:sz="0" w:space="0" w:color="auto"/>
        <w:right w:val="none" w:sz="0" w:space="0" w:color="auto"/>
      </w:divBdr>
    </w:div>
    <w:div w:id="932125652">
      <w:bodyDiv w:val="1"/>
      <w:marLeft w:val="0"/>
      <w:marRight w:val="0"/>
      <w:marTop w:val="0"/>
      <w:marBottom w:val="0"/>
      <w:divBdr>
        <w:top w:val="none" w:sz="0" w:space="0" w:color="auto"/>
        <w:left w:val="none" w:sz="0" w:space="0" w:color="auto"/>
        <w:bottom w:val="none" w:sz="0" w:space="0" w:color="auto"/>
        <w:right w:val="none" w:sz="0" w:space="0" w:color="auto"/>
      </w:divBdr>
      <w:divsChild>
        <w:div w:id="724835758">
          <w:marLeft w:val="0"/>
          <w:marRight w:val="0"/>
          <w:marTop w:val="0"/>
          <w:marBottom w:val="0"/>
          <w:divBdr>
            <w:top w:val="none" w:sz="0" w:space="0" w:color="auto"/>
            <w:left w:val="none" w:sz="0" w:space="0" w:color="auto"/>
            <w:bottom w:val="none" w:sz="0" w:space="0" w:color="auto"/>
            <w:right w:val="none" w:sz="0" w:space="0" w:color="auto"/>
          </w:divBdr>
        </w:div>
      </w:divsChild>
    </w:div>
    <w:div w:id="932472131">
      <w:bodyDiv w:val="1"/>
      <w:marLeft w:val="0"/>
      <w:marRight w:val="0"/>
      <w:marTop w:val="0"/>
      <w:marBottom w:val="0"/>
      <w:divBdr>
        <w:top w:val="none" w:sz="0" w:space="0" w:color="auto"/>
        <w:left w:val="none" w:sz="0" w:space="0" w:color="auto"/>
        <w:bottom w:val="none" w:sz="0" w:space="0" w:color="auto"/>
        <w:right w:val="none" w:sz="0" w:space="0" w:color="auto"/>
      </w:divBdr>
    </w:div>
    <w:div w:id="951741976">
      <w:bodyDiv w:val="1"/>
      <w:marLeft w:val="0"/>
      <w:marRight w:val="0"/>
      <w:marTop w:val="0"/>
      <w:marBottom w:val="0"/>
      <w:divBdr>
        <w:top w:val="none" w:sz="0" w:space="0" w:color="auto"/>
        <w:left w:val="none" w:sz="0" w:space="0" w:color="auto"/>
        <w:bottom w:val="none" w:sz="0" w:space="0" w:color="auto"/>
        <w:right w:val="none" w:sz="0" w:space="0" w:color="auto"/>
      </w:divBdr>
    </w:div>
    <w:div w:id="963776540">
      <w:bodyDiv w:val="1"/>
      <w:marLeft w:val="0"/>
      <w:marRight w:val="0"/>
      <w:marTop w:val="0"/>
      <w:marBottom w:val="0"/>
      <w:divBdr>
        <w:top w:val="none" w:sz="0" w:space="0" w:color="auto"/>
        <w:left w:val="none" w:sz="0" w:space="0" w:color="auto"/>
        <w:bottom w:val="none" w:sz="0" w:space="0" w:color="auto"/>
        <w:right w:val="none" w:sz="0" w:space="0" w:color="auto"/>
      </w:divBdr>
    </w:div>
    <w:div w:id="987171060">
      <w:bodyDiv w:val="1"/>
      <w:marLeft w:val="0"/>
      <w:marRight w:val="0"/>
      <w:marTop w:val="0"/>
      <w:marBottom w:val="0"/>
      <w:divBdr>
        <w:top w:val="none" w:sz="0" w:space="0" w:color="auto"/>
        <w:left w:val="none" w:sz="0" w:space="0" w:color="auto"/>
        <w:bottom w:val="none" w:sz="0" w:space="0" w:color="auto"/>
        <w:right w:val="none" w:sz="0" w:space="0" w:color="auto"/>
      </w:divBdr>
    </w:div>
    <w:div w:id="997801747">
      <w:bodyDiv w:val="1"/>
      <w:marLeft w:val="0"/>
      <w:marRight w:val="0"/>
      <w:marTop w:val="0"/>
      <w:marBottom w:val="0"/>
      <w:divBdr>
        <w:top w:val="none" w:sz="0" w:space="0" w:color="auto"/>
        <w:left w:val="none" w:sz="0" w:space="0" w:color="auto"/>
        <w:bottom w:val="none" w:sz="0" w:space="0" w:color="auto"/>
        <w:right w:val="none" w:sz="0" w:space="0" w:color="auto"/>
      </w:divBdr>
    </w:div>
    <w:div w:id="1016730839">
      <w:bodyDiv w:val="1"/>
      <w:marLeft w:val="0"/>
      <w:marRight w:val="0"/>
      <w:marTop w:val="0"/>
      <w:marBottom w:val="0"/>
      <w:divBdr>
        <w:top w:val="none" w:sz="0" w:space="0" w:color="auto"/>
        <w:left w:val="none" w:sz="0" w:space="0" w:color="auto"/>
        <w:bottom w:val="none" w:sz="0" w:space="0" w:color="auto"/>
        <w:right w:val="none" w:sz="0" w:space="0" w:color="auto"/>
      </w:divBdr>
      <w:divsChild>
        <w:div w:id="1716074735">
          <w:marLeft w:val="0"/>
          <w:marRight w:val="0"/>
          <w:marTop w:val="0"/>
          <w:marBottom w:val="0"/>
          <w:divBdr>
            <w:top w:val="none" w:sz="0" w:space="0" w:color="auto"/>
            <w:left w:val="none" w:sz="0" w:space="0" w:color="auto"/>
            <w:bottom w:val="none" w:sz="0" w:space="0" w:color="auto"/>
            <w:right w:val="none" w:sz="0" w:space="0" w:color="auto"/>
          </w:divBdr>
        </w:div>
      </w:divsChild>
    </w:div>
    <w:div w:id="1025598100">
      <w:bodyDiv w:val="1"/>
      <w:marLeft w:val="0"/>
      <w:marRight w:val="0"/>
      <w:marTop w:val="0"/>
      <w:marBottom w:val="0"/>
      <w:divBdr>
        <w:top w:val="none" w:sz="0" w:space="0" w:color="auto"/>
        <w:left w:val="none" w:sz="0" w:space="0" w:color="auto"/>
        <w:bottom w:val="none" w:sz="0" w:space="0" w:color="auto"/>
        <w:right w:val="none" w:sz="0" w:space="0" w:color="auto"/>
      </w:divBdr>
      <w:divsChild>
        <w:div w:id="1236279703">
          <w:marLeft w:val="0"/>
          <w:marRight w:val="0"/>
          <w:marTop w:val="0"/>
          <w:marBottom w:val="0"/>
          <w:divBdr>
            <w:top w:val="none" w:sz="0" w:space="0" w:color="auto"/>
            <w:left w:val="none" w:sz="0" w:space="0" w:color="auto"/>
            <w:bottom w:val="none" w:sz="0" w:space="0" w:color="auto"/>
            <w:right w:val="none" w:sz="0" w:space="0" w:color="auto"/>
          </w:divBdr>
        </w:div>
      </w:divsChild>
    </w:div>
    <w:div w:id="1042244401">
      <w:bodyDiv w:val="1"/>
      <w:marLeft w:val="0"/>
      <w:marRight w:val="0"/>
      <w:marTop w:val="0"/>
      <w:marBottom w:val="0"/>
      <w:divBdr>
        <w:top w:val="none" w:sz="0" w:space="0" w:color="auto"/>
        <w:left w:val="none" w:sz="0" w:space="0" w:color="auto"/>
        <w:bottom w:val="none" w:sz="0" w:space="0" w:color="auto"/>
        <w:right w:val="none" w:sz="0" w:space="0" w:color="auto"/>
      </w:divBdr>
    </w:div>
    <w:div w:id="1043678417">
      <w:bodyDiv w:val="1"/>
      <w:marLeft w:val="0"/>
      <w:marRight w:val="0"/>
      <w:marTop w:val="0"/>
      <w:marBottom w:val="0"/>
      <w:divBdr>
        <w:top w:val="none" w:sz="0" w:space="0" w:color="auto"/>
        <w:left w:val="none" w:sz="0" w:space="0" w:color="auto"/>
        <w:bottom w:val="none" w:sz="0" w:space="0" w:color="auto"/>
        <w:right w:val="none" w:sz="0" w:space="0" w:color="auto"/>
      </w:divBdr>
      <w:divsChild>
        <w:div w:id="1356618757">
          <w:marLeft w:val="0"/>
          <w:marRight w:val="0"/>
          <w:marTop w:val="0"/>
          <w:marBottom w:val="0"/>
          <w:divBdr>
            <w:top w:val="none" w:sz="0" w:space="0" w:color="auto"/>
            <w:left w:val="none" w:sz="0" w:space="0" w:color="auto"/>
            <w:bottom w:val="none" w:sz="0" w:space="0" w:color="auto"/>
            <w:right w:val="none" w:sz="0" w:space="0" w:color="auto"/>
          </w:divBdr>
        </w:div>
      </w:divsChild>
    </w:div>
    <w:div w:id="1044866326">
      <w:bodyDiv w:val="1"/>
      <w:marLeft w:val="0"/>
      <w:marRight w:val="0"/>
      <w:marTop w:val="0"/>
      <w:marBottom w:val="0"/>
      <w:divBdr>
        <w:top w:val="none" w:sz="0" w:space="0" w:color="auto"/>
        <w:left w:val="none" w:sz="0" w:space="0" w:color="auto"/>
        <w:bottom w:val="none" w:sz="0" w:space="0" w:color="auto"/>
        <w:right w:val="none" w:sz="0" w:space="0" w:color="auto"/>
      </w:divBdr>
      <w:divsChild>
        <w:div w:id="569928456">
          <w:marLeft w:val="0"/>
          <w:marRight w:val="0"/>
          <w:marTop w:val="0"/>
          <w:marBottom w:val="0"/>
          <w:divBdr>
            <w:top w:val="none" w:sz="0" w:space="0" w:color="auto"/>
            <w:left w:val="none" w:sz="0" w:space="0" w:color="auto"/>
            <w:bottom w:val="none" w:sz="0" w:space="0" w:color="auto"/>
            <w:right w:val="none" w:sz="0" w:space="0" w:color="auto"/>
          </w:divBdr>
        </w:div>
      </w:divsChild>
    </w:div>
    <w:div w:id="1046640760">
      <w:bodyDiv w:val="1"/>
      <w:marLeft w:val="0"/>
      <w:marRight w:val="0"/>
      <w:marTop w:val="0"/>
      <w:marBottom w:val="0"/>
      <w:divBdr>
        <w:top w:val="none" w:sz="0" w:space="0" w:color="auto"/>
        <w:left w:val="none" w:sz="0" w:space="0" w:color="auto"/>
        <w:bottom w:val="none" w:sz="0" w:space="0" w:color="auto"/>
        <w:right w:val="none" w:sz="0" w:space="0" w:color="auto"/>
      </w:divBdr>
      <w:divsChild>
        <w:div w:id="1333680843">
          <w:marLeft w:val="0"/>
          <w:marRight w:val="0"/>
          <w:marTop w:val="0"/>
          <w:marBottom w:val="0"/>
          <w:divBdr>
            <w:top w:val="none" w:sz="0" w:space="0" w:color="auto"/>
            <w:left w:val="none" w:sz="0" w:space="0" w:color="auto"/>
            <w:bottom w:val="none" w:sz="0" w:space="0" w:color="auto"/>
            <w:right w:val="none" w:sz="0" w:space="0" w:color="auto"/>
          </w:divBdr>
        </w:div>
      </w:divsChild>
    </w:div>
    <w:div w:id="1064646624">
      <w:bodyDiv w:val="1"/>
      <w:marLeft w:val="0"/>
      <w:marRight w:val="0"/>
      <w:marTop w:val="0"/>
      <w:marBottom w:val="0"/>
      <w:divBdr>
        <w:top w:val="none" w:sz="0" w:space="0" w:color="auto"/>
        <w:left w:val="none" w:sz="0" w:space="0" w:color="auto"/>
        <w:bottom w:val="none" w:sz="0" w:space="0" w:color="auto"/>
        <w:right w:val="none" w:sz="0" w:space="0" w:color="auto"/>
      </w:divBdr>
    </w:div>
    <w:div w:id="1067532391">
      <w:bodyDiv w:val="1"/>
      <w:marLeft w:val="0"/>
      <w:marRight w:val="0"/>
      <w:marTop w:val="0"/>
      <w:marBottom w:val="0"/>
      <w:divBdr>
        <w:top w:val="none" w:sz="0" w:space="0" w:color="auto"/>
        <w:left w:val="none" w:sz="0" w:space="0" w:color="auto"/>
        <w:bottom w:val="none" w:sz="0" w:space="0" w:color="auto"/>
        <w:right w:val="none" w:sz="0" w:space="0" w:color="auto"/>
      </w:divBdr>
      <w:divsChild>
        <w:div w:id="385418655">
          <w:marLeft w:val="0"/>
          <w:marRight w:val="0"/>
          <w:marTop w:val="0"/>
          <w:marBottom w:val="0"/>
          <w:divBdr>
            <w:top w:val="none" w:sz="0" w:space="0" w:color="auto"/>
            <w:left w:val="none" w:sz="0" w:space="0" w:color="auto"/>
            <w:bottom w:val="none" w:sz="0" w:space="0" w:color="auto"/>
            <w:right w:val="none" w:sz="0" w:space="0" w:color="auto"/>
          </w:divBdr>
        </w:div>
      </w:divsChild>
    </w:div>
    <w:div w:id="1076199204">
      <w:bodyDiv w:val="1"/>
      <w:marLeft w:val="0"/>
      <w:marRight w:val="0"/>
      <w:marTop w:val="0"/>
      <w:marBottom w:val="0"/>
      <w:divBdr>
        <w:top w:val="none" w:sz="0" w:space="0" w:color="auto"/>
        <w:left w:val="none" w:sz="0" w:space="0" w:color="auto"/>
        <w:bottom w:val="none" w:sz="0" w:space="0" w:color="auto"/>
        <w:right w:val="none" w:sz="0" w:space="0" w:color="auto"/>
      </w:divBdr>
      <w:divsChild>
        <w:div w:id="1984851077">
          <w:marLeft w:val="0"/>
          <w:marRight w:val="0"/>
          <w:marTop w:val="0"/>
          <w:marBottom w:val="0"/>
          <w:divBdr>
            <w:top w:val="none" w:sz="0" w:space="0" w:color="auto"/>
            <w:left w:val="none" w:sz="0" w:space="0" w:color="auto"/>
            <w:bottom w:val="none" w:sz="0" w:space="0" w:color="auto"/>
            <w:right w:val="none" w:sz="0" w:space="0" w:color="auto"/>
          </w:divBdr>
        </w:div>
      </w:divsChild>
    </w:div>
    <w:div w:id="1080178122">
      <w:bodyDiv w:val="1"/>
      <w:marLeft w:val="0"/>
      <w:marRight w:val="0"/>
      <w:marTop w:val="0"/>
      <w:marBottom w:val="0"/>
      <w:divBdr>
        <w:top w:val="none" w:sz="0" w:space="0" w:color="auto"/>
        <w:left w:val="none" w:sz="0" w:space="0" w:color="auto"/>
        <w:bottom w:val="none" w:sz="0" w:space="0" w:color="auto"/>
        <w:right w:val="none" w:sz="0" w:space="0" w:color="auto"/>
      </w:divBdr>
    </w:div>
    <w:div w:id="1081096648">
      <w:bodyDiv w:val="1"/>
      <w:marLeft w:val="0"/>
      <w:marRight w:val="0"/>
      <w:marTop w:val="0"/>
      <w:marBottom w:val="0"/>
      <w:divBdr>
        <w:top w:val="none" w:sz="0" w:space="0" w:color="auto"/>
        <w:left w:val="none" w:sz="0" w:space="0" w:color="auto"/>
        <w:bottom w:val="none" w:sz="0" w:space="0" w:color="auto"/>
        <w:right w:val="none" w:sz="0" w:space="0" w:color="auto"/>
      </w:divBdr>
    </w:div>
    <w:div w:id="1086072562">
      <w:bodyDiv w:val="1"/>
      <w:marLeft w:val="0"/>
      <w:marRight w:val="0"/>
      <w:marTop w:val="0"/>
      <w:marBottom w:val="0"/>
      <w:divBdr>
        <w:top w:val="none" w:sz="0" w:space="0" w:color="auto"/>
        <w:left w:val="none" w:sz="0" w:space="0" w:color="auto"/>
        <w:bottom w:val="none" w:sz="0" w:space="0" w:color="auto"/>
        <w:right w:val="none" w:sz="0" w:space="0" w:color="auto"/>
      </w:divBdr>
      <w:divsChild>
        <w:div w:id="538055563">
          <w:marLeft w:val="0"/>
          <w:marRight w:val="0"/>
          <w:marTop w:val="0"/>
          <w:marBottom w:val="0"/>
          <w:divBdr>
            <w:top w:val="none" w:sz="0" w:space="0" w:color="auto"/>
            <w:left w:val="none" w:sz="0" w:space="0" w:color="auto"/>
            <w:bottom w:val="none" w:sz="0" w:space="0" w:color="auto"/>
            <w:right w:val="none" w:sz="0" w:space="0" w:color="auto"/>
          </w:divBdr>
        </w:div>
      </w:divsChild>
    </w:div>
    <w:div w:id="1099985312">
      <w:bodyDiv w:val="1"/>
      <w:marLeft w:val="0"/>
      <w:marRight w:val="0"/>
      <w:marTop w:val="0"/>
      <w:marBottom w:val="0"/>
      <w:divBdr>
        <w:top w:val="none" w:sz="0" w:space="0" w:color="auto"/>
        <w:left w:val="none" w:sz="0" w:space="0" w:color="auto"/>
        <w:bottom w:val="none" w:sz="0" w:space="0" w:color="auto"/>
        <w:right w:val="none" w:sz="0" w:space="0" w:color="auto"/>
      </w:divBdr>
    </w:div>
    <w:div w:id="1109664606">
      <w:bodyDiv w:val="1"/>
      <w:marLeft w:val="0"/>
      <w:marRight w:val="0"/>
      <w:marTop w:val="0"/>
      <w:marBottom w:val="0"/>
      <w:divBdr>
        <w:top w:val="none" w:sz="0" w:space="0" w:color="auto"/>
        <w:left w:val="none" w:sz="0" w:space="0" w:color="auto"/>
        <w:bottom w:val="none" w:sz="0" w:space="0" w:color="auto"/>
        <w:right w:val="none" w:sz="0" w:space="0" w:color="auto"/>
      </w:divBdr>
    </w:div>
    <w:div w:id="1119179902">
      <w:bodyDiv w:val="1"/>
      <w:marLeft w:val="0"/>
      <w:marRight w:val="0"/>
      <w:marTop w:val="0"/>
      <w:marBottom w:val="0"/>
      <w:divBdr>
        <w:top w:val="none" w:sz="0" w:space="0" w:color="auto"/>
        <w:left w:val="none" w:sz="0" w:space="0" w:color="auto"/>
        <w:bottom w:val="none" w:sz="0" w:space="0" w:color="auto"/>
        <w:right w:val="none" w:sz="0" w:space="0" w:color="auto"/>
      </w:divBdr>
    </w:div>
    <w:div w:id="1122579801">
      <w:bodyDiv w:val="1"/>
      <w:marLeft w:val="0"/>
      <w:marRight w:val="0"/>
      <w:marTop w:val="0"/>
      <w:marBottom w:val="0"/>
      <w:divBdr>
        <w:top w:val="none" w:sz="0" w:space="0" w:color="auto"/>
        <w:left w:val="none" w:sz="0" w:space="0" w:color="auto"/>
        <w:bottom w:val="none" w:sz="0" w:space="0" w:color="auto"/>
        <w:right w:val="none" w:sz="0" w:space="0" w:color="auto"/>
      </w:divBdr>
    </w:div>
    <w:div w:id="1133016139">
      <w:bodyDiv w:val="1"/>
      <w:marLeft w:val="0"/>
      <w:marRight w:val="0"/>
      <w:marTop w:val="0"/>
      <w:marBottom w:val="0"/>
      <w:divBdr>
        <w:top w:val="none" w:sz="0" w:space="0" w:color="auto"/>
        <w:left w:val="none" w:sz="0" w:space="0" w:color="auto"/>
        <w:bottom w:val="none" w:sz="0" w:space="0" w:color="auto"/>
        <w:right w:val="none" w:sz="0" w:space="0" w:color="auto"/>
      </w:divBdr>
    </w:div>
    <w:div w:id="1136334255">
      <w:bodyDiv w:val="1"/>
      <w:marLeft w:val="0"/>
      <w:marRight w:val="0"/>
      <w:marTop w:val="0"/>
      <w:marBottom w:val="0"/>
      <w:divBdr>
        <w:top w:val="none" w:sz="0" w:space="0" w:color="auto"/>
        <w:left w:val="none" w:sz="0" w:space="0" w:color="auto"/>
        <w:bottom w:val="none" w:sz="0" w:space="0" w:color="auto"/>
        <w:right w:val="none" w:sz="0" w:space="0" w:color="auto"/>
      </w:divBdr>
      <w:divsChild>
        <w:div w:id="1310094279">
          <w:marLeft w:val="0"/>
          <w:marRight w:val="0"/>
          <w:marTop w:val="0"/>
          <w:marBottom w:val="0"/>
          <w:divBdr>
            <w:top w:val="none" w:sz="0" w:space="0" w:color="auto"/>
            <w:left w:val="none" w:sz="0" w:space="0" w:color="auto"/>
            <w:bottom w:val="none" w:sz="0" w:space="0" w:color="auto"/>
            <w:right w:val="none" w:sz="0" w:space="0" w:color="auto"/>
          </w:divBdr>
        </w:div>
      </w:divsChild>
    </w:div>
    <w:div w:id="1139883897">
      <w:bodyDiv w:val="1"/>
      <w:marLeft w:val="0"/>
      <w:marRight w:val="0"/>
      <w:marTop w:val="0"/>
      <w:marBottom w:val="0"/>
      <w:divBdr>
        <w:top w:val="none" w:sz="0" w:space="0" w:color="auto"/>
        <w:left w:val="none" w:sz="0" w:space="0" w:color="auto"/>
        <w:bottom w:val="none" w:sz="0" w:space="0" w:color="auto"/>
        <w:right w:val="none" w:sz="0" w:space="0" w:color="auto"/>
      </w:divBdr>
    </w:div>
    <w:div w:id="1142381587">
      <w:bodyDiv w:val="1"/>
      <w:marLeft w:val="0"/>
      <w:marRight w:val="0"/>
      <w:marTop w:val="0"/>
      <w:marBottom w:val="0"/>
      <w:divBdr>
        <w:top w:val="none" w:sz="0" w:space="0" w:color="auto"/>
        <w:left w:val="none" w:sz="0" w:space="0" w:color="auto"/>
        <w:bottom w:val="none" w:sz="0" w:space="0" w:color="auto"/>
        <w:right w:val="none" w:sz="0" w:space="0" w:color="auto"/>
      </w:divBdr>
    </w:div>
    <w:div w:id="1142694448">
      <w:bodyDiv w:val="1"/>
      <w:marLeft w:val="0"/>
      <w:marRight w:val="0"/>
      <w:marTop w:val="0"/>
      <w:marBottom w:val="0"/>
      <w:divBdr>
        <w:top w:val="none" w:sz="0" w:space="0" w:color="auto"/>
        <w:left w:val="none" w:sz="0" w:space="0" w:color="auto"/>
        <w:bottom w:val="none" w:sz="0" w:space="0" w:color="auto"/>
        <w:right w:val="none" w:sz="0" w:space="0" w:color="auto"/>
      </w:divBdr>
    </w:div>
    <w:div w:id="1174686156">
      <w:bodyDiv w:val="1"/>
      <w:marLeft w:val="0"/>
      <w:marRight w:val="0"/>
      <w:marTop w:val="0"/>
      <w:marBottom w:val="0"/>
      <w:divBdr>
        <w:top w:val="none" w:sz="0" w:space="0" w:color="auto"/>
        <w:left w:val="none" w:sz="0" w:space="0" w:color="auto"/>
        <w:bottom w:val="none" w:sz="0" w:space="0" w:color="auto"/>
        <w:right w:val="none" w:sz="0" w:space="0" w:color="auto"/>
      </w:divBdr>
      <w:divsChild>
        <w:div w:id="1862013228">
          <w:marLeft w:val="0"/>
          <w:marRight w:val="0"/>
          <w:marTop w:val="0"/>
          <w:marBottom w:val="0"/>
          <w:divBdr>
            <w:top w:val="none" w:sz="0" w:space="0" w:color="auto"/>
            <w:left w:val="none" w:sz="0" w:space="0" w:color="auto"/>
            <w:bottom w:val="none" w:sz="0" w:space="0" w:color="auto"/>
            <w:right w:val="none" w:sz="0" w:space="0" w:color="auto"/>
          </w:divBdr>
        </w:div>
      </w:divsChild>
    </w:div>
    <w:div w:id="1181823242">
      <w:bodyDiv w:val="1"/>
      <w:marLeft w:val="0"/>
      <w:marRight w:val="0"/>
      <w:marTop w:val="0"/>
      <w:marBottom w:val="0"/>
      <w:divBdr>
        <w:top w:val="none" w:sz="0" w:space="0" w:color="auto"/>
        <w:left w:val="none" w:sz="0" w:space="0" w:color="auto"/>
        <w:bottom w:val="none" w:sz="0" w:space="0" w:color="auto"/>
        <w:right w:val="none" w:sz="0" w:space="0" w:color="auto"/>
      </w:divBdr>
    </w:div>
    <w:div w:id="1184442344">
      <w:bodyDiv w:val="1"/>
      <w:marLeft w:val="0"/>
      <w:marRight w:val="0"/>
      <w:marTop w:val="0"/>
      <w:marBottom w:val="0"/>
      <w:divBdr>
        <w:top w:val="none" w:sz="0" w:space="0" w:color="auto"/>
        <w:left w:val="none" w:sz="0" w:space="0" w:color="auto"/>
        <w:bottom w:val="none" w:sz="0" w:space="0" w:color="auto"/>
        <w:right w:val="none" w:sz="0" w:space="0" w:color="auto"/>
      </w:divBdr>
      <w:divsChild>
        <w:div w:id="1415586783">
          <w:marLeft w:val="0"/>
          <w:marRight w:val="0"/>
          <w:marTop w:val="0"/>
          <w:marBottom w:val="0"/>
          <w:divBdr>
            <w:top w:val="none" w:sz="0" w:space="0" w:color="auto"/>
            <w:left w:val="none" w:sz="0" w:space="0" w:color="auto"/>
            <w:bottom w:val="none" w:sz="0" w:space="0" w:color="auto"/>
            <w:right w:val="none" w:sz="0" w:space="0" w:color="auto"/>
          </w:divBdr>
        </w:div>
      </w:divsChild>
    </w:div>
    <w:div w:id="1188789719">
      <w:bodyDiv w:val="1"/>
      <w:marLeft w:val="0"/>
      <w:marRight w:val="0"/>
      <w:marTop w:val="0"/>
      <w:marBottom w:val="0"/>
      <w:divBdr>
        <w:top w:val="none" w:sz="0" w:space="0" w:color="auto"/>
        <w:left w:val="none" w:sz="0" w:space="0" w:color="auto"/>
        <w:bottom w:val="none" w:sz="0" w:space="0" w:color="auto"/>
        <w:right w:val="none" w:sz="0" w:space="0" w:color="auto"/>
      </w:divBdr>
    </w:div>
    <w:div w:id="1191147826">
      <w:bodyDiv w:val="1"/>
      <w:marLeft w:val="0"/>
      <w:marRight w:val="0"/>
      <w:marTop w:val="0"/>
      <w:marBottom w:val="0"/>
      <w:divBdr>
        <w:top w:val="none" w:sz="0" w:space="0" w:color="auto"/>
        <w:left w:val="none" w:sz="0" w:space="0" w:color="auto"/>
        <w:bottom w:val="none" w:sz="0" w:space="0" w:color="auto"/>
        <w:right w:val="none" w:sz="0" w:space="0" w:color="auto"/>
      </w:divBdr>
      <w:divsChild>
        <w:div w:id="2056467131">
          <w:marLeft w:val="0"/>
          <w:marRight w:val="0"/>
          <w:marTop w:val="0"/>
          <w:marBottom w:val="0"/>
          <w:divBdr>
            <w:top w:val="none" w:sz="0" w:space="0" w:color="auto"/>
            <w:left w:val="none" w:sz="0" w:space="0" w:color="auto"/>
            <w:bottom w:val="none" w:sz="0" w:space="0" w:color="auto"/>
            <w:right w:val="none" w:sz="0" w:space="0" w:color="auto"/>
          </w:divBdr>
        </w:div>
      </w:divsChild>
    </w:div>
    <w:div w:id="1221097199">
      <w:bodyDiv w:val="1"/>
      <w:marLeft w:val="0"/>
      <w:marRight w:val="0"/>
      <w:marTop w:val="0"/>
      <w:marBottom w:val="0"/>
      <w:divBdr>
        <w:top w:val="none" w:sz="0" w:space="0" w:color="auto"/>
        <w:left w:val="none" w:sz="0" w:space="0" w:color="auto"/>
        <w:bottom w:val="none" w:sz="0" w:space="0" w:color="auto"/>
        <w:right w:val="none" w:sz="0" w:space="0" w:color="auto"/>
      </w:divBdr>
      <w:divsChild>
        <w:div w:id="977688484">
          <w:marLeft w:val="0"/>
          <w:marRight w:val="0"/>
          <w:marTop w:val="0"/>
          <w:marBottom w:val="0"/>
          <w:divBdr>
            <w:top w:val="none" w:sz="0" w:space="0" w:color="auto"/>
            <w:left w:val="none" w:sz="0" w:space="0" w:color="auto"/>
            <w:bottom w:val="none" w:sz="0" w:space="0" w:color="auto"/>
            <w:right w:val="none" w:sz="0" w:space="0" w:color="auto"/>
          </w:divBdr>
        </w:div>
      </w:divsChild>
    </w:div>
    <w:div w:id="1231574840">
      <w:bodyDiv w:val="1"/>
      <w:marLeft w:val="0"/>
      <w:marRight w:val="0"/>
      <w:marTop w:val="0"/>
      <w:marBottom w:val="0"/>
      <w:divBdr>
        <w:top w:val="none" w:sz="0" w:space="0" w:color="auto"/>
        <w:left w:val="none" w:sz="0" w:space="0" w:color="auto"/>
        <w:bottom w:val="none" w:sz="0" w:space="0" w:color="auto"/>
        <w:right w:val="none" w:sz="0" w:space="0" w:color="auto"/>
      </w:divBdr>
    </w:div>
    <w:div w:id="1240092010">
      <w:bodyDiv w:val="1"/>
      <w:marLeft w:val="0"/>
      <w:marRight w:val="0"/>
      <w:marTop w:val="0"/>
      <w:marBottom w:val="0"/>
      <w:divBdr>
        <w:top w:val="none" w:sz="0" w:space="0" w:color="auto"/>
        <w:left w:val="none" w:sz="0" w:space="0" w:color="auto"/>
        <w:bottom w:val="none" w:sz="0" w:space="0" w:color="auto"/>
        <w:right w:val="none" w:sz="0" w:space="0" w:color="auto"/>
      </w:divBdr>
      <w:divsChild>
        <w:div w:id="962269714">
          <w:marLeft w:val="0"/>
          <w:marRight w:val="0"/>
          <w:marTop w:val="0"/>
          <w:marBottom w:val="0"/>
          <w:divBdr>
            <w:top w:val="none" w:sz="0" w:space="0" w:color="auto"/>
            <w:left w:val="none" w:sz="0" w:space="0" w:color="auto"/>
            <w:bottom w:val="none" w:sz="0" w:space="0" w:color="auto"/>
            <w:right w:val="none" w:sz="0" w:space="0" w:color="auto"/>
          </w:divBdr>
        </w:div>
      </w:divsChild>
    </w:div>
    <w:div w:id="1277560167">
      <w:bodyDiv w:val="1"/>
      <w:marLeft w:val="0"/>
      <w:marRight w:val="0"/>
      <w:marTop w:val="0"/>
      <w:marBottom w:val="0"/>
      <w:divBdr>
        <w:top w:val="none" w:sz="0" w:space="0" w:color="auto"/>
        <w:left w:val="none" w:sz="0" w:space="0" w:color="auto"/>
        <w:bottom w:val="none" w:sz="0" w:space="0" w:color="auto"/>
        <w:right w:val="none" w:sz="0" w:space="0" w:color="auto"/>
      </w:divBdr>
      <w:divsChild>
        <w:div w:id="1945990504">
          <w:marLeft w:val="0"/>
          <w:marRight w:val="0"/>
          <w:marTop w:val="0"/>
          <w:marBottom w:val="0"/>
          <w:divBdr>
            <w:top w:val="none" w:sz="0" w:space="0" w:color="auto"/>
            <w:left w:val="none" w:sz="0" w:space="0" w:color="auto"/>
            <w:bottom w:val="none" w:sz="0" w:space="0" w:color="auto"/>
            <w:right w:val="none" w:sz="0" w:space="0" w:color="auto"/>
          </w:divBdr>
        </w:div>
      </w:divsChild>
    </w:div>
    <w:div w:id="1301769337">
      <w:bodyDiv w:val="1"/>
      <w:marLeft w:val="0"/>
      <w:marRight w:val="0"/>
      <w:marTop w:val="0"/>
      <w:marBottom w:val="0"/>
      <w:divBdr>
        <w:top w:val="none" w:sz="0" w:space="0" w:color="auto"/>
        <w:left w:val="none" w:sz="0" w:space="0" w:color="auto"/>
        <w:bottom w:val="none" w:sz="0" w:space="0" w:color="auto"/>
        <w:right w:val="none" w:sz="0" w:space="0" w:color="auto"/>
      </w:divBdr>
    </w:div>
    <w:div w:id="1321541423">
      <w:bodyDiv w:val="1"/>
      <w:marLeft w:val="0"/>
      <w:marRight w:val="0"/>
      <w:marTop w:val="0"/>
      <w:marBottom w:val="0"/>
      <w:divBdr>
        <w:top w:val="none" w:sz="0" w:space="0" w:color="auto"/>
        <w:left w:val="none" w:sz="0" w:space="0" w:color="auto"/>
        <w:bottom w:val="none" w:sz="0" w:space="0" w:color="auto"/>
        <w:right w:val="none" w:sz="0" w:space="0" w:color="auto"/>
      </w:divBdr>
    </w:div>
    <w:div w:id="1327394079">
      <w:bodyDiv w:val="1"/>
      <w:marLeft w:val="0"/>
      <w:marRight w:val="0"/>
      <w:marTop w:val="0"/>
      <w:marBottom w:val="0"/>
      <w:divBdr>
        <w:top w:val="none" w:sz="0" w:space="0" w:color="auto"/>
        <w:left w:val="none" w:sz="0" w:space="0" w:color="auto"/>
        <w:bottom w:val="none" w:sz="0" w:space="0" w:color="auto"/>
        <w:right w:val="none" w:sz="0" w:space="0" w:color="auto"/>
      </w:divBdr>
      <w:divsChild>
        <w:div w:id="2078089477">
          <w:marLeft w:val="0"/>
          <w:marRight w:val="0"/>
          <w:marTop w:val="0"/>
          <w:marBottom w:val="0"/>
          <w:divBdr>
            <w:top w:val="none" w:sz="0" w:space="0" w:color="auto"/>
            <w:left w:val="none" w:sz="0" w:space="0" w:color="auto"/>
            <w:bottom w:val="none" w:sz="0" w:space="0" w:color="auto"/>
            <w:right w:val="none" w:sz="0" w:space="0" w:color="auto"/>
          </w:divBdr>
        </w:div>
      </w:divsChild>
    </w:div>
    <w:div w:id="1341735406">
      <w:bodyDiv w:val="1"/>
      <w:marLeft w:val="0"/>
      <w:marRight w:val="0"/>
      <w:marTop w:val="0"/>
      <w:marBottom w:val="0"/>
      <w:divBdr>
        <w:top w:val="none" w:sz="0" w:space="0" w:color="auto"/>
        <w:left w:val="none" w:sz="0" w:space="0" w:color="auto"/>
        <w:bottom w:val="none" w:sz="0" w:space="0" w:color="auto"/>
        <w:right w:val="none" w:sz="0" w:space="0" w:color="auto"/>
      </w:divBdr>
    </w:div>
    <w:div w:id="1348023650">
      <w:bodyDiv w:val="1"/>
      <w:marLeft w:val="0"/>
      <w:marRight w:val="0"/>
      <w:marTop w:val="0"/>
      <w:marBottom w:val="0"/>
      <w:divBdr>
        <w:top w:val="none" w:sz="0" w:space="0" w:color="auto"/>
        <w:left w:val="none" w:sz="0" w:space="0" w:color="auto"/>
        <w:bottom w:val="none" w:sz="0" w:space="0" w:color="auto"/>
        <w:right w:val="none" w:sz="0" w:space="0" w:color="auto"/>
      </w:divBdr>
      <w:divsChild>
        <w:div w:id="1209882439">
          <w:marLeft w:val="0"/>
          <w:marRight w:val="0"/>
          <w:marTop w:val="0"/>
          <w:marBottom w:val="0"/>
          <w:divBdr>
            <w:top w:val="none" w:sz="0" w:space="0" w:color="auto"/>
            <w:left w:val="none" w:sz="0" w:space="0" w:color="auto"/>
            <w:bottom w:val="none" w:sz="0" w:space="0" w:color="auto"/>
            <w:right w:val="none" w:sz="0" w:space="0" w:color="auto"/>
          </w:divBdr>
        </w:div>
      </w:divsChild>
    </w:div>
    <w:div w:id="1372652631">
      <w:bodyDiv w:val="1"/>
      <w:marLeft w:val="0"/>
      <w:marRight w:val="0"/>
      <w:marTop w:val="0"/>
      <w:marBottom w:val="0"/>
      <w:divBdr>
        <w:top w:val="none" w:sz="0" w:space="0" w:color="auto"/>
        <w:left w:val="none" w:sz="0" w:space="0" w:color="auto"/>
        <w:bottom w:val="none" w:sz="0" w:space="0" w:color="auto"/>
        <w:right w:val="none" w:sz="0" w:space="0" w:color="auto"/>
      </w:divBdr>
      <w:divsChild>
        <w:div w:id="524751041">
          <w:marLeft w:val="0"/>
          <w:marRight w:val="0"/>
          <w:marTop w:val="0"/>
          <w:marBottom w:val="0"/>
          <w:divBdr>
            <w:top w:val="none" w:sz="0" w:space="0" w:color="auto"/>
            <w:left w:val="none" w:sz="0" w:space="0" w:color="auto"/>
            <w:bottom w:val="none" w:sz="0" w:space="0" w:color="auto"/>
            <w:right w:val="none" w:sz="0" w:space="0" w:color="auto"/>
          </w:divBdr>
        </w:div>
      </w:divsChild>
    </w:div>
    <w:div w:id="1373337774">
      <w:bodyDiv w:val="1"/>
      <w:marLeft w:val="0"/>
      <w:marRight w:val="0"/>
      <w:marTop w:val="0"/>
      <w:marBottom w:val="0"/>
      <w:divBdr>
        <w:top w:val="none" w:sz="0" w:space="0" w:color="auto"/>
        <w:left w:val="none" w:sz="0" w:space="0" w:color="auto"/>
        <w:bottom w:val="none" w:sz="0" w:space="0" w:color="auto"/>
        <w:right w:val="none" w:sz="0" w:space="0" w:color="auto"/>
      </w:divBdr>
      <w:divsChild>
        <w:div w:id="1339040566">
          <w:marLeft w:val="0"/>
          <w:marRight w:val="0"/>
          <w:marTop w:val="0"/>
          <w:marBottom w:val="0"/>
          <w:divBdr>
            <w:top w:val="none" w:sz="0" w:space="0" w:color="auto"/>
            <w:left w:val="none" w:sz="0" w:space="0" w:color="auto"/>
            <w:bottom w:val="none" w:sz="0" w:space="0" w:color="auto"/>
            <w:right w:val="none" w:sz="0" w:space="0" w:color="auto"/>
          </w:divBdr>
        </w:div>
      </w:divsChild>
    </w:div>
    <w:div w:id="1385182080">
      <w:bodyDiv w:val="1"/>
      <w:marLeft w:val="0"/>
      <w:marRight w:val="0"/>
      <w:marTop w:val="0"/>
      <w:marBottom w:val="0"/>
      <w:divBdr>
        <w:top w:val="none" w:sz="0" w:space="0" w:color="auto"/>
        <w:left w:val="none" w:sz="0" w:space="0" w:color="auto"/>
        <w:bottom w:val="none" w:sz="0" w:space="0" w:color="auto"/>
        <w:right w:val="none" w:sz="0" w:space="0" w:color="auto"/>
      </w:divBdr>
      <w:divsChild>
        <w:div w:id="1249774725">
          <w:marLeft w:val="0"/>
          <w:marRight w:val="0"/>
          <w:marTop w:val="0"/>
          <w:marBottom w:val="0"/>
          <w:divBdr>
            <w:top w:val="none" w:sz="0" w:space="0" w:color="auto"/>
            <w:left w:val="none" w:sz="0" w:space="0" w:color="auto"/>
            <w:bottom w:val="none" w:sz="0" w:space="0" w:color="auto"/>
            <w:right w:val="none" w:sz="0" w:space="0" w:color="auto"/>
          </w:divBdr>
        </w:div>
      </w:divsChild>
    </w:div>
    <w:div w:id="1405757194">
      <w:bodyDiv w:val="1"/>
      <w:marLeft w:val="0"/>
      <w:marRight w:val="0"/>
      <w:marTop w:val="0"/>
      <w:marBottom w:val="0"/>
      <w:divBdr>
        <w:top w:val="none" w:sz="0" w:space="0" w:color="auto"/>
        <w:left w:val="none" w:sz="0" w:space="0" w:color="auto"/>
        <w:bottom w:val="none" w:sz="0" w:space="0" w:color="auto"/>
        <w:right w:val="none" w:sz="0" w:space="0" w:color="auto"/>
      </w:divBdr>
    </w:div>
    <w:div w:id="1416439544">
      <w:bodyDiv w:val="1"/>
      <w:marLeft w:val="0"/>
      <w:marRight w:val="0"/>
      <w:marTop w:val="0"/>
      <w:marBottom w:val="0"/>
      <w:divBdr>
        <w:top w:val="none" w:sz="0" w:space="0" w:color="auto"/>
        <w:left w:val="none" w:sz="0" w:space="0" w:color="auto"/>
        <w:bottom w:val="none" w:sz="0" w:space="0" w:color="auto"/>
        <w:right w:val="none" w:sz="0" w:space="0" w:color="auto"/>
      </w:divBdr>
      <w:divsChild>
        <w:div w:id="40132754">
          <w:marLeft w:val="0"/>
          <w:marRight w:val="0"/>
          <w:marTop w:val="0"/>
          <w:marBottom w:val="0"/>
          <w:divBdr>
            <w:top w:val="none" w:sz="0" w:space="0" w:color="auto"/>
            <w:left w:val="none" w:sz="0" w:space="0" w:color="auto"/>
            <w:bottom w:val="none" w:sz="0" w:space="0" w:color="auto"/>
            <w:right w:val="none" w:sz="0" w:space="0" w:color="auto"/>
          </w:divBdr>
        </w:div>
      </w:divsChild>
    </w:div>
    <w:div w:id="1425954948">
      <w:bodyDiv w:val="1"/>
      <w:marLeft w:val="0"/>
      <w:marRight w:val="0"/>
      <w:marTop w:val="0"/>
      <w:marBottom w:val="0"/>
      <w:divBdr>
        <w:top w:val="none" w:sz="0" w:space="0" w:color="auto"/>
        <w:left w:val="none" w:sz="0" w:space="0" w:color="auto"/>
        <w:bottom w:val="none" w:sz="0" w:space="0" w:color="auto"/>
        <w:right w:val="none" w:sz="0" w:space="0" w:color="auto"/>
      </w:divBdr>
    </w:div>
    <w:div w:id="1444693933">
      <w:bodyDiv w:val="1"/>
      <w:marLeft w:val="0"/>
      <w:marRight w:val="0"/>
      <w:marTop w:val="0"/>
      <w:marBottom w:val="0"/>
      <w:divBdr>
        <w:top w:val="none" w:sz="0" w:space="0" w:color="auto"/>
        <w:left w:val="none" w:sz="0" w:space="0" w:color="auto"/>
        <w:bottom w:val="none" w:sz="0" w:space="0" w:color="auto"/>
        <w:right w:val="none" w:sz="0" w:space="0" w:color="auto"/>
      </w:divBdr>
    </w:div>
    <w:div w:id="1446457647">
      <w:bodyDiv w:val="1"/>
      <w:marLeft w:val="0"/>
      <w:marRight w:val="0"/>
      <w:marTop w:val="0"/>
      <w:marBottom w:val="0"/>
      <w:divBdr>
        <w:top w:val="none" w:sz="0" w:space="0" w:color="auto"/>
        <w:left w:val="none" w:sz="0" w:space="0" w:color="auto"/>
        <w:bottom w:val="none" w:sz="0" w:space="0" w:color="auto"/>
        <w:right w:val="none" w:sz="0" w:space="0" w:color="auto"/>
      </w:divBdr>
      <w:divsChild>
        <w:div w:id="492524418">
          <w:marLeft w:val="0"/>
          <w:marRight w:val="0"/>
          <w:marTop w:val="0"/>
          <w:marBottom w:val="0"/>
          <w:divBdr>
            <w:top w:val="none" w:sz="0" w:space="0" w:color="auto"/>
            <w:left w:val="none" w:sz="0" w:space="0" w:color="auto"/>
            <w:bottom w:val="none" w:sz="0" w:space="0" w:color="auto"/>
            <w:right w:val="none" w:sz="0" w:space="0" w:color="auto"/>
          </w:divBdr>
        </w:div>
      </w:divsChild>
    </w:div>
    <w:div w:id="1450008566">
      <w:bodyDiv w:val="1"/>
      <w:marLeft w:val="0"/>
      <w:marRight w:val="0"/>
      <w:marTop w:val="0"/>
      <w:marBottom w:val="0"/>
      <w:divBdr>
        <w:top w:val="none" w:sz="0" w:space="0" w:color="auto"/>
        <w:left w:val="none" w:sz="0" w:space="0" w:color="auto"/>
        <w:bottom w:val="none" w:sz="0" w:space="0" w:color="auto"/>
        <w:right w:val="none" w:sz="0" w:space="0" w:color="auto"/>
      </w:divBdr>
      <w:divsChild>
        <w:div w:id="878012072">
          <w:marLeft w:val="0"/>
          <w:marRight w:val="0"/>
          <w:marTop w:val="0"/>
          <w:marBottom w:val="0"/>
          <w:divBdr>
            <w:top w:val="none" w:sz="0" w:space="0" w:color="auto"/>
            <w:left w:val="none" w:sz="0" w:space="0" w:color="auto"/>
            <w:bottom w:val="none" w:sz="0" w:space="0" w:color="auto"/>
            <w:right w:val="none" w:sz="0" w:space="0" w:color="auto"/>
          </w:divBdr>
        </w:div>
      </w:divsChild>
    </w:div>
    <w:div w:id="1454596929">
      <w:bodyDiv w:val="1"/>
      <w:marLeft w:val="0"/>
      <w:marRight w:val="0"/>
      <w:marTop w:val="0"/>
      <w:marBottom w:val="0"/>
      <w:divBdr>
        <w:top w:val="none" w:sz="0" w:space="0" w:color="auto"/>
        <w:left w:val="none" w:sz="0" w:space="0" w:color="auto"/>
        <w:bottom w:val="none" w:sz="0" w:space="0" w:color="auto"/>
        <w:right w:val="none" w:sz="0" w:space="0" w:color="auto"/>
      </w:divBdr>
    </w:div>
    <w:div w:id="1461916915">
      <w:bodyDiv w:val="1"/>
      <w:marLeft w:val="0"/>
      <w:marRight w:val="0"/>
      <w:marTop w:val="0"/>
      <w:marBottom w:val="0"/>
      <w:divBdr>
        <w:top w:val="none" w:sz="0" w:space="0" w:color="auto"/>
        <w:left w:val="none" w:sz="0" w:space="0" w:color="auto"/>
        <w:bottom w:val="none" w:sz="0" w:space="0" w:color="auto"/>
        <w:right w:val="none" w:sz="0" w:space="0" w:color="auto"/>
      </w:divBdr>
    </w:div>
    <w:div w:id="1513454509">
      <w:bodyDiv w:val="1"/>
      <w:marLeft w:val="0"/>
      <w:marRight w:val="0"/>
      <w:marTop w:val="0"/>
      <w:marBottom w:val="0"/>
      <w:divBdr>
        <w:top w:val="none" w:sz="0" w:space="0" w:color="auto"/>
        <w:left w:val="none" w:sz="0" w:space="0" w:color="auto"/>
        <w:bottom w:val="none" w:sz="0" w:space="0" w:color="auto"/>
        <w:right w:val="none" w:sz="0" w:space="0" w:color="auto"/>
      </w:divBdr>
      <w:divsChild>
        <w:div w:id="2126460577">
          <w:marLeft w:val="0"/>
          <w:marRight w:val="0"/>
          <w:marTop w:val="0"/>
          <w:marBottom w:val="0"/>
          <w:divBdr>
            <w:top w:val="none" w:sz="0" w:space="0" w:color="auto"/>
            <w:left w:val="none" w:sz="0" w:space="0" w:color="auto"/>
            <w:bottom w:val="none" w:sz="0" w:space="0" w:color="auto"/>
            <w:right w:val="none" w:sz="0" w:space="0" w:color="auto"/>
          </w:divBdr>
        </w:div>
      </w:divsChild>
    </w:div>
    <w:div w:id="1537280650">
      <w:bodyDiv w:val="1"/>
      <w:marLeft w:val="0"/>
      <w:marRight w:val="0"/>
      <w:marTop w:val="0"/>
      <w:marBottom w:val="0"/>
      <w:divBdr>
        <w:top w:val="none" w:sz="0" w:space="0" w:color="auto"/>
        <w:left w:val="none" w:sz="0" w:space="0" w:color="auto"/>
        <w:bottom w:val="none" w:sz="0" w:space="0" w:color="auto"/>
        <w:right w:val="none" w:sz="0" w:space="0" w:color="auto"/>
      </w:divBdr>
    </w:div>
    <w:div w:id="1539003021">
      <w:bodyDiv w:val="1"/>
      <w:marLeft w:val="0"/>
      <w:marRight w:val="0"/>
      <w:marTop w:val="0"/>
      <w:marBottom w:val="0"/>
      <w:divBdr>
        <w:top w:val="none" w:sz="0" w:space="0" w:color="auto"/>
        <w:left w:val="none" w:sz="0" w:space="0" w:color="auto"/>
        <w:bottom w:val="none" w:sz="0" w:space="0" w:color="auto"/>
        <w:right w:val="none" w:sz="0" w:space="0" w:color="auto"/>
      </w:divBdr>
      <w:divsChild>
        <w:div w:id="1435321675">
          <w:marLeft w:val="0"/>
          <w:marRight w:val="0"/>
          <w:marTop w:val="0"/>
          <w:marBottom w:val="0"/>
          <w:divBdr>
            <w:top w:val="none" w:sz="0" w:space="0" w:color="auto"/>
            <w:left w:val="none" w:sz="0" w:space="0" w:color="auto"/>
            <w:bottom w:val="none" w:sz="0" w:space="0" w:color="auto"/>
            <w:right w:val="none" w:sz="0" w:space="0" w:color="auto"/>
          </w:divBdr>
        </w:div>
      </w:divsChild>
    </w:div>
    <w:div w:id="1575696791">
      <w:bodyDiv w:val="1"/>
      <w:marLeft w:val="0"/>
      <w:marRight w:val="0"/>
      <w:marTop w:val="0"/>
      <w:marBottom w:val="0"/>
      <w:divBdr>
        <w:top w:val="none" w:sz="0" w:space="0" w:color="auto"/>
        <w:left w:val="none" w:sz="0" w:space="0" w:color="auto"/>
        <w:bottom w:val="none" w:sz="0" w:space="0" w:color="auto"/>
        <w:right w:val="none" w:sz="0" w:space="0" w:color="auto"/>
      </w:divBdr>
      <w:divsChild>
        <w:div w:id="855534068">
          <w:marLeft w:val="0"/>
          <w:marRight w:val="0"/>
          <w:marTop w:val="0"/>
          <w:marBottom w:val="0"/>
          <w:divBdr>
            <w:top w:val="none" w:sz="0" w:space="0" w:color="auto"/>
            <w:left w:val="none" w:sz="0" w:space="0" w:color="auto"/>
            <w:bottom w:val="none" w:sz="0" w:space="0" w:color="auto"/>
            <w:right w:val="none" w:sz="0" w:space="0" w:color="auto"/>
          </w:divBdr>
        </w:div>
      </w:divsChild>
    </w:div>
    <w:div w:id="1585456839">
      <w:bodyDiv w:val="1"/>
      <w:marLeft w:val="0"/>
      <w:marRight w:val="0"/>
      <w:marTop w:val="0"/>
      <w:marBottom w:val="0"/>
      <w:divBdr>
        <w:top w:val="none" w:sz="0" w:space="0" w:color="auto"/>
        <w:left w:val="none" w:sz="0" w:space="0" w:color="auto"/>
        <w:bottom w:val="none" w:sz="0" w:space="0" w:color="auto"/>
        <w:right w:val="none" w:sz="0" w:space="0" w:color="auto"/>
      </w:divBdr>
    </w:div>
    <w:div w:id="1596668906">
      <w:bodyDiv w:val="1"/>
      <w:marLeft w:val="0"/>
      <w:marRight w:val="0"/>
      <w:marTop w:val="0"/>
      <w:marBottom w:val="0"/>
      <w:divBdr>
        <w:top w:val="none" w:sz="0" w:space="0" w:color="auto"/>
        <w:left w:val="none" w:sz="0" w:space="0" w:color="auto"/>
        <w:bottom w:val="none" w:sz="0" w:space="0" w:color="auto"/>
        <w:right w:val="none" w:sz="0" w:space="0" w:color="auto"/>
      </w:divBdr>
    </w:div>
    <w:div w:id="1648124654">
      <w:bodyDiv w:val="1"/>
      <w:marLeft w:val="0"/>
      <w:marRight w:val="0"/>
      <w:marTop w:val="0"/>
      <w:marBottom w:val="0"/>
      <w:divBdr>
        <w:top w:val="none" w:sz="0" w:space="0" w:color="auto"/>
        <w:left w:val="none" w:sz="0" w:space="0" w:color="auto"/>
        <w:bottom w:val="none" w:sz="0" w:space="0" w:color="auto"/>
        <w:right w:val="none" w:sz="0" w:space="0" w:color="auto"/>
      </w:divBdr>
    </w:div>
    <w:div w:id="1670908272">
      <w:bodyDiv w:val="1"/>
      <w:marLeft w:val="0"/>
      <w:marRight w:val="0"/>
      <w:marTop w:val="0"/>
      <w:marBottom w:val="0"/>
      <w:divBdr>
        <w:top w:val="none" w:sz="0" w:space="0" w:color="auto"/>
        <w:left w:val="none" w:sz="0" w:space="0" w:color="auto"/>
        <w:bottom w:val="none" w:sz="0" w:space="0" w:color="auto"/>
        <w:right w:val="none" w:sz="0" w:space="0" w:color="auto"/>
      </w:divBdr>
    </w:div>
    <w:div w:id="1690599393">
      <w:bodyDiv w:val="1"/>
      <w:marLeft w:val="0"/>
      <w:marRight w:val="0"/>
      <w:marTop w:val="0"/>
      <w:marBottom w:val="0"/>
      <w:divBdr>
        <w:top w:val="none" w:sz="0" w:space="0" w:color="auto"/>
        <w:left w:val="none" w:sz="0" w:space="0" w:color="auto"/>
        <w:bottom w:val="none" w:sz="0" w:space="0" w:color="auto"/>
        <w:right w:val="none" w:sz="0" w:space="0" w:color="auto"/>
      </w:divBdr>
    </w:div>
    <w:div w:id="1727990151">
      <w:bodyDiv w:val="1"/>
      <w:marLeft w:val="0"/>
      <w:marRight w:val="0"/>
      <w:marTop w:val="0"/>
      <w:marBottom w:val="0"/>
      <w:divBdr>
        <w:top w:val="none" w:sz="0" w:space="0" w:color="auto"/>
        <w:left w:val="none" w:sz="0" w:space="0" w:color="auto"/>
        <w:bottom w:val="none" w:sz="0" w:space="0" w:color="auto"/>
        <w:right w:val="none" w:sz="0" w:space="0" w:color="auto"/>
      </w:divBdr>
      <w:divsChild>
        <w:div w:id="2142573835">
          <w:marLeft w:val="0"/>
          <w:marRight w:val="0"/>
          <w:marTop w:val="0"/>
          <w:marBottom w:val="0"/>
          <w:divBdr>
            <w:top w:val="none" w:sz="0" w:space="0" w:color="auto"/>
            <w:left w:val="none" w:sz="0" w:space="0" w:color="auto"/>
            <w:bottom w:val="none" w:sz="0" w:space="0" w:color="auto"/>
            <w:right w:val="none" w:sz="0" w:space="0" w:color="auto"/>
          </w:divBdr>
        </w:div>
      </w:divsChild>
    </w:div>
    <w:div w:id="1742867090">
      <w:bodyDiv w:val="1"/>
      <w:marLeft w:val="0"/>
      <w:marRight w:val="0"/>
      <w:marTop w:val="0"/>
      <w:marBottom w:val="0"/>
      <w:divBdr>
        <w:top w:val="none" w:sz="0" w:space="0" w:color="auto"/>
        <w:left w:val="none" w:sz="0" w:space="0" w:color="auto"/>
        <w:bottom w:val="none" w:sz="0" w:space="0" w:color="auto"/>
        <w:right w:val="none" w:sz="0" w:space="0" w:color="auto"/>
      </w:divBdr>
    </w:div>
    <w:div w:id="1780024023">
      <w:bodyDiv w:val="1"/>
      <w:marLeft w:val="0"/>
      <w:marRight w:val="0"/>
      <w:marTop w:val="0"/>
      <w:marBottom w:val="0"/>
      <w:divBdr>
        <w:top w:val="none" w:sz="0" w:space="0" w:color="auto"/>
        <w:left w:val="none" w:sz="0" w:space="0" w:color="auto"/>
        <w:bottom w:val="none" w:sz="0" w:space="0" w:color="auto"/>
        <w:right w:val="none" w:sz="0" w:space="0" w:color="auto"/>
      </w:divBdr>
    </w:div>
    <w:div w:id="1803844848">
      <w:bodyDiv w:val="1"/>
      <w:marLeft w:val="0"/>
      <w:marRight w:val="0"/>
      <w:marTop w:val="0"/>
      <w:marBottom w:val="0"/>
      <w:divBdr>
        <w:top w:val="none" w:sz="0" w:space="0" w:color="auto"/>
        <w:left w:val="none" w:sz="0" w:space="0" w:color="auto"/>
        <w:bottom w:val="none" w:sz="0" w:space="0" w:color="auto"/>
        <w:right w:val="none" w:sz="0" w:space="0" w:color="auto"/>
      </w:divBdr>
    </w:div>
    <w:div w:id="1805268046">
      <w:bodyDiv w:val="1"/>
      <w:marLeft w:val="0"/>
      <w:marRight w:val="0"/>
      <w:marTop w:val="0"/>
      <w:marBottom w:val="0"/>
      <w:divBdr>
        <w:top w:val="none" w:sz="0" w:space="0" w:color="auto"/>
        <w:left w:val="none" w:sz="0" w:space="0" w:color="auto"/>
        <w:bottom w:val="none" w:sz="0" w:space="0" w:color="auto"/>
        <w:right w:val="none" w:sz="0" w:space="0" w:color="auto"/>
      </w:divBdr>
    </w:div>
    <w:div w:id="1816533462">
      <w:bodyDiv w:val="1"/>
      <w:marLeft w:val="0"/>
      <w:marRight w:val="0"/>
      <w:marTop w:val="0"/>
      <w:marBottom w:val="0"/>
      <w:divBdr>
        <w:top w:val="none" w:sz="0" w:space="0" w:color="auto"/>
        <w:left w:val="none" w:sz="0" w:space="0" w:color="auto"/>
        <w:bottom w:val="none" w:sz="0" w:space="0" w:color="auto"/>
        <w:right w:val="none" w:sz="0" w:space="0" w:color="auto"/>
      </w:divBdr>
    </w:div>
    <w:div w:id="1832255601">
      <w:bodyDiv w:val="1"/>
      <w:marLeft w:val="0"/>
      <w:marRight w:val="0"/>
      <w:marTop w:val="0"/>
      <w:marBottom w:val="0"/>
      <w:divBdr>
        <w:top w:val="none" w:sz="0" w:space="0" w:color="auto"/>
        <w:left w:val="none" w:sz="0" w:space="0" w:color="auto"/>
        <w:bottom w:val="none" w:sz="0" w:space="0" w:color="auto"/>
        <w:right w:val="none" w:sz="0" w:space="0" w:color="auto"/>
      </w:divBdr>
    </w:div>
    <w:div w:id="1839612290">
      <w:bodyDiv w:val="1"/>
      <w:marLeft w:val="0"/>
      <w:marRight w:val="0"/>
      <w:marTop w:val="0"/>
      <w:marBottom w:val="0"/>
      <w:divBdr>
        <w:top w:val="none" w:sz="0" w:space="0" w:color="auto"/>
        <w:left w:val="none" w:sz="0" w:space="0" w:color="auto"/>
        <w:bottom w:val="none" w:sz="0" w:space="0" w:color="auto"/>
        <w:right w:val="none" w:sz="0" w:space="0" w:color="auto"/>
      </w:divBdr>
    </w:div>
    <w:div w:id="1841774527">
      <w:bodyDiv w:val="1"/>
      <w:marLeft w:val="0"/>
      <w:marRight w:val="0"/>
      <w:marTop w:val="0"/>
      <w:marBottom w:val="0"/>
      <w:divBdr>
        <w:top w:val="none" w:sz="0" w:space="0" w:color="auto"/>
        <w:left w:val="none" w:sz="0" w:space="0" w:color="auto"/>
        <w:bottom w:val="none" w:sz="0" w:space="0" w:color="auto"/>
        <w:right w:val="none" w:sz="0" w:space="0" w:color="auto"/>
      </w:divBdr>
      <w:divsChild>
        <w:div w:id="544681880">
          <w:marLeft w:val="0"/>
          <w:marRight w:val="0"/>
          <w:marTop w:val="0"/>
          <w:marBottom w:val="0"/>
          <w:divBdr>
            <w:top w:val="none" w:sz="0" w:space="0" w:color="auto"/>
            <w:left w:val="none" w:sz="0" w:space="0" w:color="auto"/>
            <w:bottom w:val="none" w:sz="0" w:space="0" w:color="auto"/>
            <w:right w:val="none" w:sz="0" w:space="0" w:color="auto"/>
          </w:divBdr>
        </w:div>
      </w:divsChild>
    </w:div>
    <w:div w:id="1847089200">
      <w:bodyDiv w:val="1"/>
      <w:marLeft w:val="0"/>
      <w:marRight w:val="0"/>
      <w:marTop w:val="0"/>
      <w:marBottom w:val="0"/>
      <w:divBdr>
        <w:top w:val="none" w:sz="0" w:space="0" w:color="auto"/>
        <w:left w:val="none" w:sz="0" w:space="0" w:color="auto"/>
        <w:bottom w:val="none" w:sz="0" w:space="0" w:color="auto"/>
        <w:right w:val="none" w:sz="0" w:space="0" w:color="auto"/>
      </w:divBdr>
      <w:divsChild>
        <w:div w:id="72626155">
          <w:marLeft w:val="0"/>
          <w:marRight w:val="0"/>
          <w:marTop w:val="0"/>
          <w:marBottom w:val="0"/>
          <w:divBdr>
            <w:top w:val="none" w:sz="0" w:space="0" w:color="auto"/>
            <w:left w:val="none" w:sz="0" w:space="0" w:color="auto"/>
            <w:bottom w:val="none" w:sz="0" w:space="0" w:color="auto"/>
            <w:right w:val="none" w:sz="0" w:space="0" w:color="auto"/>
          </w:divBdr>
        </w:div>
      </w:divsChild>
    </w:div>
    <w:div w:id="1853646681">
      <w:bodyDiv w:val="1"/>
      <w:marLeft w:val="0"/>
      <w:marRight w:val="0"/>
      <w:marTop w:val="0"/>
      <w:marBottom w:val="0"/>
      <w:divBdr>
        <w:top w:val="none" w:sz="0" w:space="0" w:color="auto"/>
        <w:left w:val="none" w:sz="0" w:space="0" w:color="auto"/>
        <w:bottom w:val="none" w:sz="0" w:space="0" w:color="auto"/>
        <w:right w:val="none" w:sz="0" w:space="0" w:color="auto"/>
      </w:divBdr>
    </w:div>
    <w:div w:id="1862473081">
      <w:bodyDiv w:val="1"/>
      <w:marLeft w:val="0"/>
      <w:marRight w:val="0"/>
      <w:marTop w:val="0"/>
      <w:marBottom w:val="0"/>
      <w:divBdr>
        <w:top w:val="none" w:sz="0" w:space="0" w:color="auto"/>
        <w:left w:val="none" w:sz="0" w:space="0" w:color="auto"/>
        <w:bottom w:val="none" w:sz="0" w:space="0" w:color="auto"/>
        <w:right w:val="none" w:sz="0" w:space="0" w:color="auto"/>
      </w:divBdr>
    </w:div>
    <w:div w:id="1910726504">
      <w:bodyDiv w:val="1"/>
      <w:marLeft w:val="0"/>
      <w:marRight w:val="0"/>
      <w:marTop w:val="0"/>
      <w:marBottom w:val="0"/>
      <w:divBdr>
        <w:top w:val="none" w:sz="0" w:space="0" w:color="auto"/>
        <w:left w:val="none" w:sz="0" w:space="0" w:color="auto"/>
        <w:bottom w:val="none" w:sz="0" w:space="0" w:color="auto"/>
        <w:right w:val="none" w:sz="0" w:space="0" w:color="auto"/>
      </w:divBdr>
      <w:divsChild>
        <w:div w:id="783499395">
          <w:marLeft w:val="0"/>
          <w:marRight w:val="0"/>
          <w:marTop w:val="0"/>
          <w:marBottom w:val="0"/>
          <w:divBdr>
            <w:top w:val="none" w:sz="0" w:space="0" w:color="auto"/>
            <w:left w:val="none" w:sz="0" w:space="0" w:color="auto"/>
            <w:bottom w:val="none" w:sz="0" w:space="0" w:color="auto"/>
            <w:right w:val="none" w:sz="0" w:space="0" w:color="auto"/>
          </w:divBdr>
        </w:div>
      </w:divsChild>
    </w:div>
    <w:div w:id="1918513224">
      <w:bodyDiv w:val="1"/>
      <w:marLeft w:val="0"/>
      <w:marRight w:val="0"/>
      <w:marTop w:val="0"/>
      <w:marBottom w:val="0"/>
      <w:divBdr>
        <w:top w:val="none" w:sz="0" w:space="0" w:color="auto"/>
        <w:left w:val="none" w:sz="0" w:space="0" w:color="auto"/>
        <w:bottom w:val="none" w:sz="0" w:space="0" w:color="auto"/>
        <w:right w:val="none" w:sz="0" w:space="0" w:color="auto"/>
      </w:divBdr>
    </w:div>
    <w:div w:id="1924483345">
      <w:bodyDiv w:val="1"/>
      <w:marLeft w:val="0"/>
      <w:marRight w:val="0"/>
      <w:marTop w:val="0"/>
      <w:marBottom w:val="0"/>
      <w:divBdr>
        <w:top w:val="none" w:sz="0" w:space="0" w:color="auto"/>
        <w:left w:val="none" w:sz="0" w:space="0" w:color="auto"/>
        <w:bottom w:val="none" w:sz="0" w:space="0" w:color="auto"/>
        <w:right w:val="none" w:sz="0" w:space="0" w:color="auto"/>
      </w:divBdr>
    </w:div>
    <w:div w:id="1932811695">
      <w:bodyDiv w:val="1"/>
      <w:marLeft w:val="0"/>
      <w:marRight w:val="0"/>
      <w:marTop w:val="0"/>
      <w:marBottom w:val="0"/>
      <w:divBdr>
        <w:top w:val="none" w:sz="0" w:space="0" w:color="auto"/>
        <w:left w:val="none" w:sz="0" w:space="0" w:color="auto"/>
        <w:bottom w:val="none" w:sz="0" w:space="0" w:color="auto"/>
        <w:right w:val="none" w:sz="0" w:space="0" w:color="auto"/>
      </w:divBdr>
    </w:div>
    <w:div w:id="1953853410">
      <w:bodyDiv w:val="1"/>
      <w:marLeft w:val="0"/>
      <w:marRight w:val="0"/>
      <w:marTop w:val="0"/>
      <w:marBottom w:val="0"/>
      <w:divBdr>
        <w:top w:val="none" w:sz="0" w:space="0" w:color="auto"/>
        <w:left w:val="none" w:sz="0" w:space="0" w:color="auto"/>
        <w:bottom w:val="none" w:sz="0" w:space="0" w:color="auto"/>
        <w:right w:val="none" w:sz="0" w:space="0" w:color="auto"/>
      </w:divBdr>
    </w:div>
    <w:div w:id="1978297837">
      <w:bodyDiv w:val="1"/>
      <w:marLeft w:val="0"/>
      <w:marRight w:val="0"/>
      <w:marTop w:val="0"/>
      <w:marBottom w:val="0"/>
      <w:divBdr>
        <w:top w:val="none" w:sz="0" w:space="0" w:color="auto"/>
        <w:left w:val="none" w:sz="0" w:space="0" w:color="auto"/>
        <w:bottom w:val="none" w:sz="0" w:space="0" w:color="auto"/>
        <w:right w:val="none" w:sz="0" w:space="0" w:color="auto"/>
      </w:divBdr>
    </w:div>
    <w:div w:id="2027976421">
      <w:bodyDiv w:val="1"/>
      <w:marLeft w:val="0"/>
      <w:marRight w:val="0"/>
      <w:marTop w:val="0"/>
      <w:marBottom w:val="0"/>
      <w:divBdr>
        <w:top w:val="none" w:sz="0" w:space="0" w:color="auto"/>
        <w:left w:val="none" w:sz="0" w:space="0" w:color="auto"/>
        <w:bottom w:val="none" w:sz="0" w:space="0" w:color="auto"/>
        <w:right w:val="none" w:sz="0" w:space="0" w:color="auto"/>
      </w:divBdr>
    </w:div>
    <w:div w:id="2048413793">
      <w:bodyDiv w:val="1"/>
      <w:marLeft w:val="0"/>
      <w:marRight w:val="0"/>
      <w:marTop w:val="0"/>
      <w:marBottom w:val="0"/>
      <w:divBdr>
        <w:top w:val="none" w:sz="0" w:space="0" w:color="auto"/>
        <w:left w:val="none" w:sz="0" w:space="0" w:color="auto"/>
        <w:bottom w:val="none" w:sz="0" w:space="0" w:color="auto"/>
        <w:right w:val="none" w:sz="0" w:space="0" w:color="auto"/>
      </w:divBdr>
    </w:div>
    <w:div w:id="2049379266">
      <w:bodyDiv w:val="1"/>
      <w:marLeft w:val="0"/>
      <w:marRight w:val="0"/>
      <w:marTop w:val="0"/>
      <w:marBottom w:val="0"/>
      <w:divBdr>
        <w:top w:val="none" w:sz="0" w:space="0" w:color="auto"/>
        <w:left w:val="none" w:sz="0" w:space="0" w:color="auto"/>
        <w:bottom w:val="none" w:sz="0" w:space="0" w:color="auto"/>
        <w:right w:val="none" w:sz="0" w:space="0" w:color="auto"/>
      </w:divBdr>
      <w:divsChild>
        <w:div w:id="1941141439">
          <w:marLeft w:val="0"/>
          <w:marRight w:val="0"/>
          <w:marTop w:val="0"/>
          <w:marBottom w:val="0"/>
          <w:divBdr>
            <w:top w:val="none" w:sz="0" w:space="0" w:color="auto"/>
            <w:left w:val="none" w:sz="0" w:space="0" w:color="auto"/>
            <w:bottom w:val="none" w:sz="0" w:space="0" w:color="auto"/>
            <w:right w:val="none" w:sz="0" w:space="0" w:color="auto"/>
          </w:divBdr>
        </w:div>
      </w:divsChild>
    </w:div>
    <w:div w:id="2056804929">
      <w:bodyDiv w:val="1"/>
      <w:marLeft w:val="0"/>
      <w:marRight w:val="0"/>
      <w:marTop w:val="0"/>
      <w:marBottom w:val="0"/>
      <w:divBdr>
        <w:top w:val="none" w:sz="0" w:space="0" w:color="auto"/>
        <w:left w:val="none" w:sz="0" w:space="0" w:color="auto"/>
        <w:bottom w:val="none" w:sz="0" w:space="0" w:color="auto"/>
        <w:right w:val="none" w:sz="0" w:space="0" w:color="auto"/>
      </w:divBdr>
    </w:div>
    <w:div w:id="2057971318">
      <w:bodyDiv w:val="1"/>
      <w:marLeft w:val="0"/>
      <w:marRight w:val="0"/>
      <w:marTop w:val="0"/>
      <w:marBottom w:val="0"/>
      <w:divBdr>
        <w:top w:val="none" w:sz="0" w:space="0" w:color="auto"/>
        <w:left w:val="none" w:sz="0" w:space="0" w:color="auto"/>
        <w:bottom w:val="none" w:sz="0" w:space="0" w:color="auto"/>
        <w:right w:val="none" w:sz="0" w:space="0" w:color="auto"/>
      </w:divBdr>
    </w:div>
    <w:div w:id="2060933205">
      <w:bodyDiv w:val="1"/>
      <w:marLeft w:val="0"/>
      <w:marRight w:val="0"/>
      <w:marTop w:val="0"/>
      <w:marBottom w:val="0"/>
      <w:divBdr>
        <w:top w:val="none" w:sz="0" w:space="0" w:color="auto"/>
        <w:left w:val="none" w:sz="0" w:space="0" w:color="auto"/>
        <w:bottom w:val="none" w:sz="0" w:space="0" w:color="auto"/>
        <w:right w:val="none" w:sz="0" w:space="0" w:color="auto"/>
      </w:divBdr>
      <w:divsChild>
        <w:div w:id="73166739">
          <w:marLeft w:val="0"/>
          <w:marRight w:val="0"/>
          <w:marTop w:val="0"/>
          <w:marBottom w:val="0"/>
          <w:divBdr>
            <w:top w:val="none" w:sz="0" w:space="0" w:color="auto"/>
            <w:left w:val="none" w:sz="0" w:space="0" w:color="auto"/>
            <w:bottom w:val="none" w:sz="0" w:space="0" w:color="auto"/>
            <w:right w:val="none" w:sz="0" w:space="0" w:color="auto"/>
          </w:divBdr>
        </w:div>
      </w:divsChild>
    </w:div>
    <w:div w:id="2086830070">
      <w:bodyDiv w:val="1"/>
      <w:marLeft w:val="0"/>
      <w:marRight w:val="0"/>
      <w:marTop w:val="0"/>
      <w:marBottom w:val="0"/>
      <w:divBdr>
        <w:top w:val="none" w:sz="0" w:space="0" w:color="auto"/>
        <w:left w:val="none" w:sz="0" w:space="0" w:color="auto"/>
        <w:bottom w:val="none" w:sz="0" w:space="0" w:color="auto"/>
        <w:right w:val="none" w:sz="0" w:space="0" w:color="auto"/>
      </w:divBdr>
      <w:divsChild>
        <w:div w:id="1791898571">
          <w:marLeft w:val="0"/>
          <w:marRight w:val="0"/>
          <w:marTop w:val="0"/>
          <w:marBottom w:val="0"/>
          <w:divBdr>
            <w:top w:val="none" w:sz="0" w:space="0" w:color="auto"/>
            <w:left w:val="none" w:sz="0" w:space="0" w:color="auto"/>
            <w:bottom w:val="none" w:sz="0" w:space="0" w:color="auto"/>
            <w:right w:val="none" w:sz="0" w:space="0" w:color="auto"/>
          </w:divBdr>
        </w:div>
      </w:divsChild>
    </w:div>
    <w:div w:id="2096513939">
      <w:bodyDiv w:val="1"/>
      <w:marLeft w:val="0"/>
      <w:marRight w:val="0"/>
      <w:marTop w:val="0"/>
      <w:marBottom w:val="0"/>
      <w:divBdr>
        <w:top w:val="none" w:sz="0" w:space="0" w:color="auto"/>
        <w:left w:val="none" w:sz="0" w:space="0" w:color="auto"/>
        <w:bottom w:val="none" w:sz="0" w:space="0" w:color="auto"/>
        <w:right w:val="none" w:sz="0" w:space="0" w:color="auto"/>
      </w:divBdr>
    </w:div>
    <w:div w:id="2114354715">
      <w:bodyDiv w:val="1"/>
      <w:marLeft w:val="0"/>
      <w:marRight w:val="0"/>
      <w:marTop w:val="0"/>
      <w:marBottom w:val="0"/>
      <w:divBdr>
        <w:top w:val="none" w:sz="0" w:space="0" w:color="auto"/>
        <w:left w:val="none" w:sz="0" w:space="0" w:color="auto"/>
        <w:bottom w:val="none" w:sz="0" w:space="0" w:color="auto"/>
        <w:right w:val="none" w:sz="0" w:space="0" w:color="auto"/>
      </w:divBdr>
    </w:div>
    <w:div w:id="2132555915">
      <w:bodyDiv w:val="1"/>
      <w:marLeft w:val="0"/>
      <w:marRight w:val="0"/>
      <w:marTop w:val="0"/>
      <w:marBottom w:val="0"/>
      <w:divBdr>
        <w:top w:val="none" w:sz="0" w:space="0" w:color="auto"/>
        <w:left w:val="none" w:sz="0" w:space="0" w:color="auto"/>
        <w:bottom w:val="none" w:sz="0" w:space="0" w:color="auto"/>
        <w:right w:val="none" w:sz="0" w:space="0" w:color="auto"/>
      </w:divBdr>
      <w:divsChild>
        <w:div w:id="1576475309">
          <w:marLeft w:val="0"/>
          <w:marRight w:val="0"/>
          <w:marTop w:val="0"/>
          <w:marBottom w:val="0"/>
          <w:divBdr>
            <w:top w:val="none" w:sz="0" w:space="0" w:color="auto"/>
            <w:left w:val="none" w:sz="0" w:space="0" w:color="auto"/>
            <w:bottom w:val="none" w:sz="0" w:space="0" w:color="auto"/>
            <w:right w:val="none" w:sz="0" w:space="0" w:color="auto"/>
          </w:divBdr>
        </w:div>
      </w:divsChild>
    </w:div>
    <w:div w:id="2132750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confed.org/publications/state-integrated-care-systems-202324" TargetMode="External"/><Relationship Id="rId13" Type="http://schemas.openxmlformats.org/officeDocument/2006/relationships/hyperlink" Target="https://www.england.nhs.uk/midlands/2023/01/25/black-and-south-asian-people-in-the-west-midlands-urged-to-act-now-to-prevent-or-delay-type-2-diabetes/(Accessed" TargetMode="External"/><Relationship Id="rId3" Type="http://schemas.openxmlformats.org/officeDocument/2006/relationships/settings" Target="settings.xml"/><Relationship Id="rId7" Type="http://schemas.openxmlformats.org/officeDocument/2006/relationships/hyperlink" Target="https://pubmed.ncbi.nlm.nih.gov/35664052/" TargetMode="External"/><Relationship Id="rId12" Type="http://schemas.openxmlformats.org/officeDocument/2006/relationships/hyperlink" Target="https://www.england.nhs.uk/diabetes/treatment-car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diabetes.org.uk/about-us/news-and-views/30-people-living-type-2-diabetes-england-are-undiagnosed-ons-analysis-shows"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diabetes.org.uk/about-diabetes/type-2-diabetes/diabetes-ethnicity" TargetMode="External"/><Relationship Id="rId4" Type="http://schemas.openxmlformats.org/officeDocument/2006/relationships/webSettings" Target="webSettings.xml"/><Relationship Id="rId9" Type="http://schemas.openxmlformats.org/officeDocument/2006/relationships/hyperlink" Target="https://www.desmond.nhs.uk" TargetMode="External"/><Relationship Id="rId14" Type="http://schemas.openxmlformats.org/officeDocument/2006/relationships/hyperlink" Target="https://www.ons.gov.uk/peoplepopulationandcommunity/healthandsocialcare/healthinequalities/bulletins/riskfactorsforprediabetesandundiagnosedtype2diabetesinengland/2013to20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1809</TotalTime>
  <Pages>57</Pages>
  <Words>14122</Words>
  <Characters>91511</Characters>
  <Application>Microsoft Office Word</Application>
  <DocSecurity>0</DocSecurity>
  <Lines>2287</Lines>
  <Paragraphs>672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Perkins, Touannah S.</dc:creator>
  <cp:keywords/>
  <dc:description/>
  <cp:lastModifiedBy>Perkins, Touannah S.</cp:lastModifiedBy>
  <cp:revision>406</cp:revision>
  <dcterms:created xsi:type="dcterms:W3CDTF">2026-01-31T21:24:00Z</dcterms:created>
  <dcterms:modified xsi:type="dcterms:W3CDTF">2026-04-07T19:52:00Z</dcterms:modified>
</cp:coreProperties>
</file>