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theme/theme1.xml" ContentType="application/vnd.openxmlformats-officedocument.theme+xml"/>
  <Override PartName="/word/header1.xml" ContentType="application/vnd.openxmlformats-officedocument.wordprocessingml.header+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b/>
          <w:b/>
          <w:bCs/>
          <w:sz w:val="40"/>
          <w:szCs w:val="40"/>
        </w:rPr>
      </w:pPr>
      <w:r>
        <w:rPr/>
      </w:r>
    </w:p>
    <w:p>
      <w:pPr>
        <w:pStyle w:val="Normal"/>
        <w:jc w:val="center"/>
        <w:rPr>
          <w:b/>
          <w:b/>
          <w:bCs/>
          <w:sz w:val="40"/>
          <w:szCs w:val="40"/>
        </w:rPr>
      </w:pPr>
      <w:r>
        <w:rPr/>
      </w:r>
    </w:p>
    <w:p>
      <w:pPr>
        <w:pStyle w:val="Normal"/>
        <w:jc w:val="center"/>
        <w:rPr>
          <w:b/>
          <w:b/>
          <w:bCs/>
          <w:sz w:val="40"/>
          <w:szCs w:val="40"/>
        </w:rPr>
      </w:pPr>
      <w:r>
        <w:rPr>
          <w:b/>
          <w:bCs/>
          <w:sz w:val="40"/>
          <w:szCs w:val="40"/>
        </w:rPr>
        <w:t>Data Handling and Business Intelligence</w:t>
      </w:r>
    </w:p>
    <w:p>
      <w:pPr>
        <w:pStyle w:val="Normal"/>
        <w:jc w:val="center"/>
        <w:rPr>
          <w:sz w:val="28"/>
          <w:szCs w:val="24"/>
          <w:lang w:val="en-US"/>
        </w:rPr>
      </w:pPr>
      <w:r>
        <w:rPr/>
      </w:r>
    </w:p>
    <w:p>
      <w:pPr>
        <w:pStyle w:val="Normal"/>
        <w:jc w:val="center"/>
        <w:rPr>
          <w:sz w:val="28"/>
          <w:szCs w:val="24"/>
          <w:lang w:val="en-US"/>
        </w:rPr>
      </w:pPr>
      <w:r>
        <w:rPr/>
      </w:r>
    </w:p>
    <w:p>
      <w:pPr>
        <w:pStyle w:val="Normal"/>
        <w:jc w:val="center"/>
        <w:rPr>
          <w:sz w:val="28"/>
          <w:szCs w:val="24"/>
          <w:lang w:val="en-US"/>
        </w:rPr>
      </w:pPr>
      <w:r>
        <w:rPr/>
      </w:r>
    </w:p>
    <w:p>
      <w:pPr>
        <w:pStyle w:val="Normal"/>
        <w:jc w:val="center"/>
        <w:rPr/>
      </w:pPr>
      <w:r>
        <w:rPr>
          <w:sz w:val="28"/>
          <w:szCs w:val="24"/>
          <w:lang w:val="en-US"/>
        </w:rPr>
        <w:t xml:space="preserve">Student Name: </w:t>
      </w:r>
      <w:r>
        <w:rPr>
          <w:sz w:val="28"/>
          <w:szCs w:val="24"/>
          <w:lang w:val="en-US"/>
        </w:rPr>
        <w:t>Alexandru Baractaru</w:t>
      </w:r>
    </w:p>
    <w:p>
      <w:pPr>
        <w:pStyle w:val="Normal"/>
        <w:jc w:val="center"/>
        <w:rPr/>
      </w:pPr>
      <w:r>
        <w:rPr>
          <w:sz w:val="28"/>
          <w:szCs w:val="24"/>
          <w:lang w:val="en-US"/>
        </w:rPr>
        <w:t xml:space="preserve">Student ID: </w:t>
      </w:r>
      <w:r>
        <w:rPr>
          <w:sz w:val="28"/>
          <w:szCs w:val="24"/>
          <w:lang w:val="en-US"/>
        </w:rPr>
        <w:t>2129397</w:t>
      </w:r>
    </w:p>
    <w:p>
      <w:pPr>
        <w:pStyle w:val="Normal"/>
        <w:jc w:val="center"/>
        <w:rPr>
          <w:sz w:val="28"/>
          <w:szCs w:val="24"/>
          <w:lang w:val="en-US"/>
        </w:rPr>
      </w:pPr>
      <w:r>
        <w:rPr>
          <w:sz w:val="28"/>
          <w:szCs w:val="24"/>
          <w:lang w:val="en-US"/>
        </w:rPr>
        <w:t>Module code: LCCBB5000</w:t>
      </w:r>
    </w:p>
    <w:p>
      <w:pPr>
        <w:pStyle w:val="Normal"/>
        <w:jc w:val="center"/>
        <w:rPr>
          <w:sz w:val="28"/>
          <w:szCs w:val="24"/>
          <w:lang w:val="en-US"/>
        </w:rPr>
      </w:pPr>
      <w:r>
        <w:rPr>
          <w:sz w:val="28"/>
          <w:szCs w:val="24"/>
          <w:lang w:val="en-US"/>
        </w:rPr>
        <w:t>Lecturer Module:   Dr Anupam Mazumdar</w:t>
      </w:r>
    </w:p>
    <w:p>
      <w:pPr>
        <w:pStyle w:val="Normal"/>
        <w:spacing w:lineRule="auto" w:line="259" w:before="0" w:after="160"/>
        <w:jc w:val="left"/>
        <w:rPr>
          <w:b/>
          <w:b/>
          <w:bCs/>
          <w:sz w:val="40"/>
          <w:szCs w:val="40"/>
        </w:rPr>
      </w:pPr>
      <w:r>
        <w:rPr>
          <w:b/>
          <w:bCs/>
          <w:sz w:val="28"/>
          <w:szCs w:val="24"/>
          <w:lang w:val="en-US"/>
        </w:rPr>
      </w:r>
      <w:r>
        <w:br w:type="page"/>
      </w:r>
    </w:p>
    <w:p>
      <w:pPr>
        <w:pStyle w:val="Heading1"/>
        <w:rPr/>
      </w:pPr>
      <w:r>
        <w:rPr/>
        <w:t xml:space="preserve">Introduction </w:t>
      </w:r>
    </w:p>
    <w:p>
      <w:pPr>
        <w:pStyle w:val="Normal"/>
        <w:rPr/>
      </w:pPr>
      <w:r>
        <w:rPr/>
        <w:t>The particular concept of data handling basically refers to the methodical strategies which are used in order to collect records as well as present information in an effective manner to others. This particular process is sometimes also referred to as statistics. On the other hand business intelligence is expressed as a bunch of processes as well as technologies that mainly gather, store along with examine the information on the basis of the activity of a business organisation. Moreover, the tools of the BI basically present the data in a most easy or user-friendly manner. Hence, the key motive of this study is to critically highlight the particular process of using data handling methods for the sake of data analysis. It will use the Excel sheet through which the analysis of the data can be critically done. Moreover, the explanation of the calculations as well as some of the pros and cons of SPSS and Excel will be more addressed.</w:t>
      </w:r>
      <w:r>
        <w:br w:type="page"/>
      </w:r>
    </w:p>
    <w:p>
      <w:pPr>
        <w:pStyle w:val="Heading1"/>
        <w:rPr/>
      </w:pPr>
      <w:r>
        <w:rPr/>
        <w:t xml:space="preserve">Discussion </w:t>
      </w:r>
    </w:p>
    <w:p>
      <w:pPr>
        <w:pStyle w:val="Normal"/>
        <w:rPr>
          <w:b/>
          <w:b/>
          <w:bCs/>
        </w:rPr>
      </w:pPr>
      <w:r>
        <w:rPr>
          <w:b/>
          <w:bCs/>
        </w:rPr>
        <w:t xml:space="preserve">Task 1 </w:t>
      </w:r>
    </w:p>
    <w:p>
      <w:pPr>
        <w:pStyle w:val="Normal"/>
        <w:jc w:val="center"/>
        <w:rPr/>
      </w:pPr>
      <w:r>
        <w:rPr/>
        <w:drawing>
          <wp:inline distT="0" distB="0" distL="0" distR="0">
            <wp:extent cx="4572000" cy="2743200"/>
            <wp:effectExtent l="0" t="0" r="0" b="0"/>
            <wp:docPr id="1"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2"/>
              </a:graphicData>
            </a:graphic>
          </wp:inline>
        </w:drawing>
      </w:r>
    </w:p>
    <w:p>
      <w:pPr>
        <w:pStyle w:val="Normal"/>
        <w:jc w:val="center"/>
        <w:rPr/>
      </w:pPr>
      <w:r>
        <w:rPr/>
        <w:t>Figure: Column graph</w:t>
      </w:r>
    </w:p>
    <w:p>
      <w:pPr>
        <w:pStyle w:val="Normal"/>
        <w:jc w:val="center"/>
        <w:rPr/>
      </w:pPr>
      <w:r>
        <w:rPr/>
        <w:t xml:space="preserve">By Author </w:t>
      </w:r>
    </w:p>
    <w:p>
      <w:pPr>
        <w:pStyle w:val="Normal"/>
        <w:rPr/>
      </w:pPr>
      <w:r>
        <w:rPr/>
        <w:t>The above diagram is mainly highlighting the prices of the hotel for the past few years. The various is within patterns of the hotel can be seen for the past few years where the prices of the hotel have been seen at a great range in the year 2017. The values which has been highlighted as zero to 6 number is mainly state that the price of the hotel was too low or has not been recorded while the values like 27.75 as well as 159.75 shows a high price</w:t>
      </w:r>
      <w:sdt>
        <w:sdtPr>
          <w:citation/>
        </w:sdtPr>
        <w:sdtContent>
          <w:r>
            <w:rPr/>
            <w:fldChar w:fldCharType="begin"/>
          </w:r>
          <w:r>
            <w:rPr/>
            <w:instrText> CITATION cue238 \l 1033 </w:instrText>
          </w:r>
          <w:r>
            <w:rPr/>
            <w:fldChar w:fldCharType="separate"/>
          </w:r>
          <w:r>
            <w:rPr/>
            <w:t xml:space="preserve"> (cuemath, 2023)</w:t>
          </w:r>
          <w:r>
            <w:rPr/>
            <w:fldChar w:fldCharType="end"/>
          </w:r>
        </w:sdtContent>
      </w:sdt>
      <w:r>
        <w:rPr/>
        <w:t>. Changes in fluctuation in 2019 can be seen in an effective pattern. A large range of pricing figures on the basis of the above data set can be detected as 155, 186.22 as well as 168.3.</w:t>
      </w:r>
      <w:r>
        <w:rPr/>
        <w:t xml:space="preserve"> Moving ahead the pricing data which has been recorded in the year 2019 states mix values at where high and low price has been detected. It may happen due to seasonal changes which impact the rates of the hotel. In 2020 the value ranged between 1 to 0 clearly indicating the reduction in the prices of the hotels due to the epidemic. Apart from this, the slump within the industry may also cause a decline in the price range. The upcoming year 2021 has shown the development of the price range in comparison to the previous year where the price has been recorded as twenty-two four 224.67 as well as 205</w:t>
      </w:r>
      <w:sdt>
        <w:sdtPr>
          <w:citation/>
        </w:sdtPr>
        <w:sdtContent>
          <w:r>
            <w:rPr/>
            <w:fldChar w:fldCharType="begin"/>
          </w:r>
          <w:r>
            <w:rPr/>
            <w:instrText> CITATION gee2325 \l 1033 </w:instrText>
          </w:r>
          <w:r>
            <w:rPr/>
            <w:fldChar w:fldCharType="separate"/>
          </w:r>
          <w:r>
            <w:rPr/>
            <w:t xml:space="preserve"> (geeksforgeeks, 2023)</w:t>
          </w:r>
          <w:r>
            <w:rPr/>
            <w:fldChar w:fldCharType="end"/>
          </w:r>
        </w:sdtContent>
      </w:sdt>
      <w:r>
        <w:rPr/>
        <w:t>.</w:t>
      </w:r>
      <w:r>
        <w:rPr/>
        <w:t xml:space="preserve"> </w:t>
      </w:r>
    </w:p>
    <w:p>
      <w:pPr>
        <w:pStyle w:val="Normal"/>
        <w:jc w:val="center"/>
        <w:rPr/>
      </w:pPr>
      <w:r>
        <w:rPr/>
        <w:drawing>
          <wp:inline distT="0" distB="0" distL="0" distR="0">
            <wp:extent cx="4572000" cy="2743200"/>
            <wp:effectExtent l="0" t="0" r="0" b="0"/>
            <wp:docPr id="2"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r>
    </w:p>
    <w:p>
      <w:pPr>
        <w:pStyle w:val="Normal"/>
        <w:jc w:val="center"/>
        <w:rPr/>
      </w:pPr>
      <w:r>
        <w:rPr/>
        <w:t>Figure: Line graph</w:t>
      </w:r>
    </w:p>
    <w:p>
      <w:pPr>
        <w:pStyle w:val="Normal"/>
        <w:jc w:val="center"/>
        <w:rPr/>
      </w:pPr>
      <w:r>
        <w:rPr/>
        <w:t xml:space="preserve">By Author </w:t>
      </w:r>
    </w:p>
    <w:p>
      <w:pPr>
        <w:pStyle w:val="Normal"/>
        <w:rPr/>
      </w:pPr>
      <w:r>
        <w:rPr/>
        <w:t>The above diagram has included the data for the past seven years. Each row of the years from their table is mainly highlighting the wide range of metrics as well as measures. On the basis of the data series it can be seen that there are many three years data has been covered which is showing the average price of the arrival of the visitors. Therefore the numerical amounts are basically connected or related to each and every year and it is also essential in order to comprehend the actual meaning of these values. It can be seen that the particular data has a wide range reflecting from zero to 200. This mainly suggests that various metrics which include percentages amounts as well as scores can be represented as the measurement. The value of range has also been identified in the dataset for the year 2019 where the value has been determined as zero to 228.33. There are some entries on values within the data set which has been visible more than once Reflecting that it is possible that the particular dataset may include mistakes. The maximum value which has been identified is around 228.33 in which there are so many zeroes included</w:t>
      </w:r>
      <w:sdt>
        <w:sdtPr>
          <w:citation/>
        </w:sdtPr>
        <w:sdtContent>
          <w:r>
            <w:rPr/>
            <w:fldChar w:fldCharType="begin"/>
          </w:r>
          <w:r>
            <w:rPr/>
            <w:instrText> CITATION ibm237 \l 1033 </w:instrText>
          </w:r>
          <w:r>
            <w:rPr/>
            <w:fldChar w:fldCharType="separate"/>
          </w:r>
          <w:r>
            <w:rPr/>
            <w:t xml:space="preserve"> (ibm, 2023)</w:t>
          </w:r>
          <w:r>
            <w:rPr/>
            <w:fldChar w:fldCharType="end"/>
          </w:r>
        </w:sdtContent>
      </w:sdt>
      <w:r>
        <w:rPr/>
        <w:t xml:space="preserve">. This basically highlights a </w:t>
      </w:r>
      <w:r>
        <w:rPr/>
        <w:t>certain range of data which has been which may have not been recorded or missing. More over the data also provides new types of metric within the range of value in between 0 to 215.6 for the year 2020. Apart from this, it has also been identified that in the year 2019, there are several gaps has have appeared due to appearance of the similar entries. Hence, it can be said that the year 2019 and 2020 has a more diverse range of data in comparing to the other year.</w:t>
      </w:r>
    </w:p>
    <w:p>
      <w:pPr>
        <w:pStyle w:val="Normal"/>
        <w:jc w:val="center"/>
        <w:rPr/>
      </w:pPr>
      <w:r>
        <w:rPr/>
        <w:drawing>
          <wp:inline distT="0" distB="0" distL="0" distR="0">
            <wp:extent cx="4572000" cy="2743200"/>
            <wp:effectExtent l="0" t="0" r="0" b="0"/>
            <wp:docPr id="3"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pStyle w:val="Normal"/>
        <w:jc w:val="center"/>
        <w:rPr/>
      </w:pPr>
      <w:r>
        <w:rPr/>
        <w:t>Figure: Pie graph</w:t>
      </w:r>
    </w:p>
    <w:p>
      <w:pPr>
        <w:pStyle w:val="Normal"/>
        <w:jc w:val="center"/>
        <w:rPr/>
      </w:pPr>
      <w:r>
        <w:rPr/>
        <w:t xml:space="preserve">By Author </w:t>
      </w:r>
    </w:p>
    <w:p>
      <w:pPr>
        <w:pStyle w:val="Normal"/>
        <w:rPr/>
      </w:pPr>
      <w:r>
        <w:rPr/>
        <w:t>Apparently in order to complete the above program spreadsheet there are usage of Microsoft Excel has been added which works as a necessary step to follow (</w:t>
      </w:r>
      <w:r>
        <w:rPr>
          <w:shd w:fill="FFFFFF" w:val="clear"/>
        </w:rPr>
        <w:t>Anderson</w:t>
      </w:r>
      <w:r>
        <w:rPr/>
        <w:t xml:space="preserve"> </w:t>
      </w:r>
      <w:r>
        <w:rPr>
          <w:i/>
          <w:iCs/>
        </w:rPr>
        <w:t xml:space="preserve">et al., </w:t>
      </w:r>
      <w:r>
        <w:rPr>
          <w:shd w:fill="FFFFFF" w:val="clear"/>
        </w:rPr>
        <w:t>2020)</w:t>
      </w:r>
      <w:r>
        <w:rPr/>
        <w:t>. The usage of Microsoft Excel allows users to condense, analyse, as well as display a Wide range of data in an organized manner. Moreover, it is possible for the users in order to get a detailed insight into the information or data in a more effective and quick manner by classifying as well as reorganizing the collected data. Pivot table is a function of Microsoft excel by using which an individual can make their research more dynamic and interesting. It also helps in making it easy in order to detect the critical trends as well as patterns within the information. Now, with the aim of arranging various criteria consisting of percentages, counts, averages, sums and all which can be dragged and dropped by the users within their respective fields. Therefore the usage of this feature within the pivot table helps in producing more effective and insightful reports which allows us to make critical decisions in a more efficient manner (</w:t>
      </w:r>
      <w:r>
        <w:rPr>
          <w:shd w:fill="FFFFFF" w:val="clear"/>
          <w:lang w:val="en-US"/>
        </w:rPr>
        <w:t>Guerrero</w:t>
      </w:r>
      <w:r>
        <w:rPr/>
        <w:t xml:space="preserve"> </w:t>
      </w:r>
      <w:r>
        <w:rPr>
          <w:i/>
          <w:iCs/>
        </w:rPr>
        <w:t xml:space="preserve">et al., </w:t>
      </w:r>
      <w:r>
        <w:rPr>
          <w:shd w:fill="FFFFFF" w:val="clear"/>
          <w:lang w:val="en-US"/>
        </w:rPr>
        <w:t>2019)</w:t>
      </w:r>
      <w:r>
        <w:rPr/>
        <w:t>. It is also possible to decompose any kind of complicated data in a more simple form by using this. This particular distribution of arrival among the mentioned ears has been seen within the data expressed, supplied informal percentages. Now by examining all these percentages, it is possible for an individual to acquire a detailed understanding regarding the variations as well as patterns within the occupancy rate of the hotel for the mentioned years. In 2000 the number of arrivals was determined as 15.29 percent which may be considered a small number. Userships within the rates of the hotel which has been covered in the above data set mainly show an effective deal of variations which may happen due to changing seasonal demand. Moreover, a is also exciting in order to examine the way the rates of the hotel change by providing the proper response in order to call in demand. The prices of the hotel are basically enhanced at a time when the supply cannot be maintained by the companies in comparison to the demand of the consumers. Now the diagram shows that the actual percentages through the mentioned years 2019, 2020, and 2021 the data has been determined as 0.50% to 0.52% which is basically much lower (</w:t>
      </w:r>
      <w:r>
        <w:rPr>
          <w:shd w:fill="FFFFFF" w:val="clear"/>
        </w:rPr>
        <w:t>Fávero</w:t>
      </w:r>
      <w:r>
        <w:rPr/>
        <w:t xml:space="preserve"> </w:t>
      </w:r>
      <w:r>
        <w:rPr>
          <w:shd w:fill="FFFFFF" w:val="clear"/>
        </w:rPr>
        <w:t>and Belfiore,</w:t>
      </w:r>
      <w:r>
        <w:rPr/>
        <w:t xml:space="preserve"> </w:t>
      </w:r>
      <w:r>
        <w:rPr>
          <w:shd w:fill="FFFFFF" w:val="clear"/>
        </w:rPr>
        <w:t>2019)</w:t>
      </w:r>
      <w:r>
        <w:rPr/>
        <w:t>. Here a number of reasons can be suspended in order to ship within this number among which the occurrence of the pandemic is vital.</w:t>
      </w:r>
    </w:p>
    <w:p>
      <w:pPr>
        <w:pStyle w:val="Normal"/>
        <w:rPr>
          <w:b/>
          <w:b/>
          <w:bCs/>
        </w:rPr>
      </w:pPr>
      <w:r>
        <w:rPr>
          <w:b/>
          <w:bCs/>
        </w:rPr>
        <w:t>Task 2</w:t>
      </w:r>
    </w:p>
    <w:p>
      <w:pPr>
        <w:pStyle w:val="Normal"/>
        <w:rPr>
          <w:b/>
          <w:b/>
          <w:bCs/>
          <w:i/>
          <w:i/>
          <w:iCs/>
          <w:u w:val="single"/>
        </w:rPr>
      </w:pPr>
      <w:r>
        <w:rPr>
          <w:b/>
          <w:bCs/>
          <w:i/>
          <w:iCs/>
          <w:u w:val="single"/>
        </w:rPr>
        <w:t>Understanding the actual number of overall students within the schools which includes male and female</w:t>
      </w:r>
    </w:p>
    <w:p>
      <w:pPr>
        <w:pStyle w:val="Normal"/>
        <w:rPr/>
      </w:pPr>
      <w:r>
        <w:rPr/>
        <w:t>The specific formula for the sake of male student determination = =COUNTIF(B:B,"Male")</w:t>
      </w:r>
    </w:p>
    <w:p>
      <w:pPr>
        <w:pStyle w:val="Normal"/>
        <w:rPr/>
      </w:pPr>
      <w:r>
        <w:rPr/>
        <w:t>The specific formula for the sake of female student determination == COUNTIF(B:B,"female")</w:t>
      </w:r>
    </w:p>
    <w:p>
      <w:pPr>
        <w:pStyle w:val="Normal"/>
        <w:rPr/>
      </w:pPr>
      <w:r>
        <w:rPr/>
        <w:t>On the basis of the given information sheet, it has been identified that there are over 1077 and 1056 examples of men and women in the data series. Therefore the grand total of this number of instances has been recorded as 133 entries which have appeared within the data set on the basis of gender levels. A small number of enhanced within the distribution of gender among men and women can be sin still it can be said that it has been fairly balanced. A wide range of disciplines which includes marketing, social media as well and demographics can get critical advantages from the examination of gender distributions (</w:t>
      </w:r>
      <w:r>
        <w:rPr>
          <w:shd w:fill="FFFFFF" w:val="clear"/>
        </w:rPr>
        <w:t>Anderson</w:t>
      </w:r>
      <w:r>
        <w:rPr/>
        <w:t xml:space="preserve"> </w:t>
      </w:r>
      <w:r>
        <w:rPr>
          <w:i/>
          <w:iCs/>
        </w:rPr>
        <w:t xml:space="preserve">et al., </w:t>
      </w:r>
      <w:r>
        <w:rPr>
          <w:shd w:fill="FFFFFF" w:val="clear"/>
        </w:rPr>
        <w:t>2020)</w:t>
      </w:r>
      <w:r>
        <w:rPr/>
        <w:t xml:space="preserve">. Detailed knowledge regarding the way gender is highlighted within a dataset can help in assisting as well as sporting the trains or biases which may provide to make effective decisions by considering gender. </w:t>
      </w:r>
    </w:p>
    <w:p>
      <w:pPr>
        <w:pStyle w:val="Normal"/>
        <w:rPr>
          <w:b/>
          <w:b/>
          <w:bCs/>
          <w:i/>
          <w:i/>
          <w:iCs/>
          <w:u w:val="single"/>
        </w:rPr>
      </w:pPr>
      <w:r>
        <w:rPr>
          <w:b/>
          <w:bCs/>
          <w:i/>
          <w:iCs/>
          <w:u w:val="single"/>
        </w:rPr>
        <w:t>Understanding the overall number of students who are qualified as well as who are not qualified in the school</w:t>
      </w:r>
    </w:p>
    <w:p>
      <w:pPr>
        <w:pStyle w:val="Normal"/>
        <w:rPr/>
      </w:pPr>
      <w:r>
        <w:rPr/>
        <w:t>The actual formula which has been nude in order to understand the qualified number of students = =COUNTIF(D:D,"Qualifies for reduced/free lunch")</w:t>
      </w:r>
    </w:p>
    <w:p>
      <w:pPr>
        <w:pStyle w:val="Normal"/>
        <w:rPr/>
      </w:pPr>
      <w:r>
        <w:rPr/>
        <w:t>The actual formula which has been nude in order to understand the disqualified number of students = =COUNTIF(D:D,"does not qualify")</w:t>
      </w:r>
    </w:p>
    <w:p>
      <w:pPr>
        <w:pStyle w:val="Normal"/>
        <w:rPr/>
      </w:pPr>
      <w:r>
        <w:rPr/>
        <w:t>Apparently on the basis of the provided data it can be seen that the particular school has an overall 918 students among which a large population of the students will not be able to qualify for three meals. Therefore the number of 918 individuals who were eligible for free lunches is mainly suggesting that a large portion of students are in difficulties regarding financial matters. No one is responsible for the particular school to look into the matter and identify the kids who have financial difficulties for which they are not able to get free lunches (</w:t>
      </w:r>
      <w:r>
        <w:rPr>
          <w:shd w:fill="FFFFFF" w:val="clear"/>
        </w:rPr>
        <w:t>Mayes</w:t>
      </w:r>
      <w:r>
        <w:rPr/>
        <w:t xml:space="preserve">, </w:t>
      </w:r>
      <w:r>
        <w:rPr>
          <w:shd w:fill="FFFFFF" w:val="clear"/>
        </w:rPr>
        <w:t>2020)</w:t>
      </w:r>
      <w:r>
        <w:rPr/>
        <w:t>. It is necessary for the particular school to make sure that the students who need free lunches are getting them by implementing support services as well as interventions. Moving ahead the actual number of people of around 12:15 who have not been eligible for the free lunch within the particular school mainly highlights that they belong to the better position within the perturbed school. The monetary condition of their family is also good for which they have not been able to get free lunch stuff it is possible for the particular school to use the data in order to accommodate various programs including distribution of resources as well as customization of any kind of educational programs.</w:t>
      </w:r>
    </w:p>
    <w:p>
      <w:pPr>
        <w:pStyle w:val="Normal"/>
        <w:rPr>
          <w:b/>
          <w:b/>
          <w:bCs/>
          <w:i/>
          <w:i/>
          <w:iCs/>
          <w:u w:val="single"/>
        </w:rPr>
      </w:pPr>
      <w:r>
        <w:rPr>
          <w:b/>
          <w:bCs/>
          <w:i/>
          <w:iCs/>
          <w:u w:val="single"/>
        </w:rPr>
        <w:t>Using the computation of mean and median in order to understand the actual number of students who have been qualified and not qualified for the free/reduced lunch in the school</w:t>
      </w:r>
    </w:p>
    <w:p>
      <w:pPr>
        <w:pStyle w:val="Normal"/>
        <w:rPr/>
      </w:pPr>
      <w:r>
        <w:rPr/>
        <w:t>The particular formula which has been used to calculate mean = =AVERAGE(E3:E4)</w:t>
      </w:r>
    </w:p>
    <w:p>
      <w:pPr>
        <w:pStyle w:val="Normal"/>
        <w:rPr/>
      </w:pPr>
      <w:r>
        <w:rPr/>
        <w:t>The particular formula which has been used to calculate median = =MEDIAN(E3:E4)</w:t>
      </w:r>
    </w:p>
    <w:p>
      <w:pPr>
        <w:pStyle w:val="Normal"/>
        <w:rPr/>
      </w:pPr>
      <w:r>
        <w:rPr/>
        <w:t>The whole portion of the calculation is mainly showing the calculation of mean and median by using which the number of students of the particular school who have not been selected as an eligible candidates for free lunch is determined as 106 6.5. This particular data has been identified on the basis of the calculation of mean and median (</w:t>
      </w:r>
      <w:r>
        <w:rPr>
          <w:shd w:fill="FFFFFF" w:val="clear"/>
        </w:rPr>
        <w:t>Khadka</w:t>
      </w:r>
      <w:r>
        <w:rPr/>
        <w:t xml:space="preserve">, </w:t>
      </w:r>
      <w:r>
        <w:rPr>
          <w:shd w:fill="FFFFFF" w:val="clear"/>
        </w:rPr>
        <w:t>2019)</w:t>
      </w:r>
      <w:r>
        <w:rPr/>
        <w:t>. The central as well as distribution patterns of the particular school students have been determined by the usage of this statistical data. The convention of mean basically suggests the rate of around 106.65 per cent of students who come under the category of getting the school lunch for free. Therefore the particular matrix is basically influenced by this actual value that provides a balanced point in between distribution. The median calculation has also been implemented in the above portion where all the value has been arranged according to the lowest to highest number. Here the score of the median has been determined as 106 6.5 which basically highlights the overall proportion of the individuals in each and every category (</w:t>
      </w:r>
      <w:r>
        <w:rPr>
          <w:shd w:fill="FFFFFF" w:val="clear"/>
        </w:rPr>
        <w:t>Kronthaler</w:t>
      </w:r>
      <w:r>
        <w:rPr/>
        <w:t xml:space="preserve">, </w:t>
      </w:r>
      <w:r>
        <w:rPr>
          <w:shd w:fill="FFFFFF" w:val="clear"/>
        </w:rPr>
        <w:t>2022)</w:t>
      </w:r>
      <w:r>
        <w:rPr/>
        <w:t>. Therefore as the values are comparatively lower susceptible in order to extreme values it provides a more authentic detection of the actual value of central tendency. There is also a symmetric distribution between both the groups that has been implied in where the values of the main calculation and median calculation have become equal. It has also highlighted Ah essential ratio among the necessities of the students in order to get free or reduced lunch within the particular school. Moreover it is also easier for the sake of determining the socioeconomic and general status of the individuals if it is aware by the calculation of mean and median (</w:t>
      </w:r>
      <w:r>
        <w:rPr>
          <w:shd w:fill="FFFFFF" w:val="clear"/>
        </w:rPr>
        <w:t>Albright</w:t>
      </w:r>
      <w:r>
        <w:rPr/>
        <w:t xml:space="preserve"> </w:t>
      </w:r>
      <w:r>
        <w:rPr>
          <w:shd w:fill="FFFFFF" w:val="clear"/>
        </w:rPr>
        <w:t>and Winston, 2020)</w:t>
      </w:r>
      <w:r>
        <w:rPr/>
        <w:t>.</w:t>
      </w:r>
    </w:p>
    <w:p>
      <w:pPr>
        <w:pStyle w:val="Normal"/>
        <w:rPr/>
      </w:pPr>
      <w:r>
        <w:rPr/>
        <w:t>Various data analysis methodologies act as effective tools for businesses across industries in today's business climate. In instances that include a telecom business examining customer data to anticipate attrition rates, classification techniques such as decision tree modelling, neural networks, support vector machines or SVM, as well as regression of the logistics are critical (</w:t>
      </w:r>
      <w:r>
        <w:rPr>
          <w:shd w:fill="FFFFFF" w:val="clear"/>
        </w:rPr>
        <w:t>Sileyew</w:t>
      </w:r>
      <w:r>
        <w:rPr/>
        <w:t xml:space="preserve">, </w:t>
      </w:r>
      <w:r>
        <w:rPr>
          <w:shd w:fill="FFFFFF" w:val="clear"/>
        </w:rPr>
        <w:t>2019)</w:t>
      </w:r>
      <w:r>
        <w:rPr/>
        <w:t>. The algorithms involved estimating which consumers would transfer operators by segmenting them depending on patterns of usage, demographics, as well as choices, enabling proactively retention efforts such as bespoke plans or incentives. Clustering technologies such as K-means as well as hierarchy clustering are used in platforms such as social networking (</w:t>
      </w:r>
      <w:r>
        <w:rPr>
          <w:shd w:fill="FFFFFF" w:val="clear"/>
        </w:rPr>
        <w:t>Niham</w:t>
      </w:r>
      <w:r>
        <w:rPr/>
        <w:t xml:space="preserve"> </w:t>
      </w:r>
      <w:r>
        <w:rPr>
          <w:i/>
          <w:iCs/>
        </w:rPr>
        <w:t xml:space="preserve">et al., </w:t>
      </w:r>
      <w:r>
        <w:rPr>
          <w:shd w:fill="FFFFFF" w:val="clear"/>
        </w:rPr>
        <w:t>2023)</w:t>
      </w:r>
      <w:r>
        <w:rPr/>
        <w:t>. Therefore in comparing with the usage of various patterns or dynamics, it is possible to combine similar interests as well as habits of people which will enable the businesses in order to gather specific information which will help in developing the experiences of the users. Moving ahead the concept of associated-based learning which basically involves algorithms like Apriori Is efficient or significant in the concept of ecommerce. Therefore it is possible for the retailers to identify the commodity linkages By developing an analysis of the buying history of the customers. This basically leads to suggested or packaged promotions in comparison to the particular items which helps in increasing the sales by developing the shopping process of the customers (</w:t>
      </w:r>
      <w:r>
        <w:rPr>
          <w:shd w:fill="FFFFFF" w:val="clear"/>
          <w:lang w:val="en-US"/>
        </w:rPr>
        <w:t>Chango</w:t>
      </w:r>
      <w:r>
        <w:rPr/>
        <w:t xml:space="preserve"> </w:t>
      </w:r>
      <w:r>
        <w:rPr>
          <w:i/>
          <w:iCs/>
        </w:rPr>
        <w:t xml:space="preserve">et al., </w:t>
      </w:r>
      <w:r>
        <w:rPr>
          <w:shd w:fill="FFFFFF" w:val="clear"/>
          <w:lang w:val="en-US"/>
        </w:rPr>
        <w:t>2022)</w:t>
      </w:r>
      <w:r>
        <w:rPr/>
        <w:t>. The modelling of regression basically detects a place of home within a business entity which includes coverage in which it is possible to estimate the risks which helps in setting the premiums depending on past information which has been claimed. It is also possible for the insurers to set this kind of suitable rates at the time of successfully reducing potential losses detecting anomalies using methods Which include methods depending on the algorithms or statistics that utilize the process of machine learning and all. For example, the concept of machine learning includes critical concepts in cybersecurity (</w:t>
      </w:r>
      <w:r>
        <w:rPr>
          <w:shd w:fill="FFFFFF" w:val="clear"/>
        </w:rPr>
        <w:t>Alsharhan</w:t>
      </w:r>
      <w:r>
        <w:rPr/>
        <w:t xml:space="preserve"> </w:t>
      </w:r>
      <w:r>
        <w:rPr>
          <w:shd w:fill="FFFFFF" w:val="clear"/>
        </w:rPr>
        <w:t>and Salloum,</w:t>
      </w:r>
      <w:r>
        <w:rPr/>
        <w:t xml:space="preserve"> </w:t>
      </w:r>
      <w:r>
        <w:rPr>
          <w:shd w:fill="FFFFFF" w:val="clear"/>
        </w:rPr>
        <w:t>2022)</w:t>
      </w:r>
      <w:r>
        <w:rPr/>
        <w:t>. Moreover, these approaches can be used by different types of financial companies for the sake of monitoring as well as highlighting transaction, and expenditure patterns in order to develop inquiry at the upcoming times.</w:t>
      </w:r>
    </w:p>
    <w:p>
      <w:pPr>
        <w:pStyle w:val="Normal"/>
        <w:rPr/>
      </w:pPr>
      <w:r>
        <w:rPr/>
        <w:t>The technologies regarding text mining program are considered inevaluable for a contemporary business as it helps in generating effective and significant data-driven decisions (</w:t>
      </w:r>
      <w:r>
        <w:rPr>
          <w:shd w:fill="FFFFFF" w:val="clear"/>
          <w:lang w:val="en-US"/>
        </w:rPr>
        <w:t>André</w:t>
      </w:r>
      <w:r>
        <w:rPr/>
        <w:t xml:space="preserve"> </w:t>
      </w:r>
      <w:r>
        <w:rPr>
          <w:i/>
          <w:iCs/>
        </w:rPr>
        <w:t xml:space="preserve">et al., </w:t>
      </w:r>
      <w:r>
        <w:rPr>
          <w:shd w:fill="FFFFFF" w:val="clear"/>
          <w:lang w:val="en-US"/>
        </w:rPr>
        <w:t>2019)</w:t>
      </w:r>
      <w:r>
        <w:rPr/>
        <w:t>. For example, the analysis of the sentiments of the consumers is one of the most essential factors that needs to be considered by a business entity which can be determined by various actions. This includes the development of feedback forms, interviews, reviews, social media as well as polls. The major shops of various countries utilize this particular strategy for the sake of analyzing the satisfaction level of their customers which they are getting from their commodities on the basis of feedback (</w:t>
      </w:r>
      <w:r>
        <w:rPr>
          <w:shd w:fill="FFFFFF" w:val="clear"/>
        </w:rPr>
        <w:t>Hickman</w:t>
      </w:r>
      <w:r>
        <w:rPr/>
        <w:t xml:space="preserve"> </w:t>
      </w:r>
      <w:r>
        <w:rPr>
          <w:i/>
          <w:iCs/>
        </w:rPr>
        <w:t xml:space="preserve">et al., </w:t>
      </w:r>
      <w:r>
        <w:rPr>
          <w:shd w:fill="FFFFFF" w:val="clear"/>
        </w:rPr>
        <w:t>2022)</w:t>
      </w:r>
      <w:r>
        <w:rPr/>
        <w:t>. This helps in refining the method of arrows as well as sales. Moreover, Topic Modeling mainly allows the companies in order to categorise huge amounts of text information turning them into effective and meaningful items (</w:t>
      </w:r>
      <w:r>
        <w:rPr>
          <w:shd w:fill="FFFFFF" w:val="clear"/>
          <w:lang w:val="en-US"/>
        </w:rPr>
        <w:t>Jo</w:t>
      </w:r>
      <w:r>
        <w:rPr/>
        <w:t xml:space="preserve">, </w:t>
      </w:r>
      <w:r>
        <w:rPr>
          <w:shd w:fill="FFFFFF" w:val="clear"/>
          <w:lang w:val="en-US"/>
        </w:rPr>
        <w:t>2019)</w:t>
      </w:r>
      <w:r>
        <w:rPr/>
        <w:t>.</w:t>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4675"/>
        <w:gridCol w:w="4674"/>
      </w:tblGrid>
      <w:tr>
        <w:trPr/>
        <w:tc>
          <w:tcPr>
            <w:tcW w:w="4675" w:type="dxa"/>
            <w:tcBorders/>
            <w:shd w:fill="auto" w:val="clear"/>
          </w:tcPr>
          <w:p>
            <w:pPr>
              <w:pStyle w:val="Normal"/>
              <w:spacing w:lineRule="auto" w:line="240" w:before="0" w:after="0"/>
              <w:jc w:val="center"/>
              <w:rPr>
                <w:b/>
                <w:b/>
                <w:bCs/>
              </w:rPr>
            </w:pPr>
            <w:r>
              <w:rPr>
                <w:b/>
                <w:bCs/>
              </w:rPr>
              <w:t>Advantages of SPSS</w:t>
            </w:r>
          </w:p>
        </w:tc>
        <w:tc>
          <w:tcPr>
            <w:tcW w:w="4674" w:type="dxa"/>
            <w:tcBorders/>
            <w:shd w:fill="auto" w:val="clear"/>
          </w:tcPr>
          <w:p>
            <w:pPr>
              <w:pStyle w:val="Normal"/>
              <w:spacing w:lineRule="auto" w:line="240" w:before="0" w:after="0"/>
              <w:jc w:val="center"/>
              <w:rPr/>
            </w:pPr>
            <w:r>
              <w:rPr>
                <w:b/>
                <w:bCs/>
              </w:rPr>
              <w:t>Disadvantages of SPSS</w:t>
            </w:r>
          </w:p>
        </w:tc>
      </w:tr>
      <w:tr>
        <w:trPr/>
        <w:tc>
          <w:tcPr>
            <w:tcW w:w="4675" w:type="dxa"/>
            <w:tcBorders/>
            <w:shd w:fill="auto" w:val="clear"/>
          </w:tcPr>
          <w:p>
            <w:pPr>
              <w:pStyle w:val="Normal"/>
              <w:spacing w:lineRule="auto" w:line="240" w:before="0" w:after="0"/>
              <w:rPr/>
            </w:pPr>
            <w:r>
              <w:rPr/>
              <w:t xml:space="preserve">The use of SPSS mainly serves as a user-friendly programme which helps it in making it accessible or usable towards the individuals on the basis of the varying levels of professionalism as well as expertise. The menu-driven system of this programme helps with the simplification of the data input strategy, analysis as well as manipulation. </w:t>
            </w:r>
          </w:p>
        </w:tc>
        <w:tc>
          <w:tcPr>
            <w:tcW w:w="4674" w:type="dxa"/>
            <w:tcBorders/>
            <w:shd w:fill="auto" w:val="clear"/>
          </w:tcPr>
          <w:p>
            <w:pPr>
              <w:pStyle w:val="Normal"/>
              <w:spacing w:lineRule="auto" w:line="240" w:before="0" w:after="0"/>
              <w:rPr/>
            </w:pPr>
            <w:r>
              <w:rPr/>
              <w:t xml:space="preserve">The biggest disadvantage of SPSS is that it can limit the flexibility of any type of statistical data in comparing to other statistical software. Moreover, SPSS may not relate highly complex or specialised interpretations which are required for certain types of research. For example, in the study regarding advanced analysis of the bioinformatics the research individuals may detect incapabilities of SPSS as it may limit the genomic data handling process. </w:t>
            </w:r>
          </w:p>
        </w:tc>
      </w:tr>
      <w:tr>
        <w:trPr/>
        <w:tc>
          <w:tcPr>
            <w:tcW w:w="4675" w:type="dxa"/>
            <w:tcBorders/>
            <w:shd w:fill="auto" w:val="clear"/>
          </w:tcPr>
          <w:p>
            <w:pPr>
              <w:pStyle w:val="Normal"/>
              <w:spacing w:lineRule="auto" w:line="240" w:before="0" w:after="0"/>
              <w:rPr/>
            </w:pPr>
            <w:r>
              <w:rPr/>
              <w:t xml:space="preserve">SPSS also serves a huge range of array of data statistical measures of producers for various kinds of interpretation of the data. For instance, within the study of the marketing analysis, the preferences of the customers for a new commodity can be understood by the usage of the SPSS programme. It mainly allows one to understand the buying decisions of an individual. </w:t>
            </w:r>
          </w:p>
        </w:tc>
        <w:tc>
          <w:tcPr>
            <w:tcW w:w="4674" w:type="dxa"/>
            <w:tcBorders/>
            <w:shd w:fill="auto" w:val="clear"/>
          </w:tcPr>
          <w:p>
            <w:pPr>
              <w:pStyle w:val="Normal"/>
              <w:spacing w:lineRule="auto" w:line="240" w:before="0" w:after="0"/>
              <w:rPr/>
            </w:pPr>
            <w:r>
              <w:rPr/>
              <w:t>SPSS may become expensive for some businesses as it requires acquiring a licensed version which is authentic and accurate. Hence, the individuals or small size of the businesses may face challenges regarding budget constraints. As a result, this particular factor may limit the data-finding methods of the students as they may not be able to software.</w:t>
            </w:r>
          </w:p>
        </w:tc>
      </w:tr>
    </w:tbl>
    <w:p>
      <w:pPr>
        <w:pStyle w:val="Normal"/>
        <w:rPr/>
      </w:pPr>
      <w:r>
        <w:rPr/>
      </w:r>
    </w:p>
    <w:tbl>
      <w:tblPr>
        <w:tblStyle w:val="TableGrid"/>
        <w:tblW w:w="9350" w:type="dxa"/>
        <w:jc w:val="left"/>
        <w:tblInd w:w="0" w:type="dxa"/>
        <w:tblCellMar>
          <w:top w:w="0" w:type="dxa"/>
          <w:left w:w="108" w:type="dxa"/>
          <w:bottom w:w="0" w:type="dxa"/>
          <w:right w:w="108" w:type="dxa"/>
        </w:tblCellMar>
        <w:tblLook w:firstRow="1" w:noVBand="1" w:lastRow="0" w:firstColumn="1" w:lastColumn="0" w:noHBand="0" w:val="04a0"/>
      </w:tblPr>
      <w:tblGrid>
        <w:gridCol w:w="4675"/>
        <w:gridCol w:w="4674"/>
      </w:tblGrid>
      <w:tr>
        <w:trPr/>
        <w:tc>
          <w:tcPr>
            <w:tcW w:w="4675" w:type="dxa"/>
            <w:tcBorders/>
            <w:shd w:fill="auto" w:val="clear"/>
          </w:tcPr>
          <w:p>
            <w:pPr>
              <w:pStyle w:val="Normal"/>
              <w:spacing w:lineRule="auto" w:line="240" w:before="0" w:after="0"/>
              <w:jc w:val="center"/>
              <w:rPr>
                <w:b/>
                <w:b/>
                <w:bCs/>
              </w:rPr>
            </w:pPr>
            <w:r>
              <w:rPr>
                <w:b/>
                <w:bCs/>
              </w:rPr>
              <w:t>Advantages of Excel</w:t>
            </w:r>
          </w:p>
        </w:tc>
        <w:tc>
          <w:tcPr>
            <w:tcW w:w="4674" w:type="dxa"/>
            <w:tcBorders/>
            <w:shd w:fill="auto" w:val="clear"/>
          </w:tcPr>
          <w:p>
            <w:pPr>
              <w:pStyle w:val="Normal"/>
              <w:spacing w:lineRule="auto" w:line="240" w:before="0" w:after="0"/>
              <w:jc w:val="center"/>
              <w:rPr/>
            </w:pPr>
            <w:r>
              <w:rPr>
                <w:b/>
                <w:bCs/>
              </w:rPr>
              <w:t>Disadvantages of Excel</w:t>
            </w:r>
          </w:p>
        </w:tc>
      </w:tr>
      <w:tr>
        <w:trPr/>
        <w:tc>
          <w:tcPr>
            <w:tcW w:w="4675" w:type="dxa"/>
            <w:tcBorders/>
            <w:shd w:fill="auto" w:val="clear"/>
          </w:tcPr>
          <w:p>
            <w:pPr>
              <w:pStyle w:val="Normal"/>
              <w:tabs>
                <w:tab w:val="clear" w:pos="720"/>
                <w:tab w:val="left" w:pos="1342" w:leader="none"/>
              </w:tabs>
              <w:spacing w:lineRule="auto" w:line="240" w:before="0" w:after="0"/>
              <w:rPr/>
            </w:pPr>
            <w:r>
              <w:rPr/>
              <w:t>Excel's user-friendly interface allows even persons with basic computer knowledge to do difficult calculations along produce well-structured sets of information. For example, in finance, Excel's array of formulae as well as operations enables financial professionals to easily enter and handle information regarding tasks such as budgeting and projections.</w:t>
              <w:tab/>
            </w:r>
          </w:p>
        </w:tc>
        <w:tc>
          <w:tcPr>
            <w:tcW w:w="4674" w:type="dxa"/>
            <w:tcBorders/>
            <w:shd w:fill="auto" w:val="clear"/>
          </w:tcPr>
          <w:p>
            <w:pPr>
              <w:pStyle w:val="Normal"/>
              <w:spacing w:lineRule="auto" w:line="240" w:before="0" w:after="0"/>
              <w:rPr/>
            </w:pPr>
            <w:r>
              <w:rPr/>
              <w:t>When dealing with enormous quantities of data, Excel's performance can suffer. Excel's functionality might crash or slow down as the amount of information increases, resulting in a decrease in productivity. For example, processing large amounts of customer information or doing complex math computations may exceed Excel's abilities, necessitating the use of additional tools for example databases with SQL.</w:t>
            </w:r>
          </w:p>
        </w:tc>
      </w:tr>
      <w:tr>
        <w:trPr/>
        <w:tc>
          <w:tcPr>
            <w:tcW w:w="4675" w:type="dxa"/>
            <w:tcBorders/>
            <w:shd w:fill="auto" w:val="clear"/>
          </w:tcPr>
          <w:p>
            <w:pPr>
              <w:pStyle w:val="Normal"/>
              <w:spacing w:lineRule="auto" w:line="240" w:before="0" w:after="0"/>
              <w:rPr/>
            </w:pPr>
            <w:r>
              <w:rPr/>
              <w:t>Excel's versatility enables users to manage different kinds of information along with modifying calculations to specific needs. A sales officer, for instance, can use Excel to track revenue KPIs, analyze structures, and create pivot tables in order to present sales data depending on geographic region, and product.</w:t>
            </w:r>
          </w:p>
        </w:tc>
        <w:tc>
          <w:tcPr>
            <w:tcW w:w="4674" w:type="dxa"/>
            <w:tcBorders/>
            <w:shd w:fill="auto" w:val="clear"/>
          </w:tcPr>
          <w:p>
            <w:pPr>
              <w:pStyle w:val="Normal"/>
              <w:spacing w:lineRule="auto" w:line="240" w:before="0" w:after="0"/>
              <w:rPr/>
            </w:pPr>
            <w:r>
              <w:rPr/>
              <w:t>Errors can occur as a result of errors occurring while data entry or during creating functions, especially in complex spreadsheets. Furthermore, dealing with multiple iterations of a spreadsheet among different users can be tough in terms of maintaining consistency and organizing versions. Disagreements may arise from personal edits by various individuals in settings requiring collaboration or shared documents, generating confusion as well as potential mistakes when performing evaluation or reporting.</w:t>
            </w:r>
          </w:p>
        </w:tc>
      </w:tr>
    </w:tbl>
    <w:p>
      <w:pPr>
        <w:pStyle w:val="Normal"/>
        <w:rPr/>
      </w:pPr>
      <w:r>
        <w:rPr/>
      </w:r>
    </w:p>
    <w:p>
      <w:pPr>
        <w:pStyle w:val="Normal"/>
        <w:spacing w:lineRule="auto" w:line="259"/>
        <w:jc w:val="left"/>
        <w:rPr/>
      </w:pPr>
      <w:r>
        <w:rPr/>
      </w:r>
      <w:r>
        <w:br w:type="page"/>
      </w:r>
    </w:p>
    <w:p>
      <w:pPr>
        <w:pStyle w:val="Heading1"/>
        <w:rPr/>
      </w:pPr>
      <w:r>
        <w:rPr/>
        <w:t xml:space="preserve">Conclusion </w:t>
      </w:r>
    </w:p>
    <w:p>
      <w:pPr>
        <w:pStyle w:val="Normal"/>
        <w:rPr/>
      </w:pPr>
      <w:r>
        <w:rPr/>
        <w:t>The above study has produced a detailed understanding of the concept as well as the way it is possible for businesses to handle their organisational data. Therefore it has developed some critical data handling processes by using the particular metric of mean and median. The discussion has also added a critical expression regarding the 5 most used processes of data mining along with text mining methods. The discussion has been made on the basis of contemporary business. In addition to that it has also elaborated the benefits and limitations of using SPSS as well as Excel by providing examples.</w:t>
      </w:r>
      <w:r>
        <w:br w:type="page"/>
      </w:r>
    </w:p>
    <w:p>
      <w:pPr>
        <w:pStyle w:val="Heading1"/>
        <w:rPr/>
      </w:pPr>
      <w:r>
        <w:rPr/>
        <w:t xml:space="preserve">References </w:t>
      </w:r>
    </w:p>
    <w:p>
      <w:pPr>
        <w:pStyle w:val="Normal"/>
        <w:rPr>
          <w:highlight w:val="white"/>
        </w:rPr>
      </w:pPr>
      <w:r>
        <w:rPr>
          <w:shd w:fill="FFFFFF" w:val="clear"/>
        </w:rPr>
        <w:t>Albright, S.C. and Winston, W.L., (2020). </w:t>
      </w:r>
      <w:r>
        <w:rPr>
          <w:i/>
          <w:iCs/>
          <w:shd w:fill="FFFFFF" w:val="clear"/>
        </w:rPr>
        <w:t>Business analytics: Data analysis and decision making</w:t>
      </w:r>
      <w:r>
        <w:rPr>
          <w:shd w:fill="FFFFFF" w:val="clear"/>
        </w:rPr>
        <w:t>. Cengage Learning, Inc.</w:t>
      </w:r>
    </w:p>
    <w:p>
      <w:pPr>
        <w:pStyle w:val="Normal"/>
        <w:rPr>
          <w:highlight w:val="white"/>
        </w:rPr>
      </w:pPr>
      <w:r>
        <w:rPr>
          <w:shd w:fill="FFFFFF" w:val="clear"/>
        </w:rPr>
        <w:t>Alsharhan, A.M. and Salloum, S., (2022), April. Precision education approaches to education data mining and analytics: A review. In </w:t>
      </w:r>
      <w:r>
        <w:rPr>
          <w:i/>
          <w:iCs/>
          <w:shd w:fill="FFFFFF" w:val="clear"/>
        </w:rPr>
        <w:t>International Conference on Advanced Machine Learning Technologies and Applications</w:t>
      </w:r>
      <w:r>
        <w:rPr>
          <w:shd w:fill="FFFFFF" w:val="clear"/>
        </w:rPr>
        <w:t> (pp. 337-356). Cham: Springer International Publishing.</w:t>
      </w:r>
    </w:p>
    <w:p>
      <w:pPr>
        <w:pStyle w:val="Normal"/>
        <w:rPr/>
      </w:pPr>
      <w:r>
        <w:rPr>
          <w:shd w:fill="FFFFFF" w:val="clear"/>
        </w:rPr>
        <w:t>Anderson, D.R., Sweeney, D.J. and Williams, T.A., (2020). </w:t>
      </w:r>
      <w:r>
        <w:rPr>
          <w:i/>
          <w:iCs/>
          <w:shd w:fill="FFFFFF" w:val="clear"/>
        </w:rPr>
        <w:t>Essentials of modern business statistics with Microsoft Excel</w:t>
      </w:r>
      <w:r>
        <w:rPr>
          <w:shd w:fill="FFFFFF" w:val="clear"/>
        </w:rPr>
        <w:t>. Cengage Learning.</w:t>
      </w:r>
    </w:p>
    <w:p>
      <w:pPr>
        <w:pStyle w:val="Normal"/>
        <w:rPr>
          <w:highlight w:val="white"/>
        </w:rPr>
      </w:pPr>
      <w:r>
        <w:rPr>
          <w:shd w:fill="FFFFFF" w:val="clear"/>
        </w:rPr>
        <w:t>Anderson, D.R., Sweeney, D.J., Williams, T.A., Camm, J.D. and Cochran, J.J., (2020). </w:t>
      </w:r>
      <w:r>
        <w:rPr>
          <w:i/>
          <w:iCs/>
          <w:shd w:fill="FFFFFF" w:val="clear"/>
        </w:rPr>
        <w:t>Modern business statistics with Microsoft Excel</w:t>
      </w:r>
      <w:r>
        <w:rPr>
          <w:shd w:fill="FFFFFF" w:val="clear"/>
        </w:rPr>
        <w:t>. Cengage Learning.</w:t>
      </w:r>
    </w:p>
    <w:p>
      <w:pPr>
        <w:pStyle w:val="Normal"/>
        <w:rPr>
          <w:highlight w:val="white"/>
        </w:rPr>
      </w:pPr>
      <w:r>
        <w:rPr>
          <w:shd w:fill="FFFFFF" w:val="clear"/>
          <w:lang w:val="it-IT"/>
        </w:rPr>
        <w:t xml:space="preserve">Chango, W., Lara, J.A., Cerezo, R. and Romero, C., (2022). </w:t>
      </w:r>
      <w:r>
        <w:rPr>
          <w:shd w:fill="FFFFFF" w:val="clear"/>
        </w:rPr>
        <w:t>A review on data fusion in multimodal learning analytics and educational data mining. </w:t>
      </w:r>
      <w:r>
        <w:rPr>
          <w:i/>
          <w:iCs/>
          <w:shd w:fill="FFFFFF" w:val="clear"/>
        </w:rPr>
        <w:t>Wiley Interdisciplinary Reviews: Data Mining and Knowledge Discovery</w:t>
      </w:r>
      <w:r>
        <w:rPr>
          <w:shd w:fill="FFFFFF" w:val="clear"/>
        </w:rPr>
        <w:t>, </w:t>
      </w:r>
      <w:r>
        <w:rPr>
          <w:i/>
          <w:iCs/>
          <w:shd w:fill="FFFFFF" w:val="clear"/>
        </w:rPr>
        <w:t>12</w:t>
      </w:r>
      <w:r>
        <w:rPr>
          <w:shd w:fill="FFFFFF" w:val="clear"/>
        </w:rPr>
        <w:t>(4), p.e1458.</w:t>
      </w:r>
    </w:p>
    <w:p>
      <w:pPr>
        <w:pStyle w:val="Normal"/>
        <w:rPr/>
      </w:pPr>
      <w:r>
        <w:rPr/>
        <w:t>cuemath, (2023). Data Handling. [Online] Available at: https://www.cuemath.com/data/data-handling [Accessed 7 December 2023].</w:t>
      </w:r>
    </w:p>
    <w:p>
      <w:pPr>
        <w:pStyle w:val="Normal"/>
        <w:rPr>
          <w:highlight w:val="white"/>
        </w:rPr>
      </w:pPr>
      <w:r>
        <w:rPr>
          <w:shd w:fill="FFFFFF" w:val="clear"/>
        </w:rPr>
        <w:t>Fávero, L.P. and Belfiore, P., (2019). </w:t>
      </w:r>
      <w:r>
        <w:rPr>
          <w:i/>
          <w:iCs/>
          <w:shd w:fill="FFFFFF" w:val="clear"/>
        </w:rPr>
        <w:t>Data science for business and decision making</w:t>
      </w:r>
      <w:r>
        <w:rPr>
          <w:shd w:fill="FFFFFF" w:val="clear"/>
        </w:rPr>
        <w:t>. Academic Press.</w:t>
      </w:r>
    </w:p>
    <w:p>
      <w:pPr>
        <w:pStyle w:val="Normal"/>
        <w:rPr>
          <w:highlight w:val="white"/>
        </w:rPr>
      </w:pPr>
      <w:r>
        <w:rPr>
          <w:shd w:fill="FFFFFF" w:val="clear"/>
          <w:lang w:val="it-IT"/>
        </w:rPr>
        <w:t>Ferreira</w:t>
      </w:r>
      <w:r>
        <w:rPr>
          <w:rFonts w:cs="Cambria Math" w:ascii="Cambria Math" w:hAnsi="Cambria Math"/>
          <w:shd w:fill="FFFFFF" w:val="clear"/>
          <w:lang w:val="it-IT"/>
        </w:rPr>
        <w:t>‐</w:t>
      </w:r>
      <w:r>
        <w:rPr>
          <w:shd w:fill="FFFFFF" w:val="clear"/>
          <w:lang w:val="it-IT"/>
        </w:rPr>
        <w:t xml:space="preserve">Mello, R., André, M., Pinheiro, A., Costa, E. and Romero, C., (2019). </w:t>
      </w:r>
      <w:r>
        <w:rPr>
          <w:shd w:fill="FFFFFF" w:val="clear"/>
        </w:rPr>
        <w:t>Text mining in education. </w:t>
      </w:r>
      <w:r>
        <w:rPr>
          <w:i/>
          <w:iCs/>
          <w:shd w:fill="FFFFFF" w:val="clear"/>
        </w:rPr>
        <w:t>Wiley Interdisciplinary Reviews: Data Mining and Knowledge Discovery</w:t>
      </w:r>
      <w:r>
        <w:rPr>
          <w:shd w:fill="FFFFFF" w:val="clear"/>
        </w:rPr>
        <w:t>, </w:t>
      </w:r>
      <w:r>
        <w:rPr>
          <w:i/>
          <w:iCs/>
          <w:shd w:fill="FFFFFF" w:val="clear"/>
        </w:rPr>
        <w:t>9</w:t>
      </w:r>
      <w:r>
        <w:rPr>
          <w:shd w:fill="FFFFFF" w:val="clear"/>
        </w:rPr>
        <w:t>(6), p.e1332.</w:t>
      </w:r>
    </w:p>
    <w:p>
      <w:pPr>
        <w:pStyle w:val="Normal"/>
        <w:rPr/>
      </w:pPr>
      <w:r>
        <w:rPr/>
        <w:t>geeksforgeeks, (2023). Data Handling. [Online] Available at: https://www.geeksforgeeks.org/data-handling/ [Accessed 7 December 2023].</w:t>
      </w:r>
    </w:p>
    <w:p>
      <w:pPr>
        <w:pStyle w:val="Normal"/>
        <w:rPr>
          <w:highlight w:val="white"/>
        </w:rPr>
      </w:pPr>
      <w:r>
        <w:rPr>
          <w:shd w:fill="FFFFFF" w:val="clear"/>
          <w:lang w:val="it-IT"/>
        </w:rPr>
        <w:t>Guerrero, H., Guerrero, R. and Rauscher, (2019). </w:t>
      </w:r>
      <w:r>
        <w:rPr>
          <w:i/>
          <w:iCs/>
          <w:shd w:fill="FFFFFF" w:val="clear"/>
        </w:rPr>
        <w:t>Excel data analysis</w:t>
      </w:r>
      <w:r>
        <w:rPr>
          <w:shd w:fill="FFFFFF" w:val="clear"/>
        </w:rPr>
        <w:t>. Springer International Publishing.</w:t>
      </w:r>
    </w:p>
    <w:p>
      <w:pPr>
        <w:pStyle w:val="Normal"/>
        <w:rPr>
          <w:highlight w:val="white"/>
        </w:rPr>
      </w:pPr>
      <w:r>
        <w:rPr>
          <w:shd w:fill="FFFFFF" w:val="clear"/>
        </w:rPr>
        <w:t>Hickman, L., Thapa, S., Tay, L., Cao, M. and Srinivasan, P., (2022). Text preprocessing for text mining in organizational research: Review and recommendations. </w:t>
      </w:r>
      <w:r>
        <w:rPr>
          <w:i/>
          <w:iCs/>
          <w:shd w:fill="FFFFFF" w:val="clear"/>
        </w:rPr>
        <w:t>Organizational Research Methods</w:t>
      </w:r>
      <w:r>
        <w:rPr>
          <w:shd w:fill="FFFFFF" w:val="clear"/>
        </w:rPr>
        <w:t>, </w:t>
      </w:r>
      <w:r>
        <w:rPr>
          <w:i/>
          <w:iCs/>
          <w:shd w:fill="FFFFFF" w:val="clear"/>
        </w:rPr>
        <w:t>25</w:t>
      </w:r>
      <w:r>
        <w:rPr>
          <w:shd w:fill="FFFFFF" w:val="clear"/>
        </w:rPr>
        <w:t>(1), pp.114-146.</w:t>
      </w:r>
    </w:p>
    <w:p>
      <w:pPr>
        <w:pStyle w:val="Normal"/>
        <w:rPr/>
      </w:pPr>
      <w:r>
        <w:rPr/>
        <w:t>ibm, (2023). What is business intelligence?. [Online] Available at: https://www.ibm.com/topics/business-intelligence [Accessed 7 December 2023].</w:t>
      </w:r>
    </w:p>
    <w:p>
      <w:pPr>
        <w:pStyle w:val="Normal"/>
        <w:rPr>
          <w:highlight w:val="white"/>
        </w:rPr>
      </w:pPr>
      <w:r>
        <w:rPr>
          <w:shd w:fill="FFFFFF" w:val="clear"/>
          <w:lang w:val="nl-NL"/>
        </w:rPr>
        <w:t>Jo, T., (2019). </w:t>
      </w:r>
      <w:r>
        <w:rPr>
          <w:i/>
          <w:iCs/>
          <w:shd w:fill="FFFFFF" w:val="clear"/>
          <w:lang w:val="nl-NL"/>
        </w:rPr>
        <w:t>Text mining</w:t>
      </w:r>
      <w:r>
        <w:rPr>
          <w:shd w:fill="FFFFFF" w:val="clear"/>
          <w:lang w:val="nl-NL"/>
        </w:rPr>
        <w:t xml:space="preserve"> (Vol. 45). </w:t>
      </w:r>
      <w:r>
        <w:rPr>
          <w:shd w:fill="FFFFFF" w:val="clear"/>
        </w:rPr>
        <w:t>Cham, Switzerland: Springer International Publishing.</w:t>
      </w:r>
    </w:p>
    <w:p>
      <w:pPr>
        <w:pStyle w:val="Normal"/>
        <w:rPr>
          <w:highlight w:val="white"/>
        </w:rPr>
      </w:pPr>
      <w:r>
        <w:rPr>
          <w:shd w:fill="FFFFFF" w:val="clear"/>
        </w:rPr>
        <w:t>Khadka, B., (2019). Data analysis theory and practice: Case: Python and Excel Tools.</w:t>
      </w:r>
    </w:p>
    <w:p>
      <w:pPr>
        <w:pStyle w:val="Normal"/>
        <w:rPr>
          <w:highlight w:val="white"/>
        </w:rPr>
      </w:pPr>
      <w:r>
        <w:rPr>
          <w:shd w:fill="FFFFFF" w:val="clear"/>
        </w:rPr>
        <w:t>Kronthaler, F., (2022). </w:t>
      </w:r>
      <w:r>
        <w:rPr>
          <w:i/>
          <w:iCs/>
          <w:shd w:fill="FFFFFF" w:val="clear"/>
        </w:rPr>
        <w:t>Statistics applied with excel: data analysis is (not) an art</w:t>
      </w:r>
      <w:r>
        <w:rPr>
          <w:shd w:fill="FFFFFF" w:val="clear"/>
        </w:rPr>
        <w:t>. Springer Nature.</w:t>
      </w:r>
    </w:p>
    <w:p>
      <w:pPr>
        <w:pStyle w:val="Normal"/>
        <w:rPr/>
      </w:pPr>
      <w:r>
        <w:rPr>
          <w:shd w:fill="FFFFFF" w:val="clear"/>
        </w:rPr>
        <w:t>Mayes, T.R., (2020). Financial analysis with microsoft excel. Cengage Learning.</w:t>
      </w:r>
    </w:p>
    <w:p>
      <w:pPr>
        <w:pStyle w:val="Normal"/>
        <w:rPr>
          <w:highlight w:val="white"/>
        </w:rPr>
      </w:pPr>
      <w:r>
        <w:rPr>
          <w:shd w:fill="FFFFFF" w:val="clear"/>
        </w:rPr>
        <w:t>Niham, D., Elle, L., Yuriah, A. and Alifaddin, I., (2023). Utilization of Big Data in Libraries by Using Data Mining. </w:t>
      </w:r>
      <w:r>
        <w:rPr>
          <w:i/>
          <w:iCs/>
          <w:shd w:fill="FFFFFF" w:val="clear"/>
        </w:rPr>
        <w:t>International Journal of Cyber and IT Service Management</w:t>
      </w:r>
      <w:r>
        <w:rPr>
          <w:shd w:fill="FFFFFF" w:val="clear"/>
        </w:rPr>
        <w:t>, </w:t>
      </w:r>
      <w:r>
        <w:rPr>
          <w:i/>
          <w:iCs/>
          <w:shd w:fill="FFFFFF" w:val="clear"/>
        </w:rPr>
        <w:t>3</w:t>
      </w:r>
      <w:r>
        <w:rPr>
          <w:shd w:fill="FFFFFF" w:val="clear"/>
        </w:rPr>
        <w:t>(2), pp.79-85.</w:t>
      </w:r>
    </w:p>
    <w:p>
      <w:pPr>
        <w:pStyle w:val="Normal"/>
        <w:widowControl/>
        <w:bidi w:val="0"/>
        <w:spacing w:lineRule="auto" w:line="480" w:before="0" w:after="160"/>
        <w:jc w:val="both"/>
        <w:rPr/>
      </w:pPr>
      <w:r>
        <w:rPr>
          <w:shd w:fill="FFFFFF" w:val="clear"/>
        </w:rPr>
        <w:t>Sileyew, K.J., (2019). Research design and methodology. </w:t>
      </w:r>
      <w:r>
        <w:rPr>
          <w:i/>
          <w:iCs/>
          <w:shd w:fill="FFFFFF" w:val="clear"/>
        </w:rPr>
        <w:t>Cyberspace</w:t>
      </w:r>
      <w:r>
        <w:rPr>
          <w:shd w:fill="FFFFFF" w:val="clear"/>
        </w:rPr>
        <w:t>, pp.1-12.</w:t>
      </w:r>
    </w:p>
    <w:sectPr>
      <w:headerReference w:type="default" r:id="rId5"/>
      <w:footerReference w:type="default" r:id="rId6"/>
      <w:type w:val="nextPage"/>
      <w:pgSz w:w="12240" w:h="15840"/>
      <w:pgMar w:left="1440" w:right="1440" w:header="708" w:top="1440" w:footer="708"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 w:name="Cambria Math">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1328269909"/>
    </w:sdtPr>
    <w:sdtContent>
      <w:p>
        <w:pPr>
          <w:pStyle w:val="Footer"/>
          <w:jc w:val="right"/>
          <w:rPr/>
        </w:pPr>
        <w:r>
          <w:rPr/>
          <w:t xml:space="preserve">Page </w:t>
        </w:r>
        <w:r>
          <w:rPr>
            <w:b/>
            <w:bCs/>
            <w:szCs w:val="24"/>
          </w:rPr>
          <w:fldChar w:fldCharType="begin"/>
        </w:r>
        <w:r>
          <w:rPr>
            <w:b/>
            <w:szCs w:val="24"/>
            <w:bCs/>
          </w:rPr>
          <w:instrText> PAGE </w:instrText>
        </w:r>
        <w:r>
          <w:rPr>
            <w:b/>
            <w:szCs w:val="24"/>
            <w:bCs/>
          </w:rPr>
          <w:fldChar w:fldCharType="separate"/>
        </w:r>
        <w:r>
          <w:rPr>
            <w:b/>
            <w:szCs w:val="24"/>
            <w:bCs/>
          </w:rPr>
          <w:t>15</w:t>
        </w:r>
        <w:r>
          <w:rPr>
            <w:b/>
            <w:szCs w:val="24"/>
            <w:bCs/>
          </w:rPr>
          <w:fldChar w:fldCharType="end"/>
        </w:r>
        <w:r>
          <w:rPr/>
          <w:t xml:space="preserve"> of </w:t>
        </w:r>
        <w:r>
          <w:rPr>
            <w:b/>
            <w:bCs/>
            <w:szCs w:val="24"/>
          </w:rPr>
          <w:fldChar w:fldCharType="begin"/>
        </w:r>
        <w:r>
          <w:rPr>
            <w:b/>
            <w:szCs w:val="24"/>
            <w:bCs/>
          </w:rPr>
          <w:instrText> NUMPAGES </w:instrText>
        </w:r>
        <w:r>
          <w:rPr>
            <w:b/>
            <w:szCs w:val="24"/>
            <w:bCs/>
          </w:rPr>
          <w:fldChar w:fldCharType="separate"/>
        </w:r>
        <w:r>
          <w:rPr>
            <w:b/>
            <w:szCs w:val="24"/>
            <w:bCs/>
          </w:rPr>
          <w:t>15</w:t>
        </w:r>
        <w:r>
          <w:rPr>
            <w:b/>
            <w:szCs w:val="24"/>
            <w:bCs/>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spacing w:before="0" w:after="160"/>
      <w:jc w:val="right"/>
      <w:rPr/>
    </w:pPr>
    <w:r>
      <w:rPr/>
      <w:t>Data Handling and Business Intelligence</w:t>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Cs w:val="22"/>
        <w:lang w:val="en-US"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3866"/>
    <w:pPr>
      <w:widowControl/>
      <w:bidi w:val="0"/>
      <w:spacing w:lineRule="auto" w:line="480" w:before="0" w:after="160"/>
      <w:jc w:val="both"/>
    </w:pPr>
    <w:rPr>
      <w:rFonts w:ascii="Times New Roman" w:hAnsi="Times New Roman" w:eastAsia="Calibri" w:cs=""/>
      <w:color w:val="auto"/>
      <w:kern w:val="0"/>
      <w:sz w:val="24"/>
      <w:szCs w:val="22"/>
      <w:lang w:val="en-GB" w:eastAsia="en-US" w:bidi="ar-SA"/>
      <w14:ligatures w14:val="none"/>
    </w:rPr>
  </w:style>
  <w:style w:type="paragraph" w:styleId="Heading1">
    <w:name w:val="Heading 1"/>
    <w:basedOn w:val="Normal"/>
    <w:next w:val="Normal"/>
    <w:link w:val="Heading1Char"/>
    <w:uiPriority w:val="9"/>
    <w:qFormat/>
    <w:rsid w:val="00146d88"/>
    <w:pPr>
      <w:keepNext w:val="true"/>
      <w:keepLines/>
      <w:spacing w:before="240" w:after="0"/>
      <w:outlineLvl w:val="0"/>
    </w:pPr>
    <w:rPr>
      <w:rFonts w:eastAsia="" w:cs="" w:cstheme="majorBidi" w:eastAsiaTheme="majorEastAsia"/>
      <w:b/>
      <w:color w:val="000000" w:themeColor="text1"/>
      <w:sz w:val="28"/>
      <w:szCs w:val="32"/>
    </w:rPr>
  </w:style>
  <w:style w:type="paragraph" w:styleId="Heading2">
    <w:name w:val="Heading 2"/>
    <w:basedOn w:val="Normal"/>
    <w:next w:val="Normal"/>
    <w:link w:val="Heading2Char"/>
    <w:uiPriority w:val="9"/>
    <w:unhideWhenUsed/>
    <w:qFormat/>
    <w:rsid w:val="00146d88"/>
    <w:pPr>
      <w:keepNext w:val="true"/>
      <w:keepLines/>
      <w:spacing w:before="40" w:after="0"/>
      <w:outlineLvl w:val="1"/>
    </w:pPr>
    <w:rPr>
      <w:rFonts w:eastAsia="" w:cs="" w:cstheme="majorBidi" w:eastAsiaTheme="majorEastAsia"/>
      <w:b/>
      <w:color w:val="000000" w:themeColor="text1"/>
      <w:sz w:val="26"/>
      <w:szCs w:val="26"/>
    </w:rPr>
  </w:style>
  <w:style w:type="paragraph" w:styleId="Heading3">
    <w:name w:val="Heading 3"/>
    <w:basedOn w:val="Normal"/>
    <w:next w:val="Normal"/>
    <w:link w:val="Heading3Char"/>
    <w:autoRedefine/>
    <w:uiPriority w:val="9"/>
    <w:unhideWhenUsed/>
    <w:qFormat/>
    <w:rsid w:val="000109d8"/>
    <w:pPr>
      <w:keepNext w:val="true"/>
      <w:keepLines/>
      <w:spacing w:before="320" w:after="80"/>
      <w:outlineLvl w:val="2"/>
    </w:pPr>
    <w:rPr>
      <w:b/>
      <w:color w:val="000000" w:themeColor="text1"/>
      <w:sz w:val="26"/>
      <w:szCs w:val="28"/>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146d88"/>
    <w:rPr>
      <w:rFonts w:ascii="Times New Roman" w:hAnsi="Times New Roman" w:eastAsia="" w:cs="" w:cstheme="majorBidi" w:eastAsiaTheme="majorEastAsia"/>
      <w:b/>
      <w:color w:val="000000" w:themeColor="text1"/>
      <w:sz w:val="26"/>
      <w:szCs w:val="26"/>
    </w:rPr>
  </w:style>
  <w:style w:type="character" w:styleId="Heading1Char" w:customStyle="1">
    <w:name w:val="Heading 1 Char"/>
    <w:basedOn w:val="DefaultParagraphFont"/>
    <w:link w:val="Heading1"/>
    <w:uiPriority w:val="9"/>
    <w:qFormat/>
    <w:rsid w:val="00146d88"/>
    <w:rPr>
      <w:rFonts w:ascii="Times New Roman" w:hAnsi="Times New Roman" w:eastAsia="" w:cs="" w:cstheme="majorBidi" w:eastAsiaTheme="majorEastAsia"/>
      <w:b/>
      <w:color w:val="000000" w:themeColor="text1"/>
      <w:sz w:val="28"/>
      <w:szCs w:val="32"/>
    </w:rPr>
  </w:style>
  <w:style w:type="character" w:styleId="Heading3Char" w:customStyle="1">
    <w:name w:val="Heading 3 Char"/>
    <w:basedOn w:val="DefaultParagraphFont"/>
    <w:link w:val="Heading3"/>
    <w:uiPriority w:val="9"/>
    <w:qFormat/>
    <w:rsid w:val="000109d8"/>
    <w:rPr>
      <w:rFonts w:ascii="Times New Roman" w:hAnsi="Times New Roman" w:cs="Arial"/>
      <w:b/>
      <w:color w:val="000000" w:themeColor="text1"/>
      <w:kern w:val="0"/>
      <w:sz w:val="26"/>
      <w:szCs w:val="28"/>
      <w:lang w:val="en" w:eastAsia="en-IN"/>
      <w14:ligatures w14:val="none"/>
    </w:rPr>
  </w:style>
  <w:style w:type="character" w:styleId="HeaderChar" w:customStyle="1">
    <w:name w:val="Header Char"/>
    <w:basedOn w:val="DefaultParagraphFont"/>
    <w:link w:val="Header"/>
    <w:uiPriority w:val="99"/>
    <w:qFormat/>
    <w:rsid w:val="003518fc"/>
    <w:rPr>
      <w:rFonts w:ascii="Times New Roman" w:hAnsi="Times New Roman"/>
      <w:kern w:val="0"/>
      <w:sz w:val="24"/>
      <w:lang w:val="en-GB"/>
      <w14:ligatures w14:val="none"/>
    </w:rPr>
  </w:style>
  <w:style w:type="character" w:styleId="FooterChar" w:customStyle="1">
    <w:name w:val="Footer Char"/>
    <w:basedOn w:val="DefaultParagraphFont"/>
    <w:link w:val="Footer"/>
    <w:uiPriority w:val="99"/>
    <w:qFormat/>
    <w:rsid w:val="003518fc"/>
    <w:rPr>
      <w:rFonts w:ascii="Times New Roman" w:hAnsi="Times New Roman"/>
      <w:kern w:val="0"/>
      <w:sz w:val="24"/>
      <w:lang w:val="en-GB"/>
      <w14:ligatures w14:val="none"/>
    </w:rPr>
  </w:style>
  <w:style w:type="character" w:styleId="InternetLink">
    <w:name w:val="Internet Link"/>
    <w:basedOn w:val="DefaultParagraphFont"/>
    <w:uiPriority w:val="99"/>
    <w:unhideWhenUsed/>
    <w:rsid w:val="00f26790"/>
    <w:rPr>
      <w:color w:val="0563C1" w:themeColor="hyperlink"/>
      <w:u w:val="single"/>
    </w:rPr>
  </w:style>
  <w:style w:type="character" w:styleId="UnresolvedMention">
    <w:name w:val="Unresolved Mention"/>
    <w:basedOn w:val="DefaultParagraphFont"/>
    <w:uiPriority w:val="99"/>
    <w:semiHidden/>
    <w:unhideWhenUsed/>
    <w:qFormat/>
    <w:rsid w:val="00f26790"/>
    <w:rPr>
      <w:color w:val="605E5C"/>
      <w:shd w:fill="E1DFDD" w:val="clear"/>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Spacing">
    <w:name w:val="No Spacing"/>
    <w:autoRedefine/>
    <w:uiPriority w:val="1"/>
    <w:qFormat/>
    <w:rsid w:val="006233cd"/>
    <w:pPr>
      <w:widowControl/>
      <w:bidi w:val="0"/>
      <w:spacing w:lineRule="auto" w:line="480" w:before="0" w:after="0"/>
      <w:jc w:val="both"/>
    </w:pPr>
    <w:rPr>
      <w:rFonts w:ascii="Times New Roman" w:hAnsi="Times New Roman" w:cs="Arial" w:eastAsia="Calibri"/>
      <w:bCs/>
      <w:color w:val="auto"/>
      <w:kern w:val="0"/>
      <w:sz w:val="24"/>
      <w:szCs w:val="22"/>
      <w:lang w:val="en" w:eastAsia="en-US" w:bidi="ar-SA"/>
      <w14:ligatures w14:val="none"/>
    </w:rPr>
  </w:style>
  <w:style w:type="paragraph" w:styleId="Header">
    <w:name w:val="Header"/>
    <w:basedOn w:val="Normal"/>
    <w:link w:val="HeaderChar"/>
    <w:uiPriority w:val="99"/>
    <w:unhideWhenUsed/>
    <w:rsid w:val="003518fc"/>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3518fc"/>
    <w:pPr>
      <w:tabs>
        <w:tab w:val="clear" w:pos="720"/>
        <w:tab w:val="center" w:pos="4680" w:leader="none"/>
        <w:tab w:val="right" w:pos="9360" w:leader="none"/>
      </w:tabs>
      <w:spacing w:lineRule="auto" w:line="240" w:before="0" w:after="0"/>
    </w:pPr>
    <w:rPr/>
  </w:style>
  <w:style w:type="paragraph" w:styleId="Bibliography">
    <w:name w:val="Bibliography"/>
    <w:basedOn w:val="Normal"/>
    <w:next w:val="Normal"/>
    <w:uiPriority w:val="37"/>
    <w:unhideWhenUsed/>
    <w:qFormat/>
    <w:rsid w:val="00f26790"/>
    <w:pPr/>
    <w:rPr/>
  </w:style>
  <w:style w:type="paragraph" w:styleId="ListParagraph">
    <w:name w:val="List Paragraph"/>
    <w:basedOn w:val="Normal"/>
    <w:uiPriority w:val="34"/>
    <w:qFormat/>
    <w:rsid w:val="00d70dcc"/>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f7363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chart" Target="charts/chart1.xml"/><Relationship Id="rId3" Type="http://schemas.openxmlformats.org/officeDocument/2006/relationships/chart" Target="charts/chart2.xml"/><Relationship Id="rId4" Type="http://schemas.openxmlformats.org/officeDocument/2006/relationships/chart" Target="charts/chart3.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1" strike="noStrike">
                <a:solidFill>
                  <a:srgbClr val="404040"/>
                </a:solidFill>
                <a:latin typeface="Calibri"/>
              </a:defRPr>
            </a:pPr>
            <a:r>
              <a:rPr b="1" sz="1800" spc="-1" strike="noStrike">
                <a:solidFill>
                  <a:srgbClr val="404040"/>
                </a:solidFill>
                <a:latin typeface="Calibri"/>
              </a:rPr>
              <a:t>Average price</a:t>
            </a:r>
          </a:p>
        </c:rich>
      </c:tx>
      <c:overlay val="0"/>
      <c:spPr>
        <a:noFill/>
        <a:ln>
          <a:noFill/>
        </a:ln>
      </c:spPr>
    </c:title>
    <c:autoTitleDeleted val="0"/>
    <c:plotArea>
      <c:barChart>
        <c:barDir val="col"/>
        <c:grouping val="percentStacked"/>
        <c:varyColors val="0"/>
        <c:ser>
          <c:idx val="0"/>
          <c:order val="0"/>
          <c:tx>
            <c:strRef>
              <c:f>label 0</c:f>
              <c:strCache>
                <c:ptCount val="1"/>
                <c:pt idx="0">
                  <c:v>Average price</c:v>
                </c:pt>
              </c:strCache>
            </c:strRef>
          </c:tx>
          <c:spPr>
            <a:solidFill>
              <a:srgbClr val="4472c4">
                <a:alpha val="85000"/>
              </a:srgbClr>
            </a:solidFill>
            <a:ln w="9360">
              <a:solidFill>
                <a:srgbClr val="ffffff">
                  <a:alpha val="50000"/>
                </a:srgbClr>
              </a:solidFill>
              <a:round/>
            </a:ln>
          </c:spPr>
          <c:invertIfNegative val="0"/>
          <c:dLbls>
            <c:numFmt formatCode="General" sourceLinked="1"/>
            <c:txPr>
              <a:bodyPr/>
              <a:lstStyle/>
              <a:p>
                <a:pPr>
                  <a:defRPr b="1" sz="900" spc="-1" strike="noStrike">
                    <a:solidFill>
                      <a:srgbClr val="ffffff"/>
                    </a:solidFill>
                    <a:latin typeface="Calibri"/>
                  </a:defRPr>
                </a:pPr>
              </a:p>
            </c:txPr>
            <c:dLblPos val="ctr"/>
            <c:showLegendKey val="0"/>
            <c:showVal val="1"/>
            <c:showCatName val="0"/>
            <c:showSerName val="0"/>
            <c:showPercent val="0"/>
            <c:separator>; </c:separator>
            <c:showLeaderLines val="0"/>
          </c:dLbls>
          <c:cat>
            <c:strRef>
              <c:f>categories</c:f>
              <c:strCache>
                <c:ptCount val="5"/>
                <c:pt idx="0">
                  <c:v>2017</c:v>
                </c:pt>
                <c:pt idx="1">
                  <c:v>2018</c:v>
                </c:pt>
                <c:pt idx="2">
                  <c:v>2019</c:v>
                </c:pt>
                <c:pt idx="3">
                  <c:v>2020</c:v>
                </c:pt>
                <c:pt idx="4">
                  <c:v>2021</c:v>
                </c:pt>
              </c:strCache>
            </c:strRef>
          </c:cat>
          <c:val>
            <c:numRef>
              <c:f>0</c:f>
              <c:numCache>
                <c:formatCode>General</c:formatCode>
                <c:ptCount val="5"/>
                <c:pt idx="0">
                  <c:v>549304.1</c:v>
                </c:pt>
                <c:pt idx="1">
                  <c:v>1666329.8</c:v>
                </c:pt>
                <c:pt idx="2">
                  <c:v>18015.29</c:v>
                </c:pt>
                <c:pt idx="3">
                  <c:v>20857.3</c:v>
                </c:pt>
                <c:pt idx="4">
                  <c:v>19436.8</c:v>
                </c:pt>
              </c:numCache>
            </c:numRef>
          </c:val>
        </c:ser>
        <c:gapWidth val="150"/>
        <c:overlap val="100"/>
        <c:axId val="90875661"/>
        <c:axId val="58984863"/>
      </c:barChart>
      <c:catAx>
        <c:axId val="90875661"/>
        <c:scaling>
          <c:orientation val="minMax"/>
        </c:scaling>
        <c:delete val="0"/>
        <c:axPos val="b"/>
        <c:title>
          <c:tx>
            <c:rich>
              <a:bodyPr rot="0"/>
              <a:lstStyle/>
              <a:p>
                <a:pPr>
                  <a:defRPr b="1" sz="900" spc="-1" strike="noStrike">
                    <a:solidFill>
                      <a:srgbClr val="404040"/>
                    </a:solidFill>
                    <a:latin typeface="Calibri"/>
                  </a:defRPr>
                </a:pPr>
                <a:r>
                  <a:rPr b="1" sz="900" spc="-1" strike="noStrike">
                    <a:solidFill>
                      <a:srgbClr val="404040"/>
                    </a:solidFill>
                    <a:latin typeface="Calibri"/>
                  </a:rPr>
                  <a:t>ARRIVAL YEARS</a:t>
                </a:r>
              </a:p>
            </c:rich>
          </c:tx>
          <c:overlay val="0"/>
          <c:spPr>
            <a:noFill/>
            <a:ln>
              <a:noFill/>
            </a:ln>
          </c:spPr>
        </c:title>
        <c:numFmt formatCode="[$-809]DD/MM/YYYY" sourceLinked="1"/>
        <c:majorTickMark val="none"/>
        <c:minorTickMark val="none"/>
        <c:tickLblPos val="nextTo"/>
        <c:spPr>
          <a:ln w="19080">
            <a:solidFill>
              <a:srgbClr val="404040"/>
            </a:solidFill>
            <a:round/>
          </a:ln>
        </c:spPr>
        <c:txPr>
          <a:bodyPr/>
          <a:lstStyle/>
          <a:p>
            <a:pPr>
              <a:defRPr b="0" sz="900" spc="-1" strike="noStrike">
                <a:solidFill>
                  <a:srgbClr val="404040"/>
                </a:solidFill>
                <a:latin typeface="Calibri"/>
              </a:defRPr>
            </a:pPr>
          </a:p>
        </c:txPr>
        <c:crossAx val="58984863"/>
        <c:crosses val="autoZero"/>
        <c:auto val="1"/>
        <c:lblAlgn val="ctr"/>
        <c:lblOffset val="100"/>
      </c:catAx>
      <c:valAx>
        <c:axId val="58984863"/>
        <c:scaling>
          <c:orientation val="minMax"/>
        </c:scaling>
        <c:delete val="1"/>
        <c:axPos val="l"/>
        <c:majorGridlines>
          <c:spPr>
            <a:ln w="9360">
              <a:solidFill>
                <a:srgbClr val="bfbfbf">
                  <a:alpha val="36000"/>
                </a:srgbClr>
              </a:solidFill>
              <a:round/>
            </a:ln>
          </c:spPr>
        </c:majorGridlines>
        <c:title>
          <c:tx>
            <c:rich>
              <a:bodyPr rot="-5400000"/>
              <a:lstStyle/>
              <a:p>
                <a:pPr>
                  <a:defRPr b="1" sz="900" spc="-1" strike="noStrike">
                    <a:solidFill>
                      <a:srgbClr val="404040"/>
                    </a:solidFill>
                    <a:latin typeface="Calibri"/>
                  </a:defRPr>
                </a:pPr>
                <a:r>
                  <a:rPr b="1" sz="900" spc="-1" strike="noStrike">
                    <a:solidFill>
                      <a:srgbClr val="404040"/>
                    </a:solidFill>
                    <a:latin typeface="Calibri"/>
                  </a:rPr>
                  <a:t>AVERAGE PRICE RANGE</a:t>
                </a:r>
              </a:p>
            </c:rich>
          </c:tx>
          <c:overlay val="0"/>
          <c:spPr>
            <a:noFill/>
            <a:ln>
              <a:noFill/>
            </a:ln>
          </c:spPr>
        </c:title>
        <c:numFmt formatCode="0%" sourceLinked="0"/>
        <c:majorTickMark val="none"/>
        <c:minorTickMark val="none"/>
        <c:tickLblPos val="nextTo"/>
        <c:spPr>
          <a:ln w="6480">
            <a:solidFill>
              <a:srgbClr val="8b8b8b"/>
            </a:solidFill>
            <a:round/>
          </a:ln>
        </c:spPr>
        <c:txPr>
          <a:bodyPr/>
          <a:lstStyle/>
          <a:p>
            <a:pPr>
              <a:defRPr b="0" sz="1000" spc="-1" strike="noStrike">
                <a:solidFill>
                  <a:srgbClr val="000000"/>
                </a:solidFill>
                <a:latin typeface="Calibri"/>
              </a:defRPr>
            </a:pPr>
          </a:p>
        </c:txPr>
        <c:crossAx val="90875661"/>
        <c:crosses val="autoZero"/>
      </c:valAx>
      <c:spPr>
        <a:noFill/>
        <a:ln>
          <a:noFill/>
        </a:ln>
      </c:spPr>
    </c:plotArea>
    <c:plotVisOnly val="1"/>
    <c:dispBlanksAs val="gap"/>
  </c:chart>
  <c:spPr>
    <a:gradFill>
      <a:gsLst>
        <a:gs pos="0">
          <a:srgbClr val="ffffff"/>
        </a:gs>
        <a:gs pos="100000">
          <a:srgbClr val="bfbfbf"/>
        </a:gs>
      </a:gsLst>
      <a:path path="circle"/>
    </a:gradFill>
    <a:ln w="9360">
      <a:solidFill>
        <a:srgbClr val="bfbfbf"/>
      </a:solidFill>
      <a:round/>
    </a:ln>
  </c:spPr>
</c:chartSpace>
</file>

<file path=word/charts/chart2.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1" strike="noStrike">
                <a:solidFill>
                  <a:srgbClr val="404040"/>
                </a:solidFill>
                <a:latin typeface="Calibri"/>
              </a:defRPr>
            </a:pPr>
            <a:r>
              <a:rPr b="1" sz="1800" spc="-1" strike="noStrike">
                <a:solidFill>
                  <a:srgbClr val="404040"/>
                </a:solidFill>
                <a:latin typeface="Calibri"/>
              </a:rPr>
              <a:t>Average price</a:t>
            </a:r>
          </a:p>
        </c:rich>
      </c:tx>
      <c:overlay val="0"/>
      <c:spPr>
        <a:noFill/>
        <a:ln>
          <a:noFill/>
        </a:ln>
      </c:spPr>
    </c:title>
    <c:autoTitleDeleted val="0"/>
    <c:plotArea>
      <c:lineChart>
        <c:grouping val="standard"/>
        <c:varyColors val="0"/>
        <c:ser>
          <c:idx val="0"/>
          <c:order val="0"/>
          <c:tx>
            <c:strRef>
              <c:f>label 0</c:f>
              <c:strCache>
                <c:ptCount val="1"/>
                <c:pt idx="0">
                  <c:v>Average price</c:v>
                </c:pt>
              </c:strCache>
            </c:strRef>
          </c:tx>
          <c:spPr>
            <a:solidFill>
              <a:srgbClr val="4472c4"/>
            </a:solidFill>
            <a:ln w="31680">
              <a:solidFill>
                <a:srgbClr val="4472c4"/>
              </a:solidFill>
              <a:round/>
            </a:ln>
          </c:spPr>
          <c:marker>
            <c:symbol val="circle"/>
            <c:size val="17"/>
            <c:spPr>
              <a:solidFill>
                <a:srgbClr val="4472c4"/>
              </a:solidFill>
            </c:spPr>
          </c:marker>
          <c:dLbls>
            <c:numFmt formatCode="General" sourceLinked="1"/>
            <c:txPr>
              <a:bodyPr/>
              <a:lstStyle/>
              <a:p>
                <a:pPr>
                  <a:defRPr b="1" sz="900" spc="-1" strike="noStrike">
                    <a:solidFill>
                      <a:srgbClr val="ffffff"/>
                    </a:solidFill>
                    <a:latin typeface="Calibri"/>
                  </a:defRPr>
                </a:pPr>
              </a:p>
            </c:txPr>
            <c:dLblPos val="ctr"/>
            <c:showLegendKey val="0"/>
            <c:showVal val="1"/>
            <c:showCatName val="0"/>
            <c:showSerName val="0"/>
            <c:showPercent val="0"/>
            <c:separator>; </c:separator>
            <c:showLeaderLines val="0"/>
          </c:dLbls>
          <c:cat>
            <c:strRef>
              <c:f>categories</c:f>
              <c:strCache>
                <c:ptCount val="5"/>
                <c:pt idx="0">
                  <c:v>2017</c:v>
                </c:pt>
                <c:pt idx="1">
                  <c:v>2018</c:v>
                </c:pt>
                <c:pt idx="2">
                  <c:v>2019</c:v>
                </c:pt>
                <c:pt idx="3">
                  <c:v>2020</c:v>
                </c:pt>
                <c:pt idx="4">
                  <c:v>2021</c:v>
                </c:pt>
              </c:strCache>
            </c:strRef>
          </c:cat>
          <c:val>
            <c:numRef>
              <c:f>0</c:f>
              <c:numCache>
                <c:formatCode>General</c:formatCode>
                <c:ptCount val="5"/>
                <c:pt idx="0">
                  <c:v>549304.1</c:v>
                </c:pt>
                <c:pt idx="1">
                  <c:v>1666329.8</c:v>
                </c:pt>
                <c:pt idx="2">
                  <c:v>18015.29</c:v>
                </c:pt>
                <c:pt idx="3">
                  <c:v>20857.3</c:v>
                </c:pt>
                <c:pt idx="4">
                  <c:v>19436.8</c:v>
                </c:pt>
              </c:numCache>
            </c:numRef>
          </c:val>
          <c:smooth val="0"/>
        </c:ser>
        <c:hiLowLines>
          <c:spPr>
            <a:ln>
              <a:noFill/>
            </a:ln>
          </c:spPr>
        </c:hiLowLines>
        <c:marker val="1"/>
        <c:axId val="21215541"/>
        <c:axId val="90430779"/>
      </c:lineChart>
      <c:catAx>
        <c:axId val="21215541"/>
        <c:scaling>
          <c:orientation val="minMax"/>
        </c:scaling>
        <c:delete val="0"/>
        <c:axPos val="b"/>
        <c:title>
          <c:tx>
            <c:rich>
              <a:bodyPr rot="0"/>
              <a:lstStyle/>
              <a:p>
                <a:pPr>
                  <a:defRPr b="1" sz="900" spc="-1" strike="noStrike">
                    <a:solidFill>
                      <a:srgbClr val="404040"/>
                    </a:solidFill>
                    <a:latin typeface="Calibri"/>
                  </a:defRPr>
                </a:pPr>
                <a:r>
                  <a:rPr b="1" sz="900" spc="-1" strike="noStrike">
                    <a:solidFill>
                      <a:srgbClr val="404040"/>
                    </a:solidFill>
                    <a:latin typeface="Calibri"/>
                  </a:rPr>
                  <a:t>ARRIVAL YEAR</a:t>
                </a:r>
              </a:p>
            </c:rich>
          </c:tx>
          <c:overlay val="0"/>
          <c:spPr>
            <a:noFill/>
            <a:ln>
              <a:noFill/>
            </a:ln>
          </c:spPr>
        </c:title>
        <c:numFmt formatCode="[$-809]DD/MM/YYYY" sourceLinked="1"/>
        <c:majorTickMark val="none"/>
        <c:minorTickMark val="none"/>
        <c:tickLblPos val="nextTo"/>
        <c:spPr>
          <a:ln w="19080">
            <a:solidFill>
              <a:srgbClr val="404040"/>
            </a:solidFill>
            <a:round/>
          </a:ln>
        </c:spPr>
        <c:txPr>
          <a:bodyPr/>
          <a:lstStyle/>
          <a:p>
            <a:pPr>
              <a:defRPr b="0" sz="900" spc="-1" strike="noStrike">
                <a:solidFill>
                  <a:srgbClr val="404040"/>
                </a:solidFill>
                <a:latin typeface="Calibri"/>
              </a:defRPr>
            </a:pPr>
          </a:p>
        </c:txPr>
        <c:crossAx val="90430779"/>
        <c:crosses val="autoZero"/>
        <c:auto val="1"/>
        <c:lblAlgn val="ctr"/>
        <c:lblOffset val="100"/>
      </c:catAx>
      <c:valAx>
        <c:axId val="90430779"/>
        <c:scaling>
          <c:orientation val="minMax"/>
        </c:scaling>
        <c:delete val="1"/>
        <c:axPos val="l"/>
        <c:majorGridlines>
          <c:spPr>
            <a:ln w="9360">
              <a:solidFill>
                <a:srgbClr val="bfbfbf">
                  <a:alpha val="36000"/>
                </a:srgbClr>
              </a:solidFill>
              <a:round/>
            </a:ln>
          </c:spPr>
        </c:majorGridlines>
        <c:title>
          <c:tx>
            <c:rich>
              <a:bodyPr rot="-5400000"/>
              <a:lstStyle/>
              <a:p>
                <a:pPr>
                  <a:defRPr b="1" sz="900" spc="-1" strike="noStrike">
                    <a:solidFill>
                      <a:srgbClr val="404040"/>
                    </a:solidFill>
                    <a:latin typeface="Calibri"/>
                  </a:defRPr>
                </a:pPr>
                <a:r>
                  <a:rPr b="1" sz="900" spc="-1" strike="noStrike">
                    <a:solidFill>
                      <a:srgbClr val="404040"/>
                    </a:solidFill>
                    <a:latin typeface="Calibri"/>
                  </a:rPr>
                  <a:t>AVERAGE PRICE </a:t>
                </a:r>
              </a:p>
            </c:rich>
          </c:tx>
          <c:overlay val="0"/>
          <c:spPr>
            <a:noFill/>
            <a:ln>
              <a:noFill/>
            </a:ln>
          </c:spPr>
        </c:title>
        <c:numFmt formatCode="General" sourceLinked="0"/>
        <c:majorTickMark val="none"/>
        <c:minorTickMark val="none"/>
        <c:tickLblPos val="nextTo"/>
        <c:spPr>
          <a:ln w="6480">
            <a:solidFill>
              <a:srgbClr val="8b8b8b"/>
            </a:solidFill>
            <a:round/>
          </a:ln>
        </c:spPr>
        <c:txPr>
          <a:bodyPr/>
          <a:lstStyle/>
          <a:p>
            <a:pPr>
              <a:defRPr b="0" sz="1000" spc="-1" strike="noStrike">
                <a:solidFill>
                  <a:srgbClr val="000000"/>
                </a:solidFill>
                <a:latin typeface="Calibri"/>
              </a:defRPr>
            </a:pPr>
          </a:p>
        </c:txPr>
        <c:crossAx val="21215541"/>
        <c:crosses val="autoZero"/>
        <c:crossBetween val="midCat"/>
      </c:valAx>
      <c:spPr>
        <a:noFill/>
        <a:ln>
          <a:noFill/>
        </a:ln>
      </c:spPr>
    </c:plotArea>
    <c:plotVisOnly val="1"/>
    <c:dispBlanksAs val="gap"/>
  </c:chart>
  <c:spPr>
    <a:gradFill>
      <a:gsLst>
        <a:gs pos="0">
          <a:srgbClr val="ffffff"/>
        </a:gs>
        <a:gs pos="100000">
          <a:srgbClr val="bfbfbf"/>
        </a:gs>
      </a:gsLst>
      <a:path path="circle"/>
    </a:gradFill>
    <a:ln w="9360">
      <a:solidFill>
        <a:srgbClr val="bfbfbf"/>
      </a:solidFill>
      <a:round/>
    </a:ln>
  </c:spPr>
</c:chartSpace>
</file>

<file path=word/charts/chart3.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800" spc="-1" strike="noStrike">
                <a:solidFill>
                  <a:srgbClr val="404040"/>
                </a:solidFill>
                <a:latin typeface="Calibri"/>
              </a:defRPr>
            </a:pPr>
            <a:r>
              <a:rPr b="1" sz="1800" spc="-1" strike="noStrike">
                <a:solidFill>
                  <a:srgbClr val="404040"/>
                </a:solidFill>
                <a:latin typeface="Calibri"/>
              </a:rPr>
              <a:t>Total</a:t>
            </a:r>
          </a:p>
        </c:rich>
      </c:tx>
      <c:overlay val="0"/>
      <c:spPr>
        <a:noFill/>
        <a:ln>
          <a:noFill/>
        </a:ln>
      </c:spPr>
    </c:title>
    <c:autoTitleDeleted val="0"/>
    <c:view3D>
      <c:rotX val="50"/>
      <c:rotY val="0"/>
      <c:rAngAx val="0"/>
      <c:perspective val="30"/>
    </c:view3D>
    <c:floor>
      <c:spPr>
        <a:solidFill>
          <a:srgbClr val="d9d9d9"/>
        </a:solidFill>
        <a:ln>
          <a:noFill/>
        </a:ln>
      </c:spPr>
    </c:floor>
    <c:sideWall>
      <c:spPr>
        <a:solidFill>
          <a:srgbClr val="d9d9d9"/>
        </a:solidFill>
        <a:ln>
          <a:noFill/>
        </a:ln>
      </c:spPr>
    </c:sideWall>
    <c:backWall>
      <c:spPr>
        <a:solidFill>
          <a:srgbClr val="d9d9d9"/>
        </a:solidFill>
        <a:ln>
          <a:noFill/>
        </a:ln>
      </c:spPr>
    </c:backWall>
    <c:plotArea>
      <c:pie3DChart>
        <c:varyColors val="1"/>
        <c:ser>
          <c:idx val="0"/>
          <c:order val="0"/>
          <c:tx>
            <c:strRef>
              <c:f>label 0</c:f>
              <c:strCache>
                <c:ptCount val="1"/>
                <c:pt idx="0">
                  <c:v>Total</c:v>
                </c:pt>
              </c:strCache>
            </c:strRef>
          </c:tx>
          <c:spPr>
            <a:solidFill>
              <a:srgbClr val="4472c4"/>
            </a:solidFill>
            <a:ln>
              <a:noFill/>
            </a:ln>
          </c:spPr>
          <c:explosion val="0"/>
          <c:dPt>
            <c:idx val="0"/>
            <c:spPr>
              <a:solidFill>
                <a:srgbClr val="4472c4"/>
              </a:solidFill>
              <a:ln>
                <a:noFill/>
              </a:ln>
            </c:spPr>
          </c:dPt>
          <c:dPt>
            <c:idx val="1"/>
            <c:spPr>
              <a:solidFill>
                <a:srgbClr val="ed7d31"/>
              </a:solidFill>
              <a:ln>
                <a:noFill/>
              </a:ln>
            </c:spPr>
          </c:dPt>
          <c:dPt>
            <c:idx val="2"/>
            <c:spPr>
              <a:solidFill>
                <a:srgbClr val="a5a5a5"/>
              </a:solidFill>
              <a:ln>
                <a:noFill/>
              </a:ln>
            </c:spPr>
          </c:dPt>
          <c:dPt>
            <c:idx val="3"/>
            <c:spPr>
              <a:solidFill>
                <a:srgbClr val="ffc000"/>
              </a:solidFill>
              <a:ln>
                <a:noFill/>
              </a:ln>
            </c:spPr>
          </c:dPt>
          <c:dPt>
            <c:idx val="4"/>
            <c:spPr>
              <a:solidFill>
                <a:srgbClr val="5b9bd5"/>
              </a:solidFill>
              <a:ln>
                <a:noFill/>
              </a:ln>
            </c:spPr>
          </c:dPt>
          <c:dLbls>
            <c:numFmt formatCode="0.00%" sourceLinked="1"/>
            <c:dLbl>
              <c:idx val="0"/>
              <c:txPr>
                <a:bodyPr/>
                <a:lstStyle/>
                <a:p>
                  <a:pPr>
                    <a:defRPr b="1" sz="1000" spc="-1" strike="noStrike">
                      <a:solidFill>
                        <a:srgbClr val="ffffff"/>
                      </a:solidFill>
                      <a:latin typeface="Calibri"/>
                    </a:defRPr>
                  </a:pPr>
                </a:p>
              </c:txPr>
              <c:dLblPos val="ctr"/>
              <c:showLegendKey val="0"/>
              <c:showVal val="1"/>
              <c:showCatName val="0"/>
              <c:showSerName val="0"/>
              <c:showPercent val="1"/>
              <c:separator>; </c:separator>
            </c:dLbl>
            <c:dLbl>
              <c:idx val="1"/>
              <c:txPr>
                <a:bodyPr/>
                <a:lstStyle/>
                <a:p>
                  <a:pPr>
                    <a:defRPr b="1" sz="1000" spc="-1" strike="noStrike">
                      <a:solidFill>
                        <a:srgbClr val="ffffff"/>
                      </a:solidFill>
                      <a:latin typeface="Calibri"/>
                    </a:defRPr>
                  </a:pPr>
                </a:p>
              </c:txPr>
              <c:dLblPos val="ctr"/>
              <c:showLegendKey val="0"/>
              <c:showVal val="1"/>
              <c:showCatName val="0"/>
              <c:showSerName val="0"/>
              <c:showPercent val="1"/>
              <c:separator>; </c:separator>
            </c:dLbl>
            <c:dLbl>
              <c:idx val="2"/>
              <c:txPr>
                <a:bodyPr/>
                <a:lstStyle/>
                <a:p>
                  <a:pPr>
                    <a:defRPr b="1" sz="1000" spc="-1" strike="noStrike">
                      <a:solidFill>
                        <a:srgbClr val="ffffff"/>
                      </a:solidFill>
                      <a:latin typeface="Calibri"/>
                    </a:defRPr>
                  </a:pPr>
                </a:p>
              </c:txPr>
              <c:dLblPos val="ctr"/>
              <c:showLegendKey val="0"/>
              <c:showVal val="1"/>
              <c:showCatName val="0"/>
              <c:showSerName val="0"/>
              <c:showPercent val="1"/>
              <c:separator>; </c:separator>
            </c:dLbl>
            <c:dLbl>
              <c:idx val="3"/>
              <c:txPr>
                <a:bodyPr/>
                <a:lstStyle/>
                <a:p>
                  <a:pPr>
                    <a:defRPr b="1" sz="1000" spc="-1" strike="noStrike">
                      <a:solidFill>
                        <a:srgbClr val="ffffff"/>
                      </a:solidFill>
                      <a:latin typeface="Calibri"/>
                    </a:defRPr>
                  </a:pPr>
                </a:p>
              </c:txPr>
              <c:dLblPos val="ctr"/>
              <c:showLegendKey val="0"/>
              <c:showVal val="1"/>
              <c:showCatName val="0"/>
              <c:showSerName val="0"/>
              <c:showPercent val="1"/>
              <c:separator>; </c:separator>
            </c:dLbl>
            <c:dLbl>
              <c:idx val="4"/>
              <c:txPr>
                <a:bodyPr/>
                <a:lstStyle/>
                <a:p>
                  <a:pPr>
                    <a:defRPr b="1" sz="1000" spc="-1" strike="noStrike">
                      <a:solidFill>
                        <a:srgbClr val="ffffff"/>
                      </a:solidFill>
                      <a:latin typeface="Calibri"/>
                    </a:defRPr>
                  </a:pPr>
                </a:p>
              </c:txPr>
              <c:dLblPos val="ctr"/>
              <c:showLegendKey val="0"/>
              <c:showVal val="1"/>
              <c:showCatName val="0"/>
              <c:showSerName val="0"/>
              <c:showPercent val="1"/>
              <c:separator>; </c:separator>
            </c:dLbl>
            <c:txPr>
              <a:bodyPr/>
              <a:lstStyle/>
              <a:p>
                <a:pPr>
                  <a:defRPr b="1" sz="1000" spc="-1" strike="noStrike">
                    <a:solidFill>
                      <a:srgbClr val="ffffff"/>
                    </a:solidFill>
                    <a:latin typeface="Calibri"/>
                  </a:defRPr>
                </a:pPr>
              </a:p>
            </c:txPr>
            <c:dLblPos val="ctr"/>
            <c:showLegendKey val="0"/>
            <c:showVal val="1"/>
            <c:showCatName val="0"/>
            <c:showSerName val="0"/>
            <c:showPercent val="1"/>
            <c:separator>; </c:separator>
            <c:showLeaderLines val="0"/>
          </c:dLbls>
          <c:cat>
            <c:strRef>
              <c:f>categories</c:f>
              <c:strCache>
                <c:ptCount val="5"/>
                <c:pt idx="0">
                  <c:v>2017</c:v>
                </c:pt>
                <c:pt idx="1">
                  <c:v>2018</c:v>
                </c:pt>
                <c:pt idx="2">
                  <c:v>2019</c:v>
                </c:pt>
                <c:pt idx="3">
                  <c:v>2020</c:v>
                </c:pt>
                <c:pt idx="4">
                  <c:v>2021</c:v>
                </c:pt>
              </c:strCache>
            </c:strRef>
          </c:cat>
          <c:val>
            <c:numRef>
              <c:f>0</c:f>
              <c:numCache>
                <c:formatCode>General</c:formatCode>
                <c:ptCount val="5"/>
                <c:pt idx="0">
                  <c:v>0.152910042993292</c:v>
                </c:pt>
                <c:pt idx="1">
                  <c:v>0.830858344736754</c:v>
                </c:pt>
                <c:pt idx="2">
                  <c:v>0.00501492473529211</c:v>
                </c:pt>
                <c:pt idx="3">
                  <c:v>0.00580605639328637</c:v>
                </c:pt>
                <c:pt idx="4">
                  <c:v>0.00541063114137633</c:v>
                </c:pt>
              </c:numCache>
            </c:numRef>
          </c:val>
        </c:ser>
      </c:pie3DChart>
    </c:plotArea>
    <c:legend>
      <c:legendPos val="r"/>
      <c:overlay val="0"/>
      <c:spPr>
        <a:solidFill>
          <a:srgbClr val="f2f2f2">
            <a:alpha val="39000"/>
          </a:srgbClr>
        </a:solidFill>
        <a:ln>
          <a:noFill/>
        </a:ln>
      </c:spPr>
      <c:txPr>
        <a:bodyPr/>
        <a:lstStyle/>
        <a:p>
          <a:pPr>
            <a:defRPr b="0" sz="900" spc="-1" strike="noStrike">
              <a:solidFill>
                <a:srgbClr val="404040"/>
              </a:solidFill>
              <a:latin typeface="Calibri"/>
            </a:defRPr>
          </a:pPr>
        </a:p>
      </c:txPr>
    </c:legend>
    <c:plotVisOnly val="1"/>
    <c:dispBlanksAs val="gap"/>
  </c:chart>
  <c:spPr>
    <a:gradFill>
      <a:gsLst>
        <a:gs pos="0">
          <a:srgbClr val="ffffff"/>
        </a:gs>
        <a:gs pos="100000">
          <a:srgbClr val="bfbfbf"/>
        </a:gs>
      </a:gsLst>
      <a:path path="circle"/>
    </a:gradFill>
    <a:ln w="9360">
      <a:solidFill>
        <a:srgbClr val="bfbfbf"/>
      </a:solidFill>
      <a:round/>
    </a:ln>
  </c:sp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cue238</b:Tag>
    <b:SourceType>InternetSite</b:SourceType>
    <b:Guid>{F7B429A3-42DC-40AF-8D0C-5A053CE5A163}</b:Guid>
    <b:Author>
      <b:Author>
        <b:Corporate>cuemath</b:Corporate>
      </b:Author>
    </b:Author>
    <b:Title>Data Handling</b:Title>
    <b:Year>2023</b:Year>
    <b:YearAccessed>2023</b:YearAccessed>
    <b:MonthAccessed>December </b:MonthAccessed>
    <b:DayAccessed>7</b:DayAccessed>
    <b:URL>https://www.cuemath.com/data/data-handling/</b:URL>
    <b:RefOrder>1</b:RefOrder>
  </b:Source>
  <b:Source>
    <b:Tag>gee2325</b:Tag>
    <b:SourceType>InternetSite</b:SourceType>
    <b:Guid>{06D0A6FB-B4DD-4B37-8BBE-7BADF3C870AB}</b:Guid>
    <b:Author>
      <b:Author>
        <b:Corporate>geeksforgeeks</b:Corporate>
      </b:Author>
    </b:Author>
    <b:Title>Data Handling</b:Title>
    <b:Year>2023</b:Year>
    <b:YearAccessed>2023</b:YearAccessed>
    <b:MonthAccessed>December </b:MonthAccessed>
    <b:DayAccessed>7</b:DayAccessed>
    <b:URL>https://www.geeksforgeeks.org/data-handling/</b:URL>
    <b:RefOrder>2</b:RefOrder>
  </b:Source>
  <b:Source>
    <b:Tag>ibm237</b:Tag>
    <b:SourceType>InternetSite</b:SourceType>
    <b:Guid>{08BBB5D9-F3D6-4060-9C04-85D6F2072C37}</b:Guid>
    <b:Author>
      <b:Author>
        <b:Corporate>ibm</b:Corporate>
      </b:Author>
    </b:Author>
    <b:Title>What is business intelligence?</b:Title>
    <b:Year>2023</b:Year>
    <b:YearAccessed>2023</b:YearAccessed>
    <b:MonthAccessed>December </b:MonthAccessed>
    <b:DayAccessed>7</b:DayAccessed>
    <b:URL>https://www.ibm.com/topics/business-intelligence</b:URL>
    <b:RefOrder>3</b:RefOrder>
  </b:Source>
</b:Sources>
</file>

<file path=customXml/itemProps1.xml><?xml version="1.0" encoding="utf-8"?>
<ds:datastoreItem xmlns:ds="http://schemas.openxmlformats.org/officeDocument/2006/customXml" ds:itemID="{7801F845-957E-4596-86F0-43FB669BF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Application>Neat_Office/6.2.8.2$Windows_x86 LibreOffice_project/</Application>
  <Pages>15</Pages>
  <Words>3416</Words>
  <Characters>18016</Characters>
  <CharactersWithSpaces>21380</CharactersWithSpaces>
  <Paragraphs>71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2023-12-16T05:17:00Z</dcterms:created>
  <dc:creator/>
  <dc:description/>
  <dc:language>en-GB</dc:language>
  <cp:lastModifiedBy/>
  <dcterms:modified xsi:type="dcterms:W3CDTF">2023-12-19T21:20:28Z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