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609007492"/>
      </w:sdtPr>
      <w:sdtContent>
        <w:p w14:paraId="7F9FC1BB" w14:textId="44DFFE2D" w:rsidR="00C608E3" w:rsidRDefault="00000000">
          <w:r>
            <w:rPr>
              <w:noProof/>
            </w:rPr>
            <mc:AlternateContent>
              <mc:Choice Requires="wpg">
                <w:drawing>
                  <wp:anchor distT="0" distB="0" distL="114300" distR="114300" simplePos="0" relativeHeight="251661312" behindDoc="0" locked="0" layoutInCell="1" allowOverlap="1" wp14:anchorId="566CE0F7" wp14:editId="29FF5A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Group 149"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p>
        <w:p w14:paraId="2ED83006" w14:textId="6026D591" w:rsidR="00C608E3" w:rsidRDefault="00547941">
          <w:r>
            <w:rPr>
              <w:noProof/>
            </w:rPr>
            <mc:AlternateContent>
              <mc:Choice Requires="wps">
                <w:drawing>
                  <wp:anchor distT="0" distB="0" distL="114300" distR="114300" simplePos="0" relativeHeight="251660288" behindDoc="1" locked="0" layoutInCell="1" allowOverlap="1" wp14:anchorId="4439AA0D" wp14:editId="1DDA2BF5">
                    <wp:simplePos x="0" y="0"/>
                    <wp:positionH relativeFrom="margin">
                      <wp:posOffset>-908050</wp:posOffset>
                    </wp:positionH>
                    <wp:positionV relativeFrom="page">
                      <wp:posOffset>5746750</wp:posOffset>
                    </wp:positionV>
                    <wp:extent cx="7537450" cy="3460750"/>
                    <wp:effectExtent l="0" t="0" r="0" b="6350"/>
                    <wp:wrapSquare wrapText="bothSides"/>
                    <wp:docPr id="152" name="Text Box 152"/>
                    <wp:cNvGraphicFramePr/>
                    <a:graphic xmlns:a="http://schemas.openxmlformats.org/drawingml/2006/main">
                      <a:graphicData uri="http://schemas.microsoft.com/office/word/2010/wordprocessingShape">
                        <wps:wsp>
                          <wps:cNvSpPr txBox="1"/>
                          <wps:spPr>
                            <a:xfrm>
                              <a:off x="0" y="0"/>
                              <a:ext cx="7537450" cy="3460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40642C" w14:textId="73651F42" w:rsidR="00547941" w:rsidRPr="00547941" w:rsidRDefault="00547941" w:rsidP="00547941">
                                <w:pPr>
                                  <w:spacing w:line="480" w:lineRule="auto"/>
                                  <w:jc w:val="right"/>
                                  <w:rPr>
                                    <w:rFonts w:cs="Arial"/>
                                    <w:color w:val="000000" w:themeColor="text1"/>
                                    <w:sz w:val="32"/>
                                    <w:szCs w:val="32"/>
                                  </w:rPr>
                                </w:pPr>
                                <w:sdt>
                                  <w:sdtPr>
                                    <w:rPr>
                                      <w:color w:val="000000" w:themeColor="text1"/>
                                      <w:sz w:val="32"/>
                                      <w:szCs w:val="32"/>
                                    </w:rPr>
                                    <w:alias w:val="Subtitle"/>
                                    <w:id w:val="147465637"/>
                                    <w:showingPlcHdr/>
                                    <w:dataBinding w:prefixMappings="xmlns:ns0='http://purl.org/dc/elements/1.1/' xmlns:ns1='http://schemas.openxmlformats.org/package/2006/metadata/core-properties' " w:xpath="/ns1:coreProperties[1]/ns0:subject[1]" w:storeItemID="{6C3C8BC8-F283-45AE-878A-BAB7291924A1}"/>
                                    <w:text/>
                                  </w:sdtPr>
                                  <w:sdtEndPr>
                                    <w:rPr>
                                      <w:rFonts w:cs="Arial"/>
                                    </w:rPr>
                                  </w:sdtEndPr>
                                  <w:sdtContent>
                                    <w:r w:rsidRPr="00547941">
                                      <w:rPr>
                                        <w:color w:val="000000" w:themeColor="text1"/>
                                        <w:sz w:val="32"/>
                                        <w:szCs w:val="32"/>
                                      </w:rPr>
                                      <w:t xml:space="preserve">     </w:t>
                                    </w:r>
                                  </w:sdtContent>
                                </w:sdt>
                              </w:p>
                              <w:p w14:paraId="3D4FBE42"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Module name: International Business Communications</w:t>
                                </w:r>
                              </w:p>
                              <w:p w14:paraId="3742AE63"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Student name: Shuqi Xin</w:t>
                                </w:r>
                              </w:p>
                              <w:p w14:paraId="1428DF96"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 xml:space="preserve">Student </w:t>
                                </w:r>
                                <w:r w:rsidRPr="00547941">
                                  <w:rPr>
                                    <w:rFonts w:cs="Arial" w:hint="eastAsia"/>
                                    <w:color w:val="000000" w:themeColor="text1"/>
                                    <w:sz w:val="32"/>
                                    <w:szCs w:val="32"/>
                                    <w:lang w:val="en-US"/>
                                  </w:rPr>
                                  <w:t>ID</w:t>
                                </w:r>
                                <w:r w:rsidRPr="00547941">
                                  <w:rPr>
                                    <w:rFonts w:cs="Arial"/>
                                    <w:color w:val="000000" w:themeColor="text1"/>
                                    <w:sz w:val="32"/>
                                    <w:szCs w:val="32"/>
                                    <w:lang w:val="en-US"/>
                                  </w:rPr>
                                  <w:t>: 2317430</w:t>
                                </w:r>
                              </w:p>
                              <w:p w14:paraId="7F164C3D" w14:textId="4266CE91" w:rsidR="00547941" w:rsidRPr="00547941" w:rsidRDefault="00547941" w:rsidP="00547941">
                                <w:pPr>
                                  <w:pStyle w:val="ab"/>
                                  <w:ind w:left="960"/>
                                  <w:jc w:val="right"/>
                                  <w:rPr>
                                    <w:rFonts w:hint="eastAsia"/>
                                    <w:color w:val="ED7D31" w:themeColor="accent2"/>
                                    <w:sz w:val="32"/>
                                    <w:szCs w:val="32"/>
                                  </w:rPr>
                                </w:pPr>
                                <w:r w:rsidRPr="00547941">
                                  <w:rPr>
                                    <w:rFonts w:ascii="Arial" w:hAnsi="Arial" w:cs="Arial"/>
                                    <w:color w:val="000000" w:themeColor="text1"/>
                                    <w:sz w:val="32"/>
                                    <w:szCs w:val="32"/>
                                    <w:lang w:eastAsia="zh-CN"/>
                                  </w:rPr>
                                  <w:t>Words count:</w:t>
                                </w:r>
                                <w:r w:rsidRPr="00547941">
                                  <w:rPr>
                                    <w:rFonts w:ascii="Arial" w:hAnsi="Arial" w:cs="Arial" w:hint="eastAsia"/>
                                    <w:color w:val="000000" w:themeColor="text1"/>
                                    <w:sz w:val="32"/>
                                    <w:szCs w:val="32"/>
                                    <w:lang w:eastAsia="zh-CN"/>
                                  </w:rPr>
                                  <w:t>24</w:t>
                                </w:r>
                                <w:r>
                                  <w:rPr>
                                    <w:rFonts w:ascii="Arial" w:hAnsi="Arial" w:cs="Arial" w:hint="eastAsia"/>
                                    <w:color w:val="000000" w:themeColor="text1"/>
                                    <w:sz w:val="32"/>
                                    <w:szCs w:val="32"/>
                                    <w:lang w:eastAsia="zh-CN"/>
                                  </w:rPr>
                                  <w:t>56</w:t>
                                </w:r>
                              </w:p>
                              <w:p w14:paraId="35156F03" w14:textId="5F9ADAFC" w:rsidR="00C608E3" w:rsidRDefault="00C608E3" w:rsidP="00547941">
                                <w:pPr>
                                  <w:pStyle w:val="ab"/>
                                  <w:ind w:right="480"/>
                                  <w:rPr>
                                    <w:rFonts w:ascii="Arial" w:hAnsi="Arial" w:cs="Arial"/>
                                    <w:color w:val="595959" w:themeColor="text1" w:themeTint="A6"/>
                                    <w:sz w:val="24"/>
                                    <w:szCs w:val="24"/>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4439AA0D" id="_x0000_t202" coordsize="21600,21600" o:spt="202" path="m,l,21600r21600,l21600,xe">
                    <v:stroke joinstyle="miter"/>
                    <v:path gradientshapeok="t" o:connecttype="rect"/>
                  </v:shapetype>
                  <v:shape id="Text Box 152" o:spid="_x0000_s1026" type="#_x0000_t202" style="position:absolute;margin-left:-71.5pt;margin-top:452.5pt;width:593.5pt;height:27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fhAUgIAAP8EAAAOAAAAZHJzL2Uyb0RvYy54bWysVN+PGiEQfm/S/4HwXnc9T88Y14v1YtPE&#10;9C61TZ+RBd0UGArorv3rO7C7er325Zq+wDDz8TE/md83WpGTcL4CU9DhIKdEGA5lZfYF/fpl/W5K&#10;iQ/MlEyBEQU9C0/vF2/fzGs7EzdwAFUKR5DE+FltC3oIwc6yzPOD0MwPwAqDRglOs4BHt89Kx2pk&#10;1yq7yfNJVoMrrQMuvEftQ2uki8QvpeDhUUovAlEFRd9CWl1ad3HNFnM22ztmDxXv3GD/4IVmlcFH&#10;L1QPLDBydNUfVLriDjzIMOCgM5Cy4iLFgNEM8xfRbA/MihQLJsfbS5r8/6Pln05b++RIaN5DgwWM&#10;Camtn3lUxnga6XTc0VOCdkzh+ZI20QTCUXk3Ht3djtHE0Ta6neR3eECe7HrdOh8+CNAkCgV1WJeU&#10;Lnba+NBCe0h8zcC6UirVRhlSF3QyQsrfLEiuTNSIVOWO5up6ksJZiYhR5rOQpCpTBFGR+kuslCMn&#10;hp3BOBcmpOATL6IjSqITr7nY4a9eveZyG0f/MphwuawrAy5F/8Lt8nvvsmzxmPNncUcxNLumK+kO&#10;yjNW2kE7BN7ydYXV2DAfnpjDrscK4iSHR1ykAsw6dBIlB3A//6aPeGxGtFJS4xQV1P84MicoUR8N&#10;tulwkuc4pjh46YiCS8JkOp5G9a5Xm6NeAVZiiN+F5UmM4KB6UTrQ33DWl/FBNDHD8dmC7npxFdqx&#10;xr+Ci+UygXDGLAsbs7U8UsfCGFgeA8gqdV3MUJuWLnM4Zalvux8hjvHzc0Jd/63FLwAAAP//AwBQ&#10;SwMEFAAGAAgAAAAhAJyQqCrhAAAADgEAAA8AAABkcnMvZG93bnJldi54bWxMj8FOwzAQRO9I/IO1&#10;SNxauzRBEOJUCAUhlVMLCHFz48WJGq+j2G3D37M9we2NdjQ7U64m34sjjrELpGExVyCQmmA7chre&#10;355ndyBiMmRNHwg1/GCEVXV5UZrChhNt8LhNTnAIxcJoaFMaCilj06I3cR4GJL59h9GbxHJ00o7m&#10;xOG+lzdK3UpvOuIPrRnwqcVmvz14DfWaXvDVLd06o/oz1PnefHwpra+vpscHEAmn9GeGc32uDhV3&#10;2oUD2Sh6DbNFtuQxScO9yhnOFpVlTDumLFcKZFXK/zOqXwAAAP//AwBQSwECLQAUAAYACAAAACEA&#10;toM4kv4AAADhAQAAEwAAAAAAAAAAAAAAAAAAAAAAW0NvbnRlbnRfVHlwZXNdLnhtbFBLAQItABQA&#10;BgAIAAAAIQA4/SH/1gAAAJQBAAALAAAAAAAAAAAAAAAAAC8BAABfcmVscy8ucmVsc1BLAQItABQA&#10;BgAIAAAAIQCeefhAUgIAAP8EAAAOAAAAAAAAAAAAAAAAAC4CAABkcnMvZTJvRG9jLnhtbFBLAQIt&#10;ABQABgAIAAAAIQCckKgq4QAAAA4BAAAPAAAAAAAAAAAAAAAAAKwEAABkcnMvZG93bnJldi54bWxQ&#10;SwUGAAAAAAQABADzAAAAugUAAAAA&#10;" filled="f" stroked="f" strokeweight=".5pt">
                    <v:textbox inset="126pt,0,54pt,0">
                      <w:txbxContent>
                        <w:p w14:paraId="2C40642C" w14:textId="73651F42" w:rsidR="00547941" w:rsidRPr="00547941" w:rsidRDefault="00547941" w:rsidP="00547941">
                          <w:pPr>
                            <w:spacing w:line="480" w:lineRule="auto"/>
                            <w:jc w:val="right"/>
                            <w:rPr>
                              <w:rFonts w:cs="Arial"/>
                              <w:color w:val="000000" w:themeColor="text1"/>
                              <w:sz w:val="32"/>
                              <w:szCs w:val="32"/>
                            </w:rPr>
                          </w:pPr>
                          <w:sdt>
                            <w:sdtPr>
                              <w:rPr>
                                <w:color w:val="000000" w:themeColor="text1"/>
                                <w:sz w:val="32"/>
                                <w:szCs w:val="32"/>
                              </w:rPr>
                              <w:alias w:val="Subtitle"/>
                              <w:id w:val="147465637"/>
                              <w:showingPlcHdr/>
                              <w:dataBinding w:prefixMappings="xmlns:ns0='http://purl.org/dc/elements/1.1/' xmlns:ns1='http://schemas.openxmlformats.org/package/2006/metadata/core-properties' " w:xpath="/ns1:coreProperties[1]/ns0:subject[1]" w:storeItemID="{6C3C8BC8-F283-45AE-878A-BAB7291924A1}"/>
                              <w:text/>
                            </w:sdtPr>
                            <w:sdtEndPr>
                              <w:rPr>
                                <w:rFonts w:cs="Arial"/>
                              </w:rPr>
                            </w:sdtEndPr>
                            <w:sdtContent>
                              <w:r w:rsidRPr="00547941">
                                <w:rPr>
                                  <w:color w:val="000000" w:themeColor="text1"/>
                                  <w:sz w:val="32"/>
                                  <w:szCs w:val="32"/>
                                </w:rPr>
                                <w:t xml:space="preserve">     </w:t>
                              </w:r>
                            </w:sdtContent>
                          </w:sdt>
                        </w:p>
                        <w:p w14:paraId="3D4FBE42"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Module name: International Business Communications</w:t>
                          </w:r>
                        </w:p>
                        <w:p w14:paraId="3742AE63"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Student name: Shuqi Xin</w:t>
                          </w:r>
                        </w:p>
                        <w:p w14:paraId="1428DF96" w14:textId="77777777" w:rsidR="00547941" w:rsidRPr="00547941" w:rsidRDefault="00547941" w:rsidP="00547941">
                          <w:pPr>
                            <w:spacing w:line="480" w:lineRule="auto"/>
                            <w:jc w:val="right"/>
                            <w:rPr>
                              <w:rFonts w:cs="Arial"/>
                              <w:color w:val="000000" w:themeColor="text1"/>
                              <w:sz w:val="32"/>
                              <w:szCs w:val="32"/>
                              <w:lang w:val="en-US"/>
                            </w:rPr>
                          </w:pPr>
                          <w:r w:rsidRPr="00547941">
                            <w:rPr>
                              <w:rFonts w:cs="Arial"/>
                              <w:color w:val="000000" w:themeColor="text1"/>
                              <w:sz w:val="32"/>
                              <w:szCs w:val="32"/>
                              <w:lang w:val="en-US"/>
                            </w:rPr>
                            <w:t xml:space="preserve">Student </w:t>
                          </w:r>
                          <w:r w:rsidRPr="00547941">
                            <w:rPr>
                              <w:rFonts w:cs="Arial" w:hint="eastAsia"/>
                              <w:color w:val="000000" w:themeColor="text1"/>
                              <w:sz w:val="32"/>
                              <w:szCs w:val="32"/>
                              <w:lang w:val="en-US"/>
                            </w:rPr>
                            <w:t>ID</w:t>
                          </w:r>
                          <w:r w:rsidRPr="00547941">
                            <w:rPr>
                              <w:rFonts w:cs="Arial"/>
                              <w:color w:val="000000" w:themeColor="text1"/>
                              <w:sz w:val="32"/>
                              <w:szCs w:val="32"/>
                              <w:lang w:val="en-US"/>
                            </w:rPr>
                            <w:t>: 2317430</w:t>
                          </w:r>
                        </w:p>
                        <w:p w14:paraId="7F164C3D" w14:textId="4266CE91" w:rsidR="00547941" w:rsidRPr="00547941" w:rsidRDefault="00547941" w:rsidP="00547941">
                          <w:pPr>
                            <w:pStyle w:val="ab"/>
                            <w:ind w:left="960"/>
                            <w:jc w:val="right"/>
                            <w:rPr>
                              <w:rFonts w:hint="eastAsia"/>
                              <w:color w:val="ED7D31" w:themeColor="accent2"/>
                              <w:sz w:val="32"/>
                              <w:szCs w:val="32"/>
                            </w:rPr>
                          </w:pPr>
                          <w:r w:rsidRPr="00547941">
                            <w:rPr>
                              <w:rFonts w:ascii="Arial" w:hAnsi="Arial" w:cs="Arial"/>
                              <w:color w:val="000000" w:themeColor="text1"/>
                              <w:sz w:val="32"/>
                              <w:szCs w:val="32"/>
                              <w:lang w:eastAsia="zh-CN"/>
                            </w:rPr>
                            <w:t>Words count:</w:t>
                          </w:r>
                          <w:r w:rsidRPr="00547941">
                            <w:rPr>
                              <w:rFonts w:ascii="Arial" w:hAnsi="Arial" w:cs="Arial" w:hint="eastAsia"/>
                              <w:color w:val="000000" w:themeColor="text1"/>
                              <w:sz w:val="32"/>
                              <w:szCs w:val="32"/>
                              <w:lang w:eastAsia="zh-CN"/>
                            </w:rPr>
                            <w:t>24</w:t>
                          </w:r>
                          <w:r>
                            <w:rPr>
                              <w:rFonts w:ascii="Arial" w:hAnsi="Arial" w:cs="Arial" w:hint="eastAsia"/>
                              <w:color w:val="000000" w:themeColor="text1"/>
                              <w:sz w:val="32"/>
                              <w:szCs w:val="32"/>
                              <w:lang w:eastAsia="zh-CN"/>
                            </w:rPr>
                            <w:t>56</w:t>
                          </w:r>
                        </w:p>
                        <w:p w14:paraId="35156F03" w14:textId="5F9ADAFC" w:rsidR="00C608E3" w:rsidRDefault="00C608E3" w:rsidP="00547941">
                          <w:pPr>
                            <w:pStyle w:val="ab"/>
                            <w:ind w:right="480"/>
                            <w:rPr>
                              <w:rFonts w:ascii="Arial" w:hAnsi="Arial" w:cs="Arial"/>
                              <w:color w:val="595959" w:themeColor="text1" w:themeTint="A6"/>
                              <w:sz w:val="24"/>
                              <w:szCs w:val="24"/>
                            </w:rPr>
                          </w:pPr>
                        </w:p>
                      </w:txbxContent>
                    </v:textbox>
                    <w10:wrap type="square" anchorx="margin" anchory="page"/>
                  </v:shape>
                </w:pict>
              </mc:Fallback>
            </mc:AlternateContent>
          </w:r>
          <w:r w:rsidR="00000000">
            <w:rPr>
              <w:noProof/>
            </w:rPr>
            <mc:AlternateContent>
              <mc:Choice Requires="wps">
                <w:drawing>
                  <wp:anchor distT="0" distB="0" distL="114300" distR="114300" simplePos="0" relativeHeight="251659264" behindDoc="0" locked="0" layoutInCell="1" allowOverlap="1" wp14:anchorId="1A11CD51" wp14:editId="37FE5E97">
                    <wp:simplePos x="0" y="0"/>
                    <wp:positionH relativeFrom="page">
                      <wp:posOffset>144145</wp:posOffset>
                    </wp:positionH>
                    <wp:positionV relativeFrom="page">
                      <wp:posOffset>2309495</wp:posOffset>
                    </wp:positionV>
                    <wp:extent cx="7315200" cy="302450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0245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956FC" w14:textId="77777777" w:rsidR="00C608E3" w:rsidRDefault="00000000">
                                <w:pPr>
                                  <w:pStyle w:val="3"/>
                                  <w:spacing w:beforeAutospacing="0" w:afterAutospacing="0" w:line="360" w:lineRule="auto"/>
                                  <w:jc w:val="right"/>
                                  <w:rPr>
                                    <w:rStyle w:val="a8"/>
                                    <w:rFonts w:ascii="Arial" w:hAnsi="Arial" w:cs="Arial" w:hint="default"/>
                                    <w:b/>
                                    <w:color w:val="2F5496" w:themeColor="accent1" w:themeShade="BF"/>
                                    <w:sz w:val="56"/>
                                    <w:szCs w:val="56"/>
                                  </w:rPr>
                                </w:pPr>
                                <w:bookmarkStart w:id="0" w:name="_Toc4584"/>
                                <w:r>
                                  <w:rPr>
                                    <w:rStyle w:val="a8"/>
                                    <w:rFonts w:ascii="Arial" w:hAnsi="Arial" w:cs="Arial" w:hint="default"/>
                                    <w:b/>
                                    <w:color w:val="2F5496" w:themeColor="accent1" w:themeShade="BF"/>
                                    <w:sz w:val="56"/>
                                    <w:szCs w:val="56"/>
                                  </w:rPr>
                                  <w:t>Challenges Faced by Managers in International Business Communications:</w:t>
                                </w:r>
                              </w:p>
                              <w:p w14:paraId="591AE3DA" w14:textId="77777777" w:rsidR="00C608E3" w:rsidRDefault="00000000">
                                <w:pPr>
                                  <w:pStyle w:val="3"/>
                                  <w:spacing w:beforeAutospacing="0" w:afterAutospacing="0" w:line="360" w:lineRule="auto"/>
                                  <w:jc w:val="right"/>
                                  <w:rPr>
                                    <w:rFonts w:ascii="Arial" w:hAnsi="Arial" w:cs="Arial" w:hint="default"/>
                                    <w:color w:val="44546A" w:themeColor="text2"/>
                                    <w:sz w:val="36"/>
                                    <w:szCs w:val="36"/>
                                  </w:rPr>
                                </w:pPr>
                                <w:r>
                                  <w:rPr>
                                    <w:rStyle w:val="a8"/>
                                    <w:rFonts w:ascii="Arial" w:hAnsi="Arial" w:cs="Arial" w:hint="default"/>
                                    <w:b/>
                                    <w:color w:val="7F7F7F" w:themeColor="text1" w:themeTint="80"/>
                                    <w:sz w:val="36"/>
                                    <w:szCs w:val="36"/>
                                  </w:rPr>
                                  <w:t>A British Perspective on Japan</w:t>
                                </w:r>
                                <w:bookmarkEnd w:id="0"/>
                              </w:p>
                              <w:sdt>
                                <w:sdtPr>
                                  <w:rPr>
                                    <w:color w:val="404040" w:themeColor="text1" w:themeTint="BF"/>
                                    <w:sz w:val="36"/>
                                    <w:szCs w:val="36"/>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7A40805" w14:textId="77777777" w:rsidR="00C608E3" w:rsidRDefault="00000000">
                                    <w:pPr>
                                      <w:jc w:val="right"/>
                                      <w:rPr>
                                        <w:smallCaps/>
                                        <w:color w:val="404040" w:themeColor="text1" w:themeTint="BF"/>
                                        <w:sz w:val="36"/>
                                        <w:szCs w:val="36"/>
                                      </w:rPr>
                                    </w:pPr>
                                    <w:r>
                                      <w:rPr>
                                        <w:rFonts w:eastAsia="宋体" w:hint="eastAsia"/>
                                        <w:color w:val="404040" w:themeColor="text1" w:themeTint="BF"/>
                                        <w:sz w:val="36"/>
                                        <w:szCs w:val="36"/>
                                        <w:lang w:eastAsia="zh-CN"/>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0</wp14:pctHeight>
                    </wp14:sizeRelV>
                  </wp:anchor>
                </w:drawing>
              </mc:Choice>
              <mc:Fallback>
                <w:pict>
                  <v:shape w14:anchorId="1A11CD51" id="Text Box 154" o:spid="_x0000_s1027" type="#_x0000_t202" style="position:absolute;margin-left:11.35pt;margin-top:181.85pt;width:8in;height:238.1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lTsVQIAAAYFAAAOAAAAZHJzL2Uyb0RvYy54bWysVE2P2jAQvVfqf7B8LwlQKEKEFWVFVWnV&#10;XS2tejaOTaw6Htc2JPTXd+wQQNteturFmcw8z9eb8eKurTU5CucVmIIOBzklwnAoldkX9NvXzbsZ&#10;JT4wUzINRhT0JDy9W759s2jsXIygAl0KR9CJ8fPGFrQKwc6zzPNK1MwPwAqDRgmuZgF/3T4rHWvQ&#10;e62zUZ5PswZcaR1w4T1q7zsjXSb/UgoeHqX0IhBdUMwtpNOlcxfPbLlg871jtlL8nAb7hyxqpgwG&#10;vbi6Z4GRg1N/uKoVd+BBhgGHOgMpFRepBqxmmL+oZlsxK1It2BxvL23y/88t/3Lc2idHQvsRWiQw&#10;NqSxfu5RGetppavjFzMlaMcWni5tE20gHJUfxsMJckEJR9s4H72f5JPoJ7tet86HTwJqEoWCOuQl&#10;tYsdH3zooD0kRjOwUVonbrQhTUGn40meLlws6FybiBWJ5bOba+pJCictIkabZyGJKlMFUZHmS6y1&#10;I0eGk8E4Fyak4pNfREeUxCRec/GMv2b1mstdHX1kMOFyuVYGXKr+Rdrljz5l2eGx5zd1RzG0uxYL&#10;v2F2B+UJCXfQ7YK3fKOQlAfmwxNzOPxIJC50eMRDasDmw1mipAL362/6iMeZRCslDS5TQf3PA3OC&#10;Ev3Z4LQOp3meJiSkX4zgkjCdTWZxcHa92hzqNSAhQ3w1LE9iBAfdi9JB/R1XfhUDookZjmELuuvF&#10;dei2G58MLlarBMJVsyw8mK3l0XXkx8DqEECqNHyxUV1bzg3EZUvje34Y4jbf/ifU9fla/gYAAP//&#10;AwBQSwMEFAAGAAgAAAAhAJ5sP4zhAAAACwEAAA8AAABkcnMvZG93bnJldi54bWxMj0FOwzAQRfdI&#10;3MEaJDYVtZtWSUnjVAiUFWJB0wO48dQJxHaI3TZweqYr2P3RPP15U2wn27MzjqHzTsJiLoCha7zu&#10;nJGwr6uHNbAQldOq9w4lfGOAbXl7U6hc+4t7x/MuGkYlLuRKQhvjkHMemhatCnM/oKPd0Y9WRRpH&#10;w/WoLlRue54IkXKrOkcXWjXgc4vN5+5kJRht9vqtyupZWqX11+PL6+zjZ5Ty/m562gCLOMU/GK76&#10;pA4lOR38yenAeglJkhEpYZkuKVyBRbaidJCwXgkBvCz4/x/KXwAAAP//AwBQSwECLQAUAAYACAAA&#10;ACEAtoM4kv4AAADhAQAAEwAAAAAAAAAAAAAAAAAAAAAAW0NvbnRlbnRfVHlwZXNdLnhtbFBLAQIt&#10;ABQABgAIAAAAIQA4/SH/1gAAAJQBAAALAAAAAAAAAAAAAAAAAC8BAABfcmVscy8ucmVsc1BLAQIt&#10;ABQABgAIAAAAIQDCFlTsVQIAAAYFAAAOAAAAAAAAAAAAAAAAAC4CAABkcnMvZTJvRG9jLnhtbFBL&#10;AQItABQABgAIAAAAIQCebD+M4QAAAAsBAAAPAAAAAAAAAAAAAAAAAK8EAABkcnMvZG93bnJldi54&#10;bWxQSwUGAAAAAAQABADzAAAAvQUAAAAA&#10;" filled="f" stroked="f" strokeweight=".5pt">
                    <v:textbox inset="126pt,0,54pt,0">
                      <w:txbxContent>
                        <w:p w14:paraId="3AC956FC" w14:textId="77777777" w:rsidR="00C608E3" w:rsidRDefault="00000000">
                          <w:pPr>
                            <w:pStyle w:val="3"/>
                            <w:spacing w:beforeAutospacing="0" w:afterAutospacing="0" w:line="360" w:lineRule="auto"/>
                            <w:jc w:val="right"/>
                            <w:rPr>
                              <w:rStyle w:val="a8"/>
                              <w:rFonts w:ascii="Arial" w:hAnsi="Arial" w:cs="Arial" w:hint="default"/>
                              <w:b/>
                              <w:color w:val="2F5496" w:themeColor="accent1" w:themeShade="BF"/>
                              <w:sz w:val="56"/>
                              <w:szCs w:val="56"/>
                            </w:rPr>
                          </w:pPr>
                          <w:bookmarkStart w:id="1" w:name="_Toc4584"/>
                          <w:r>
                            <w:rPr>
                              <w:rStyle w:val="a8"/>
                              <w:rFonts w:ascii="Arial" w:hAnsi="Arial" w:cs="Arial" w:hint="default"/>
                              <w:b/>
                              <w:color w:val="2F5496" w:themeColor="accent1" w:themeShade="BF"/>
                              <w:sz w:val="56"/>
                              <w:szCs w:val="56"/>
                            </w:rPr>
                            <w:t>Challenges Faced by Managers in International Business Communications:</w:t>
                          </w:r>
                        </w:p>
                        <w:p w14:paraId="591AE3DA" w14:textId="77777777" w:rsidR="00C608E3" w:rsidRDefault="00000000">
                          <w:pPr>
                            <w:pStyle w:val="3"/>
                            <w:spacing w:beforeAutospacing="0" w:afterAutospacing="0" w:line="360" w:lineRule="auto"/>
                            <w:jc w:val="right"/>
                            <w:rPr>
                              <w:rFonts w:ascii="Arial" w:hAnsi="Arial" w:cs="Arial" w:hint="default"/>
                              <w:color w:val="44546A" w:themeColor="text2"/>
                              <w:sz w:val="36"/>
                              <w:szCs w:val="36"/>
                            </w:rPr>
                          </w:pPr>
                          <w:r>
                            <w:rPr>
                              <w:rStyle w:val="a8"/>
                              <w:rFonts w:ascii="Arial" w:hAnsi="Arial" w:cs="Arial" w:hint="default"/>
                              <w:b/>
                              <w:color w:val="7F7F7F" w:themeColor="text1" w:themeTint="80"/>
                              <w:sz w:val="36"/>
                              <w:szCs w:val="36"/>
                            </w:rPr>
                            <w:t>A British Perspective on Japan</w:t>
                          </w:r>
                          <w:bookmarkEnd w:id="1"/>
                        </w:p>
                        <w:sdt>
                          <w:sdtPr>
                            <w:rPr>
                              <w:color w:val="404040" w:themeColor="text1" w:themeTint="BF"/>
                              <w:sz w:val="36"/>
                              <w:szCs w:val="36"/>
                            </w:rPr>
                            <w:alias w:val="Subtitle"/>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7A40805" w14:textId="77777777" w:rsidR="00C608E3" w:rsidRDefault="00000000">
                              <w:pPr>
                                <w:jc w:val="right"/>
                                <w:rPr>
                                  <w:smallCaps/>
                                  <w:color w:val="404040" w:themeColor="text1" w:themeTint="BF"/>
                                  <w:sz w:val="36"/>
                                  <w:szCs w:val="36"/>
                                </w:rPr>
                              </w:pPr>
                              <w:r>
                                <w:rPr>
                                  <w:rFonts w:eastAsia="宋体" w:hint="eastAsia"/>
                                  <w:color w:val="404040" w:themeColor="text1" w:themeTint="BF"/>
                                  <w:sz w:val="36"/>
                                  <w:szCs w:val="36"/>
                                  <w:lang w:eastAsia="zh-CN"/>
                                </w:rPr>
                                <w:t xml:space="preserve">     </w:t>
                              </w:r>
                            </w:p>
                          </w:sdtContent>
                        </w:sdt>
                      </w:txbxContent>
                    </v:textbox>
                    <w10:wrap type="square" anchorx="page" anchory="page"/>
                  </v:shape>
                </w:pict>
              </mc:Fallback>
            </mc:AlternateContent>
          </w:r>
          <w:r w:rsidR="00000000">
            <w:br w:type="page"/>
          </w:r>
        </w:p>
      </w:sdtContent>
    </w:sdt>
    <w:p w14:paraId="36B73138" w14:textId="77777777" w:rsidR="00C608E3" w:rsidRDefault="00000000">
      <w:pPr>
        <w:spacing w:line="480" w:lineRule="auto"/>
        <w:rPr>
          <w:rFonts w:cs="Arial"/>
          <w:b/>
          <w:bCs/>
          <w:color w:val="2F5496" w:themeColor="accent1" w:themeShade="BF"/>
          <w:sz w:val="32"/>
          <w:szCs w:val="32"/>
        </w:rPr>
      </w:pPr>
      <w:r>
        <w:rPr>
          <w:rFonts w:cs="Arial"/>
          <w:b/>
          <w:bCs/>
          <w:color w:val="2F5496" w:themeColor="accent1" w:themeShade="BF"/>
          <w:sz w:val="32"/>
          <w:szCs w:val="32"/>
        </w:rPr>
        <w:lastRenderedPageBreak/>
        <w:t>Executive Summary</w:t>
      </w:r>
      <w:bookmarkStart w:id="2" w:name="_Toc7983"/>
    </w:p>
    <w:p w14:paraId="2CE7FF6C" w14:textId="77777777" w:rsidR="00C608E3" w:rsidRDefault="00000000">
      <w:pPr>
        <w:spacing w:line="480" w:lineRule="auto"/>
        <w:rPr>
          <w:rStyle w:val="a8"/>
          <w:rFonts w:cs="Arial"/>
          <w:b w:val="0"/>
          <w:szCs w:val="24"/>
        </w:rPr>
      </w:pPr>
      <w:r>
        <w:rPr>
          <w:rStyle w:val="a8"/>
          <w:rFonts w:cs="Arial"/>
          <w:b w:val="0"/>
          <w:szCs w:val="24"/>
        </w:rPr>
        <w:t>In the process of globalization, people from different cultural environments around the world can come together to discuss, and cross-cultural communication can not only promote economic growth, but also facilitate cultural exchange. In order to keep up with the economic development of globalization, all groups need cultural inclusivity. However, cultural stereotypes often hinder the smooth progress of cross-cultural communication, causing people to exaggerate differences between groups while ignoring individual differences, failing to view culture from a developmental perspective, and promoting ethnocentrism. In order to achieve the ultimate goal of cross-cultural communication, people need to take measures to reduce the negative impact of cultural stereotypes, deepen their understanding of each other's cultures, interact with different people, and change their ways of thinking. In this process, people will become culturally inclusive individuals. This article will critically evaluate and analyze the challenges faced by British managers when conducting business with Japan, with a focus on detailed explanations of cultural communication methods, decision-making, and business etiquette. This article will use established frameworks such as Hofstede's cultural dimension and Hall's high-low context theory to analyze barriers to cross-cultural communication and propose effective strategies for improving cross-cultural communication.</w:t>
      </w:r>
      <w:bookmarkEnd w:id="2"/>
    </w:p>
    <w:p w14:paraId="5B3E900D" w14:textId="77777777" w:rsidR="00C608E3" w:rsidRDefault="00000000">
      <w:r>
        <w:br w:type="page"/>
      </w:r>
    </w:p>
    <w:sdt>
      <w:sdtPr>
        <w:rPr>
          <w:rFonts w:eastAsiaTheme="minorHAnsi" w:cstheme="minorBidi"/>
          <w:b/>
          <w:bCs/>
          <w:color w:val="auto"/>
          <w:lang w:val="en-GB"/>
        </w:rPr>
        <w:id w:val="1461154688"/>
        <w:docPartObj>
          <w:docPartGallery w:val="Table of Contents"/>
          <w:docPartUnique/>
        </w:docPartObj>
      </w:sdtPr>
      <w:sdtEndPr>
        <w:rPr>
          <w:sz w:val="24"/>
          <w:szCs w:val="22"/>
        </w:rPr>
      </w:sdtEndPr>
      <w:sdtContent>
        <w:p w14:paraId="0A2916F2" w14:textId="77777777" w:rsidR="00C608E3" w:rsidRDefault="00000000">
          <w:pPr>
            <w:pStyle w:val="TOC10"/>
            <w:rPr>
              <w:b/>
              <w:bCs/>
            </w:rPr>
          </w:pPr>
          <w:r>
            <w:rPr>
              <w:b/>
              <w:bCs/>
            </w:rPr>
            <w:t>Contents</w:t>
          </w:r>
        </w:p>
        <w:p w14:paraId="6561FBAF" w14:textId="77777777" w:rsidR="00C608E3" w:rsidRDefault="00C608E3"/>
        <w:p w14:paraId="7B014422" w14:textId="2464C6BC" w:rsidR="00C608E3" w:rsidRDefault="00000000">
          <w:pPr>
            <w:pStyle w:val="TOC1"/>
            <w:tabs>
              <w:tab w:val="right" w:leader="dot" w:pos="9026"/>
            </w:tabs>
            <w:rPr>
              <w:rFonts w:cs="Arial"/>
              <w:b/>
              <w:bCs/>
              <w:noProof/>
            </w:rPr>
          </w:pPr>
          <w:r>
            <w:rPr>
              <w:rFonts w:cs="Arial"/>
              <w:b/>
              <w:bCs/>
            </w:rPr>
            <w:fldChar w:fldCharType="begin"/>
          </w:r>
          <w:r>
            <w:rPr>
              <w:rFonts w:cs="Arial"/>
              <w:b/>
              <w:bCs/>
            </w:rPr>
            <w:instrText xml:space="preserve"> TOC \o "1-3" \h \z \u </w:instrText>
          </w:r>
          <w:r>
            <w:rPr>
              <w:rFonts w:cs="Arial"/>
              <w:b/>
              <w:bCs/>
            </w:rPr>
            <w:fldChar w:fldCharType="separate"/>
          </w:r>
          <w:hyperlink w:anchor="_Toc8592" w:history="1">
            <w:r>
              <w:rPr>
                <w:rFonts w:cs="Arial"/>
                <w:b/>
                <w:bCs/>
                <w:noProof/>
                <w:szCs w:val="32"/>
              </w:rPr>
              <w:t>Introduction</w:t>
            </w:r>
            <w:r>
              <w:rPr>
                <w:rFonts w:cs="Arial"/>
                <w:b/>
                <w:bCs/>
                <w:noProof/>
              </w:rPr>
              <w:tab/>
            </w:r>
            <w:r>
              <w:rPr>
                <w:rFonts w:cs="Arial"/>
                <w:b/>
                <w:bCs/>
                <w:noProof/>
              </w:rPr>
              <w:fldChar w:fldCharType="begin"/>
            </w:r>
            <w:r>
              <w:rPr>
                <w:rFonts w:cs="Arial"/>
                <w:b/>
                <w:bCs/>
                <w:noProof/>
              </w:rPr>
              <w:instrText xml:space="preserve"> PAGEREF _Toc8592 \h </w:instrText>
            </w:r>
            <w:r>
              <w:rPr>
                <w:rFonts w:cs="Arial"/>
                <w:b/>
                <w:bCs/>
                <w:noProof/>
              </w:rPr>
            </w:r>
            <w:r>
              <w:rPr>
                <w:rFonts w:cs="Arial"/>
                <w:b/>
                <w:bCs/>
                <w:noProof/>
              </w:rPr>
              <w:fldChar w:fldCharType="separate"/>
            </w:r>
            <w:r w:rsidR="00BA6DBD">
              <w:rPr>
                <w:rFonts w:cs="Arial"/>
                <w:b/>
                <w:bCs/>
                <w:noProof/>
              </w:rPr>
              <w:t>3</w:t>
            </w:r>
            <w:r>
              <w:rPr>
                <w:rFonts w:cs="Arial"/>
                <w:b/>
                <w:bCs/>
                <w:noProof/>
              </w:rPr>
              <w:fldChar w:fldCharType="end"/>
            </w:r>
          </w:hyperlink>
        </w:p>
        <w:p w14:paraId="7A9FCB34" w14:textId="44A13B16" w:rsidR="00C608E3" w:rsidRDefault="00000000">
          <w:pPr>
            <w:pStyle w:val="TOC1"/>
            <w:tabs>
              <w:tab w:val="right" w:leader="dot" w:pos="9026"/>
            </w:tabs>
            <w:rPr>
              <w:rFonts w:cs="Arial"/>
              <w:b/>
              <w:bCs/>
              <w:noProof/>
            </w:rPr>
          </w:pPr>
          <w:hyperlink w:anchor="_Toc3508" w:history="1">
            <w:r>
              <w:rPr>
                <w:rFonts w:cs="Arial"/>
                <w:b/>
                <w:bCs/>
                <w:noProof/>
                <w:szCs w:val="32"/>
              </w:rPr>
              <w:t>Understanding Cultural Differences</w:t>
            </w:r>
            <w:r>
              <w:rPr>
                <w:rFonts w:cs="Arial"/>
                <w:b/>
                <w:bCs/>
                <w:noProof/>
              </w:rPr>
              <w:tab/>
            </w:r>
            <w:r>
              <w:rPr>
                <w:rFonts w:cs="Arial"/>
                <w:b/>
                <w:bCs/>
                <w:noProof/>
              </w:rPr>
              <w:fldChar w:fldCharType="begin"/>
            </w:r>
            <w:r>
              <w:rPr>
                <w:rFonts w:cs="Arial"/>
                <w:b/>
                <w:bCs/>
                <w:noProof/>
              </w:rPr>
              <w:instrText xml:space="preserve"> PAGEREF _Toc3508 \h </w:instrText>
            </w:r>
            <w:r>
              <w:rPr>
                <w:rFonts w:cs="Arial"/>
                <w:b/>
                <w:bCs/>
                <w:noProof/>
              </w:rPr>
            </w:r>
            <w:r>
              <w:rPr>
                <w:rFonts w:cs="Arial"/>
                <w:b/>
                <w:bCs/>
                <w:noProof/>
              </w:rPr>
              <w:fldChar w:fldCharType="separate"/>
            </w:r>
            <w:r w:rsidR="00BA6DBD">
              <w:rPr>
                <w:rFonts w:cs="Arial"/>
                <w:b/>
                <w:bCs/>
                <w:noProof/>
              </w:rPr>
              <w:t>3</w:t>
            </w:r>
            <w:r>
              <w:rPr>
                <w:rFonts w:cs="Arial"/>
                <w:b/>
                <w:bCs/>
                <w:noProof/>
              </w:rPr>
              <w:fldChar w:fldCharType="end"/>
            </w:r>
          </w:hyperlink>
        </w:p>
        <w:p w14:paraId="5F4377A9" w14:textId="71577C17" w:rsidR="00C608E3" w:rsidRDefault="00000000">
          <w:pPr>
            <w:pStyle w:val="TOC2"/>
            <w:tabs>
              <w:tab w:val="right" w:leader="dot" w:pos="9026"/>
            </w:tabs>
            <w:rPr>
              <w:rFonts w:cs="Arial"/>
              <w:b/>
              <w:bCs/>
              <w:noProof/>
            </w:rPr>
          </w:pPr>
          <w:hyperlink w:anchor="_Toc6527" w:history="1">
            <w:r>
              <w:rPr>
                <w:rFonts w:cs="Arial"/>
                <w:b/>
                <w:bCs/>
                <w:noProof/>
                <w:szCs w:val="24"/>
              </w:rPr>
              <w:t>Hofstede’s Cultural Dimensions Theory</w:t>
            </w:r>
            <w:r>
              <w:rPr>
                <w:rFonts w:cs="Arial"/>
                <w:b/>
                <w:bCs/>
                <w:noProof/>
              </w:rPr>
              <w:tab/>
            </w:r>
            <w:r>
              <w:rPr>
                <w:rFonts w:cs="Arial"/>
                <w:b/>
                <w:bCs/>
                <w:noProof/>
              </w:rPr>
              <w:fldChar w:fldCharType="begin"/>
            </w:r>
            <w:r>
              <w:rPr>
                <w:rFonts w:cs="Arial"/>
                <w:b/>
                <w:bCs/>
                <w:noProof/>
              </w:rPr>
              <w:instrText xml:space="preserve"> PAGEREF _Toc6527 \h </w:instrText>
            </w:r>
            <w:r>
              <w:rPr>
                <w:rFonts w:cs="Arial"/>
                <w:b/>
                <w:bCs/>
                <w:noProof/>
              </w:rPr>
            </w:r>
            <w:r>
              <w:rPr>
                <w:rFonts w:cs="Arial"/>
                <w:b/>
                <w:bCs/>
                <w:noProof/>
              </w:rPr>
              <w:fldChar w:fldCharType="separate"/>
            </w:r>
            <w:r w:rsidR="00BA6DBD">
              <w:rPr>
                <w:rFonts w:cs="Arial"/>
                <w:b/>
                <w:bCs/>
                <w:noProof/>
              </w:rPr>
              <w:t>3</w:t>
            </w:r>
            <w:r>
              <w:rPr>
                <w:rFonts w:cs="Arial"/>
                <w:b/>
                <w:bCs/>
                <w:noProof/>
              </w:rPr>
              <w:fldChar w:fldCharType="end"/>
            </w:r>
          </w:hyperlink>
        </w:p>
        <w:p w14:paraId="3A526C48" w14:textId="0209B76E" w:rsidR="00C608E3" w:rsidRDefault="00000000">
          <w:pPr>
            <w:pStyle w:val="TOC2"/>
            <w:tabs>
              <w:tab w:val="right" w:leader="dot" w:pos="9026"/>
            </w:tabs>
            <w:rPr>
              <w:rFonts w:cs="Arial"/>
              <w:b/>
              <w:bCs/>
              <w:noProof/>
            </w:rPr>
          </w:pPr>
          <w:hyperlink w:anchor="_Toc1195" w:history="1">
            <w:r>
              <w:rPr>
                <w:rFonts w:cs="Arial"/>
                <w:b/>
                <w:bCs/>
                <w:noProof/>
                <w:szCs w:val="24"/>
              </w:rPr>
              <w:t>Hall’s High and Low Context Theory</w:t>
            </w:r>
            <w:r>
              <w:rPr>
                <w:rFonts w:cs="Arial"/>
                <w:b/>
                <w:bCs/>
                <w:noProof/>
              </w:rPr>
              <w:tab/>
            </w:r>
            <w:r>
              <w:rPr>
                <w:rFonts w:cs="Arial"/>
                <w:b/>
                <w:bCs/>
                <w:noProof/>
              </w:rPr>
              <w:fldChar w:fldCharType="begin"/>
            </w:r>
            <w:r>
              <w:rPr>
                <w:rFonts w:cs="Arial"/>
                <w:b/>
                <w:bCs/>
                <w:noProof/>
              </w:rPr>
              <w:instrText xml:space="preserve"> PAGEREF _Toc1195 \h </w:instrText>
            </w:r>
            <w:r>
              <w:rPr>
                <w:rFonts w:cs="Arial"/>
                <w:b/>
                <w:bCs/>
                <w:noProof/>
              </w:rPr>
            </w:r>
            <w:r>
              <w:rPr>
                <w:rFonts w:cs="Arial"/>
                <w:b/>
                <w:bCs/>
                <w:noProof/>
              </w:rPr>
              <w:fldChar w:fldCharType="separate"/>
            </w:r>
            <w:r w:rsidR="00BA6DBD">
              <w:rPr>
                <w:rFonts w:cs="Arial"/>
                <w:b/>
                <w:bCs/>
                <w:noProof/>
              </w:rPr>
              <w:t>7</w:t>
            </w:r>
            <w:r>
              <w:rPr>
                <w:rFonts w:cs="Arial"/>
                <w:b/>
                <w:bCs/>
                <w:noProof/>
              </w:rPr>
              <w:fldChar w:fldCharType="end"/>
            </w:r>
          </w:hyperlink>
        </w:p>
        <w:p w14:paraId="0710D07D" w14:textId="2254826E" w:rsidR="00C608E3" w:rsidRDefault="00000000">
          <w:pPr>
            <w:pStyle w:val="TOC2"/>
            <w:tabs>
              <w:tab w:val="right" w:leader="dot" w:pos="9026"/>
            </w:tabs>
            <w:rPr>
              <w:rFonts w:cs="Arial"/>
              <w:b/>
              <w:bCs/>
              <w:noProof/>
            </w:rPr>
          </w:pPr>
          <w:hyperlink w:anchor="_Toc23021" w:history="1">
            <w:r>
              <w:rPr>
                <w:rFonts w:cs="Arial"/>
                <w:b/>
                <w:bCs/>
                <w:noProof/>
              </w:rPr>
              <w:t>Challenges in British-Japanese Business Communication</w:t>
            </w:r>
            <w:r>
              <w:rPr>
                <w:rFonts w:cs="Arial"/>
                <w:b/>
                <w:bCs/>
                <w:noProof/>
              </w:rPr>
              <w:tab/>
            </w:r>
            <w:r>
              <w:rPr>
                <w:rFonts w:cs="Arial"/>
                <w:b/>
                <w:bCs/>
                <w:noProof/>
              </w:rPr>
              <w:fldChar w:fldCharType="begin"/>
            </w:r>
            <w:r>
              <w:rPr>
                <w:rFonts w:cs="Arial"/>
                <w:b/>
                <w:bCs/>
                <w:noProof/>
              </w:rPr>
              <w:instrText xml:space="preserve"> PAGEREF _Toc23021 \h </w:instrText>
            </w:r>
            <w:r>
              <w:rPr>
                <w:rFonts w:cs="Arial"/>
                <w:b/>
                <w:bCs/>
                <w:noProof/>
              </w:rPr>
            </w:r>
            <w:r>
              <w:rPr>
                <w:rFonts w:cs="Arial"/>
                <w:b/>
                <w:bCs/>
                <w:noProof/>
              </w:rPr>
              <w:fldChar w:fldCharType="separate"/>
            </w:r>
            <w:r w:rsidR="00BA6DBD">
              <w:rPr>
                <w:rFonts w:cs="Arial"/>
                <w:b/>
                <w:bCs/>
                <w:noProof/>
              </w:rPr>
              <w:t>9</w:t>
            </w:r>
            <w:r>
              <w:rPr>
                <w:rFonts w:cs="Arial"/>
                <w:b/>
                <w:bCs/>
                <w:noProof/>
              </w:rPr>
              <w:fldChar w:fldCharType="end"/>
            </w:r>
          </w:hyperlink>
        </w:p>
        <w:p w14:paraId="2B1B0615" w14:textId="1D3E67F4" w:rsidR="00C608E3" w:rsidRDefault="00000000">
          <w:pPr>
            <w:pStyle w:val="TOC2"/>
            <w:tabs>
              <w:tab w:val="right" w:leader="dot" w:pos="9026"/>
            </w:tabs>
            <w:rPr>
              <w:rFonts w:cs="Arial"/>
              <w:b/>
              <w:bCs/>
              <w:noProof/>
            </w:rPr>
          </w:pPr>
          <w:hyperlink w:anchor="_Toc3717" w:history="1">
            <w:r>
              <w:rPr>
                <w:rFonts w:cs="Arial"/>
                <w:b/>
                <w:bCs/>
                <w:noProof/>
                <w:lang w:val="en-US" w:eastAsia="zh-CN"/>
              </w:rPr>
              <w:t>Strategies to Overcome Challenges</w:t>
            </w:r>
            <w:r>
              <w:rPr>
                <w:rFonts w:cs="Arial"/>
                <w:b/>
                <w:bCs/>
                <w:noProof/>
              </w:rPr>
              <w:tab/>
            </w:r>
            <w:r>
              <w:rPr>
                <w:rFonts w:cs="Arial"/>
                <w:b/>
                <w:bCs/>
                <w:noProof/>
              </w:rPr>
              <w:fldChar w:fldCharType="begin"/>
            </w:r>
            <w:r>
              <w:rPr>
                <w:rFonts w:cs="Arial"/>
                <w:b/>
                <w:bCs/>
                <w:noProof/>
              </w:rPr>
              <w:instrText xml:space="preserve"> PAGEREF _Toc3717 \h </w:instrText>
            </w:r>
            <w:r>
              <w:rPr>
                <w:rFonts w:cs="Arial"/>
                <w:b/>
                <w:bCs/>
                <w:noProof/>
              </w:rPr>
            </w:r>
            <w:r>
              <w:rPr>
                <w:rFonts w:cs="Arial"/>
                <w:b/>
                <w:bCs/>
                <w:noProof/>
              </w:rPr>
              <w:fldChar w:fldCharType="separate"/>
            </w:r>
            <w:r w:rsidR="00BA6DBD">
              <w:rPr>
                <w:rFonts w:cs="Arial"/>
                <w:b/>
                <w:bCs/>
                <w:noProof/>
              </w:rPr>
              <w:t>10</w:t>
            </w:r>
            <w:r>
              <w:rPr>
                <w:rFonts w:cs="Arial"/>
                <w:b/>
                <w:bCs/>
                <w:noProof/>
              </w:rPr>
              <w:fldChar w:fldCharType="end"/>
            </w:r>
          </w:hyperlink>
        </w:p>
        <w:p w14:paraId="46C50FB9" w14:textId="38F2EEAC" w:rsidR="00C608E3" w:rsidRDefault="00000000">
          <w:pPr>
            <w:pStyle w:val="TOC1"/>
            <w:tabs>
              <w:tab w:val="right" w:leader="dot" w:pos="9026"/>
            </w:tabs>
            <w:rPr>
              <w:rFonts w:cs="Arial"/>
              <w:b/>
              <w:bCs/>
              <w:noProof/>
            </w:rPr>
          </w:pPr>
          <w:hyperlink w:anchor="_Toc10647" w:history="1">
            <w:r>
              <w:rPr>
                <w:rFonts w:cs="Arial"/>
                <w:b/>
                <w:bCs/>
                <w:noProof/>
                <w:szCs w:val="24"/>
                <w:lang w:val="en-US" w:eastAsia="zh-CN"/>
              </w:rPr>
              <w:t>Conclusion</w:t>
            </w:r>
            <w:r>
              <w:rPr>
                <w:rFonts w:cs="Arial"/>
                <w:b/>
                <w:bCs/>
                <w:noProof/>
              </w:rPr>
              <w:tab/>
            </w:r>
            <w:r>
              <w:rPr>
                <w:rFonts w:cs="Arial"/>
                <w:b/>
                <w:bCs/>
                <w:noProof/>
              </w:rPr>
              <w:fldChar w:fldCharType="begin"/>
            </w:r>
            <w:r>
              <w:rPr>
                <w:rFonts w:cs="Arial"/>
                <w:b/>
                <w:bCs/>
                <w:noProof/>
              </w:rPr>
              <w:instrText xml:space="preserve"> PAGEREF _Toc10647 \h </w:instrText>
            </w:r>
            <w:r>
              <w:rPr>
                <w:rFonts w:cs="Arial"/>
                <w:b/>
                <w:bCs/>
                <w:noProof/>
              </w:rPr>
            </w:r>
            <w:r>
              <w:rPr>
                <w:rFonts w:cs="Arial"/>
                <w:b/>
                <w:bCs/>
                <w:noProof/>
              </w:rPr>
              <w:fldChar w:fldCharType="separate"/>
            </w:r>
            <w:r w:rsidR="00BA6DBD">
              <w:rPr>
                <w:rFonts w:cs="Arial"/>
                <w:b/>
                <w:bCs/>
                <w:noProof/>
              </w:rPr>
              <w:t>12</w:t>
            </w:r>
            <w:r>
              <w:rPr>
                <w:rFonts w:cs="Arial"/>
                <w:b/>
                <w:bCs/>
                <w:noProof/>
              </w:rPr>
              <w:fldChar w:fldCharType="end"/>
            </w:r>
          </w:hyperlink>
        </w:p>
        <w:p w14:paraId="10F8F99C" w14:textId="2F946E19" w:rsidR="00C608E3" w:rsidRDefault="00000000">
          <w:pPr>
            <w:pStyle w:val="TOC1"/>
            <w:tabs>
              <w:tab w:val="right" w:leader="dot" w:pos="9026"/>
            </w:tabs>
            <w:rPr>
              <w:rFonts w:cs="Arial"/>
              <w:b/>
              <w:bCs/>
              <w:noProof/>
            </w:rPr>
          </w:pPr>
          <w:hyperlink w:anchor="_Toc27652" w:history="1">
            <w:r>
              <w:rPr>
                <w:rFonts w:cs="Arial"/>
                <w:b/>
                <w:bCs/>
                <w:noProof/>
                <w:szCs w:val="32"/>
              </w:rPr>
              <w:t>References</w:t>
            </w:r>
            <w:r>
              <w:rPr>
                <w:rFonts w:cs="Arial"/>
                <w:b/>
                <w:bCs/>
                <w:noProof/>
              </w:rPr>
              <w:tab/>
            </w:r>
            <w:r>
              <w:rPr>
                <w:rFonts w:cs="Arial"/>
                <w:b/>
                <w:bCs/>
                <w:noProof/>
              </w:rPr>
              <w:fldChar w:fldCharType="begin"/>
            </w:r>
            <w:r>
              <w:rPr>
                <w:rFonts w:cs="Arial"/>
                <w:b/>
                <w:bCs/>
                <w:noProof/>
              </w:rPr>
              <w:instrText xml:space="preserve"> PAGEREF _Toc27652 \h </w:instrText>
            </w:r>
            <w:r>
              <w:rPr>
                <w:rFonts w:cs="Arial"/>
                <w:b/>
                <w:bCs/>
                <w:noProof/>
              </w:rPr>
            </w:r>
            <w:r>
              <w:rPr>
                <w:rFonts w:cs="Arial"/>
                <w:b/>
                <w:bCs/>
                <w:noProof/>
              </w:rPr>
              <w:fldChar w:fldCharType="separate"/>
            </w:r>
            <w:r w:rsidR="00BA6DBD">
              <w:rPr>
                <w:rFonts w:cs="Arial"/>
                <w:b/>
                <w:bCs/>
                <w:noProof/>
              </w:rPr>
              <w:t>13</w:t>
            </w:r>
            <w:r>
              <w:rPr>
                <w:rFonts w:cs="Arial"/>
                <w:b/>
                <w:bCs/>
                <w:noProof/>
              </w:rPr>
              <w:fldChar w:fldCharType="end"/>
            </w:r>
          </w:hyperlink>
        </w:p>
        <w:p w14:paraId="3A8CA180" w14:textId="77777777" w:rsidR="00C608E3" w:rsidRDefault="00000000">
          <w:r>
            <w:rPr>
              <w:rFonts w:cs="Arial"/>
              <w:b/>
              <w:bCs/>
            </w:rPr>
            <w:fldChar w:fldCharType="end"/>
          </w:r>
        </w:p>
      </w:sdtContent>
    </w:sdt>
    <w:p w14:paraId="401C7E72" w14:textId="77777777" w:rsidR="00C608E3" w:rsidRDefault="00000000">
      <w:pPr>
        <w:rPr>
          <w:rFonts w:eastAsiaTheme="majorEastAsia" w:cstheme="majorBidi"/>
          <w:color w:val="2F5496" w:themeColor="accent1" w:themeShade="BF"/>
          <w:sz w:val="32"/>
          <w:szCs w:val="32"/>
        </w:rPr>
      </w:pPr>
      <w:r>
        <w:br w:type="page"/>
      </w:r>
    </w:p>
    <w:p w14:paraId="202BB82D" w14:textId="77777777" w:rsidR="00C608E3" w:rsidRDefault="00000000">
      <w:pPr>
        <w:pStyle w:val="1"/>
        <w:spacing w:line="480" w:lineRule="auto"/>
        <w:rPr>
          <w:rFonts w:cs="Arial"/>
          <w:b/>
          <w:bCs/>
        </w:rPr>
      </w:pPr>
      <w:bookmarkStart w:id="3" w:name="_Toc4178"/>
      <w:bookmarkStart w:id="4" w:name="_Toc8592"/>
      <w:r>
        <w:rPr>
          <w:rFonts w:cs="Arial"/>
          <w:b/>
          <w:bCs/>
        </w:rPr>
        <w:lastRenderedPageBreak/>
        <w:t>Introduction</w:t>
      </w:r>
      <w:bookmarkEnd w:id="3"/>
      <w:bookmarkEnd w:id="4"/>
    </w:p>
    <w:p w14:paraId="48456B3E" w14:textId="4CC83317" w:rsidR="00C608E3" w:rsidRDefault="00000000">
      <w:pPr>
        <w:spacing w:line="480" w:lineRule="auto"/>
        <w:rPr>
          <w:rStyle w:val="a8"/>
          <w:rFonts w:cs="Arial"/>
          <w:b w:val="0"/>
          <w:szCs w:val="24"/>
        </w:rPr>
      </w:pPr>
      <w:bookmarkStart w:id="5" w:name="_Toc28585"/>
      <w:r>
        <w:rPr>
          <w:rStyle w:val="a8"/>
          <w:rFonts w:cs="Arial"/>
          <w:b w:val="0"/>
          <w:szCs w:val="24"/>
        </w:rPr>
        <w:t xml:space="preserve">In a cross-cultural environment, business managers must possess certain cross-cultural management knowledge, the ability to identify cultural differences, and the ability to handle cross-cultural management issues in order to effectively manage the enterprise. Managers can only achieve long-term sustainable development of the enterprise by respecting cultural diversity and building management mechanisms that match it. The cross-cultural management issues faced by British managers in Japan due to cultural differences among employees and customer groups will become prominent. If the level of cross-cultural management cannot be improved quickly, it will seriously hinder the sustainable development strategy of British companies. Therefore, </w:t>
      </w:r>
      <w:r w:rsidR="00BA6DBD">
        <w:rPr>
          <w:rStyle w:val="a8"/>
          <w:rFonts w:cs="Arial"/>
          <w:b w:val="0"/>
          <w:szCs w:val="24"/>
        </w:rPr>
        <w:t>analysing</w:t>
      </w:r>
      <w:r>
        <w:rPr>
          <w:rStyle w:val="a8"/>
          <w:rFonts w:cs="Arial"/>
          <w:b w:val="0"/>
          <w:szCs w:val="24"/>
        </w:rPr>
        <w:t xml:space="preserve"> and researching these issues, and proposing some countermeasures, have constructive significance for the future development of the British </w:t>
      </w:r>
      <w:bookmarkEnd w:id="5"/>
      <w:r w:rsidR="00BA6DBD">
        <w:rPr>
          <w:rStyle w:val="a8"/>
          <w:rFonts w:cs="Arial"/>
          <w:b w:val="0"/>
          <w:szCs w:val="24"/>
        </w:rPr>
        <w:t>companies</w:t>
      </w:r>
      <w:r w:rsidR="00BA6DBD">
        <w:rPr>
          <w:rStyle w:val="a8"/>
          <w:rFonts w:cs="Arial"/>
          <w:b w:val="0"/>
          <w:szCs w:val="24"/>
          <w:lang w:val="en-US" w:eastAsia="zh-CN"/>
        </w:rPr>
        <w:t>.</w:t>
      </w:r>
    </w:p>
    <w:p w14:paraId="2A2FFBA6" w14:textId="77777777" w:rsidR="00C608E3" w:rsidRDefault="00000000">
      <w:pPr>
        <w:pStyle w:val="1"/>
        <w:rPr>
          <w:b/>
          <w:bCs/>
        </w:rPr>
      </w:pPr>
      <w:bookmarkStart w:id="6" w:name="_Toc3508"/>
      <w:r>
        <w:rPr>
          <w:b/>
          <w:bCs/>
        </w:rPr>
        <w:t>Understanding Cultural Differences</w:t>
      </w:r>
      <w:bookmarkEnd w:id="6"/>
    </w:p>
    <w:p w14:paraId="0DD5C5C8" w14:textId="77777777" w:rsidR="00C608E3" w:rsidRDefault="00C608E3"/>
    <w:p w14:paraId="5D113F27" w14:textId="77777777" w:rsidR="00C608E3" w:rsidRDefault="00000000">
      <w:pPr>
        <w:pStyle w:val="2"/>
        <w:spacing w:line="480" w:lineRule="auto"/>
        <w:rPr>
          <w:rFonts w:cs="Arial"/>
          <w:b/>
          <w:bCs/>
          <w:szCs w:val="24"/>
        </w:rPr>
      </w:pPr>
      <w:bookmarkStart w:id="7" w:name="_Toc6527"/>
      <w:r>
        <w:rPr>
          <w:rFonts w:cs="Arial"/>
          <w:b/>
          <w:bCs/>
          <w:szCs w:val="24"/>
        </w:rPr>
        <w:t>Hofstede’s Cultural Dimensions Theory</w:t>
      </w:r>
      <w:bookmarkEnd w:id="7"/>
    </w:p>
    <w:p w14:paraId="79B0AF87" w14:textId="77777777" w:rsidR="00C608E3" w:rsidRDefault="00C608E3"/>
    <w:p w14:paraId="0A4AD19F" w14:textId="77777777" w:rsidR="00C608E3" w:rsidRDefault="00000000">
      <w:pPr>
        <w:spacing w:line="480" w:lineRule="auto"/>
        <w:jc w:val="both"/>
        <w:rPr>
          <w:rFonts w:cs="Arial"/>
          <w:b/>
          <w:bCs/>
          <w:szCs w:val="24"/>
        </w:rPr>
      </w:pPr>
      <w:r>
        <w:rPr>
          <w:rFonts w:cs="Arial"/>
          <w:b/>
          <w:bCs/>
          <w:szCs w:val="24"/>
        </w:rPr>
        <w:t>Power Distance</w:t>
      </w:r>
    </w:p>
    <w:p w14:paraId="735872BC" w14:textId="0D0B7008" w:rsidR="00C608E3" w:rsidRDefault="00000000">
      <w:pPr>
        <w:spacing w:line="480" w:lineRule="auto"/>
        <w:jc w:val="both"/>
        <w:rPr>
          <w:rFonts w:cs="Arial"/>
          <w:szCs w:val="24"/>
        </w:rPr>
      </w:pPr>
      <w:r>
        <w:rPr>
          <w:rFonts w:cs="Arial"/>
          <w:szCs w:val="24"/>
        </w:rPr>
        <w:t xml:space="preserve">Power Distance primarily measures a society’s acceptance of power distribution. In different cultural environments, the level of emphasis on authority varies. Japanese culture is characterized by a </w:t>
      </w:r>
      <w:r w:rsidR="00BA6DBD">
        <w:rPr>
          <w:rFonts w:cs="Arial"/>
          <w:szCs w:val="24"/>
        </w:rPr>
        <w:t>high-power</w:t>
      </w:r>
      <w:r>
        <w:rPr>
          <w:rFonts w:cs="Arial"/>
          <w:szCs w:val="24"/>
        </w:rPr>
        <w:t xml:space="preserve"> distance, where hierarchical levels are clearly defined. In Japanese workplaces, instructions from superiors must be followed unconditionally. Japanese companies have a large power distance, and employees generally do not dare to challenge their superiors (Hofstede et al., 2010). Employees doing the same job do not typically </w:t>
      </w:r>
      <w:r w:rsidR="00BA6DBD">
        <w:rPr>
          <w:rFonts w:cs="Arial"/>
          <w:szCs w:val="24"/>
        </w:rPr>
        <w:t>favour</w:t>
      </w:r>
      <w:r>
        <w:rPr>
          <w:rFonts w:cs="Arial"/>
          <w:szCs w:val="24"/>
        </w:rPr>
        <w:t xml:space="preserve"> bosses who are open to discussion; instead, </w:t>
      </w:r>
      <w:r>
        <w:rPr>
          <w:rFonts w:cs="Arial"/>
          <w:szCs w:val="24"/>
        </w:rPr>
        <w:lastRenderedPageBreak/>
        <w:t>they prefer paternalistic or authoritarian leadership. Subordinates are highly dependent on their superiors. In contrast, in the UK, people have a low tolerance for inequality, and the values people respect emphasize independence, advocating that vulnerable groups should work harder to change their situation. Family education fosters more equality between parents and children, and teacher-student relationships in schools are more harmonious. Therefore, most UK companies believe that individuals only differ in their job functions, not in status. This results in a more widely implemented flat management structure in the UK, where a streamlined organizational hierarchy allows power to be decentralized and creates a relatively equal working environment</w:t>
      </w:r>
      <w:r>
        <w:rPr>
          <w:rFonts w:cs="Arial"/>
          <w:szCs w:val="24"/>
          <w:lang w:val="en-US" w:eastAsia="zh-CN"/>
        </w:rPr>
        <w:t xml:space="preserve"> </w:t>
      </w:r>
      <w:r w:rsidR="00BA6DBD">
        <w:rPr>
          <w:rFonts w:cs="Arial"/>
          <w:szCs w:val="24"/>
          <w:lang w:val="en-US" w:eastAsia="zh-CN"/>
        </w:rPr>
        <w:t>(Lin</w:t>
      </w:r>
      <w:r>
        <w:rPr>
          <w:rFonts w:cs="Arial"/>
          <w:szCs w:val="24"/>
          <w:lang w:val="en-US" w:eastAsia="zh-CN"/>
        </w:rPr>
        <w:t xml:space="preserve"> &amp; Lou, 2024). </w:t>
      </w:r>
      <w:r>
        <w:rPr>
          <w:rFonts w:cs="Arial"/>
          <w:szCs w:val="24"/>
        </w:rPr>
        <w:t xml:space="preserve">Discussions and communication between managers and employees are smoother. As a result, UK managers may feel dissatisfied with Japan's highly hierarchical and slow decision-making processes, while Japanese counterparts might view the UK's informality as </w:t>
      </w:r>
      <w:r w:rsidR="00BA6DBD">
        <w:rPr>
          <w:rFonts w:cs="Arial"/>
          <w:szCs w:val="24"/>
        </w:rPr>
        <w:t>disrespectful (</w:t>
      </w:r>
      <w:r>
        <w:rPr>
          <w:rFonts w:cs="Arial"/>
          <w:szCs w:val="24"/>
          <w:lang w:eastAsia="zh-CN"/>
        </w:rPr>
        <w:t>Setti, Sommovigo &amp; Argentero,2022)</w:t>
      </w:r>
      <w:r>
        <w:rPr>
          <w:rFonts w:cs="Arial"/>
          <w:szCs w:val="24"/>
        </w:rPr>
        <w:t>.</w:t>
      </w:r>
    </w:p>
    <w:p w14:paraId="23369C6C" w14:textId="77777777" w:rsidR="00C608E3" w:rsidRDefault="00C608E3">
      <w:pPr>
        <w:spacing w:line="480" w:lineRule="auto"/>
        <w:jc w:val="both"/>
        <w:rPr>
          <w:rFonts w:cs="Arial"/>
          <w:szCs w:val="24"/>
        </w:rPr>
      </w:pPr>
    </w:p>
    <w:p w14:paraId="011B941C" w14:textId="77777777" w:rsidR="00C608E3" w:rsidRDefault="00000000">
      <w:pPr>
        <w:spacing w:line="480" w:lineRule="auto"/>
        <w:jc w:val="both"/>
        <w:rPr>
          <w:rFonts w:cs="Arial"/>
          <w:b/>
          <w:bCs/>
          <w:szCs w:val="24"/>
        </w:rPr>
      </w:pPr>
      <w:r>
        <w:rPr>
          <w:rFonts w:cs="Arial"/>
          <w:b/>
          <w:bCs/>
          <w:szCs w:val="24"/>
        </w:rPr>
        <w:t>Uncertainty Avoidance</w:t>
      </w:r>
    </w:p>
    <w:p w14:paraId="1A0DA47B" w14:textId="5299AA0F" w:rsidR="00C608E3" w:rsidRDefault="00000000">
      <w:pPr>
        <w:spacing w:line="480" w:lineRule="auto"/>
        <w:jc w:val="both"/>
        <w:rPr>
          <w:rFonts w:cs="Arial"/>
          <w:szCs w:val="24"/>
        </w:rPr>
      </w:pPr>
      <w:r>
        <w:rPr>
          <w:rFonts w:cs="Arial"/>
          <w:szCs w:val="24"/>
        </w:rPr>
        <w:t xml:space="preserve">Uncertainty Avoidance primarily measures a society's ability to cope with unforeseen events and tolerate risk. Societies with higher scores are more likely to seek methods for preventing and controlling uncertainty risks </w:t>
      </w:r>
      <w:r w:rsidR="00BA6DBD">
        <w:rPr>
          <w:rFonts w:cs="Arial"/>
          <w:szCs w:val="24"/>
        </w:rPr>
        <w:t>(Lin</w:t>
      </w:r>
      <w:r>
        <w:rPr>
          <w:rFonts w:cs="Arial"/>
          <w:szCs w:val="24"/>
        </w:rPr>
        <w:t xml:space="preserve"> &amp; Lou, 2024). In Japan, people have a tendency to be concerned about the future. The use of lifetime employment and seniority-based systems aims to provide employees with a secure external environment and reduce future </w:t>
      </w:r>
      <w:r w:rsidR="00BA6DBD">
        <w:rPr>
          <w:rFonts w:cs="Arial"/>
          <w:szCs w:val="24"/>
        </w:rPr>
        <w:t>uncertainty (</w:t>
      </w:r>
      <w:r>
        <w:rPr>
          <w:rFonts w:cs="Arial"/>
          <w:szCs w:val="24"/>
        </w:rPr>
        <w:t xml:space="preserve">Minkov &amp; Hofstede, 2011). In the UK, people view future uncertainty as a part of life that should be approached with a calm, natural attitude, and they are curious and tolerant of mistakes. In corporate </w:t>
      </w:r>
      <w:r>
        <w:rPr>
          <w:rFonts w:cs="Arial"/>
          <w:szCs w:val="24"/>
        </w:rPr>
        <w:lastRenderedPageBreak/>
        <w:t xml:space="preserve">management, UK managers focus more on business strategy design and tend to rely on intuition and personal experience when making decisions. Since uncertainty is more accepted, control mechanisms are not as strict, and individual initiative can be more easily demonstrated within the </w:t>
      </w:r>
      <w:r w:rsidR="00BA6DBD">
        <w:rPr>
          <w:rFonts w:cs="Arial"/>
          <w:szCs w:val="24"/>
        </w:rPr>
        <w:t>organization (</w:t>
      </w:r>
      <w:r>
        <w:rPr>
          <w:rFonts w:cs="Arial"/>
          <w:szCs w:val="24"/>
          <w:lang w:eastAsia="zh-CN"/>
        </w:rPr>
        <w:t>Rocha, 2024</w:t>
      </w:r>
      <w:r>
        <w:rPr>
          <w:rFonts w:cs="Arial"/>
          <w:szCs w:val="24"/>
        </w:rPr>
        <w:t>).</w:t>
      </w:r>
      <w:r>
        <w:rPr>
          <w:rFonts w:cs="Arial"/>
          <w:szCs w:val="24"/>
          <w:lang w:val="en-US" w:eastAsia="zh-CN"/>
        </w:rPr>
        <w:t xml:space="preserve"> </w:t>
      </w:r>
      <w:r>
        <w:rPr>
          <w:rFonts w:cs="Arial"/>
          <w:szCs w:val="24"/>
        </w:rPr>
        <w:t>As a result, UK managers might view Japan’s planning process as overly detailed. However, Japanese colleagues may not appreciate the flexibility in the UK, believing it reflects a lack of preparation.</w:t>
      </w:r>
    </w:p>
    <w:p w14:paraId="186BBFE7" w14:textId="77777777" w:rsidR="00C608E3" w:rsidRDefault="00C608E3">
      <w:pPr>
        <w:spacing w:line="480" w:lineRule="auto"/>
        <w:jc w:val="both"/>
        <w:rPr>
          <w:rFonts w:cs="Arial"/>
          <w:szCs w:val="24"/>
        </w:rPr>
      </w:pPr>
    </w:p>
    <w:p w14:paraId="78ADCF41" w14:textId="77777777" w:rsidR="00C608E3" w:rsidRDefault="00000000">
      <w:pPr>
        <w:spacing w:line="480" w:lineRule="auto"/>
        <w:jc w:val="both"/>
        <w:rPr>
          <w:rFonts w:cs="Arial"/>
          <w:b/>
          <w:bCs/>
          <w:szCs w:val="24"/>
        </w:rPr>
      </w:pPr>
      <w:r>
        <w:rPr>
          <w:rFonts w:cs="Arial"/>
          <w:b/>
          <w:bCs/>
          <w:szCs w:val="24"/>
        </w:rPr>
        <w:t>Individualism vs. Collectivism</w:t>
      </w:r>
    </w:p>
    <w:p w14:paraId="3EF4DA00" w14:textId="7EA5CC47" w:rsidR="00C608E3" w:rsidRDefault="00000000">
      <w:pPr>
        <w:spacing w:line="480" w:lineRule="auto"/>
        <w:jc w:val="both"/>
        <w:rPr>
          <w:rFonts w:cs="Arial"/>
          <w:szCs w:val="24"/>
        </w:rPr>
      </w:pPr>
      <w:r>
        <w:rPr>
          <w:rFonts w:cs="Arial"/>
          <w:szCs w:val="24"/>
        </w:rPr>
        <w:t xml:space="preserve">This dimension primarily measures the extent to which a society values individual versus collective </w:t>
      </w:r>
      <w:r w:rsidR="00BA6DBD">
        <w:rPr>
          <w:rFonts w:cs="Arial"/>
          <w:szCs w:val="24"/>
        </w:rPr>
        <w:t>interests (</w:t>
      </w:r>
      <w:r>
        <w:rPr>
          <w:rFonts w:cs="Arial"/>
          <w:szCs w:val="24"/>
        </w:rPr>
        <w:t>Rocha, 2024). A collectivist culture focuses on the interests of the group, while an individualist culture prioritizes personal interests. Japanese culture emphasizes collectivism, which is why teamwork, unity, and collaboration are integral to Japanese corporate culture (Trompenaars &amp; Hampden-Turner, 2012</w:t>
      </w:r>
      <w:r w:rsidR="00BA6DBD">
        <w:rPr>
          <w:rFonts w:cs="Arial"/>
          <w:szCs w:val="24"/>
        </w:rPr>
        <w:t>). The</w:t>
      </w:r>
      <w:r>
        <w:rPr>
          <w:rFonts w:cs="Arial"/>
          <w:szCs w:val="24"/>
        </w:rPr>
        <w:t xml:space="preserve"> dominant culture in Japanese companies is based on a sense of community spirit. In Japanese companies, individuals are subordinate to the collective, and the collective takes priority. In personnel assessments, Japanese companies emphasize long-term, holistic evaluations rather than short-term or individual assessments. Evaluations and promotions for employees typically occur after a decade of tenure. The individuality of an employee is integrated into the collective, and there is a tendency to conform to what others do. Due to Japan’s historical homogeneity and the Confucian cultural inheritance of "loyalty," the concept of collectivism extends beyond the company to society at large</w:t>
      </w:r>
      <w:r>
        <w:rPr>
          <w:rFonts w:cs="Arial"/>
          <w:szCs w:val="24"/>
          <w:lang w:val="en-US" w:eastAsia="zh-CN"/>
        </w:rPr>
        <w:t xml:space="preserve"> (</w:t>
      </w:r>
      <w:r>
        <w:rPr>
          <w:rFonts w:cs="Arial"/>
          <w:szCs w:val="24"/>
          <w:lang w:eastAsia="zh-CN"/>
        </w:rPr>
        <w:t>Zander, 2024</w:t>
      </w:r>
      <w:r w:rsidR="00BA6DBD">
        <w:rPr>
          <w:rFonts w:cs="Arial"/>
          <w:szCs w:val="24"/>
        </w:rPr>
        <w:t>). This</w:t>
      </w:r>
      <w:r>
        <w:rPr>
          <w:rFonts w:cs="Arial"/>
          <w:szCs w:val="24"/>
        </w:rPr>
        <w:t xml:space="preserve"> is reflected in the workplace, where Japanese employees are more unified and loyal to the company. They tend to prioritize the </w:t>
      </w:r>
      <w:r>
        <w:rPr>
          <w:rFonts w:cs="Arial"/>
          <w:szCs w:val="24"/>
        </w:rPr>
        <w:lastRenderedPageBreak/>
        <w:t xml:space="preserve">overall interests of the company, and individual interests are subordinated to the collective. Salary differences between employees and managers are often not significant. Decisions in Japanese companies usually follow a bottom-up </w:t>
      </w:r>
      <w:r w:rsidR="00BA6DBD">
        <w:rPr>
          <w:rFonts w:cs="Arial"/>
          <w:szCs w:val="24"/>
        </w:rPr>
        <w:t>approach</w:t>
      </w:r>
      <w:r w:rsidR="00BA6DBD">
        <w:rPr>
          <w:rFonts w:cs="Arial"/>
          <w:szCs w:val="24"/>
          <w:lang w:val="en-US" w:eastAsia="zh-CN"/>
        </w:rPr>
        <w:t xml:space="preserve"> (</w:t>
      </w:r>
      <w:r>
        <w:rPr>
          <w:rFonts w:cs="Arial"/>
          <w:szCs w:val="24"/>
        </w:rPr>
        <w:t>Arikan</w:t>
      </w:r>
      <w:r>
        <w:rPr>
          <w:rFonts w:cs="Arial"/>
          <w:szCs w:val="24"/>
          <w:lang w:val="en-US" w:eastAsia="zh-CN"/>
        </w:rPr>
        <w:t xml:space="preserve"> </w:t>
      </w:r>
      <w:r>
        <w:rPr>
          <w:rFonts w:cs="Arial"/>
          <w:szCs w:val="24"/>
        </w:rPr>
        <w:t>&amp; Shenkar, 2021). Any decision typically begins with discussions among stakeholders, after which it is presented to upper management for further discussion. Once discussions are completed, the decision is formally finalized in a meeting, which is more of a formality. Once the decision is issued, all employees will fully commit to working according to it (</w:t>
      </w:r>
      <w:r>
        <w:rPr>
          <w:rFonts w:cs="Arial"/>
          <w:szCs w:val="24"/>
          <w:lang w:eastAsia="zh-CN"/>
        </w:rPr>
        <w:t>Çuhadar,2022</w:t>
      </w:r>
      <w:r>
        <w:rPr>
          <w:rFonts w:cs="Arial"/>
          <w:szCs w:val="24"/>
        </w:rPr>
        <w:t xml:space="preserve">). </w:t>
      </w:r>
    </w:p>
    <w:p w14:paraId="525C0B17" w14:textId="77777777" w:rsidR="00C608E3" w:rsidRDefault="00C608E3">
      <w:pPr>
        <w:spacing w:line="480" w:lineRule="auto"/>
        <w:jc w:val="both"/>
        <w:rPr>
          <w:rFonts w:cs="Arial"/>
          <w:szCs w:val="24"/>
        </w:rPr>
      </w:pPr>
    </w:p>
    <w:p w14:paraId="30224A12" w14:textId="77777777" w:rsidR="00C608E3" w:rsidRDefault="00000000">
      <w:pPr>
        <w:spacing w:line="480" w:lineRule="auto"/>
        <w:jc w:val="both"/>
        <w:rPr>
          <w:rFonts w:cs="Arial"/>
          <w:szCs w:val="24"/>
        </w:rPr>
      </w:pPr>
      <w:r>
        <w:rPr>
          <w:rFonts w:cs="Arial"/>
          <w:szCs w:val="24"/>
        </w:rPr>
        <w:t>On the other hand, the UK values individualism, where personal interests take precedence over collective interests. Employees place high value on their personal experiences and maintain a clear distinction between personal and professional life, advocating for a candid working atmosphere. British companies focus on individual skills, and there is a contractual relationship between employees and the company. As a result, UK managers’ emphasis on individual initiative and direct feedback may not align with the Japanese preference for group-oriented decision-making and indirect communication (</w:t>
      </w:r>
      <w:r>
        <w:rPr>
          <w:rFonts w:cs="Arial"/>
          <w:szCs w:val="24"/>
          <w:lang w:eastAsia="zh-CN"/>
        </w:rPr>
        <w:t>Setti, Sommovigo &amp; Argentero,2022)</w:t>
      </w:r>
      <w:r>
        <w:rPr>
          <w:rFonts w:cs="Arial"/>
          <w:szCs w:val="24"/>
        </w:rPr>
        <w:t>.</w:t>
      </w:r>
    </w:p>
    <w:p w14:paraId="2E8070C7" w14:textId="77777777" w:rsidR="00C608E3" w:rsidRDefault="00C608E3">
      <w:pPr>
        <w:spacing w:line="480" w:lineRule="auto"/>
        <w:jc w:val="both"/>
        <w:rPr>
          <w:rFonts w:cs="Arial"/>
          <w:szCs w:val="24"/>
        </w:rPr>
      </w:pPr>
    </w:p>
    <w:p w14:paraId="10734CC6" w14:textId="77777777" w:rsidR="00C608E3" w:rsidRDefault="00000000">
      <w:pPr>
        <w:spacing w:line="480" w:lineRule="auto"/>
        <w:jc w:val="both"/>
        <w:rPr>
          <w:rFonts w:cs="Arial"/>
          <w:b/>
          <w:bCs/>
          <w:szCs w:val="24"/>
        </w:rPr>
      </w:pPr>
      <w:r>
        <w:rPr>
          <w:rFonts w:cs="Arial"/>
          <w:b/>
          <w:bCs/>
          <w:szCs w:val="24"/>
        </w:rPr>
        <w:t>Long-term vs. Short-term Orientation</w:t>
      </w:r>
    </w:p>
    <w:p w14:paraId="32551089" w14:textId="685B36E2" w:rsidR="00C608E3" w:rsidRDefault="00000000">
      <w:pPr>
        <w:spacing w:line="480" w:lineRule="auto"/>
        <w:jc w:val="both"/>
        <w:rPr>
          <w:rFonts w:cs="Arial"/>
          <w:szCs w:val="24"/>
        </w:rPr>
      </w:pPr>
      <w:r>
        <w:rPr>
          <w:rFonts w:cs="Arial"/>
          <w:szCs w:val="24"/>
        </w:rPr>
        <w:t xml:space="preserve">This dimension measures the degree to which a society values spiritual and material needs. Short-term-oriented people focus on the present, while long-term-oriented individuals are more focused on the </w:t>
      </w:r>
      <w:r w:rsidR="00BA6DBD">
        <w:rPr>
          <w:rFonts w:cs="Arial"/>
          <w:szCs w:val="24"/>
        </w:rPr>
        <w:t>future (</w:t>
      </w:r>
      <w:r>
        <w:rPr>
          <w:rFonts w:cs="Arial"/>
          <w:szCs w:val="24"/>
        </w:rPr>
        <w:t xml:space="preserve">Rocha, 2024). Long-term vs. short-term orientation refers to the degree to which a culture values tradition. Cultures with a long-term orientation focus on the future, emphasizing frugality and perseverance, and </w:t>
      </w:r>
      <w:r>
        <w:rPr>
          <w:rFonts w:cs="Arial"/>
          <w:szCs w:val="24"/>
        </w:rPr>
        <w:lastRenderedPageBreak/>
        <w:t>people consider how current actions may impact the future (Hofstede et al., 2010). Short-term-oriented cultures focus more on immediate results, and managers’ evaluations of employees are often based on short-term outcomes. Japanese companies focus on long-term goals, with the aim of long-term market dominance rather than short-term profits</w:t>
      </w:r>
      <w:r>
        <w:rPr>
          <w:rFonts w:cs="Arial"/>
          <w:szCs w:val="24"/>
          <w:lang w:val="en-US" w:eastAsia="zh-CN"/>
        </w:rPr>
        <w:t xml:space="preserve"> (</w:t>
      </w:r>
      <w:r>
        <w:rPr>
          <w:rFonts w:cs="Arial"/>
          <w:szCs w:val="24"/>
          <w:lang w:eastAsia="zh-CN"/>
        </w:rPr>
        <w:t xml:space="preserve">Minkov, </w:t>
      </w:r>
      <w:r w:rsidR="00BA6DBD">
        <w:rPr>
          <w:rFonts w:cs="Arial"/>
          <w:szCs w:val="24"/>
          <w:lang w:eastAsia="zh-CN"/>
        </w:rPr>
        <w:t>2024</w:t>
      </w:r>
      <w:r w:rsidR="00BA6DBD">
        <w:rPr>
          <w:rFonts w:cs="Arial"/>
          <w:szCs w:val="24"/>
          <w:lang w:val="en-US" w:eastAsia="zh-CN"/>
        </w:rPr>
        <w:t>;</w:t>
      </w:r>
      <w:r w:rsidR="00BA6DBD">
        <w:rPr>
          <w:rFonts w:cs="Arial"/>
          <w:szCs w:val="24"/>
          <w:lang w:eastAsia="zh-CN"/>
        </w:rPr>
        <w:t xml:space="preserve"> Zander</w:t>
      </w:r>
      <w:r>
        <w:rPr>
          <w:rFonts w:cs="Arial"/>
          <w:szCs w:val="24"/>
          <w:lang w:eastAsia="zh-CN"/>
        </w:rPr>
        <w:t>, 2024</w:t>
      </w:r>
      <w:r>
        <w:rPr>
          <w:rFonts w:cs="Arial"/>
          <w:szCs w:val="24"/>
        </w:rPr>
        <w:t>)</w:t>
      </w:r>
      <w:r>
        <w:rPr>
          <w:rFonts w:cs="Arial"/>
          <w:szCs w:val="24"/>
          <w:lang w:val="en-US" w:eastAsia="zh-CN"/>
        </w:rPr>
        <w:t>.</w:t>
      </w:r>
      <w:r>
        <w:rPr>
          <w:rFonts w:cs="Arial"/>
          <w:szCs w:val="24"/>
        </w:rPr>
        <w:t xml:space="preserve"> Due to Japan’s geographically narrow territory, there is a focus on balancing both short-term and long-term interests. Companies tend to invest in employees with a long-term view, focusing on gradual progress and long-term goals rather than annual </w:t>
      </w:r>
      <w:r w:rsidR="00BA6DBD">
        <w:rPr>
          <w:rFonts w:cs="Arial"/>
          <w:szCs w:val="24"/>
        </w:rPr>
        <w:t>profits</w:t>
      </w:r>
      <w:r w:rsidR="00BA6DBD">
        <w:rPr>
          <w:rFonts w:cs="Arial"/>
          <w:szCs w:val="24"/>
          <w:lang w:val="en-US" w:eastAsia="zh-CN"/>
        </w:rPr>
        <w:t xml:space="preserve"> (</w:t>
      </w:r>
      <w:r>
        <w:rPr>
          <w:rFonts w:cs="Arial"/>
          <w:szCs w:val="24"/>
        </w:rPr>
        <w:t>Welch,</w:t>
      </w:r>
      <w:r>
        <w:rPr>
          <w:rFonts w:cs="Arial"/>
          <w:szCs w:val="24"/>
          <w:lang w:val="en-US" w:eastAsia="zh-CN"/>
        </w:rPr>
        <w:t xml:space="preserve"> et al., </w:t>
      </w:r>
      <w:r>
        <w:rPr>
          <w:rFonts w:cs="Arial"/>
          <w:szCs w:val="24"/>
        </w:rPr>
        <w:t>2022</w:t>
      </w:r>
      <w:r w:rsidR="00BA6DBD">
        <w:rPr>
          <w:rFonts w:cs="Arial"/>
          <w:szCs w:val="24"/>
        </w:rPr>
        <w:t>). In</w:t>
      </w:r>
      <w:r>
        <w:rPr>
          <w:rFonts w:cs="Arial"/>
          <w:szCs w:val="24"/>
        </w:rPr>
        <w:t xml:space="preserve"> the UK, which has a short-term orientation, people place more importance on current life and enjoyment, unwilling to sacrifice present interests for future </w:t>
      </w:r>
      <w:r w:rsidR="00BA6DBD">
        <w:rPr>
          <w:rFonts w:cs="Arial"/>
          <w:szCs w:val="24"/>
        </w:rPr>
        <w:t>benefits</w:t>
      </w:r>
      <w:r w:rsidR="00BA6DBD">
        <w:rPr>
          <w:rFonts w:cs="Arial"/>
          <w:szCs w:val="24"/>
          <w:lang w:val="en-US" w:eastAsia="zh-CN"/>
        </w:rPr>
        <w:t xml:space="preserve"> (</w:t>
      </w:r>
      <w:r>
        <w:rPr>
          <w:rFonts w:cs="Arial"/>
          <w:szCs w:val="24"/>
        </w:rPr>
        <w:t>Earley</w:t>
      </w:r>
      <w:r>
        <w:rPr>
          <w:rFonts w:cs="Arial"/>
          <w:szCs w:val="24"/>
          <w:lang w:val="en-US" w:eastAsia="zh-CN"/>
        </w:rPr>
        <w:t xml:space="preserve"> </w:t>
      </w:r>
      <w:r>
        <w:rPr>
          <w:rFonts w:cs="Arial"/>
          <w:szCs w:val="24"/>
        </w:rPr>
        <w:t xml:space="preserve">&amp; Mosakowski,2000). Work and life are relatively more tolerant. UK companies focus on current profits and financial status, advocating for fair treatment of all clients. The British preference for quick results may not align with Japan’s values of lasting relationships and gradual </w:t>
      </w:r>
      <w:r w:rsidR="00BA6DBD">
        <w:rPr>
          <w:rFonts w:cs="Arial"/>
          <w:szCs w:val="24"/>
        </w:rPr>
        <w:t>progress (</w:t>
      </w:r>
      <w:r>
        <w:rPr>
          <w:rFonts w:cs="Arial"/>
          <w:szCs w:val="24"/>
        </w:rPr>
        <w:t>Trompenaars &amp; Hampden-Turner, 2012).</w:t>
      </w:r>
    </w:p>
    <w:p w14:paraId="046831FD" w14:textId="77777777" w:rsidR="00C608E3" w:rsidRDefault="00C608E3">
      <w:pPr>
        <w:spacing w:line="480" w:lineRule="auto"/>
        <w:jc w:val="both"/>
        <w:rPr>
          <w:rFonts w:cs="Arial"/>
          <w:szCs w:val="24"/>
        </w:rPr>
      </w:pPr>
    </w:p>
    <w:p w14:paraId="2C525EB3" w14:textId="77777777" w:rsidR="00C608E3" w:rsidRDefault="00000000">
      <w:pPr>
        <w:pStyle w:val="2"/>
        <w:spacing w:line="480" w:lineRule="auto"/>
        <w:rPr>
          <w:rFonts w:cs="Arial"/>
          <w:b/>
          <w:bCs/>
          <w:szCs w:val="24"/>
        </w:rPr>
      </w:pPr>
      <w:bookmarkStart w:id="8" w:name="_Toc20985"/>
      <w:bookmarkStart w:id="9" w:name="_Toc1195"/>
      <w:r>
        <w:rPr>
          <w:rFonts w:cs="Arial"/>
          <w:b/>
          <w:bCs/>
          <w:szCs w:val="24"/>
        </w:rPr>
        <w:t>Hall’s High and Low Context Theory</w:t>
      </w:r>
      <w:bookmarkEnd w:id="8"/>
      <w:bookmarkEnd w:id="9"/>
    </w:p>
    <w:p w14:paraId="6F07BDCF" w14:textId="51596D60" w:rsidR="00C608E3" w:rsidRDefault="00000000">
      <w:pPr>
        <w:spacing w:line="480" w:lineRule="auto"/>
        <w:jc w:val="both"/>
        <w:rPr>
          <w:rFonts w:eastAsia="宋体" w:cs="Arial"/>
          <w:color w:val="222222"/>
          <w:szCs w:val="24"/>
          <w:shd w:val="clear" w:color="auto" w:fill="FFFFFF"/>
        </w:rPr>
      </w:pPr>
      <w:r>
        <w:rPr>
          <w:rFonts w:cs="Arial"/>
          <w:szCs w:val="24"/>
        </w:rPr>
        <w:t xml:space="preserve">Cross-cultural communication is not merely a matter of overcoming language barriers or relying on accurate </w:t>
      </w:r>
      <w:r w:rsidR="00BA6DBD">
        <w:rPr>
          <w:rFonts w:cs="Arial"/>
          <w:szCs w:val="24"/>
        </w:rPr>
        <w:t>translations</w:t>
      </w:r>
      <w:r w:rsidR="00BA6DBD">
        <w:rPr>
          <w:rFonts w:cs="Arial"/>
          <w:szCs w:val="24"/>
          <w:lang w:val="en-US" w:eastAsia="zh-CN"/>
        </w:rPr>
        <w:t xml:space="preserve"> (</w:t>
      </w:r>
      <w:r>
        <w:rPr>
          <w:rFonts w:eastAsia="宋体" w:cs="Arial"/>
          <w:color w:val="222222"/>
          <w:szCs w:val="24"/>
          <w:shd w:val="clear" w:color="auto" w:fill="FFFFFF"/>
        </w:rPr>
        <w:t>Alizadeh Afrouzi,2021).</w:t>
      </w:r>
      <w:r>
        <w:rPr>
          <w:rFonts w:cs="Arial"/>
          <w:szCs w:val="24"/>
        </w:rPr>
        <w:t xml:space="preserve"> In many situations, communication styles and contextual factors significantly influence the individuals involved, which becomes a key reason for information distortion in communication. Sociologist Edward Hall identified one of the most significant non-verbal obstacles in cross-cultural communication as the difference between "high-context communication" and "low-context </w:t>
      </w:r>
      <w:r w:rsidR="00BA6DBD">
        <w:rPr>
          <w:rFonts w:cs="Arial"/>
          <w:szCs w:val="24"/>
        </w:rPr>
        <w:t>communication</w:t>
      </w:r>
      <w:r w:rsidR="00BA6DBD">
        <w:rPr>
          <w:rFonts w:cs="Arial"/>
          <w:szCs w:val="24"/>
          <w:lang w:val="en-US" w:eastAsia="zh-CN"/>
        </w:rPr>
        <w:t xml:space="preserve"> (</w:t>
      </w:r>
      <w:r>
        <w:rPr>
          <w:rFonts w:eastAsia="宋体" w:cs="Arial"/>
          <w:color w:val="222222"/>
          <w:szCs w:val="24"/>
          <w:shd w:val="clear" w:color="auto" w:fill="FFFFFF"/>
        </w:rPr>
        <w:t>Berrell,2021)</w:t>
      </w:r>
      <w:r>
        <w:rPr>
          <w:rFonts w:cs="Arial"/>
          <w:szCs w:val="24"/>
        </w:rPr>
        <w:t xml:space="preserve">."High-context communication places more emphasis on the methods of expression, gestures, and tone of voice compared to language itself. In such situations, the transmission of </w:t>
      </w:r>
      <w:r>
        <w:rPr>
          <w:rFonts w:cs="Arial"/>
          <w:szCs w:val="24"/>
        </w:rPr>
        <w:lastRenderedPageBreak/>
        <w:t xml:space="preserve">information is largely indirect. A listener's understanding of the speaker's background, sensitivity in analysis, and use of surrounding external information all contribute to the completeness of the information </w:t>
      </w:r>
      <w:r w:rsidR="00BA6DBD">
        <w:rPr>
          <w:rFonts w:cs="Arial"/>
          <w:szCs w:val="24"/>
        </w:rPr>
        <w:t>conveyed</w:t>
      </w:r>
      <w:r w:rsidR="00BA6DBD">
        <w:rPr>
          <w:rFonts w:cs="Arial"/>
          <w:szCs w:val="24"/>
          <w:lang w:val="en-US" w:eastAsia="zh-CN"/>
        </w:rPr>
        <w:t xml:space="preserve"> (</w:t>
      </w:r>
      <w:r w:rsidR="00BA6DBD">
        <w:rPr>
          <w:rFonts w:eastAsia="宋体" w:cs="Arial"/>
          <w:color w:val="222222"/>
          <w:szCs w:val="24"/>
          <w:shd w:val="clear" w:color="auto" w:fill="FFFFFF"/>
        </w:rPr>
        <w:t>Abdelhady, &amp;</w:t>
      </w:r>
      <w:r>
        <w:rPr>
          <w:rFonts w:eastAsia="宋体" w:cs="Arial"/>
          <w:color w:val="222222"/>
          <w:szCs w:val="24"/>
          <w:shd w:val="clear" w:color="auto" w:fill="FFFFFF"/>
        </w:rPr>
        <w:t xml:space="preserve"> Alkinj, </w:t>
      </w:r>
      <w:r w:rsidR="00BA6DBD">
        <w:rPr>
          <w:rFonts w:eastAsia="宋体" w:cs="Arial"/>
          <w:color w:val="222222"/>
          <w:szCs w:val="24"/>
          <w:shd w:val="clear" w:color="auto" w:fill="FFFFFF"/>
        </w:rPr>
        <w:t>2023</w:t>
      </w:r>
      <w:r w:rsidR="00BA6DBD">
        <w:rPr>
          <w:rFonts w:eastAsia="宋体" w:cs="Arial"/>
          <w:color w:val="222222"/>
          <w:szCs w:val="24"/>
          <w:shd w:val="clear" w:color="auto" w:fill="FFFFFF"/>
          <w:lang w:val="en-US" w:eastAsia="zh-CN"/>
        </w:rPr>
        <w:t>;</w:t>
      </w:r>
      <w:r w:rsidR="00BA6DBD">
        <w:rPr>
          <w:rFonts w:eastAsia="宋体" w:cs="Arial"/>
          <w:color w:val="222222"/>
          <w:szCs w:val="24"/>
          <w:shd w:val="clear" w:color="auto" w:fill="FFFFFF"/>
        </w:rPr>
        <w:t xml:space="preserve"> Broeder</w:t>
      </w:r>
      <w:r>
        <w:rPr>
          <w:rFonts w:eastAsia="宋体" w:cs="Arial"/>
          <w:color w:val="222222"/>
          <w:szCs w:val="24"/>
          <w:shd w:val="clear" w:color="auto" w:fill="FFFFFF"/>
        </w:rPr>
        <w:t xml:space="preserve">, 2021). </w:t>
      </w:r>
    </w:p>
    <w:p w14:paraId="1709A4AA" w14:textId="77777777" w:rsidR="00C608E3" w:rsidRDefault="00C608E3">
      <w:pPr>
        <w:spacing w:line="480" w:lineRule="auto"/>
        <w:jc w:val="both"/>
        <w:rPr>
          <w:rFonts w:eastAsia="宋体" w:cs="Arial"/>
          <w:color w:val="222222"/>
          <w:szCs w:val="24"/>
          <w:shd w:val="clear" w:color="auto" w:fill="FFFFFF"/>
        </w:rPr>
      </w:pPr>
    </w:p>
    <w:p w14:paraId="67FEC7FA" w14:textId="69354AAE" w:rsidR="00C608E3" w:rsidRDefault="00000000">
      <w:pPr>
        <w:spacing w:line="480" w:lineRule="auto"/>
        <w:jc w:val="both"/>
        <w:rPr>
          <w:rFonts w:cs="Arial"/>
          <w:szCs w:val="24"/>
        </w:rPr>
      </w:pPr>
      <w:r>
        <w:rPr>
          <w:rFonts w:cs="Arial"/>
          <w:szCs w:val="24"/>
        </w:rPr>
        <w:t xml:space="preserve">Low-context communication, on the other hand, emphasizes direct and explicit communication, focusing more on the clear and straightforward expression of language. Listeners do not need to further process background and context to understand the </w:t>
      </w:r>
      <w:r w:rsidR="00BA6DBD">
        <w:rPr>
          <w:rFonts w:cs="Arial"/>
          <w:szCs w:val="24"/>
        </w:rPr>
        <w:t>message</w:t>
      </w:r>
      <w:r w:rsidR="00BA6DBD">
        <w:rPr>
          <w:rFonts w:cs="Arial"/>
          <w:szCs w:val="24"/>
          <w:lang w:val="en-US" w:eastAsia="zh-CN"/>
        </w:rPr>
        <w:t xml:space="preserve"> (</w:t>
      </w:r>
      <w:r>
        <w:rPr>
          <w:rFonts w:eastAsia="宋体" w:cs="Arial"/>
          <w:color w:val="222222"/>
          <w:szCs w:val="24"/>
          <w:shd w:val="clear" w:color="auto" w:fill="FFFFFF"/>
        </w:rPr>
        <w:t>Bozkurt</w:t>
      </w:r>
      <w:r>
        <w:rPr>
          <w:rFonts w:eastAsia="宋体" w:cs="Arial"/>
          <w:color w:val="222222"/>
          <w:szCs w:val="24"/>
          <w:shd w:val="clear" w:color="auto" w:fill="FFFFFF"/>
          <w:lang w:val="en-US" w:eastAsia="zh-CN"/>
        </w:rPr>
        <w:t xml:space="preserve"> </w:t>
      </w:r>
      <w:r>
        <w:rPr>
          <w:rFonts w:eastAsia="宋体" w:cs="Arial"/>
          <w:color w:val="222222"/>
          <w:szCs w:val="24"/>
          <w:shd w:val="clear" w:color="auto" w:fill="FFFFFF"/>
        </w:rPr>
        <w:t>&amp; Aydın,2021</w:t>
      </w:r>
      <w:r w:rsidR="00BA6DBD">
        <w:rPr>
          <w:rFonts w:eastAsia="宋体" w:cs="Arial"/>
          <w:color w:val="222222"/>
          <w:szCs w:val="24"/>
          <w:shd w:val="clear" w:color="auto" w:fill="FFFFFF"/>
        </w:rPr>
        <w:t>)</w:t>
      </w:r>
      <w:r w:rsidR="00BA6DBD">
        <w:rPr>
          <w:rFonts w:cs="Arial"/>
          <w:szCs w:val="24"/>
        </w:rPr>
        <w:t>. These</w:t>
      </w:r>
      <w:r>
        <w:rPr>
          <w:rFonts w:cs="Arial"/>
          <w:szCs w:val="24"/>
        </w:rPr>
        <w:t xml:space="preserve"> differences often lead to situations where one party fails to grasp the implied meaning in the other’s communication, and the other party perceives them as “rigid and unresponsive.” As a result, both sides may assume that the other lacks the intention to cooperate, ultimately abandoning the opportunity for communication and the possibility of establishing a collaborative </w:t>
      </w:r>
      <w:r w:rsidR="00BA6DBD">
        <w:rPr>
          <w:rFonts w:cs="Arial"/>
          <w:szCs w:val="24"/>
        </w:rPr>
        <w:t>relationship</w:t>
      </w:r>
      <w:r w:rsidR="00BA6DBD">
        <w:rPr>
          <w:rFonts w:cs="Arial"/>
          <w:szCs w:val="24"/>
          <w:lang w:val="en-US" w:eastAsia="zh-CN"/>
        </w:rPr>
        <w:t xml:space="preserve"> (</w:t>
      </w:r>
      <w:r>
        <w:rPr>
          <w:rFonts w:eastAsia="宋体" w:cs="Arial"/>
          <w:color w:val="222222"/>
          <w:szCs w:val="24"/>
          <w:shd w:val="clear" w:color="auto" w:fill="FFFFFF"/>
        </w:rPr>
        <w:t>Kim&amp; Lee, 2020</w:t>
      </w:r>
      <w:r w:rsidR="00BA6DBD">
        <w:rPr>
          <w:rFonts w:eastAsia="宋体" w:cs="Arial"/>
          <w:color w:val="222222"/>
          <w:szCs w:val="24"/>
          <w:shd w:val="clear" w:color="auto" w:fill="FFFFFF"/>
        </w:rPr>
        <w:t>).</w:t>
      </w:r>
      <w:r w:rsidR="00BA6DBD">
        <w:rPr>
          <w:rFonts w:cs="Arial"/>
          <w:szCs w:val="24"/>
        </w:rPr>
        <w:t xml:space="preserve"> High</w:t>
      </w:r>
      <w:r>
        <w:rPr>
          <w:rFonts w:cs="Arial"/>
          <w:szCs w:val="24"/>
        </w:rPr>
        <w:t xml:space="preserve">-context cultures not only emphasize what is said but also how it is said. Proper modes of expression form the foundation for accurate information transmission. Excellent communication in such cultures requires appropriate timing, observing subtleties, adopting others’ perspectives, and being </w:t>
      </w:r>
      <w:r w:rsidR="00BA6DBD">
        <w:rPr>
          <w:rFonts w:cs="Arial"/>
          <w:szCs w:val="24"/>
        </w:rPr>
        <w:t>flexible (</w:t>
      </w:r>
      <w:r>
        <w:rPr>
          <w:rFonts w:cs="Arial"/>
          <w:szCs w:val="24"/>
        </w:rPr>
        <w:t>Kim&amp; Lee, 2020). In contrast, low-context cultures emphasize straightforwardness and self-</w:t>
      </w:r>
      <w:r w:rsidR="00BA6DBD">
        <w:rPr>
          <w:rFonts w:cs="Arial"/>
          <w:szCs w:val="24"/>
        </w:rPr>
        <w:t>expression. British</w:t>
      </w:r>
      <w:r>
        <w:rPr>
          <w:rFonts w:cs="Arial"/>
          <w:szCs w:val="24"/>
        </w:rPr>
        <w:t xml:space="preserve"> culture follows a low-context communication model where expressions are very direct, and the transmission of information does not require much decoding. Thoughts and ideas can be conveyed and understood directly, with no obscure expressions or "hints," facilitating communication between employees and </w:t>
      </w:r>
      <w:r w:rsidR="00BA6DBD">
        <w:rPr>
          <w:rFonts w:cs="Arial"/>
          <w:szCs w:val="24"/>
        </w:rPr>
        <w:t>managers</w:t>
      </w:r>
      <w:r w:rsidR="00BA6DBD">
        <w:rPr>
          <w:rFonts w:cs="Arial"/>
          <w:szCs w:val="24"/>
          <w:lang w:val="en-US" w:eastAsia="zh-CN"/>
        </w:rPr>
        <w:t xml:space="preserve"> (</w:t>
      </w:r>
      <w:r>
        <w:rPr>
          <w:rFonts w:eastAsia="宋体" w:cs="Arial"/>
          <w:color w:val="222222"/>
          <w:szCs w:val="24"/>
          <w:shd w:val="clear" w:color="auto" w:fill="FFFFFF"/>
        </w:rPr>
        <w:t>Broeder, 2021</w:t>
      </w:r>
      <w:r>
        <w:rPr>
          <w:rFonts w:eastAsia="宋体" w:cs="Arial"/>
          <w:color w:val="222222"/>
          <w:szCs w:val="24"/>
          <w:shd w:val="clear" w:color="auto" w:fill="FFFFFF"/>
          <w:lang w:val="en-US" w:eastAsia="zh-CN"/>
        </w:rPr>
        <w:t>)</w:t>
      </w:r>
      <w:r>
        <w:rPr>
          <w:rFonts w:cs="Arial"/>
          <w:szCs w:val="24"/>
        </w:rPr>
        <w:t xml:space="preserve">. In contrast, Japanese culture, as a high-context culture, relies on implicit and non-verbal </w:t>
      </w:r>
      <w:r w:rsidR="00BA6DBD">
        <w:rPr>
          <w:rFonts w:cs="Arial"/>
          <w:szCs w:val="24"/>
        </w:rPr>
        <w:t>communication. These</w:t>
      </w:r>
      <w:r>
        <w:rPr>
          <w:rFonts w:cs="Arial"/>
          <w:szCs w:val="24"/>
        </w:rPr>
        <w:t xml:space="preserve"> differences underscore the need for heightened cultural </w:t>
      </w:r>
      <w:r>
        <w:rPr>
          <w:rFonts w:cs="Arial"/>
          <w:szCs w:val="24"/>
        </w:rPr>
        <w:lastRenderedPageBreak/>
        <w:t>sensitivity. British managers may perceive Japanese counterparts as indecisive, while Japanese colleagues may view British managers as overly confident.</w:t>
      </w:r>
    </w:p>
    <w:p w14:paraId="344AA0D5" w14:textId="77777777" w:rsidR="00C608E3" w:rsidRDefault="00C608E3">
      <w:pPr>
        <w:spacing w:line="480" w:lineRule="auto"/>
        <w:jc w:val="both"/>
        <w:rPr>
          <w:rFonts w:cs="Arial"/>
          <w:szCs w:val="24"/>
        </w:rPr>
      </w:pPr>
    </w:p>
    <w:p w14:paraId="2E08CB25" w14:textId="77777777" w:rsidR="00C608E3" w:rsidRDefault="00000000">
      <w:pPr>
        <w:pStyle w:val="2"/>
        <w:rPr>
          <w:b/>
          <w:bCs/>
        </w:rPr>
      </w:pPr>
      <w:bookmarkStart w:id="10" w:name="_Toc27705"/>
      <w:bookmarkStart w:id="11" w:name="_Toc23021"/>
      <w:r>
        <w:rPr>
          <w:b/>
          <w:bCs/>
        </w:rPr>
        <w:t>Challenges in British-Japanese Business Communication</w:t>
      </w:r>
      <w:bookmarkEnd w:id="10"/>
      <w:bookmarkEnd w:id="11"/>
    </w:p>
    <w:p w14:paraId="22661406" w14:textId="77777777" w:rsidR="00C608E3" w:rsidRDefault="00C608E3"/>
    <w:p w14:paraId="411AEBE4" w14:textId="77777777"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i/>
          <w:iCs/>
          <w:kern w:val="2"/>
          <w:szCs w:val="24"/>
        </w:rPr>
        <w:t>Conflict between values and culture.</w:t>
      </w:r>
      <w:r>
        <w:rPr>
          <w:rFonts w:eastAsiaTheme="minorEastAsia" w:cs="Arial"/>
          <w:kern w:val="2"/>
          <w:szCs w:val="24"/>
        </w:rPr>
        <w:t xml:space="preserve"> The values of a company are the beliefs held by the company in evaluating things and guiding behavior (Ryszka, 2024; Winch, 2024). The values of members from the UK and Japan have certain differences. In terms of risk perception, influenced by the traditional Japanese culture of seeking stability and fearing change, Japanese managers lack risk awareness and adventurous spirit, make conservative decisions, and miss opportunities in fierce market competition (Kaplina, 2021; Jonsen et al., 2021). British members, on the other hand, place more emphasis on being proactive and daring to take risks. The Japanese people are relatively conservative, and they may believe that the adventurous spirit of the British people is due to their indifference to the surrounding things, while the British people believe that the Japanese people lack initiative and a sense of responsibility.</w:t>
      </w:r>
    </w:p>
    <w:p w14:paraId="40D86F22" w14:textId="77777777" w:rsidR="00C608E3" w:rsidRDefault="00C608E3">
      <w:pPr>
        <w:pStyle w:val="a7"/>
        <w:spacing w:beforeAutospacing="0" w:afterAutospacing="0" w:line="480" w:lineRule="auto"/>
        <w:jc w:val="both"/>
        <w:rPr>
          <w:rFonts w:eastAsiaTheme="minorEastAsia" w:cs="Arial"/>
          <w:kern w:val="2"/>
          <w:szCs w:val="24"/>
        </w:rPr>
      </w:pPr>
    </w:p>
    <w:p w14:paraId="4A2C3501" w14:textId="67E64D9E" w:rsidR="00C608E3" w:rsidRDefault="00000000">
      <w:pPr>
        <w:pStyle w:val="a7"/>
        <w:spacing w:beforeAutospacing="0" w:afterAutospacing="0" w:line="480" w:lineRule="auto"/>
        <w:jc w:val="both"/>
        <w:rPr>
          <w:rFonts w:eastAsia="宋体" w:cs="Arial"/>
          <w:color w:val="222222"/>
          <w:szCs w:val="24"/>
          <w:shd w:val="clear" w:color="auto" w:fill="FFFFFF"/>
        </w:rPr>
      </w:pPr>
      <w:r>
        <w:rPr>
          <w:rFonts w:eastAsiaTheme="minorEastAsia" w:cs="Arial"/>
          <w:i/>
          <w:iCs/>
          <w:kern w:val="2"/>
          <w:szCs w:val="24"/>
        </w:rPr>
        <w:t>The conflict of explicit culture.</w:t>
      </w:r>
      <w:r>
        <w:rPr>
          <w:rFonts w:eastAsiaTheme="minorEastAsia" w:cs="Arial"/>
          <w:kern w:val="2"/>
          <w:szCs w:val="24"/>
        </w:rPr>
        <w:t xml:space="preserve"> Perception is people’s subjective perception of the external </w:t>
      </w:r>
      <w:r w:rsidR="00BA6DBD">
        <w:rPr>
          <w:rFonts w:eastAsiaTheme="minorEastAsia" w:cs="Arial"/>
          <w:kern w:val="2"/>
          <w:szCs w:val="24"/>
        </w:rPr>
        <w:t>environment (</w:t>
      </w:r>
      <w:r>
        <w:rPr>
          <w:rFonts w:eastAsiaTheme="minorEastAsia" w:cs="Arial"/>
          <w:kern w:val="2"/>
          <w:szCs w:val="24"/>
        </w:rPr>
        <w:t xml:space="preserve">Child, Karmowska &amp; Shenkar, 2022). However, due to cultural differences, misunderstandings that arise cannot be well understood, resulting in inconsistent perceptual cognition. Additionally, the lack of cross-cultural awareness leads to deeper misunderstandings among employees from different cultural backgrounds, ultimately leading to a decrease in cohesion within the company. For example, in the UK, a blank silence towards others' enthusiasm implies unfriendliness, while in Japan, ordinary employees often show a humble demeanor and quickly avoid </w:t>
      </w:r>
      <w:r>
        <w:rPr>
          <w:rFonts w:eastAsiaTheme="minorEastAsia" w:cs="Arial"/>
          <w:kern w:val="2"/>
          <w:szCs w:val="24"/>
        </w:rPr>
        <w:lastRenderedPageBreak/>
        <w:t xml:space="preserve">situations when they see leaders who hold positions much higher than their </w:t>
      </w:r>
      <w:r w:rsidR="00BA6DBD">
        <w:rPr>
          <w:rFonts w:eastAsiaTheme="minorEastAsia" w:cs="Arial"/>
          <w:kern w:val="2"/>
          <w:szCs w:val="24"/>
        </w:rPr>
        <w:t>own (</w:t>
      </w:r>
      <w:r>
        <w:rPr>
          <w:rFonts w:eastAsiaTheme="minorEastAsia" w:cs="Arial"/>
          <w:kern w:val="2"/>
          <w:szCs w:val="24"/>
        </w:rPr>
        <w:t xml:space="preserve">Kim&amp; Lee, 2020). The differences in cultural backgrounds not only affect the way both parties get along, but also the way they express their views. The British are used to actively promoting and openly questioning or accepting a proposal. Japanese people are unlikely to use public and arbitrary conclusive </w:t>
      </w:r>
      <w:r w:rsidR="00BA6DBD">
        <w:rPr>
          <w:rFonts w:eastAsiaTheme="minorEastAsia" w:cs="Arial"/>
          <w:kern w:val="2"/>
          <w:szCs w:val="24"/>
        </w:rPr>
        <w:t>language</w:t>
      </w:r>
      <w:r w:rsidR="00BA6DBD">
        <w:rPr>
          <w:rFonts w:cs="Arial"/>
          <w:kern w:val="2"/>
          <w:szCs w:val="24"/>
        </w:rPr>
        <w:t xml:space="preserve"> (</w:t>
      </w:r>
      <w:r>
        <w:rPr>
          <w:rFonts w:eastAsia="宋体" w:cs="Arial"/>
          <w:color w:val="222222"/>
          <w:szCs w:val="24"/>
          <w:shd w:val="clear" w:color="auto" w:fill="FFFFFF"/>
        </w:rPr>
        <w:t xml:space="preserve">Katsikeas,Leonidou &amp; Zeriti, 2020). </w:t>
      </w:r>
    </w:p>
    <w:p w14:paraId="1CFA5669" w14:textId="77777777" w:rsidR="00C608E3" w:rsidRDefault="00C608E3">
      <w:pPr>
        <w:pStyle w:val="a7"/>
        <w:spacing w:beforeAutospacing="0" w:afterAutospacing="0" w:line="480" w:lineRule="auto"/>
        <w:jc w:val="both"/>
        <w:rPr>
          <w:rFonts w:eastAsia="宋体" w:cs="Arial"/>
          <w:color w:val="222222"/>
          <w:szCs w:val="24"/>
          <w:shd w:val="clear" w:color="auto" w:fill="FFFFFF"/>
        </w:rPr>
      </w:pPr>
    </w:p>
    <w:p w14:paraId="4AD1B4F7" w14:textId="18B8939E" w:rsidR="00C608E3" w:rsidRDefault="00000000">
      <w:pPr>
        <w:pStyle w:val="a7"/>
        <w:spacing w:beforeAutospacing="0" w:afterAutospacing="0" w:line="480" w:lineRule="auto"/>
        <w:jc w:val="both"/>
        <w:rPr>
          <w:rFonts w:eastAsia="宋体" w:cs="Arial"/>
          <w:color w:val="222222"/>
          <w:szCs w:val="24"/>
          <w:shd w:val="clear" w:color="auto" w:fill="FFFFFF"/>
        </w:rPr>
      </w:pPr>
      <w:r>
        <w:rPr>
          <w:rFonts w:eastAsia="宋体" w:cs="Arial"/>
          <w:i/>
          <w:iCs/>
          <w:color w:val="222222"/>
          <w:szCs w:val="24"/>
          <w:shd w:val="clear" w:color="auto" w:fill="FFFFFF"/>
        </w:rPr>
        <w:t>Conflict of institutional culture.</w:t>
      </w:r>
      <w:r>
        <w:rPr>
          <w:rFonts w:eastAsia="宋体" w:cs="Arial"/>
          <w:color w:val="222222"/>
          <w:szCs w:val="24"/>
          <w:shd w:val="clear" w:color="auto" w:fill="FFFFFF"/>
        </w:rPr>
        <w:t xml:space="preserve"> Western companies generally operate and manage under strict and comprehensive legal conditions, and naturally use legal provisions as the basis for their words and actions, and are committed to environmental protection, employee safety, and social welfare undertakings. The British concept of "rule of law" is deeply rooted. Enterprises mainly rely on strict laws and regulations for </w:t>
      </w:r>
      <w:r w:rsidR="00BA6DBD">
        <w:rPr>
          <w:rFonts w:eastAsia="宋体" w:cs="Arial"/>
          <w:color w:val="222222"/>
          <w:szCs w:val="24"/>
          <w:shd w:val="clear" w:color="auto" w:fill="FFFFFF"/>
        </w:rPr>
        <w:t>management (</w:t>
      </w:r>
      <w:r>
        <w:rPr>
          <w:rFonts w:eastAsia="宋体" w:cs="Arial"/>
          <w:color w:val="222222"/>
          <w:szCs w:val="24"/>
          <w:shd w:val="clear" w:color="auto" w:fill="FFFFFF"/>
        </w:rPr>
        <w:t>Kim&amp; Lee, 2020). Everyone is equal before the system. The enterprise management system is long-term and consistent. The main manifestation of a company's employment concept is to select personnel within and outside the company according to legal procedures, and determine their status within the company based on their individual abilities. Japanese companies are influenced by Confucianism, and their management is based on harmonious and trusting interpersonal relationships, with a strong emphasis on "rule by man" centered on emotions</w:t>
      </w:r>
      <w:r>
        <w:rPr>
          <w:rFonts w:eastAsia="宋体" w:cs="Arial"/>
          <w:color w:val="222222"/>
          <w:szCs w:val="24"/>
          <w:shd w:val="clear" w:color="auto" w:fill="FFFFFF"/>
        </w:rPr>
        <w:t>（</w:t>
      </w:r>
      <w:r>
        <w:rPr>
          <w:rFonts w:eastAsia="宋体" w:cs="Arial"/>
          <w:color w:val="222222"/>
          <w:szCs w:val="24"/>
          <w:shd w:val="clear" w:color="auto" w:fill="FFFFFF"/>
        </w:rPr>
        <w:t>Ryszka</w:t>
      </w:r>
      <w:r>
        <w:rPr>
          <w:rFonts w:eastAsia="宋体" w:cs="Arial"/>
          <w:color w:val="222222"/>
          <w:szCs w:val="24"/>
          <w:shd w:val="clear" w:color="auto" w:fill="FFFFFF"/>
        </w:rPr>
        <w:t>，</w:t>
      </w:r>
      <w:r>
        <w:rPr>
          <w:rFonts w:eastAsia="宋体" w:cs="Arial"/>
          <w:color w:val="222222"/>
          <w:szCs w:val="24"/>
          <w:shd w:val="clear" w:color="auto" w:fill="FFFFFF"/>
        </w:rPr>
        <w:t>2024</w:t>
      </w:r>
      <w:r>
        <w:rPr>
          <w:rFonts w:eastAsia="宋体" w:cs="Arial"/>
          <w:color w:val="222222"/>
          <w:szCs w:val="24"/>
          <w:shd w:val="clear" w:color="auto" w:fill="FFFFFF"/>
        </w:rPr>
        <w:t>；</w:t>
      </w:r>
      <w:r>
        <w:rPr>
          <w:rFonts w:eastAsia="宋体" w:cs="Arial"/>
          <w:color w:val="222222"/>
          <w:szCs w:val="24"/>
          <w:shd w:val="clear" w:color="auto" w:fill="FFFFFF"/>
        </w:rPr>
        <w:t>Winch</w:t>
      </w:r>
      <w:r>
        <w:rPr>
          <w:rFonts w:eastAsia="宋体" w:cs="Arial"/>
          <w:color w:val="222222"/>
          <w:szCs w:val="24"/>
          <w:shd w:val="clear" w:color="auto" w:fill="FFFFFF"/>
        </w:rPr>
        <w:t>，</w:t>
      </w:r>
      <w:r>
        <w:rPr>
          <w:rFonts w:eastAsia="宋体" w:cs="Arial"/>
          <w:color w:val="222222"/>
          <w:szCs w:val="24"/>
          <w:shd w:val="clear" w:color="auto" w:fill="FFFFFF"/>
        </w:rPr>
        <w:t>2024). Due to different standards and criteria for the behavior of both parties, conflicts are inevitable.</w:t>
      </w:r>
    </w:p>
    <w:p w14:paraId="6A1831C2" w14:textId="77777777" w:rsidR="00C608E3" w:rsidRDefault="00C608E3">
      <w:pPr>
        <w:pStyle w:val="a7"/>
        <w:spacing w:beforeAutospacing="0" w:afterAutospacing="0" w:line="480" w:lineRule="auto"/>
        <w:jc w:val="both"/>
        <w:rPr>
          <w:rFonts w:eastAsia="宋体" w:cs="Arial"/>
          <w:color w:val="222222"/>
          <w:szCs w:val="24"/>
          <w:shd w:val="clear" w:color="auto" w:fill="FFFFFF"/>
        </w:rPr>
      </w:pPr>
    </w:p>
    <w:p w14:paraId="3D39CB00" w14:textId="77777777" w:rsidR="00C608E3" w:rsidRDefault="00000000">
      <w:pPr>
        <w:pStyle w:val="2"/>
        <w:rPr>
          <w:b/>
          <w:bCs/>
          <w:lang w:val="en-US" w:eastAsia="zh-CN"/>
        </w:rPr>
      </w:pPr>
      <w:bookmarkStart w:id="12" w:name="_Toc25301"/>
      <w:bookmarkStart w:id="13" w:name="_Toc3717"/>
      <w:r>
        <w:rPr>
          <w:b/>
          <w:bCs/>
          <w:lang w:val="en-US" w:eastAsia="zh-CN"/>
        </w:rPr>
        <w:t>Strategies to Overcome Challenges</w:t>
      </w:r>
      <w:bookmarkEnd w:id="12"/>
      <w:bookmarkEnd w:id="13"/>
    </w:p>
    <w:p w14:paraId="6D2D8B93" w14:textId="77777777" w:rsidR="00C608E3" w:rsidRDefault="00C608E3">
      <w:pPr>
        <w:rPr>
          <w:lang w:val="en-US" w:eastAsia="zh-CN"/>
        </w:rPr>
      </w:pPr>
    </w:p>
    <w:p w14:paraId="075078AC" w14:textId="3A289640"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kern w:val="2"/>
          <w:szCs w:val="24"/>
        </w:rPr>
        <w:t xml:space="preserve">Establish a shared management culture model. </w:t>
      </w:r>
      <w:r w:rsidR="00BA6DBD">
        <w:rPr>
          <w:rFonts w:eastAsiaTheme="minorEastAsia" w:cs="Arial"/>
          <w:kern w:val="2"/>
          <w:szCs w:val="24"/>
        </w:rPr>
        <w:t>Co-managing</w:t>
      </w:r>
      <w:r>
        <w:rPr>
          <w:rFonts w:eastAsiaTheme="minorEastAsia" w:cs="Arial"/>
          <w:kern w:val="2"/>
          <w:szCs w:val="24"/>
        </w:rPr>
        <w:t xml:space="preserve"> culture means finding the intersection of two cultures, fully leveraging their advantages, and establishing a </w:t>
      </w:r>
      <w:r>
        <w:rPr>
          <w:rFonts w:eastAsiaTheme="minorEastAsia" w:cs="Arial"/>
          <w:kern w:val="2"/>
          <w:szCs w:val="24"/>
        </w:rPr>
        <w:lastRenderedPageBreak/>
        <w:t>unified set of values suitable for local management. It is necessary to acknowledge these differences, understand them through mutual communication, and ultimately form a mutually agreed management concept. British managers need to follow the principle of "mutual respect, equal coexistence, and cooperation", adopt effective measures such as mutual understanding of each other's national history, cultural traditions, and moral norms, strengthen communication and discussion, improve personnel quality, and institutionalize, gradually unify the management concepts of both parties, and form a management culture suitable for Japanese characteristics.</w:t>
      </w:r>
    </w:p>
    <w:p w14:paraId="3532121C" w14:textId="77777777"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kern w:val="2"/>
          <w:szCs w:val="24"/>
        </w:rPr>
        <w:t xml:space="preserve">Conduct cultural sensitivity training. </w:t>
      </w:r>
    </w:p>
    <w:p w14:paraId="5CED9BC7" w14:textId="77777777" w:rsidR="00C608E3" w:rsidRDefault="00C608E3">
      <w:pPr>
        <w:pStyle w:val="a7"/>
        <w:spacing w:beforeAutospacing="0" w:afterAutospacing="0" w:line="480" w:lineRule="auto"/>
        <w:jc w:val="both"/>
        <w:rPr>
          <w:rFonts w:eastAsiaTheme="minorEastAsia" w:cs="Arial"/>
          <w:kern w:val="2"/>
          <w:szCs w:val="24"/>
        </w:rPr>
      </w:pPr>
    </w:p>
    <w:p w14:paraId="227E18CE" w14:textId="77777777"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kern w:val="2"/>
          <w:szCs w:val="24"/>
        </w:rPr>
        <w:t xml:space="preserve">In terms of cultural sensitivity training for British companies in Japan, cultural sensitivity training mainly includes two aspects: first, British managers provide systematic training to Japanese employees, enabling them to fully understand the differences between Japanese culture and British culture from various aspects such as origin, faith, values, and national conditions, and gradually understand the business philosophy of British companies; The second is to provide training to British employees stationed in Japan, so that they can understand the cultural characteristics of Japan, and thus understand which ways of thinking and behavioral habits are cultural taboos in Japan, effectively avoiding unnecessary misunderstandings. </w:t>
      </w:r>
    </w:p>
    <w:p w14:paraId="5A8A65CF" w14:textId="77777777" w:rsidR="00C608E3" w:rsidRDefault="00C608E3">
      <w:pPr>
        <w:pStyle w:val="a7"/>
        <w:spacing w:beforeAutospacing="0" w:afterAutospacing="0" w:line="480" w:lineRule="auto"/>
        <w:jc w:val="both"/>
        <w:rPr>
          <w:rFonts w:eastAsiaTheme="minorEastAsia" w:cs="Arial"/>
          <w:kern w:val="2"/>
          <w:szCs w:val="24"/>
        </w:rPr>
      </w:pPr>
    </w:p>
    <w:p w14:paraId="0A70A146" w14:textId="77777777"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kern w:val="2"/>
          <w:szCs w:val="24"/>
        </w:rPr>
        <w:t xml:space="preserve">The main purpose of cultural sensitivity training is to enable employees to establish cross-cultural management awareness, be able to approach heterogeneous cultures without preconceptions, and not judge heterogeneous cultures based on their home country culture. They can actively learn and understand heterogeneous cultures, so that they can cope with different cultural environments with ease and adaptability, and </w:t>
      </w:r>
      <w:r>
        <w:rPr>
          <w:rFonts w:eastAsiaTheme="minorEastAsia" w:cs="Arial"/>
          <w:kern w:val="2"/>
          <w:szCs w:val="24"/>
        </w:rPr>
        <w:lastRenderedPageBreak/>
        <w:t>improve their cross-cultural adaptability. The main content of cultural sensitivity training includes: introduction to the cultures of both the UK and Japan, training on employee cultural awareness, training on employee cognitive transformation, training on employee experience, and training on communication methods. British managers can complete cultural sensitivity training through vivid methods such as situational dialogues, environmental simulations, role-playing, professional knowledge training, and team field visits. Through cultural sensitivity training, employees from both the UK and Japan can be provided with a learning platform, which is beneficial for them to understand and communicate, break down national boundaries, overcome cultural barriers, and reposition their roles. This will help them better understand the similarities and differences between cultures, enhance their adaptability and understanding of different cultures, and promote the cultivation of cooperation awareness.</w:t>
      </w:r>
    </w:p>
    <w:p w14:paraId="1DE7C390" w14:textId="77777777" w:rsidR="00C608E3" w:rsidRDefault="00C608E3">
      <w:pPr>
        <w:pStyle w:val="a7"/>
        <w:spacing w:beforeAutospacing="0" w:afterAutospacing="0" w:line="480" w:lineRule="auto"/>
        <w:jc w:val="both"/>
        <w:rPr>
          <w:rFonts w:eastAsiaTheme="minorEastAsia" w:cs="Arial"/>
          <w:kern w:val="2"/>
          <w:szCs w:val="24"/>
        </w:rPr>
      </w:pPr>
    </w:p>
    <w:p w14:paraId="5F462994" w14:textId="77777777" w:rsidR="00C608E3" w:rsidRDefault="00000000">
      <w:pPr>
        <w:pStyle w:val="1"/>
        <w:spacing w:line="480" w:lineRule="auto"/>
        <w:rPr>
          <w:rFonts w:cs="Arial"/>
          <w:b/>
          <w:bCs/>
          <w:sz w:val="24"/>
          <w:szCs w:val="24"/>
          <w:lang w:val="en-US" w:eastAsia="zh-CN"/>
        </w:rPr>
      </w:pPr>
      <w:bookmarkStart w:id="14" w:name="_Toc23965"/>
      <w:bookmarkStart w:id="15" w:name="_Toc10647"/>
      <w:r>
        <w:rPr>
          <w:rFonts w:cs="Arial"/>
          <w:b/>
          <w:bCs/>
          <w:sz w:val="24"/>
          <w:szCs w:val="24"/>
          <w:lang w:val="en-US" w:eastAsia="zh-CN"/>
        </w:rPr>
        <w:t>Conclusion</w:t>
      </w:r>
      <w:bookmarkEnd w:id="14"/>
      <w:bookmarkEnd w:id="15"/>
    </w:p>
    <w:p w14:paraId="21B5EA6F" w14:textId="77777777" w:rsidR="00C608E3" w:rsidRDefault="00000000">
      <w:pPr>
        <w:pStyle w:val="a7"/>
        <w:spacing w:beforeAutospacing="0" w:afterAutospacing="0" w:line="480" w:lineRule="auto"/>
        <w:jc w:val="both"/>
        <w:rPr>
          <w:rFonts w:eastAsiaTheme="minorEastAsia" w:cs="Arial"/>
          <w:kern w:val="2"/>
          <w:szCs w:val="24"/>
        </w:rPr>
      </w:pPr>
      <w:r>
        <w:rPr>
          <w:rFonts w:eastAsiaTheme="minorEastAsia" w:cs="Arial"/>
          <w:kern w:val="2"/>
          <w:szCs w:val="24"/>
        </w:rPr>
        <w:t>Cross cultural enterprise management is the key to the success or failure of foreign-funded enterprises and joint ventures in other countries, as well as the spiritual pillar of modern enterprise management. Therefore, British managers working with their Japanese counterparts need to understand cultural differences in order to minimize conflicts caused by cultural differences. This article draws on Hofstede's dimensions, Hall's contextual theory to analyze cultural differences between the UK and Japan, helping British managers identify potential obstacles and propose effective strategies. Respecting cultural norms and adaptability is the guarantee for the harmonious development of international partnerships.</w:t>
      </w:r>
    </w:p>
    <w:p w14:paraId="5AEF6BBB" w14:textId="77777777" w:rsidR="00C608E3" w:rsidRDefault="00C608E3">
      <w:pPr>
        <w:pStyle w:val="a7"/>
        <w:spacing w:beforeAutospacing="0" w:afterAutospacing="0" w:line="480" w:lineRule="auto"/>
        <w:jc w:val="both"/>
        <w:rPr>
          <w:rFonts w:eastAsiaTheme="minorEastAsia" w:cs="Arial"/>
          <w:kern w:val="2"/>
          <w:szCs w:val="24"/>
        </w:rPr>
      </w:pPr>
    </w:p>
    <w:p w14:paraId="2E04C2BF" w14:textId="77777777" w:rsidR="00C608E3" w:rsidRDefault="00C608E3">
      <w:pPr>
        <w:pStyle w:val="a7"/>
        <w:spacing w:beforeAutospacing="0" w:afterAutospacing="0" w:line="480" w:lineRule="auto"/>
        <w:jc w:val="both"/>
        <w:rPr>
          <w:rFonts w:eastAsiaTheme="minorEastAsia" w:cs="Arial"/>
          <w:kern w:val="2"/>
          <w:szCs w:val="24"/>
        </w:rPr>
      </w:pPr>
    </w:p>
    <w:p w14:paraId="5CA70E38" w14:textId="77777777" w:rsidR="00C608E3" w:rsidRDefault="00000000">
      <w:pPr>
        <w:pStyle w:val="1"/>
        <w:spacing w:line="360" w:lineRule="auto"/>
        <w:rPr>
          <w:rFonts w:cs="Arial"/>
          <w:b/>
          <w:bCs/>
        </w:rPr>
      </w:pPr>
      <w:bookmarkStart w:id="16" w:name="_Toc1376"/>
      <w:bookmarkStart w:id="17" w:name="_Toc27652"/>
      <w:r>
        <w:rPr>
          <w:rFonts w:cs="Arial"/>
          <w:b/>
          <w:bCs/>
        </w:rPr>
        <w:lastRenderedPageBreak/>
        <w:t>References</w:t>
      </w:r>
      <w:bookmarkEnd w:id="16"/>
      <w:bookmarkEnd w:id="17"/>
    </w:p>
    <w:p w14:paraId="0FD95383" w14:textId="70FD3C3F" w:rsidR="00C608E3" w:rsidRDefault="00000000">
      <w:pPr>
        <w:pStyle w:val="a7"/>
        <w:spacing w:beforeAutospacing="0" w:after="210" w:afterAutospacing="0" w:line="360" w:lineRule="auto"/>
        <w:rPr>
          <w:rFonts w:cs="Arial"/>
          <w:szCs w:val="24"/>
        </w:rPr>
      </w:pPr>
      <w:r>
        <w:rPr>
          <w:rFonts w:cs="Arial"/>
          <w:szCs w:val="24"/>
        </w:rPr>
        <w:t xml:space="preserve">Abdelhady, S. and Alkinj, M. (2023). A pragmatic analysis of ostensible lies in high-context cultures. </w:t>
      </w:r>
      <w:r>
        <w:rPr>
          <w:rFonts w:cs="Arial"/>
          <w:i/>
          <w:iCs/>
          <w:szCs w:val="24"/>
        </w:rPr>
        <w:t>Cogent Arts &amp; Humanities</w:t>
      </w:r>
      <w:r>
        <w:rPr>
          <w:rFonts w:cs="Arial"/>
          <w:szCs w:val="24"/>
        </w:rPr>
        <w:t xml:space="preserve">, 10(1), pp.224–275. </w:t>
      </w:r>
      <w:r w:rsidR="00BA6DBD">
        <w:rPr>
          <w:rFonts w:cs="Arial"/>
          <w:szCs w:val="24"/>
        </w:rPr>
        <w:t>doi: https://doi.org/10.1080/23311983.2023.2241275</w:t>
      </w:r>
      <w:r>
        <w:rPr>
          <w:rFonts w:cs="Arial"/>
          <w:szCs w:val="24"/>
        </w:rPr>
        <w:t>.</w:t>
      </w:r>
    </w:p>
    <w:p w14:paraId="1F6581EA" w14:textId="3DFD3692" w:rsidR="00C608E3" w:rsidRDefault="00000000">
      <w:pPr>
        <w:pStyle w:val="a7"/>
        <w:spacing w:beforeAutospacing="0" w:after="210" w:afterAutospacing="0" w:line="360" w:lineRule="auto"/>
        <w:rPr>
          <w:rFonts w:cs="Arial"/>
          <w:szCs w:val="24"/>
        </w:rPr>
      </w:pPr>
      <w:r>
        <w:rPr>
          <w:rFonts w:cs="Arial"/>
          <w:szCs w:val="24"/>
        </w:rPr>
        <w:t xml:space="preserve">Afrouzi, O. (2021). Humanitarian behavior across high-/low-context cultures: A comparative analysis between Switzerland and Colombia. </w:t>
      </w:r>
      <w:r>
        <w:rPr>
          <w:rFonts w:cs="Arial"/>
          <w:i/>
          <w:iCs/>
          <w:szCs w:val="24"/>
        </w:rPr>
        <w:t>Journal of International Humanitarian Action</w:t>
      </w:r>
      <w:r>
        <w:rPr>
          <w:rFonts w:cs="Arial"/>
          <w:szCs w:val="24"/>
        </w:rPr>
        <w:t>, [online] 6(1), pp.1–10. doi:</w:t>
      </w:r>
      <w:r w:rsidR="00BA6DBD">
        <w:rPr>
          <w:rFonts w:eastAsiaTheme="minorEastAsia" w:cs="Arial" w:hint="eastAsia"/>
          <w:szCs w:val="24"/>
        </w:rPr>
        <w:t xml:space="preserve"> </w:t>
      </w:r>
      <w:r>
        <w:rPr>
          <w:rFonts w:cs="Arial"/>
          <w:szCs w:val="24"/>
        </w:rPr>
        <w:t>https://doi.org/10.1186/s41018-020-00088-y.</w:t>
      </w:r>
    </w:p>
    <w:p w14:paraId="14359FC3" w14:textId="36235848" w:rsidR="00C608E3" w:rsidRDefault="00000000">
      <w:pPr>
        <w:pStyle w:val="a7"/>
        <w:spacing w:beforeAutospacing="0" w:after="210" w:afterAutospacing="0" w:line="360" w:lineRule="auto"/>
        <w:rPr>
          <w:rFonts w:cs="Arial"/>
          <w:szCs w:val="24"/>
        </w:rPr>
      </w:pPr>
      <w:r>
        <w:rPr>
          <w:rFonts w:cs="Arial"/>
          <w:szCs w:val="24"/>
        </w:rPr>
        <w:t xml:space="preserve">Arikan, I. and Shenkar, O. (2021). Neglected elements: What we should cover more of in international business research. </w:t>
      </w:r>
      <w:r>
        <w:rPr>
          <w:rFonts w:cs="Arial"/>
          <w:i/>
          <w:iCs/>
          <w:szCs w:val="24"/>
        </w:rPr>
        <w:t>Journal of International Business Studies</w:t>
      </w:r>
      <w:r>
        <w:rPr>
          <w:rFonts w:cs="Arial"/>
          <w:szCs w:val="24"/>
        </w:rPr>
        <w:t>, 53(7), pp.1484–1507. doi:</w:t>
      </w:r>
      <w:r w:rsidR="00BA6DBD">
        <w:rPr>
          <w:rFonts w:eastAsiaTheme="minorEastAsia" w:cs="Arial" w:hint="eastAsia"/>
          <w:szCs w:val="24"/>
        </w:rPr>
        <w:t xml:space="preserve"> </w:t>
      </w:r>
      <w:r>
        <w:rPr>
          <w:rFonts w:cs="Arial"/>
          <w:szCs w:val="24"/>
        </w:rPr>
        <w:t>https://doi.org/10.1057/s41267-021-00472-9.</w:t>
      </w:r>
    </w:p>
    <w:p w14:paraId="683EC6B1" w14:textId="04FE8273" w:rsidR="00C608E3" w:rsidRDefault="00000000">
      <w:pPr>
        <w:pStyle w:val="a7"/>
        <w:spacing w:beforeAutospacing="0" w:after="210" w:afterAutospacing="0" w:line="360" w:lineRule="auto"/>
        <w:rPr>
          <w:rFonts w:cs="Arial"/>
          <w:szCs w:val="24"/>
        </w:rPr>
      </w:pPr>
      <w:r>
        <w:rPr>
          <w:rFonts w:cs="Arial"/>
          <w:szCs w:val="24"/>
        </w:rPr>
        <w:t xml:space="preserve">Berrell, M. (2021). National Culture and the Social Relations of Anywhere Working. </w:t>
      </w:r>
      <w:r>
        <w:rPr>
          <w:rFonts w:cs="Arial"/>
          <w:i/>
          <w:iCs/>
          <w:szCs w:val="24"/>
        </w:rPr>
        <w:t>Anywhere Working and the Future of Work</w:t>
      </w:r>
      <w:r>
        <w:rPr>
          <w:rFonts w:cs="Arial"/>
          <w:szCs w:val="24"/>
        </w:rPr>
        <w:t>, pp.23–59. doi:</w:t>
      </w:r>
      <w:r w:rsidR="00BA6DBD">
        <w:rPr>
          <w:rFonts w:eastAsiaTheme="minorEastAsia" w:cs="Arial" w:hint="eastAsia"/>
          <w:szCs w:val="24"/>
        </w:rPr>
        <w:t xml:space="preserve"> </w:t>
      </w:r>
      <w:r>
        <w:rPr>
          <w:rFonts w:cs="Arial"/>
          <w:szCs w:val="24"/>
        </w:rPr>
        <w:t>https://doi.org/10.4018/978-1-7998-4159-3.ch002.</w:t>
      </w:r>
    </w:p>
    <w:p w14:paraId="4B595FBF" w14:textId="32DF2369" w:rsidR="00C608E3" w:rsidRDefault="00000000">
      <w:pPr>
        <w:pStyle w:val="a7"/>
        <w:spacing w:beforeAutospacing="0" w:after="210" w:afterAutospacing="0" w:line="360" w:lineRule="auto"/>
        <w:rPr>
          <w:rFonts w:cs="Arial"/>
          <w:szCs w:val="24"/>
        </w:rPr>
      </w:pPr>
      <w:r>
        <w:rPr>
          <w:rFonts w:cs="Arial"/>
          <w:szCs w:val="24"/>
        </w:rPr>
        <w:t xml:space="preserve">Bozkurt, A., Yazıcı, M. and Aydın, İ.E. (2021). Cultural Diversity and Its Implications in Online Networked Learning Spaces. </w:t>
      </w:r>
      <w:r>
        <w:rPr>
          <w:rFonts w:cs="Arial"/>
          <w:i/>
          <w:iCs/>
          <w:szCs w:val="24"/>
        </w:rPr>
        <w:t>Research Anthology on Developing Effective Online Learning Courses</w:t>
      </w:r>
      <w:r>
        <w:rPr>
          <w:rFonts w:cs="Arial"/>
          <w:szCs w:val="24"/>
        </w:rPr>
        <w:t>, pp.1823–1849. doi:</w:t>
      </w:r>
      <w:r w:rsidR="00BA6DBD">
        <w:rPr>
          <w:rFonts w:eastAsiaTheme="minorEastAsia" w:cs="Arial" w:hint="eastAsia"/>
          <w:szCs w:val="24"/>
        </w:rPr>
        <w:t xml:space="preserve"> </w:t>
      </w:r>
      <w:r>
        <w:rPr>
          <w:rFonts w:cs="Arial"/>
          <w:szCs w:val="24"/>
        </w:rPr>
        <w:t>https://doi.org/10.4018/978-1-7998-8047-9.ch091.</w:t>
      </w:r>
    </w:p>
    <w:p w14:paraId="3EBB0E5C" w14:textId="355E3E60" w:rsidR="00C608E3" w:rsidRDefault="00000000">
      <w:pPr>
        <w:pStyle w:val="a7"/>
        <w:spacing w:beforeAutospacing="0" w:after="210" w:afterAutospacing="0" w:line="360" w:lineRule="auto"/>
        <w:rPr>
          <w:rFonts w:cs="Arial"/>
          <w:szCs w:val="24"/>
        </w:rPr>
      </w:pPr>
      <w:r>
        <w:rPr>
          <w:rFonts w:cs="Arial"/>
          <w:szCs w:val="24"/>
        </w:rPr>
        <w:t xml:space="preserve">Broeder, P. (2021). Informed Communication in High Context and Low Context Cultures. </w:t>
      </w:r>
      <w:r>
        <w:rPr>
          <w:rFonts w:cs="Arial"/>
          <w:i/>
          <w:iCs/>
          <w:szCs w:val="24"/>
        </w:rPr>
        <w:t>Interdisciplinary studies in social sciences – unmasking truths whilst nurturing new possibilities</w:t>
      </w:r>
      <w:r>
        <w:rPr>
          <w:rFonts w:cs="Arial"/>
          <w:szCs w:val="24"/>
        </w:rPr>
        <w:t>, [online] 3(Issue 1), pp.13–24. doi:</w:t>
      </w:r>
      <w:r w:rsidR="00BA6DBD">
        <w:rPr>
          <w:rFonts w:eastAsiaTheme="minorEastAsia" w:cs="Arial" w:hint="eastAsia"/>
          <w:szCs w:val="24"/>
        </w:rPr>
        <w:t xml:space="preserve"> </w:t>
      </w:r>
      <w:r>
        <w:rPr>
          <w:rFonts w:cs="Arial"/>
          <w:szCs w:val="24"/>
        </w:rPr>
        <w:t>https://doi.org/10.34097/jeicom-3-1-june21-1.</w:t>
      </w:r>
    </w:p>
    <w:p w14:paraId="2922AF72" w14:textId="7B8BAA6F" w:rsidR="00C608E3" w:rsidRDefault="00000000">
      <w:pPr>
        <w:pStyle w:val="a7"/>
        <w:spacing w:beforeAutospacing="0" w:after="210" w:afterAutospacing="0" w:line="360" w:lineRule="auto"/>
        <w:rPr>
          <w:rFonts w:cs="Arial"/>
          <w:szCs w:val="24"/>
        </w:rPr>
      </w:pPr>
      <w:r>
        <w:rPr>
          <w:rFonts w:cs="Arial"/>
          <w:szCs w:val="24"/>
        </w:rPr>
        <w:t xml:space="preserve">Child, J., Karmowska, J. and Shenkar, O. (2022). The role of context in SME internationalization – A review. </w:t>
      </w:r>
      <w:r>
        <w:rPr>
          <w:rFonts w:cs="Arial"/>
          <w:i/>
          <w:iCs/>
          <w:szCs w:val="24"/>
        </w:rPr>
        <w:t>Journal of World Business</w:t>
      </w:r>
      <w:r>
        <w:rPr>
          <w:rFonts w:cs="Arial"/>
          <w:szCs w:val="24"/>
        </w:rPr>
        <w:t>, [online] 57(1), p.101267. doi:</w:t>
      </w:r>
      <w:r w:rsidR="00BA6DBD">
        <w:rPr>
          <w:rFonts w:eastAsiaTheme="minorEastAsia" w:cs="Arial" w:hint="eastAsia"/>
          <w:szCs w:val="24"/>
        </w:rPr>
        <w:t xml:space="preserve"> </w:t>
      </w:r>
      <w:r>
        <w:rPr>
          <w:rFonts w:cs="Arial"/>
          <w:szCs w:val="24"/>
        </w:rPr>
        <w:t>https://doi.org/10.1016/j.jwb.2021.101267.</w:t>
      </w:r>
    </w:p>
    <w:p w14:paraId="32B181F4" w14:textId="3816620E" w:rsidR="00C608E3" w:rsidRDefault="00000000">
      <w:pPr>
        <w:pStyle w:val="a7"/>
        <w:spacing w:beforeAutospacing="0" w:after="210" w:afterAutospacing="0" w:line="360" w:lineRule="auto"/>
        <w:rPr>
          <w:rFonts w:cs="Arial"/>
          <w:szCs w:val="24"/>
        </w:rPr>
      </w:pPr>
      <w:r>
        <w:rPr>
          <w:rFonts w:cs="Arial"/>
          <w:szCs w:val="24"/>
        </w:rPr>
        <w:t xml:space="preserve">Earley, C.P. and Mosakowski, E. (2000). Creating Hybrid Team Cultures: An Empirical Test of Transnational Team Functioning. </w:t>
      </w:r>
      <w:r>
        <w:rPr>
          <w:rFonts w:cs="Arial"/>
          <w:i/>
          <w:iCs/>
          <w:szCs w:val="24"/>
        </w:rPr>
        <w:t>Academy of Management Journal</w:t>
      </w:r>
      <w:r>
        <w:rPr>
          <w:rFonts w:cs="Arial"/>
          <w:szCs w:val="24"/>
        </w:rPr>
        <w:t>, 43(1), pp.26–49. doi:</w:t>
      </w:r>
      <w:r w:rsidR="00BA6DBD">
        <w:rPr>
          <w:rFonts w:eastAsiaTheme="minorEastAsia" w:cs="Arial" w:hint="eastAsia"/>
          <w:szCs w:val="24"/>
        </w:rPr>
        <w:t xml:space="preserve"> </w:t>
      </w:r>
      <w:r>
        <w:rPr>
          <w:rFonts w:cs="Arial"/>
          <w:szCs w:val="24"/>
        </w:rPr>
        <w:t>https://doi.org/10.5465/1556384.</w:t>
      </w:r>
    </w:p>
    <w:p w14:paraId="5ED349CD" w14:textId="77777777" w:rsidR="00C608E3" w:rsidRDefault="00000000">
      <w:pPr>
        <w:pStyle w:val="a7"/>
        <w:spacing w:beforeAutospacing="0" w:after="210" w:afterAutospacing="0" w:line="360" w:lineRule="auto"/>
        <w:rPr>
          <w:rFonts w:cs="Arial"/>
          <w:szCs w:val="24"/>
        </w:rPr>
      </w:pPr>
      <w:r>
        <w:rPr>
          <w:rFonts w:cs="Arial"/>
          <w:szCs w:val="24"/>
        </w:rPr>
        <w:lastRenderedPageBreak/>
        <w:t xml:space="preserve">Geert Hofstede, Gert Jan Hofstede and Minkov, M. (2010). </w:t>
      </w:r>
      <w:r>
        <w:rPr>
          <w:rFonts w:cs="Arial"/>
          <w:i/>
          <w:iCs/>
          <w:szCs w:val="24"/>
        </w:rPr>
        <w:t>Cultures and Organizations: Software of the mind</w:t>
      </w:r>
      <w:r>
        <w:rPr>
          <w:rFonts w:cs="Arial"/>
          <w:szCs w:val="24"/>
        </w:rPr>
        <w:t>.</w:t>
      </w:r>
    </w:p>
    <w:p w14:paraId="6AC32758" w14:textId="4DBC8522" w:rsidR="00C608E3" w:rsidRDefault="00000000">
      <w:pPr>
        <w:pStyle w:val="a7"/>
        <w:spacing w:beforeAutospacing="0" w:after="210" w:afterAutospacing="0" w:line="360" w:lineRule="auto"/>
        <w:rPr>
          <w:rFonts w:cs="Arial"/>
          <w:szCs w:val="24"/>
        </w:rPr>
      </w:pPr>
      <w:r>
        <w:rPr>
          <w:rFonts w:cs="Arial"/>
          <w:szCs w:val="24"/>
        </w:rPr>
        <w:t xml:space="preserve">Jonsen, K., Point, S., Kelan, E.K. and Grieble, A. (2021). Diversity and inclusion branding: a five-country comparison of corporate websites. </w:t>
      </w:r>
      <w:r>
        <w:rPr>
          <w:rFonts w:cs="Arial"/>
          <w:i/>
          <w:iCs/>
          <w:szCs w:val="24"/>
        </w:rPr>
        <w:t>The International Journal of Human Resource Management</w:t>
      </w:r>
      <w:r>
        <w:rPr>
          <w:rFonts w:cs="Arial"/>
          <w:szCs w:val="24"/>
        </w:rPr>
        <w:t>, 32(3), pp.616–649. doi:</w:t>
      </w:r>
      <w:r w:rsidR="00BA6DBD">
        <w:rPr>
          <w:rFonts w:eastAsiaTheme="minorEastAsia" w:cs="Arial" w:hint="eastAsia"/>
          <w:szCs w:val="24"/>
        </w:rPr>
        <w:t xml:space="preserve"> </w:t>
      </w:r>
      <w:r>
        <w:rPr>
          <w:rFonts w:cs="Arial"/>
          <w:szCs w:val="24"/>
        </w:rPr>
        <w:t>https://doi.org/10.1080/09585192.2018.1496125.</w:t>
      </w:r>
    </w:p>
    <w:p w14:paraId="5BC94E0F" w14:textId="544C3F38" w:rsidR="00C608E3" w:rsidRDefault="00000000">
      <w:pPr>
        <w:pStyle w:val="a7"/>
        <w:spacing w:beforeAutospacing="0" w:after="210" w:afterAutospacing="0" w:line="360" w:lineRule="auto"/>
        <w:rPr>
          <w:rFonts w:cs="Arial"/>
          <w:szCs w:val="24"/>
        </w:rPr>
      </w:pPr>
      <w:r>
        <w:rPr>
          <w:rFonts w:cs="Arial"/>
          <w:szCs w:val="24"/>
        </w:rPr>
        <w:t xml:space="preserve">Kaplina, A. (2021). INTERCULTURAL COMMUNICATION AND CROSS-CULTURAL MANAGEMENT IN UKRAINE. </w:t>
      </w:r>
      <w:r>
        <w:rPr>
          <w:rFonts w:cs="Arial"/>
          <w:i/>
          <w:iCs/>
          <w:szCs w:val="24"/>
        </w:rPr>
        <w:t>Kherson.ua</w:t>
      </w:r>
      <w:r>
        <w:rPr>
          <w:rFonts w:cs="Arial"/>
          <w:szCs w:val="24"/>
        </w:rPr>
        <w:t>. [online] doi:</w:t>
      </w:r>
      <w:r w:rsidR="00BA6DBD">
        <w:rPr>
          <w:rFonts w:eastAsiaTheme="minorEastAsia" w:cs="Arial" w:hint="eastAsia"/>
          <w:szCs w:val="24"/>
        </w:rPr>
        <w:t xml:space="preserve"> </w:t>
      </w:r>
      <w:r>
        <w:rPr>
          <w:rFonts w:cs="Arial"/>
          <w:szCs w:val="24"/>
        </w:rPr>
        <w:t>https://doi.org/978-966-397-239-8.</w:t>
      </w:r>
    </w:p>
    <w:p w14:paraId="54C46F4A" w14:textId="77777777" w:rsidR="00C608E3" w:rsidRDefault="00000000">
      <w:pPr>
        <w:pStyle w:val="a7"/>
        <w:spacing w:beforeAutospacing="0" w:after="210" w:afterAutospacing="0" w:line="360" w:lineRule="auto"/>
        <w:rPr>
          <w:rFonts w:cs="Arial"/>
          <w:szCs w:val="24"/>
        </w:rPr>
      </w:pPr>
      <w:r>
        <w:rPr>
          <w:rFonts w:cs="Arial"/>
          <w:szCs w:val="24"/>
        </w:rPr>
        <w:t xml:space="preserve">Katsikeas, C., Leonidou, L. and Zeriti, A. (2020). Revisiting international marketing strategy in a digital era. </w:t>
      </w:r>
      <w:r>
        <w:rPr>
          <w:rFonts w:cs="Arial"/>
          <w:i/>
          <w:iCs/>
          <w:szCs w:val="24"/>
        </w:rPr>
        <w:t>International Marketing Review</w:t>
      </w:r>
      <w:r>
        <w:rPr>
          <w:rFonts w:cs="Arial"/>
          <w:szCs w:val="24"/>
        </w:rPr>
        <w:t>, 37(3), pp.405–424.</w:t>
      </w:r>
    </w:p>
    <w:p w14:paraId="0EEE3B8F" w14:textId="0C222755" w:rsidR="00C608E3" w:rsidRDefault="00000000">
      <w:pPr>
        <w:pStyle w:val="a7"/>
        <w:spacing w:beforeAutospacing="0" w:after="210" w:afterAutospacing="0" w:line="360" w:lineRule="auto"/>
        <w:rPr>
          <w:rFonts w:cs="Arial"/>
          <w:szCs w:val="24"/>
        </w:rPr>
      </w:pPr>
      <w:r>
        <w:rPr>
          <w:rFonts w:cs="Arial"/>
          <w:szCs w:val="24"/>
        </w:rPr>
        <w:t xml:space="preserve">Kim, C. and Lee, S. (2020). Understanding the Cultural Differences in Tourist Motivation Between Anglo-American and Japanese Tourists. </w:t>
      </w:r>
      <w:r>
        <w:rPr>
          <w:rFonts w:cs="Arial"/>
          <w:i/>
          <w:iCs/>
          <w:szCs w:val="24"/>
        </w:rPr>
        <w:t>Japanese Tourists: Socio-Economic, Marketing and Psychological Analysis</w:t>
      </w:r>
      <w:r>
        <w:rPr>
          <w:rFonts w:cs="Arial"/>
          <w:szCs w:val="24"/>
        </w:rPr>
        <w:t>, pp.153–170. doi:</w:t>
      </w:r>
      <w:r w:rsidR="00BA6DBD">
        <w:rPr>
          <w:rFonts w:eastAsiaTheme="minorEastAsia" w:cs="Arial" w:hint="eastAsia"/>
          <w:szCs w:val="24"/>
        </w:rPr>
        <w:t xml:space="preserve"> </w:t>
      </w:r>
      <w:r>
        <w:rPr>
          <w:rFonts w:cs="Arial"/>
          <w:szCs w:val="24"/>
        </w:rPr>
        <w:t>https://doi.org/10.4324/9780203823989-9.</w:t>
      </w:r>
    </w:p>
    <w:p w14:paraId="646F8FF9" w14:textId="154B8F25" w:rsidR="00C608E3" w:rsidRDefault="00000000">
      <w:pPr>
        <w:pStyle w:val="a7"/>
        <w:spacing w:beforeAutospacing="0" w:after="210" w:afterAutospacing="0" w:line="360" w:lineRule="auto"/>
        <w:rPr>
          <w:rFonts w:cs="Arial"/>
          <w:szCs w:val="24"/>
        </w:rPr>
      </w:pPr>
      <w:r>
        <w:rPr>
          <w:rFonts w:cs="Arial"/>
          <w:szCs w:val="24"/>
        </w:rPr>
        <w:t xml:space="preserve">Lin, H. and Lou, L. (2024). A Study on Cross-Cultural Business Communication Based on Hofstede’s Cultural Dimensions Theory. </w:t>
      </w:r>
      <w:r>
        <w:rPr>
          <w:rFonts w:cs="Arial"/>
          <w:i/>
          <w:iCs/>
          <w:szCs w:val="24"/>
        </w:rPr>
        <w:t>Open Journal of Social Sciences</w:t>
      </w:r>
      <w:r>
        <w:rPr>
          <w:rFonts w:cs="Arial"/>
          <w:szCs w:val="24"/>
        </w:rPr>
        <w:t>, 12(09), pp.352–368. doi:</w:t>
      </w:r>
      <w:r w:rsidR="00BA6DBD">
        <w:rPr>
          <w:rFonts w:eastAsiaTheme="minorEastAsia" w:cs="Arial" w:hint="eastAsia"/>
          <w:szCs w:val="24"/>
        </w:rPr>
        <w:t xml:space="preserve"> </w:t>
      </w:r>
      <w:r>
        <w:rPr>
          <w:rFonts w:cs="Arial"/>
          <w:szCs w:val="24"/>
        </w:rPr>
        <w:t>https://doi.org/10.4236/jss.2024.129021.</w:t>
      </w:r>
    </w:p>
    <w:p w14:paraId="26F3380C" w14:textId="0EBF38D0" w:rsidR="00C608E3" w:rsidRDefault="00000000">
      <w:pPr>
        <w:pStyle w:val="a7"/>
        <w:spacing w:beforeAutospacing="0" w:after="210" w:afterAutospacing="0" w:line="360" w:lineRule="auto"/>
        <w:rPr>
          <w:rFonts w:cs="Arial"/>
          <w:szCs w:val="24"/>
        </w:rPr>
      </w:pPr>
      <w:r>
        <w:rPr>
          <w:rFonts w:cs="Arial"/>
          <w:szCs w:val="24"/>
        </w:rPr>
        <w:t xml:space="preserve">Minkov, M. (2024). Evolution of the Minkov–Hofstede model. </w:t>
      </w:r>
      <w:r>
        <w:rPr>
          <w:rFonts w:cs="Arial"/>
          <w:i/>
          <w:iCs/>
          <w:szCs w:val="24"/>
        </w:rPr>
        <w:t>Routledge eBooks</w:t>
      </w:r>
      <w:r>
        <w:rPr>
          <w:rFonts w:cs="Arial"/>
          <w:szCs w:val="24"/>
        </w:rPr>
        <w:t>, pp.119–134. doi:</w:t>
      </w:r>
      <w:r w:rsidR="00BA6DBD">
        <w:rPr>
          <w:rFonts w:eastAsiaTheme="minorEastAsia" w:cs="Arial" w:hint="eastAsia"/>
          <w:szCs w:val="24"/>
        </w:rPr>
        <w:t xml:space="preserve"> </w:t>
      </w:r>
      <w:r>
        <w:rPr>
          <w:rFonts w:cs="Arial"/>
          <w:szCs w:val="24"/>
        </w:rPr>
        <w:t>https://doi.org/10.4324/9781003410348-11.</w:t>
      </w:r>
    </w:p>
    <w:p w14:paraId="5BB9F01C" w14:textId="58F34A25" w:rsidR="00C608E3" w:rsidRDefault="00000000">
      <w:pPr>
        <w:pStyle w:val="a7"/>
        <w:spacing w:beforeAutospacing="0" w:after="210" w:afterAutospacing="0" w:line="360" w:lineRule="auto"/>
        <w:rPr>
          <w:rFonts w:cs="Arial"/>
          <w:szCs w:val="24"/>
        </w:rPr>
      </w:pPr>
      <w:r>
        <w:rPr>
          <w:rFonts w:cs="Arial"/>
          <w:szCs w:val="24"/>
        </w:rPr>
        <w:t xml:space="preserve">Minkov, M. and Hofstede, G. (2011). The Evolution of Hofstede’s Doctrine. </w:t>
      </w:r>
      <w:r>
        <w:rPr>
          <w:rFonts w:cs="Arial"/>
          <w:i/>
          <w:iCs/>
          <w:szCs w:val="24"/>
        </w:rPr>
        <w:t>Cross Cultural Management: An International Journal</w:t>
      </w:r>
      <w:r>
        <w:rPr>
          <w:rFonts w:cs="Arial"/>
          <w:szCs w:val="24"/>
        </w:rPr>
        <w:t>, [online] 18(1), pp.10–20. doi:</w:t>
      </w:r>
      <w:r w:rsidR="00BA6DBD">
        <w:rPr>
          <w:rFonts w:eastAsiaTheme="minorEastAsia" w:cs="Arial" w:hint="eastAsia"/>
          <w:szCs w:val="24"/>
        </w:rPr>
        <w:t xml:space="preserve"> </w:t>
      </w:r>
      <w:r>
        <w:rPr>
          <w:rFonts w:cs="Arial"/>
          <w:szCs w:val="24"/>
        </w:rPr>
        <w:t>https://doi.org/10.1108/13527601111104269.</w:t>
      </w:r>
    </w:p>
    <w:p w14:paraId="073D5484" w14:textId="08704B55" w:rsidR="00C608E3" w:rsidRDefault="00000000">
      <w:pPr>
        <w:pStyle w:val="a7"/>
        <w:spacing w:beforeAutospacing="0" w:after="210" w:afterAutospacing="0" w:line="360" w:lineRule="auto"/>
        <w:rPr>
          <w:rFonts w:cs="Arial"/>
          <w:szCs w:val="24"/>
        </w:rPr>
      </w:pPr>
      <w:r>
        <w:rPr>
          <w:rFonts w:cs="Arial"/>
          <w:szCs w:val="24"/>
        </w:rPr>
        <w:t xml:space="preserve">Peterson, M.F., Arregle, J.-L. and Martin, X. (2019). Multilevel Models in International Business Research. </w:t>
      </w:r>
      <w:r>
        <w:rPr>
          <w:rFonts w:cs="Arial"/>
          <w:i/>
          <w:iCs/>
          <w:szCs w:val="24"/>
        </w:rPr>
        <w:t>Research Methods in International Business</w:t>
      </w:r>
      <w:r>
        <w:rPr>
          <w:rFonts w:cs="Arial"/>
          <w:szCs w:val="24"/>
        </w:rPr>
        <w:t>, pp.417–432. doi:</w:t>
      </w:r>
      <w:r w:rsidR="00BA6DBD">
        <w:rPr>
          <w:rFonts w:eastAsiaTheme="minorEastAsia" w:cs="Arial" w:hint="eastAsia"/>
          <w:szCs w:val="24"/>
        </w:rPr>
        <w:t xml:space="preserve"> </w:t>
      </w:r>
      <w:r>
        <w:rPr>
          <w:rFonts w:cs="Arial"/>
          <w:szCs w:val="24"/>
        </w:rPr>
        <w:t>https://doi.org/10.1007/978-3-030-22113-3_23.</w:t>
      </w:r>
    </w:p>
    <w:p w14:paraId="56E00679" w14:textId="4ED196B9" w:rsidR="00C608E3" w:rsidRDefault="00BA6DBD">
      <w:pPr>
        <w:pStyle w:val="a7"/>
        <w:spacing w:beforeAutospacing="0" w:after="210" w:afterAutospacing="0" w:line="360" w:lineRule="auto"/>
        <w:rPr>
          <w:rFonts w:cs="Arial"/>
          <w:szCs w:val="24"/>
        </w:rPr>
      </w:pPr>
      <w:r>
        <w:rPr>
          <w:rFonts w:cs="Arial"/>
          <w:szCs w:val="24"/>
        </w:rPr>
        <w:t>Rocha,</w:t>
      </w:r>
      <w:r w:rsidR="00000000">
        <w:rPr>
          <w:rFonts w:cs="Arial"/>
          <w:szCs w:val="24"/>
        </w:rPr>
        <w:t xml:space="preserve"> P. (2024). </w:t>
      </w:r>
      <w:r w:rsidR="00000000">
        <w:rPr>
          <w:rFonts w:cs="Arial"/>
          <w:i/>
          <w:iCs/>
          <w:szCs w:val="24"/>
        </w:rPr>
        <w:t>Cultural Correlates of Personality: A Global Perspective With Insights From 22 Nations</w:t>
      </w:r>
      <w:r w:rsidR="00000000">
        <w:rPr>
          <w:rFonts w:cs="Arial"/>
          <w:szCs w:val="24"/>
        </w:rPr>
        <w:t>. [online] Cross-Cultural Research. Available at:</w:t>
      </w:r>
      <w:r>
        <w:rPr>
          <w:rFonts w:eastAsiaTheme="minorEastAsia" w:cs="Arial" w:hint="eastAsia"/>
          <w:szCs w:val="24"/>
        </w:rPr>
        <w:t xml:space="preserve"> </w:t>
      </w:r>
      <w:r w:rsidR="00000000">
        <w:rPr>
          <w:rFonts w:cs="Arial"/>
          <w:szCs w:val="24"/>
        </w:rPr>
        <w:t>https://journals.sagepub.com/doi/full/10.1177/10693971241264363.</w:t>
      </w:r>
    </w:p>
    <w:p w14:paraId="6B652479" w14:textId="77777777" w:rsidR="00C608E3" w:rsidRDefault="00000000">
      <w:pPr>
        <w:pStyle w:val="a7"/>
        <w:spacing w:beforeAutospacing="0" w:after="210" w:afterAutospacing="0" w:line="360" w:lineRule="auto"/>
        <w:rPr>
          <w:rFonts w:cs="Arial"/>
          <w:szCs w:val="24"/>
        </w:rPr>
      </w:pPr>
      <w:r>
        <w:rPr>
          <w:rFonts w:cs="Arial"/>
          <w:szCs w:val="24"/>
        </w:rPr>
        <w:lastRenderedPageBreak/>
        <w:t xml:space="preserve">Ryszka, J. (2024). </w:t>
      </w:r>
      <w:r>
        <w:rPr>
          <w:rFonts w:cs="Arial"/>
          <w:i/>
          <w:iCs/>
          <w:szCs w:val="24"/>
        </w:rPr>
        <w:t>THE IMPACT OF THE BRITISH- JAPANESE RELATIONS ON BRITISH ENGLISH: A DIACHRONIC SOCIOLINGUISTIC STUDY</w:t>
      </w:r>
      <w:r>
        <w:rPr>
          <w:rFonts w:cs="Arial"/>
          <w:szCs w:val="24"/>
        </w:rPr>
        <w:t>. [online] Available at: https://iris.uniroma1.it/retrieve/4d516bf2-deb7-4bef-9813-e3ddf3fcc6c2/Tesi_dottorato_Ryszka.pdf [Accessed 8 Jan. 2025].</w:t>
      </w:r>
    </w:p>
    <w:p w14:paraId="223531F7" w14:textId="77777777" w:rsidR="00C608E3" w:rsidRPr="00BA6DBD" w:rsidRDefault="00000000">
      <w:pPr>
        <w:pStyle w:val="a7"/>
        <w:spacing w:beforeAutospacing="0" w:after="210" w:afterAutospacing="0" w:line="360" w:lineRule="auto"/>
        <w:rPr>
          <w:rFonts w:cs="Arial"/>
          <w:szCs w:val="24"/>
          <w:lang w:val="fr-FR"/>
        </w:rPr>
      </w:pPr>
      <w:r>
        <w:rPr>
          <w:rFonts w:cs="Arial"/>
          <w:szCs w:val="24"/>
        </w:rPr>
        <w:t xml:space="preserve">Setti, I., Sommovigo, V. and Argentero, P. (2022). Enhancing expatriates’ assignments success: The relationships between cultural intelligence, cross-cultural adaptation and performance. </w:t>
      </w:r>
      <w:r w:rsidRPr="00BA6DBD">
        <w:rPr>
          <w:rFonts w:cs="Arial"/>
          <w:i/>
          <w:iCs/>
          <w:szCs w:val="24"/>
          <w:lang w:val="fr-FR"/>
        </w:rPr>
        <w:t>Current Psychology</w:t>
      </w:r>
      <w:r w:rsidRPr="00BA6DBD">
        <w:rPr>
          <w:rFonts w:cs="Arial"/>
          <w:szCs w:val="24"/>
          <w:lang w:val="fr-FR"/>
        </w:rPr>
        <w:t>, [online] 41(2), pp.4291–4311. doi:https://doi.org/10.1007/s12144-020-00931-w.</w:t>
      </w:r>
    </w:p>
    <w:p w14:paraId="6DCA9BE2" w14:textId="0A7FCAF6" w:rsidR="00C608E3" w:rsidRDefault="00000000">
      <w:pPr>
        <w:pStyle w:val="a7"/>
        <w:spacing w:beforeAutospacing="0" w:after="210" w:afterAutospacing="0" w:line="360" w:lineRule="auto"/>
        <w:rPr>
          <w:rFonts w:cs="Arial"/>
          <w:szCs w:val="24"/>
        </w:rPr>
      </w:pPr>
      <w:r>
        <w:rPr>
          <w:rFonts w:cs="Arial"/>
          <w:szCs w:val="24"/>
        </w:rPr>
        <w:t xml:space="preserve">Sevinur Çuhadar (2022). LINK BETWEEN NATIONAL CULTURE AND LEADERSHIP STYLES OF MANAGERS IN ORGANIZATIONS. </w:t>
      </w:r>
      <w:r>
        <w:rPr>
          <w:rFonts w:cs="Arial"/>
          <w:i/>
          <w:iCs/>
          <w:szCs w:val="24"/>
        </w:rPr>
        <w:t>Network Intelligence Studies</w:t>
      </w:r>
      <w:r>
        <w:rPr>
          <w:rFonts w:cs="Arial"/>
          <w:szCs w:val="24"/>
        </w:rPr>
        <w:t>, [online] X</w:t>
      </w:r>
      <w:r w:rsidR="00BA6DBD">
        <w:rPr>
          <w:rFonts w:eastAsiaTheme="minorEastAsia" w:cs="Arial" w:hint="eastAsia"/>
          <w:szCs w:val="24"/>
        </w:rPr>
        <w:t xml:space="preserve"> </w:t>
      </w:r>
      <w:r>
        <w:rPr>
          <w:rFonts w:cs="Arial"/>
          <w:szCs w:val="24"/>
        </w:rPr>
        <w:t>(20), pp.111–119. Available at: https://www.ceeol.com/search/article-detail?id=1194891 [Accessed 19 Dec. 2024].</w:t>
      </w:r>
    </w:p>
    <w:p w14:paraId="10CB0E10" w14:textId="77777777" w:rsidR="00C608E3" w:rsidRDefault="00000000">
      <w:pPr>
        <w:pStyle w:val="a7"/>
        <w:spacing w:beforeAutospacing="0" w:after="210" w:afterAutospacing="0" w:line="360" w:lineRule="auto"/>
        <w:rPr>
          <w:rFonts w:cs="Arial"/>
          <w:szCs w:val="24"/>
        </w:rPr>
      </w:pPr>
      <w:r>
        <w:rPr>
          <w:rFonts w:cs="Arial"/>
          <w:szCs w:val="24"/>
        </w:rPr>
        <w:t xml:space="preserve">Trompenaars, F. and Hampden-Turner, C. (2012). </w:t>
      </w:r>
      <w:r>
        <w:rPr>
          <w:rFonts w:cs="Arial"/>
          <w:i/>
          <w:iCs/>
          <w:szCs w:val="24"/>
        </w:rPr>
        <w:t>Riding the Waves of Culture: Understanding Diversity in Global Business 3/E.</w:t>
      </w:r>
      <w:r>
        <w:rPr>
          <w:rFonts w:cs="Arial"/>
          <w:szCs w:val="24"/>
        </w:rPr>
        <w:t xml:space="preserve"> Mcgraw-Hill Companies.</w:t>
      </w:r>
    </w:p>
    <w:p w14:paraId="58E73116" w14:textId="6399E667" w:rsidR="00C608E3" w:rsidRDefault="00000000">
      <w:pPr>
        <w:pStyle w:val="a7"/>
        <w:spacing w:beforeAutospacing="0" w:after="210" w:afterAutospacing="0" w:line="360" w:lineRule="auto"/>
        <w:rPr>
          <w:rFonts w:cs="Arial"/>
          <w:szCs w:val="24"/>
        </w:rPr>
      </w:pPr>
      <w:r>
        <w:rPr>
          <w:rFonts w:cs="Arial"/>
          <w:szCs w:val="24"/>
        </w:rPr>
        <w:t xml:space="preserve">Welch, C., Paavilainen-Mäntymäki, E., Piekkari, R. and Plakoyiannaki, E. (2022). Reconciling theory and context: How the case study can set a new agenda for international business research. </w:t>
      </w:r>
      <w:r>
        <w:rPr>
          <w:rFonts w:cs="Arial"/>
          <w:i/>
          <w:iCs/>
          <w:szCs w:val="24"/>
        </w:rPr>
        <w:t>Journal of International Business Studies</w:t>
      </w:r>
      <w:r>
        <w:rPr>
          <w:rFonts w:cs="Arial"/>
          <w:szCs w:val="24"/>
        </w:rPr>
        <w:t>, 53(1), pp.4–26. doi:</w:t>
      </w:r>
      <w:r w:rsidR="00BA6DBD">
        <w:rPr>
          <w:rFonts w:eastAsiaTheme="minorEastAsia" w:cs="Arial" w:hint="eastAsia"/>
          <w:szCs w:val="24"/>
        </w:rPr>
        <w:t xml:space="preserve"> </w:t>
      </w:r>
      <w:r>
        <w:rPr>
          <w:rFonts w:cs="Arial"/>
          <w:szCs w:val="24"/>
        </w:rPr>
        <w:t>https://doi.org/10.1057/s41267-021-00484-5.</w:t>
      </w:r>
    </w:p>
    <w:p w14:paraId="3852F874" w14:textId="2228EF9C" w:rsidR="00C608E3" w:rsidRDefault="00000000">
      <w:pPr>
        <w:pStyle w:val="a7"/>
        <w:spacing w:beforeAutospacing="0" w:after="210" w:afterAutospacing="0" w:line="360" w:lineRule="auto"/>
        <w:rPr>
          <w:rFonts w:cs="Arial"/>
          <w:szCs w:val="24"/>
        </w:rPr>
      </w:pPr>
      <w:r>
        <w:rPr>
          <w:rFonts w:cs="Arial"/>
          <w:szCs w:val="24"/>
        </w:rPr>
        <w:t xml:space="preserve">Winch, J. (2024). Investigation of Cultural Identity of Students Who Study Japanese Language at British Universities Between 2012-2023. </w:t>
      </w:r>
      <w:r>
        <w:rPr>
          <w:rFonts w:cs="Arial"/>
          <w:i/>
          <w:iCs/>
          <w:szCs w:val="24"/>
        </w:rPr>
        <w:t>International Journal of Changes in Education</w:t>
      </w:r>
      <w:r>
        <w:rPr>
          <w:rFonts w:cs="Arial"/>
          <w:szCs w:val="24"/>
        </w:rPr>
        <w:t>, 1(4). doi:</w:t>
      </w:r>
      <w:r w:rsidR="00BA6DBD">
        <w:rPr>
          <w:rFonts w:eastAsiaTheme="minorEastAsia" w:cs="Arial" w:hint="eastAsia"/>
          <w:szCs w:val="24"/>
        </w:rPr>
        <w:t xml:space="preserve"> </w:t>
      </w:r>
      <w:r>
        <w:rPr>
          <w:rFonts w:cs="Arial"/>
          <w:szCs w:val="24"/>
        </w:rPr>
        <w:t>https://doi.org/10.47852/bonviewijce42022332.</w:t>
      </w:r>
    </w:p>
    <w:p w14:paraId="62123D59" w14:textId="177D069F" w:rsidR="00C608E3" w:rsidRDefault="00000000">
      <w:pPr>
        <w:pStyle w:val="a7"/>
        <w:spacing w:beforeAutospacing="0" w:after="210" w:afterAutospacing="0" w:line="360" w:lineRule="auto"/>
        <w:rPr>
          <w:rFonts w:cs="Arial"/>
          <w:szCs w:val="24"/>
        </w:rPr>
      </w:pPr>
      <w:r>
        <w:rPr>
          <w:rFonts w:cs="Arial"/>
          <w:szCs w:val="24"/>
        </w:rPr>
        <w:t xml:space="preserve">Zander, L. (2024). Interpersonal leadership across cultures: a historical exposé and a research agenda. </w:t>
      </w:r>
      <w:r>
        <w:rPr>
          <w:rFonts w:cs="Arial"/>
          <w:i/>
          <w:iCs/>
          <w:szCs w:val="24"/>
        </w:rPr>
        <w:t>Routledge eBooks</w:t>
      </w:r>
      <w:r>
        <w:rPr>
          <w:rFonts w:cs="Arial"/>
          <w:szCs w:val="24"/>
        </w:rPr>
        <w:t>, pp.38–61. doi:</w:t>
      </w:r>
      <w:r w:rsidR="00BA6DBD">
        <w:rPr>
          <w:rFonts w:eastAsiaTheme="minorEastAsia" w:cs="Arial" w:hint="eastAsia"/>
          <w:szCs w:val="24"/>
        </w:rPr>
        <w:t xml:space="preserve"> </w:t>
      </w:r>
      <w:r>
        <w:rPr>
          <w:rFonts w:cs="Arial"/>
          <w:szCs w:val="24"/>
        </w:rPr>
        <w:t>https://doi.org/10.4324/9781003459903-5.</w:t>
      </w:r>
    </w:p>
    <w:p w14:paraId="70C87CE9" w14:textId="77777777" w:rsidR="00C608E3" w:rsidRDefault="00C608E3">
      <w:pPr>
        <w:spacing w:line="480" w:lineRule="auto"/>
        <w:rPr>
          <w:rFonts w:cs="Arial"/>
          <w:szCs w:val="24"/>
        </w:rPr>
      </w:pPr>
    </w:p>
    <w:sectPr w:rsidR="00C608E3">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8603E" w14:textId="77777777" w:rsidR="00140DB6" w:rsidRDefault="00140DB6">
      <w:pPr>
        <w:spacing w:line="240" w:lineRule="auto"/>
      </w:pPr>
      <w:r>
        <w:separator/>
      </w:r>
    </w:p>
  </w:endnote>
  <w:endnote w:type="continuationSeparator" w:id="0">
    <w:p w14:paraId="1434B712" w14:textId="77777777" w:rsidR="00140DB6" w:rsidRDefault="00140D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028B" w14:textId="77777777" w:rsidR="00C608E3" w:rsidRDefault="00C608E3">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298181"/>
    </w:sdtPr>
    <w:sdtContent>
      <w:p w14:paraId="3F5BE69D" w14:textId="77777777" w:rsidR="00C608E3" w:rsidRDefault="00000000">
        <w:pPr>
          <w:pStyle w:val="a3"/>
          <w:jc w:val="right"/>
        </w:pPr>
        <w:r>
          <w:fldChar w:fldCharType="begin"/>
        </w:r>
        <w:r>
          <w:instrText xml:space="preserve"> PAGE   \* MERGEFORMAT </w:instrText>
        </w:r>
        <w:r>
          <w:fldChar w:fldCharType="separate"/>
        </w:r>
        <w:r>
          <w:t>2</w:t>
        </w:r>
        <w:r>
          <w:fldChar w:fldCharType="end"/>
        </w:r>
      </w:p>
    </w:sdtContent>
  </w:sdt>
  <w:p w14:paraId="43AAF099" w14:textId="77777777" w:rsidR="00C608E3" w:rsidRDefault="00C608E3">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CD10" w14:textId="77777777" w:rsidR="00C608E3" w:rsidRDefault="00C608E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A0F35" w14:textId="77777777" w:rsidR="00140DB6" w:rsidRDefault="00140DB6">
      <w:pPr>
        <w:spacing w:after="0"/>
      </w:pPr>
      <w:r>
        <w:separator/>
      </w:r>
    </w:p>
  </w:footnote>
  <w:footnote w:type="continuationSeparator" w:id="0">
    <w:p w14:paraId="292F118E" w14:textId="77777777" w:rsidR="00140DB6" w:rsidRDefault="00140DB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27AC9" w14:textId="77777777" w:rsidR="00C608E3" w:rsidRDefault="00C608E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76C6" w14:textId="77777777" w:rsidR="00C608E3" w:rsidRDefault="00C608E3">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8FE3C" w14:textId="77777777" w:rsidR="00C608E3" w:rsidRDefault="00C608E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944"/>
    <w:rsid w:val="00012476"/>
    <w:rsid w:val="0001453D"/>
    <w:rsid w:val="00040D9C"/>
    <w:rsid w:val="000566C5"/>
    <w:rsid w:val="000A7C32"/>
    <w:rsid w:val="001262C4"/>
    <w:rsid w:val="00140DB6"/>
    <w:rsid w:val="00175252"/>
    <w:rsid w:val="001F286F"/>
    <w:rsid w:val="002625BC"/>
    <w:rsid w:val="00291944"/>
    <w:rsid w:val="002B6B57"/>
    <w:rsid w:val="004C5647"/>
    <w:rsid w:val="005146E3"/>
    <w:rsid w:val="00547941"/>
    <w:rsid w:val="00681208"/>
    <w:rsid w:val="006E1E9A"/>
    <w:rsid w:val="0097226F"/>
    <w:rsid w:val="00A56539"/>
    <w:rsid w:val="00A71DAD"/>
    <w:rsid w:val="00B21E01"/>
    <w:rsid w:val="00B638B9"/>
    <w:rsid w:val="00BA6DBD"/>
    <w:rsid w:val="00C608E3"/>
    <w:rsid w:val="00D136B9"/>
    <w:rsid w:val="00D460E5"/>
    <w:rsid w:val="00DA6A9F"/>
    <w:rsid w:val="00DF20D9"/>
    <w:rsid w:val="00E67C18"/>
    <w:rsid w:val="00F51F88"/>
    <w:rsid w:val="107F2121"/>
    <w:rsid w:val="26EA68CE"/>
    <w:rsid w:val="4BFD28B1"/>
    <w:rsid w:val="548C2B84"/>
    <w:rsid w:val="5BA22C45"/>
    <w:rsid w:val="5BB4293B"/>
    <w:rsid w:val="7CF463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652FFD0"/>
  <w15:docId w15:val="{B57AB47E-E96D-484A-A9A4-DE9812E63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semiHidden/>
    <w:unhideWhenUsed/>
    <w:qFormat/>
    <w:pPr>
      <w:spacing w:beforeAutospacing="1" w:after="0" w:afterAutospacing="1"/>
      <w:outlineLvl w:val="2"/>
    </w:pPr>
    <w:rPr>
      <w:rFonts w:ascii="宋体" w:eastAsia="宋体" w:hAnsi="宋体" w:cs="Times New Roman" w:hint="eastAsia"/>
      <w:b/>
      <w:bCs/>
      <w:sz w:val="27"/>
      <w:szCs w:val="27"/>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3">
    <w:name w:val="toc 3"/>
    <w:basedOn w:val="a"/>
    <w:next w:val="a"/>
    <w:uiPriority w:val="39"/>
    <w:semiHidden/>
    <w:unhideWhenUsed/>
    <w:qFormat/>
    <w:pPr>
      <w:ind w:leftChars="400" w:left="840"/>
    </w:pPr>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autoRedefine/>
    <w:uiPriority w:val="39"/>
    <w:unhideWhenUsed/>
    <w:qFormat/>
    <w:pPr>
      <w:spacing w:after="100"/>
    </w:pPr>
  </w:style>
  <w:style w:type="paragraph" w:styleId="TOC2">
    <w:name w:val="toc 2"/>
    <w:basedOn w:val="a"/>
    <w:next w:val="a"/>
    <w:autoRedefine/>
    <w:uiPriority w:val="39"/>
    <w:unhideWhenUsed/>
    <w:qFormat/>
    <w:pPr>
      <w:spacing w:after="100"/>
      <w:ind w:left="240"/>
    </w:pPr>
  </w:style>
  <w:style w:type="paragraph" w:styleId="a7">
    <w:name w:val="Normal (Web)"/>
    <w:basedOn w:val="a"/>
    <w:qFormat/>
    <w:pPr>
      <w:spacing w:beforeAutospacing="1" w:after="0" w:afterAutospacing="1"/>
    </w:pPr>
    <w:rPr>
      <w:rFonts w:cs="Times New Roman"/>
      <w:lang w:val="en-US" w:eastAsia="zh-CN"/>
    </w:rPr>
  </w:style>
  <w:style w:type="character" w:styleId="a8">
    <w:name w:val="Strong"/>
    <w:basedOn w:val="a0"/>
    <w:qFormat/>
    <w:rPr>
      <w:b/>
    </w:rPr>
  </w:style>
  <w:style w:type="character" w:styleId="a9">
    <w:name w:val="Emphasis"/>
    <w:basedOn w:val="a0"/>
    <w:qFormat/>
    <w:rPr>
      <w:i/>
    </w:rPr>
  </w:style>
  <w:style w:type="character" w:styleId="aa">
    <w:name w:val="Hyperlink"/>
    <w:basedOn w:val="a0"/>
    <w:uiPriority w:val="99"/>
    <w:unhideWhenUsed/>
    <w:qFormat/>
    <w:rPr>
      <w:color w:val="0563C1" w:themeColor="hyperlink"/>
      <w:u w:val="single"/>
    </w:rPr>
  </w:style>
  <w:style w:type="paragraph" w:styleId="ab">
    <w:name w:val="No Spacing"/>
    <w:link w:val="ac"/>
    <w:uiPriority w:val="1"/>
    <w:qFormat/>
    <w:rPr>
      <w:rFonts w:asciiTheme="minorHAnsi" w:eastAsiaTheme="minorEastAsia" w:hAnsiTheme="minorHAnsi" w:cstheme="minorBidi"/>
      <w:sz w:val="22"/>
      <w:szCs w:val="22"/>
      <w:lang w:eastAsia="en-US"/>
    </w:rPr>
  </w:style>
  <w:style w:type="character" w:customStyle="1" w:styleId="ac">
    <w:name w:val="无间隔 字符"/>
    <w:basedOn w:val="a0"/>
    <w:link w:val="ab"/>
    <w:uiPriority w:val="1"/>
    <w:qFormat/>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paragraph" w:styleId="ad">
    <w:name w:val="List Paragraph"/>
    <w:basedOn w:val="a"/>
    <w:uiPriority w:val="99"/>
    <w:unhideWhenUsed/>
    <w:rsid w:val="0054794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10.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Module Code and Name</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B4370D-9610-48FF-8AA8-BAC8A51B3868}">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3796</Words>
  <Characters>21641</Characters>
  <Application>Microsoft Office Word</Application>
  <DocSecurity>0</DocSecurity>
  <Lines>180</Lines>
  <Paragraphs>50</Paragraphs>
  <ScaleCrop>false</ScaleCrop>
  <Company/>
  <LinksUpToDate>false</LinksUpToDate>
  <CharactersWithSpaces>25387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heading</dc:title>
  <dc:creator>Your Name and P Number</dc:creator>
  <cp:lastModifiedBy>Shuqi Xin (2317430)</cp:lastModifiedBy>
  <cp:revision>10</cp:revision>
  <dcterms:created xsi:type="dcterms:W3CDTF">2022-10-17T18:57:00Z</dcterms:created>
  <dcterms:modified xsi:type="dcterms:W3CDTF">2025-01-08T17:30:00Z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ADE9F9B893E440FBA6E809F76E727F01_13</vt:lpwstr>
  </property>
  <property fmtid="{D5CDD505-2E9C-101B-9397-08002B2CF9AE}" pid="4" name="KSOTemplateDocerSaveRecord">
    <vt:lpwstr>eyJoZGlkIjoiYzZmZjEyOWExNGNkYzQzMWE4YzMxZDEyYjlkNjdhNjIiLCJ1c2VySWQiOiIxMTM5NDU5NjkxIn0=</vt:lpwstr>
  </property>
</Properties>
</file>