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67BD6169" w:rsidR="00DD5969" w:rsidRPr="00DD5969" w:rsidRDefault="00DD5969" w:rsidP="00DD5969">
      <w:pPr>
        <w:spacing w:before="3"/>
        <w:rPr>
          <w:rFonts w:ascii="Arial"/>
          <w:b/>
          <w:sz w:val="48"/>
          <w:szCs w:val="48"/>
        </w:rPr>
      </w:pPr>
      <w:r w:rsidRPr="00DD5969">
        <w:rPr>
          <w:rFonts w:ascii="Arial"/>
          <w:b/>
          <w:sz w:val="48"/>
          <w:szCs w:val="48"/>
        </w:rPr>
        <w:t>STUDENT NAME:</w:t>
      </w:r>
      <w:r w:rsidR="009A34FD">
        <w:rPr>
          <w:rFonts w:ascii="Arial"/>
          <w:b/>
          <w:sz w:val="48"/>
          <w:szCs w:val="48"/>
        </w:rPr>
        <w:t xml:space="preserve"> Jessica Strong</w:t>
      </w:r>
    </w:p>
    <w:p w14:paraId="0D16D138" w14:textId="77777777" w:rsidR="00DD5969" w:rsidRPr="00DD5969" w:rsidRDefault="00DD5969" w:rsidP="00DD5969">
      <w:pPr>
        <w:spacing w:before="3"/>
        <w:rPr>
          <w:rFonts w:ascii="Arial"/>
          <w:b/>
          <w:sz w:val="48"/>
          <w:szCs w:val="48"/>
        </w:rPr>
      </w:pPr>
    </w:p>
    <w:p w14:paraId="18107AFF" w14:textId="6057A15D"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A34FD">
        <w:rPr>
          <w:rFonts w:ascii="Arial"/>
          <w:b/>
          <w:sz w:val="48"/>
          <w:szCs w:val="48"/>
        </w:rPr>
        <w:t xml:space="preserve"> 2304319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44C358F6" w14:textId="2EBD485E" w:rsidR="00DD5969" w:rsidRPr="00DD5969" w:rsidRDefault="00DD5969" w:rsidP="00DD5969">
      <w:r w:rsidRPr="00DD5969">
        <w:t xml:space="preserve">I acknowledge the use of </w:t>
      </w:r>
      <w:proofErr w:type="spellStart"/>
      <w:r w:rsidR="009A34FD">
        <w:t>ChatGBT</w:t>
      </w:r>
      <w:proofErr w:type="spellEnd"/>
      <w:r w:rsidR="009A34FD">
        <w:t xml:space="preserve">  </w:t>
      </w:r>
      <w:hyperlink r:id="rId6" w:history="1">
        <w:r w:rsidR="009A34FD" w:rsidRPr="000B5729">
          <w:rPr>
            <w:rStyle w:val="Hyperlink"/>
          </w:rPr>
          <w:t>https://chatgpt.com</w:t>
        </w:r>
      </w:hyperlink>
      <w:r w:rsidR="009A34FD">
        <w:t xml:space="preserve"> </w:t>
      </w:r>
      <w:r w:rsidRPr="00DD5969">
        <w:t>on</w:t>
      </w:r>
      <w:r w:rsidR="009A34FD">
        <w:t xml:space="preserve"> 24/04/25 </w:t>
      </w:r>
      <w:r w:rsidRPr="00DD5969">
        <w:t>to</w:t>
      </w:r>
      <w:r w:rsidR="009A34FD">
        <w:t xml:space="preserve"> support my research</w:t>
      </w:r>
      <w:r w:rsidRPr="00DD5969">
        <w:t xml:space="preserve">. I used the prompt(s): </w:t>
      </w:r>
    </w:p>
    <w:p w14:paraId="15389F66" w14:textId="29B39A82" w:rsidR="00DD5969" w:rsidRPr="00DD5969" w:rsidRDefault="00DD5969" w:rsidP="00DD5969">
      <w:r w:rsidRPr="00DD5969">
        <w:t xml:space="preserve">1. </w:t>
      </w:r>
      <w:r w:rsidR="009A34FD">
        <w:t>why does the ambulance service visit schools</w:t>
      </w:r>
      <w:r w:rsidRPr="00DD5969">
        <w:t xml:space="preserve"> </w:t>
      </w:r>
    </w:p>
    <w:p w14:paraId="3847D137" w14:textId="1D6A7BFB" w:rsidR="00DD5969" w:rsidRPr="00DD5969" w:rsidRDefault="00DD5969" w:rsidP="00DD5969">
      <w:r w:rsidRPr="00DD5969">
        <w:t xml:space="preserve">2. </w:t>
      </w:r>
      <w:r w:rsidR="009A34FD">
        <w:t xml:space="preserve"> how does ambulance service visiting schools fit into the curriculum</w:t>
      </w:r>
    </w:p>
    <w:p w14:paraId="35F2F4DA" w14:textId="5A431489" w:rsidR="00DD5969" w:rsidRDefault="00DD5969" w:rsidP="00DD5969">
      <w:r w:rsidRPr="00DD5969">
        <w:t xml:space="preserve">3. </w:t>
      </w:r>
      <w:r w:rsidR="009A34FD">
        <w:t xml:space="preserve"> what are the strengths behind the visit</w:t>
      </w:r>
    </w:p>
    <w:p w14:paraId="3AC8A6F7" w14:textId="77777777" w:rsidR="009A34FD" w:rsidRPr="00DD5969" w:rsidRDefault="009A34FD" w:rsidP="00DD5969"/>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F6824F5" w14:textId="78E900B4" w:rsidR="00E10797" w:rsidRDefault="009A34FD" w:rsidP="00E10797">
      <w:r>
        <w:t xml:space="preserve">I acknowledge the use of </w:t>
      </w:r>
      <w:proofErr w:type="spellStart"/>
      <w:r>
        <w:t>MyBib</w:t>
      </w:r>
      <w:proofErr w:type="spellEnd"/>
      <w:r>
        <w:t xml:space="preserve"> </w:t>
      </w:r>
      <w:hyperlink r:id="rId7" w:history="1">
        <w:r w:rsidRPr="000B5729">
          <w:rPr>
            <w:rStyle w:val="Hyperlink"/>
          </w:rPr>
          <w:t>https://www.mybib.com/#/projects/79WJLv/citations</w:t>
        </w:r>
        <w:r w:rsidRPr="000B5729">
          <w:rPr>
            <w:rStyle w:val="Hyperlink"/>
          </w:rPr>
          <w:t xml:space="preserve"> on 05/05/25</w:t>
        </w:r>
      </w:hyperlink>
      <w:r>
        <w:t xml:space="preserve"> to support my referencing. I used the prompts </w:t>
      </w:r>
    </w:p>
    <w:p w14:paraId="5C1CE78D" w14:textId="6E9A701D" w:rsidR="009A34FD" w:rsidRPr="00C2550A" w:rsidRDefault="009A34FD" w:rsidP="009A34FD">
      <w:pPr>
        <w:pStyle w:val="ListParagraph"/>
        <w:numPr>
          <w:ilvl w:val="0"/>
          <w:numId w:val="1"/>
        </w:numPr>
      </w:pPr>
      <w:r>
        <w:t xml:space="preserve">Havard reference… </w:t>
      </w: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27F40FBF" w:rsidR="0000375B" w:rsidRDefault="009A34FD" w:rsidP="00DD5969">
            <w:pPr>
              <w:rPr>
                <w:sz w:val="16"/>
                <w:szCs w:val="16"/>
              </w:rPr>
            </w:pPr>
            <w:r w:rsidRPr="009A34FD">
              <w:rPr>
                <w:sz w:val="16"/>
                <w:szCs w:val="16"/>
              </w:rPr>
              <w:t>Be more critical of what you read and the sources to ensure integrity of your decision making. Ensure to use the literature to support your assertions.</w:t>
            </w:r>
          </w:p>
          <w:p w14:paraId="0EDC9850" w14:textId="77777777" w:rsidR="0000375B" w:rsidRDefault="0000375B" w:rsidP="00DD5969">
            <w:pPr>
              <w:rPr>
                <w:sz w:val="16"/>
                <w:szCs w:val="16"/>
              </w:rPr>
            </w:pPr>
          </w:p>
        </w:tc>
        <w:tc>
          <w:tcPr>
            <w:tcW w:w="4508" w:type="dxa"/>
          </w:tcPr>
          <w:p w14:paraId="0268EBA1" w14:textId="77777777" w:rsidR="0000375B" w:rsidRDefault="0000375B" w:rsidP="00DD5969">
            <w:pPr>
              <w:rPr>
                <w:sz w:val="22"/>
                <w:szCs w:val="22"/>
              </w:rPr>
            </w:pPr>
          </w:p>
          <w:p w14:paraId="3FCBF01B" w14:textId="2917A743" w:rsidR="009A34FD" w:rsidRPr="009A34FD" w:rsidRDefault="009A34FD" w:rsidP="00DD5969">
            <w:pPr>
              <w:rPr>
                <w:sz w:val="22"/>
                <w:szCs w:val="22"/>
              </w:rPr>
            </w:pPr>
            <w:r>
              <w:rPr>
                <w:sz w:val="22"/>
                <w:szCs w:val="22"/>
              </w:rPr>
              <w:t xml:space="preserve">Used government websites to back up the points I was making. </w:t>
            </w:r>
          </w:p>
        </w:tc>
      </w:tr>
      <w:tr w:rsidR="0000375B" w14:paraId="2411A5A2" w14:textId="77777777" w:rsidTr="0000375B">
        <w:tc>
          <w:tcPr>
            <w:tcW w:w="4508" w:type="dxa"/>
          </w:tcPr>
          <w:p w14:paraId="4A120529" w14:textId="77777777" w:rsidR="0000375B" w:rsidRDefault="0000375B" w:rsidP="00DD5969">
            <w:pPr>
              <w:rPr>
                <w:sz w:val="16"/>
                <w:szCs w:val="16"/>
              </w:rPr>
            </w:pPr>
          </w:p>
          <w:p w14:paraId="2A59CA2F" w14:textId="7EF42781" w:rsidR="0000375B" w:rsidRDefault="009A34FD" w:rsidP="009A34FD">
            <w:pPr>
              <w:rPr>
                <w:sz w:val="16"/>
                <w:szCs w:val="16"/>
              </w:rPr>
            </w:pPr>
            <w:r w:rsidRPr="009A34FD">
              <w:rPr>
                <w:sz w:val="16"/>
                <w:szCs w:val="16"/>
              </w:rPr>
              <w:t>Please revise the correct protocols for Harvard referencing to improve precision and accuracy of citing the work of other authors (e.g.  correct use of brackets and punctuation) - book a study skills session to revise referencing.</w:t>
            </w:r>
            <w:r w:rsidRPr="009A34FD">
              <w:rPr>
                <w:rFonts w:ascii="Roboto" w:hAnsi="Roboto"/>
                <w:color w:val="283041"/>
                <w:sz w:val="21"/>
                <w:szCs w:val="21"/>
                <w:shd w:val="clear" w:color="auto" w:fill="FFFFFF"/>
              </w:rPr>
              <w:t xml:space="preserve"> </w:t>
            </w:r>
          </w:p>
        </w:tc>
        <w:tc>
          <w:tcPr>
            <w:tcW w:w="4508" w:type="dxa"/>
          </w:tcPr>
          <w:p w14:paraId="260663D7" w14:textId="77777777" w:rsidR="0000375B" w:rsidRDefault="0000375B" w:rsidP="00DD5969">
            <w:pPr>
              <w:rPr>
                <w:sz w:val="16"/>
                <w:szCs w:val="16"/>
              </w:rPr>
            </w:pPr>
          </w:p>
          <w:p w14:paraId="51AE3AC6" w14:textId="00EAD77B" w:rsidR="009A34FD" w:rsidRPr="009A34FD" w:rsidRDefault="009A34FD" w:rsidP="00DD5969">
            <w:pPr>
              <w:rPr>
                <w:sz w:val="22"/>
                <w:szCs w:val="22"/>
              </w:rPr>
            </w:pPr>
            <w:r>
              <w:rPr>
                <w:sz w:val="22"/>
                <w:szCs w:val="22"/>
              </w:rPr>
              <w:t xml:space="preserve">Used </w:t>
            </w:r>
            <w:proofErr w:type="spellStart"/>
            <w:r>
              <w:rPr>
                <w:sz w:val="22"/>
                <w:szCs w:val="22"/>
              </w:rPr>
              <w:t>MyBib</w:t>
            </w:r>
            <w:proofErr w:type="spellEnd"/>
            <w:r>
              <w:rPr>
                <w:sz w:val="22"/>
                <w:szCs w:val="22"/>
              </w:rPr>
              <w:t xml:space="preserve"> on the Harvard referencing to help me with the correct placement of brackets. </w:t>
            </w: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4DBE92C7" w:rsidR="0000375B" w:rsidRDefault="009A34FD" w:rsidP="00DD5969">
            <w:pPr>
              <w:rPr>
                <w:sz w:val="16"/>
                <w:szCs w:val="16"/>
              </w:rPr>
            </w:pPr>
            <w:r w:rsidRPr="009A34FD">
              <w:rPr>
                <w:sz w:val="16"/>
                <w:szCs w:val="16"/>
              </w:rPr>
              <w:t>Avoid over reliance on websites - try to use the recommended reading list and look for academic papers that have been peer reviewed.</w:t>
            </w:r>
          </w:p>
          <w:p w14:paraId="540BFA50" w14:textId="77777777" w:rsidR="0000375B" w:rsidRDefault="0000375B" w:rsidP="00DD5969">
            <w:pPr>
              <w:rPr>
                <w:sz w:val="16"/>
                <w:szCs w:val="16"/>
              </w:rPr>
            </w:pPr>
          </w:p>
        </w:tc>
        <w:tc>
          <w:tcPr>
            <w:tcW w:w="4508" w:type="dxa"/>
          </w:tcPr>
          <w:p w14:paraId="6A8EAD52" w14:textId="6E43FA99" w:rsidR="0000375B" w:rsidRPr="009A34FD" w:rsidRDefault="009A34FD" w:rsidP="00DD5969">
            <w:pPr>
              <w:rPr>
                <w:sz w:val="22"/>
                <w:szCs w:val="22"/>
              </w:rPr>
            </w:pPr>
            <w:r>
              <w:rPr>
                <w:sz w:val="22"/>
                <w:szCs w:val="22"/>
              </w:rPr>
              <w:t>Used more reliable websites, such as the government sites</w:t>
            </w:r>
            <w:r w:rsidR="00C10C75">
              <w:rPr>
                <w:sz w:val="22"/>
                <w:szCs w:val="22"/>
              </w:rPr>
              <w:t>, blogs and papers.</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4B51507A" w14:textId="56941C3D" w:rsidR="0000375B" w:rsidRDefault="0000375B" w:rsidP="0000375B">
      <w:pPr>
        <w:rPr>
          <w:b/>
          <w:bCs/>
        </w:rPr>
      </w:pPr>
      <w:r w:rsidRPr="6A487CAC">
        <w:rPr>
          <w:b/>
          <w:bCs/>
        </w:rPr>
        <w:lastRenderedPageBreak/>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6C6F16C6" w14:textId="77777777" w:rsidR="0000375B" w:rsidRDefault="0000375B" w:rsidP="0000375B">
      <w:pPr>
        <w:rPr>
          <w:b/>
          <w:bCs/>
        </w:rPr>
      </w:pPr>
    </w:p>
    <w:p w14:paraId="4840F5C0" w14:textId="77777777" w:rsidR="00C10C75" w:rsidRPr="00C10C75" w:rsidRDefault="00C10C75" w:rsidP="00C10C75">
      <w:pPr>
        <w:rPr>
          <w:b/>
          <w:bCs/>
          <w:lang w:val="en-US"/>
        </w:rPr>
      </w:pPr>
      <w:r w:rsidRPr="00C10C75">
        <w:rPr>
          <w:b/>
          <w:bCs/>
          <w:u w:val="single"/>
        </w:rPr>
        <w:t>Introduction- </w:t>
      </w:r>
      <w:r w:rsidRPr="00C10C75">
        <w:rPr>
          <w:b/>
          <w:bCs/>
          <w:lang w:val="en-US"/>
        </w:rPr>
        <w:t> </w:t>
      </w:r>
    </w:p>
    <w:p w14:paraId="7F209D4A" w14:textId="77777777" w:rsidR="00C10C75" w:rsidRPr="00C10C75" w:rsidRDefault="00C10C75" w:rsidP="00C10C75">
      <w:pPr>
        <w:rPr>
          <w:b/>
          <w:bCs/>
          <w:lang w:val="en-US"/>
        </w:rPr>
      </w:pPr>
      <w:r w:rsidRPr="00C10C75">
        <w:rPr>
          <w:b/>
          <w:bCs/>
        </w:rPr>
        <w:t>The ambulance and healthcare workers are very important and integral to the local community, for my chosen proposal I would like to invite the St Johns Ambulance service into school. They offer meaningful lessons to the learners while imparting useful information and providing good role models for the pupils. By educating the pupils on who to call for help, how to notice signs of someone in distress and first aid, pupils will have a better understanding and awareness on how to respond if they ever need to. St Johns offer a programme called ‘young responders’ that is run through interactive sessions based on real life, first aid scenarios. All ages of pupils will benefit from this visit as the lifelong skills can be applied at any age. Pupils will benefit from this visit in all areas of learning including the four purposes, especially ethical, informed citizens, on point four it states that “understand and consider the impact of their actions when making choices and acting”. As well as having a strong impact on healthy, confident individuals, on point four it states that “individuals know how to find the information and support to keep safe and well”. Welsh Government (2022). The pedagogical principles will also be supported in the visit. The visit meets principle 6 in creating an authentic context. Principle 10 “encourages learners to take responsibility for their own learning” and principle 12 “encouraging collaboration”.  Welsh Government (2023). I have chosen this proposal as it imperative that pupils learn these lifelong skills and work with the local community to better their understanding on the job and the importance it holds within the community.</w:t>
      </w:r>
      <w:r w:rsidRPr="00C10C75">
        <w:rPr>
          <w:b/>
          <w:bCs/>
          <w:lang w:val="en-US"/>
        </w:rPr>
        <w:t> </w:t>
      </w:r>
    </w:p>
    <w:p w14:paraId="213F1838" w14:textId="77777777" w:rsidR="00C10C75" w:rsidRPr="00C10C75" w:rsidRDefault="00C10C75" w:rsidP="00C10C75">
      <w:pPr>
        <w:rPr>
          <w:b/>
          <w:bCs/>
          <w:lang w:val="en-US"/>
        </w:rPr>
      </w:pPr>
      <w:r w:rsidRPr="00C10C75">
        <w:rPr>
          <w:b/>
          <w:bCs/>
          <w:lang w:val="en-US"/>
        </w:rPr>
        <w:t> </w:t>
      </w:r>
    </w:p>
    <w:p w14:paraId="0C90EB3F" w14:textId="77777777" w:rsidR="00C10C75" w:rsidRPr="00C10C75" w:rsidRDefault="00C10C75" w:rsidP="00C10C75">
      <w:pPr>
        <w:rPr>
          <w:b/>
          <w:bCs/>
          <w:lang w:val="en-US"/>
        </w:rPr>
      </w:pPr>
      <w:r w:rsidRPr="00C10C75">
        <w:rPr>
          <w:b/>
          <w:bCs/>
          <w:u w:val="single"/>
        </w:rPr>
        <w:t>Literature review - </w:t>
      </w:r>
      <w:r w:rsidRPr="00C10C75">
        <w:rPr>
          <w:b/>
          <w:bCs/>
          <w:lang w:val="en-US"/>
        </w:rPr>
        <w:t> </w:t>
      </w:r>
    </w:p>
    <w:p w14:paraId="6D4F26BD" w14:textId="32A649A3" w:rsidR="00C10C75" w:rsidRPr="00C10C75" w:rsidRDefault="00C10C75" w:rsidP="00C10C75">
      <w:pPr>
        <w:rPr>
          <w:b/>
          <w:bCs/>
          <w:lang w:val="en-US"/>
        </w:rPr>
      </w:pPr>
      <w:r w:rsidRPr="00C10C75">
        <w:rPr>
          <w:b/>
          <w:bCs/>
        </w:rPr>
        <w:t xml:space="preserve">Community engagement is vital to a pupils learning, it promotes new skills and pupil development, strengthening lessons and connecting with the wider and local community. Healthcare professionals are a key role models in the community and educate pupils on ways they can keep safe, who to call for help and the role they play in the community.  Professor Graham Donaldson stated that “it is important that children and young people see the relevance in their learning to the world beyond the school gates and that opportunities are taken to forge links in that world”. Donaldson, G. (2015). During experiences in PTE1 and PTE2 I have seen the impacts on involving the community in learning, it betters the pupil's social development in creating relationships and cognitive development when developing </w:t>
      </w:r>
      <w:r w:rsidRPr="00C10C75">
        <w:rPr>
          <w:b/>
          <w:bCs/>
        </w:rPr>
        <w:lastRenderedPageBreak/>
        <w:t xml:space="preserve">on the ability to think and reason. Contexts within the different AoLE’s can be supported with community visits in many unique ways. The Curriculum for Wales Guidance states that “these contexts help learners make sense of their relationship with their communities, their national identity, and the wider world. This supports learners to develop a citizenship which is multi-faceted, reflecting on their </w:t>
      </w:r>
      <w:r w:rsidRPr="00C10C75">
        <w:rPr>
          <w:b/>
          <w:bCs/>
        </w:rPr>
        <w:t>roles and</w:t>
      </w:r>
      <w:r w:rsidRPr="00C10C75">
        <w:rPr>
          <w:b/>
          <w:bCs/>
        </w:rPr>
        <w:t xml:space="preserve"> responsibilities within each context and recognising diversity within each context. While local, national and international contexts provide distinct contributions to learning.” Welsh Government (2021). Community engagement within and outside of the school supports and works with The Well-being of Future Generations Act. One of the well-being goals for Wales is ‘A Wales of more cohesive communities’, creating a more attractive, viable, safe and </w:t>
      </w:r>
      <w:proofErr w:type="gramStart"/>
      <w:r w:rsidRPr="00C10C75">
        <w:rPr>
          <w:b/>
          <w:bCs/>
        </w:rPr>
        <w:t>well connected</w:t>
      </w:r>
      <w:proofErr w:type="gramEnd"/>
      <w:r w:rsidRPr="00C10C75">
        <w:rPr>
          <w:b/>
          <w:bCs/>
        </w:rPr>
        <w:t xml:space="preserve"> communities. The local schools collaborate with the public bodies involved in this act, these include Public Health Wales, Health Education and Improvement Wales, Local Health Board and the Welsh Ambulance Services University NHS Trust, all of which play a part to this proposal. Welsh Government (2015). Professor Graham </w:t>
      </w:r>
      <w:r w:rsidRPr="00C10C75">
        <w:rPr>
          <w:b/>
          <w:bCs/>
        </w:rPr>
        <w:t>Donaldson</w:t>
      </w:r>
      <w:r w:rsidRPr="00C10C75">
        <w:rPr>
          <w:b/>
          <w:bCs/>
        </w:rPr>
        <w:t xml:space="preserve"> created the 12 pedagogical principles for Good Teaching and Learning. Principle 12 is encouraging collaboration. It encourages learners to be independent, to have a say in their own learning and to take increasingly responsibility for it and to actively engage with parents, cares and the wider community as partners in learning. Impact Wales (2022). Collaborating effectively with other services is key to progression in learning, this is highlighted in the Community Focused Schools, it states that “All children and young people should be well prepared for their future lives”. The community engagement element is acting as a key part of the local community, offering opportunities to use the school's facilities to support learning. It is key to signposting to other support or advice services and utilising the skills and organisations within the community to extend and enrich learning opportunities and to positively influence change. </w:t>
      </w:r>
      <w:r w:rsidRPr="00C10C75">
        <w:rPr>
          <w:b/>
          <w:bCs/>
          <w:lang w:val="en-US"/>
        </w:rPr>
        <w:t> </w:t>
      </w:r>
    </w:p>
    <w:p w14:paraId="335F6032" w14:textId="25A39B17" w:rsidR="00C10C75" w:rsidRPr="00C10C75" w:rsidRDefault="00C10C75" w:rsidP="00C10C75">
      <w:pPr>
        <w:rPr>
          <w:b/>
          <w:bCs/>
          <w:lang w:val="en-US"/>
        </w:rPr>
      </w:pPr>
      <w:r w:rsidRPr="00C10C75">
        <w:rPr>
          <w:b/>
          <w:bCs/>
        </w:rPr>
        <w:t xml:space="preserve">Health and Well-being is a broad and dynamic area of the curriculum. Public Health Wales Educational setting team established the health and </w:t>
      </w:r>
      <w:proofErr w:type="spellStart"/>
      <w:r w:rsidRPr="00C10C75">
        <w:rPr>
          <w:b/>
          <w:bCs/>
        </w:rPr>
        <w:t>well being</w:t>
      </w:r>
      <w:proofErr w:type="spellEnd"/>
      <w:r w:rsidRPr="00C10C75">
        <w:rPr>
          <w:b/>
          <w:bCs/>
        </w:rPr>
        <w:t xml:space="preserve"> curriculum project to bring together the Health and Education sectors to co construct curriculum toolkits and resources for schools to develop and deliver key health and </w:t>
      </w:r>
      <w:proofErr w:type="spellStart"/>
      <w:r w:rsidRPr="00C10C75">
        <w:rPr>
          <w:b/>
          <w:bCs/>
        </w:rPr>
        <w:t>well being</w:t>
      </w:r>
      <w:proofErr w:type="spellEnd"/>
      <w:r w:rsidRPr="00C10C75">
        <w:rPr>
          <w:b/>
          <w:bCs/>
        </w:rPr>
        <w:t xml:space="preserve"> themes as a part of the Health and </w:t>
      </w:r>
      <w:proofErr w:type="spellStart"/>
      <w:r w:rsidRPr="00C10C75">
        <w:rPr>
          <w:b/>
          <w:bCs/>
        </w:rPr>
        <w:t>Well being</w:t>
      </w:r>
      <w:proofErr w:type="spellEnd"/>
      <w:r w:rsidRPr="00C10C75">
        <w:rPr>
          <w:b/>
          <w:bCs/>
        </w:rPr>
        <w:t xml:space="preserve"> Area of Learning and Experience. The Curriculum toolkit have developed principles of curriculum design and identify what is important to and for the learners. Key messages identify what the professions want the learners to understand and why, demonstrate and value. The toolkits identify opportunities for transferable learning across themes and within wider topics and the key concepts contained within the Health and </w:t>
      </w:r>
      <w:proofErr w:type="spellStart"/>
      <w:r w:rsidRPr="00C10C75">
        <w:rPr>
          <w:b/>
          <w:bCs/>
        </w:rPr>
        <w:t>Well being</w:t>
      </w:r>
      <w:proofErr w:type="spellEnd"/>
      <w:r w:rsidRPr="00C10C75">
        <w:rPr>
          <w:b/>
          <w:bCs/>
        </w:rPr>
        <w:t xml:space="preserve"> as well as other Areas of Learning and Experience. Public Health Wales (2024). Engaging with the community with school visits is essential to widening the pupil's knowledge on the wider community and building trust within the </w:t>
      </w:r>
      <w:r w:rsidRPr="00C10C75">
        <w:rPr>
          <w:b/>
          <w:bCs/>
        </w:rPr>
        <w:lastRenderedPageBreak/>
        <w:t xml:space="preserve">community. Regular interactions between the ambulance services and schools offer a sense of community and trust. The ambulance services experience and community involvement team engage with the public to improve services and promote healthy living messages. The efforts of the professionals include involving their patients and the public in the trusts work, creating closer working relationships across the trust, and supporting people to access health information and resources. Welsh Ambulance Services University NHS Trust (2024). This proposal supports and works alongside the convention on the rights of the child. Article 17 states that children have the right to access information and Article 28 states that children have the right to access education. Social Justice is a large part of the community engagement within schools. Teachers promote social justice in a range of different </w:t>
      </w:r>
      <w:r w:rsidRPr="00C10C75">
        <w:rPr>
          <w:b/>
          <w:bCs/>
        </w:rPr>
        <w:t>ways, such</w:t>
      </w:r>
      <w:r w:rsidRPr="00C10C75">
        <w:rPr>
          <w:b/>
          <w:bCs/>
        </w:rPr>
        <w:t xml:space="preserve"> as making sure to provide pupils with multiple perceptions and encouraging the pupils to think beyond themselves, to expand their minds and exercise their analytical thinking skills. The goal of social justice in education is to include more empathy, more justice and more equality. Pupils will have a stronger sense of what's fair and choose careers and lifestyles that support their communities. Soken-Huberty, E. (2020). All pupils take part in the experience and retain the same information. Under the provisions of the Equality Act (2010), schools must not unlawfully discriminate against learners on the basis of their age, sex, race, disability, religion or belief. This is collectively known as the protected characteristics. Schools must also make reasonable adjustments to alleviate disadvantage. </w:t>
      </w:r>
      <w:r w:rsidRPr="00C10C75">
        <w:rPr>
          <w:b/>
          <w:bCs/>
          <w:lang w:val="en-US"/>
        </w:rPr>
        <w:t> </w:t>
      </w:r>
    </w:p>
    <w:p w14:paraId="6CFA3A2C" w14:textId="77777777" w:rsidR="00C10C75" w:rsidRPr="00C10C75" w:rsidRDefault="00C10C75" w:rsidP="00C10C75">
      <w:pPr>
        <w:rPr>
          <w:b/>
          <w:bCs/>
          <w:lang w:val="en-US"/>
        </w:rPr>
      </w:pPr>
      <w:r w:rsidRPr="00C10C75">
        <w:rPr>
          <w:b/>
          <w:bCs/>
          <w:lang w:val="en-US"/>
        </w:rPr>
        <w:t> </w:t>
      </w:r>
    </w:p>
    <w:p w14:paraId="5696AC49" w14:textId="77777777" w:rsidR="00C10C75" w:rsidRPr="00C10C75" w:rsidRDefault="00C10C75" w:rsidP="00C10C75">
      <w:pPr>
        <w:rPr>
          <w:b/>
          <w:bCs/>
          <w:lang w:val="en-US"/>
        </w:rPr>
      </w:pPr>
      <w:r w:rsidRPr="00C10C75">
        <w:rPr>
          <w:b/>
          <w:bCs/>
          <w:u w:val="single"/>
        </w:rPr>
        <w:t>Aims, objectives and practical considerations</w:t>
      </w:r>
      <w:r w:rsidRPr="00C10C75">
        <w:rPr>
          <w:b/>
          <w:bCs/>
          <w:lang w:val="en-US"/>
        </w:rPr>
        <w:t> </w:t>
      </w:r>
    </w:p>
    <w:p w14:paraId="074C1160" w14:textId="1081756F" w:rsidR="00C10C75" w:rsidRPr="00C10C75" w:rsidRDefault="00C10C75" w:rsidP="00C10C75">
      <w:pPr>
        <w:rPr>
          <w:b/>
          <w:bCs/>
          <w:lang w:val="en-US"/>
        </w:rPr>
      </w:pPr>
      <w:r w:rsidRPr="00C10C75">
        <w:rPr>
          <w:b/>
          <w:bCs/>
        </w:rPr>
        <w:t xml:space="preserve">The aim of this proposal is to raise awareness amongst the pupils about the role of emergency medical services. Provide health and safety by teaching basic first aid and emergency responses. The first aid sessions are adaptable to meet the needs and abilities of all pupils. The local ambulance team have stated that they are confident that the pupils have walked away much more confident in first aid. St John Ambulance (2025). Foster trust and familiarity between young people and emergency responders. Encourage interest in healthcare and emergency service careers. As well as improve emergency preparedness in schools and amongst pupils. The objectives of the professionals are to demonstrate the ambulance equipment and explain its use in saving lives. Teaching students how and when to call emergency services. Introduce basic </w:t>
      </w:r>
      <w:proofErr w:type="spellStart"/>
      <w:r w:rsidRPr="00C10C75">
        <w:rPr>
          <w:b/>
          <w:bCs/>
        </w:rPr>
        <w:t>life saving</w:t>
      </w:r>
      <w:proofErr w:type="spellEnd"/>
      <w:r w:rsidRPr="00C10C75">
        <w:rPr>
          <w:b/>
          <w:bCs/>
        </w:rPr>
        <w:t xml:space="preserve"> skills, such as CPR or the recovery positions. Discuss scenarios that the pupils might encounter, such as accidents, asthma attacks or allergic reactions. As well promoting responsible behaviour in emergencies. On the Health and Safety guidance for educational visits it states that it aims is to provide a guidance to help schools understand their </w:t>
      </w:r>
      <w:r w:rsidRPr="00C10C75">
        <w:rPr>
          <w:b/>
          <w:bCs/>
        </w:rPr>
        <w:lastRenderedPageBreak/>
        <w:t xml:space="preserve">obligations when undertaking educational visits and ensuring safety and compliance. Department for Education (2018) Practical considerations must be addresses to ensure that the visit runs smoothly. Setting a suitable date and time is crucial in allowing time for setup and breakdown as well as avoiding peak times for the emergency services, such as public holidays. Obtaining permission from the school leadership team, ensure all ambulance staff have the relevant background checks, such as a DBS, and inform parents/guardians in advance if pupils are taking part in interactive activities. The proposal will be implemented across all year groups as information applies to all pupils and will be implemented in 2 parts. Firstly, the ambulance service will do the first aid training, discussing different scenarios and teaching pupils when and how to call emergency services. Secondly the ambulance team will show the pupils around the ambulance, showing them its key features and a demonstration on equipment explaining its use. For a single class </w:t>
      </w:r>
      <w:proofErr w:type="gramStart"/>
      <w:r w:rsidRPr="00C10C75">
        <w:rPr>
          <w:b/>
          <w:bCs/>
        </w:rPr>
        <w:t>session</w:t>
      </w:r>
      <w:proofErr w:type="gramEnd"/>
      <w:r w:rsidRPr="00C10C75">
        <w:rPr>
          <w:b/>
          <w:bCs/>
        </w:rPr>
        <w:t xml:space="preserve"> it is recommended that there is 1-2 members of staff and for a larger group it is recommended that there is 3-5 members of staff. School policies depend on this, the number of staff required for an </w:t>
      </w:r>
      <w:proofErr w:type="gramStart"/>
      <w:r w:rsidRPr="00C10C75">
        <w:rPr>
          <w:b/>
          <w:bCs/>
        </w:rPr>
        <w:t>ambulance </w:t>
      </w:r>
      <w:r w:rsidRPr="00C10C75">
        <w:rPr>
          <w:b/>
          <w:bCs/>
          <w:lang w:val="en-US"/>
        </w:rPr>
        <w:t> </w:t>
      </w:r>
      <w:r w:rsidRPr="00C10C75">
        <w:rPr>
          <w:b/>
          <w:bCs/>
        </w:rPr>
        <w:t>service</w:t>
      </w:r>
      <w:proofErr w:type="gramEnd"/>
      <w:r w:rsidRPr="00C10C75">
        <w:rPr>
          <w:b/>
          <w:bCs/>
        </w:rPr>
        <w:t xml:space="preserve"> visit depends on several factors, including the size of the pupil group, the nature of the activities planned, and the age of the pupils involved. The NSPCC state that ‘schools need to consider what extra safeguarding measures should be put in place for any visitors who are not employed directly by the school. NSPCC Learning (2021). The visit from the ambulance service is entirely voluntary, their main aim is to teach the pupils </w:t>
      </w:r>
      <w:proofErr w:type="spellStart"/>
      <w:r w:rsidRPr="00C10C75">
        <w:rPr>
          <w:b/>
          <w:bCs/>
        </w:rPr>
        <w:t>life saving</w:t>
      </w:r>
      <w:proofErr w:type="spellEnd"/>
      <w:r w:rsidRPr="00C10C75">
        <w:rPr>
          <w:b/>
          <w:bCs/>
        </w:rPr>
        <w:t xml:space="preserve"> skills that will stay with them for life. The ambulance service provides all equipment for the </w:t>
      </w:r>
      <w:proofErr w:type="gramStart"/>
      <w:r w:rsidRPr="00C10C75">
        <w:rPr>
          <w:b/>
          <w:bCs/>
        </w:rPr>
        <w:t>sessions,</w:t>
      </w:r>
      <w:proofErr w:type="gramEnd"/>
      <w:r w:rsidRPr="00C10C75">
        <w:rPr>
          <w:b/>
          <w:bCs/>
        </w:rPr>
        <w:t xml:space="preserve"> however they do ask that the school provides a suitable space with chairs, a table and a whiteboard or screen. St John Ambulance (2025). </w:t>
      </w:r>
      <w:r w:rsidRPr="00C10C75">
        <w:rPr>
          <w:b/>
          <w:bCs/>
          <w:lang w:val="en-US"/>
        </w:rPr>
        <w:t> </w:t>
      </w:r>
    </w:p>
    <w:p w14:paraId="0C433E1C" w14:textId="77777777" w:rsidR="00C10C75" w:rsidRPr="00C10C75" w:rsidRDefault="00C10C75" w:rsidP="00C10C75">
      <w:pPr>
        <w:rPr>
          <w:b/>
          <w:bCs/>
          <w:lang w:val="en-US"/>
        </w:rPr>
      </w:pPr>
      <w:r w:rsidRPr="00C10C75">
        <w:rPr>
          <w:b/>
          <w:bCs/>
          <w:lang w:val="en-US"/>
        </w:rPr>
        <w:t> </w:t>
      </w:r>
    </w:p>
    <w:p w14:paraId="0AB26E6C" w14:textId="77777777" w:rsidR="00C10C75" w:rsidRPr="00C10C75" w:rsidRDefault="00C10C75" w:rsidP="00C10C75">
      <w:pPr>
        <w:rPr>
          <w:b/>
          <w:bCs/>
          <w:lang w:val="en-US"/>
        </w:rPr>
      </w:pPr>
      <w:r w:rsidRPr="00C10C75">
        <w:rPr>
          <w:b/>
          <w:bCs/>
          <w:u w:val="single"/>
        </w:rPr>
        <w:t>Measuring Impact</w:t>
      </w:r>
      <w:r w:rsidRPr="00C10C75">
        <w:rPr>
          <w:b/>
          <w:bCs/>
          <w:lang w:val="en-US"/>
        </w:rPr>
        <w:t> </w:t>
      </w:r>
    </w:p>
    <w:p w14:paraId="7A42EC30" w14:textId="77777777" w:rsidR="00C10C75" w:rsidRPr="00C10C75" w:rsidRDefault="00C10C75" w:rsidP="00C10C75">
      <w:pPr>
        <w:rPr>
          <w:b/>
          <w:bCs/>
          <w:lang w:val="en-US"/>
        </w:rPr>
      </w:pPr>
      <w:r w:rsidRPr="00C10C75">
        <w:rPr>
          <w:b/>
          <w:bCs/>
        </w:rPr>
        <w:t xml:space="preserve">Measuring the impact of a school visit helps to determine whether it met its objectives and contributed to students learning or development. Pupil feedback is key to finding out how the session went, this can be done through surveys or questionnaire that are age appropriate, using exit slips or reflection slips. To measure the impact on pupils the teacher can make observations on the engagement levels during the visit, can note knowledge or behaviour changes in pupils afterwards and the use of new vocabulary or understanding in follow up lessons. Obtaining feedback from both the pupil and the teacher will help the professionals to ‘alter the learning gap’ if something did not go to plan. Shute's work illustrates that feedback is seeking to critique and explore feedback practices and exposing their effectiveness. Dann, R. (2018). Having a range of follow up activities to reinforce the visit and to assess the knowledge and understanding of </w:t>
      </w:r>
      <w:r w:rsidRPr="00C10C75">
        <w:rPr>
          <w:b/>
          <w:bCs/>
        </w:rPr>
        <w:lastRenderedPageBreak/>
        <w:t xml:space="preserve">pupils on what was discussed in the visit. From experience in my PTE schools, it was clear to see that the visit had been successful when it meets the learning and engagement objectives, and both pupils and teachers have a positive experience. Teachers will know if the visit has been successful if pupils can accurately explain what they have learned, can recall key facts or demonstrate new skills. Giving pupils objectives is extremely beneficial to their learning as teachers focus their efforts on specific skills and outcomes. Pupils then understand what is expected of them and engaging on the information being taught to them. Mightywriter.co.uk. (2025). To ensure a positive outcome from the visit St Johns Ambulance created scenario cards that have a range of emergencies on, and the pupils need to decide the best course of action from what they have learnt. Pupils have expressed an enjoyment in this activity and have been able to link it to their personal lives. St John Ambulance (2024). As stated in the literature review, the ambulance trust, supports and promotes the UN Convention of the Rights of the Child. In ‘The Right Way: a Case Study’ it states that some pupils may be anxious about healthcare professionals. Children becoming familiar with the crews and wider NHS equipment, it is anticipated that it will encourage children to engage during visits. Article 29 states “Education must promote your rights and help you develop your skills and talents to the full”. This can encourage a successful and informative visit to schools. The Right Way: a Case Study. (n.d.). </w:t>
      </w:r>
      <w:r w:rsidRPr="00C10C75">
        <w:rPr>
          <w:b/>
          <w:bCs/>
          <w:lang w:val="en-US"/>
        </w:rPr>
        <w:t> </w:t>
      </w:r>
    </w:p>
    <w:p w14:paraId="746BEE29" w14:textId="77777777" w:rsidR="00C10C75" w:rsidRPr="00C10C75" w:rsidRDefault="00C10C75" w:rsidP="00C10C75">
      <w:pPr>
        <w:rPr>
          <w:b/>
          <w:bCs/>
          <w:lang w:val="en-US"/>
        </w:rPr>
      </w:pPr>
      <w:r w:rsidRPr="00C10C75">
        <w:rPr>
          <w:b/>
          <w:bCs/>
          <w:lang w:val="en-US"/>
        </w:rPr>
        <w:t> </w:t>
      </w:r>
    </w:p>
    <w:p w14:paraId="6B9C9D58" w14:textId="77777777" w:rsidR="00C10C75" w:rsidRPr="00C10C75" w:rsidRDefault="00C10C75" w:rsidP="00C10C75">
      <w:pPr>
        <w:rPr>
          <w:b/>
          <w:bCs/>
          <w:lang w:val="en-US"/>
        </w:rPr>
      </w:pPr>
      <w:r w:rsidRPr="00C10C75">
        <w:rPr>
          <w:b/>
          <w:bCs/>
          <w:u w:val="single"/>
        </w:rPr>
        <w:t xml:space="preserve">Evaluation </w:t>
      </w:r>
      <w:r w:rsidRPr="00C10C75">
        <w:rPr>
          <w:b/>
          <w:bCs/>
          <w:lang w:val="en-US"/>
        </w:rPr>
        <w:t> </w:t>
      </w:r>
    </w:p>
    <w:p w14:paraId="724D1BF2" w14:textId="2DEC6D62" w:rsidR="00C10C75" w:rsidRPr="00C10C75" w:rsidRDefault="00C10C75" w:rsidP="00C10C75">
      <w:pPr>
        <w:rPr>
          <w:b/>
          <w:bCs/>
          <w:lang w:val="en-US"/>
        </w:rPr>
      </w:pPr>
      <w:r w:rsidRPr="00C10C75">
        <w:rPr>
          <w:b/>
          <w:bCs/>
        </w:rPr>
        <w:t xml:space="preserve">To support my proposal, I created a SWOT </w:t>
      </w:r>
      <w:proofErr w:type="gramStart"/>
      <w:r w:rsidRPr="00C10C75">
        <w:rPr>
          <w:b/>
          <w:bCs/>
        </w:rPr>
        <w:t>analysis,</w:t>
      </w:r>
      <w:proofErr w:type="gramEnd"/>
      <w:r w:rsidRPr="00C10C75">
        <w:rPr>
          <w:b/>
          <w:bCs/>
        </w:rPr>
        <w:t xml:space="preserve"> to create this analysis I used information gained from my PTE schools and their engagement with community visits. The SWOT analysis was used to identify the strengths, weaknesses, opportunities and threats. The first analysis conducted was the strengths of the visit, the first being an expert led educator which benefits the pupils as they are learning directly from trained professionals increasing credibility and pupil engagement. This visit will also introduce the pupils to potential careers in healthcare and emergency services. Pupil interest can be peaked when </w:t>
      </w:r>
      <w:proofErr w:type="spellStart"/>
      <w:r w:rsidRPr="00C10C75">
        <w:rPr>
          <w:b/>
          <w:bCs/>
        </w:rPr>
        <w:t>life saving</w:t>
      </w:r>
      <w:proofErr w:type="spellEnd"/>
      <w:r w:rsidRPr="00C10C75">
        <w:rPr>
          <w:b/>
          <w:bCs/>
        </w:rPr>
        <w:t xml:space="preserve"> skills are taught early, such as first aid and CPR. The Welsh Government states that “learning the basic skills of first aid and techniques like CPR will give young people the confidence to know that they can step in to help someone in need”. Department for Education (2019). The next analysis conducted was identifying the weaknesses in the visit, the first being issues with not having enough staff to handle large groups. Resource limitations was also a weakness identified as the ambulance service may not have sufficient time, staff, or funding to visit all schools interested. The National Education Union provides guidance on classroom sizes and advises schools to consider children emotional, behavioural and special </w:t>
      </w:r>
      <w:r w:rsidRPr="00C10C75">
        <w:rPr>
          <w:b/>
          <w:bCs/>
        </w:rPr>
        <w:lastRenderedPageBreak/>
        <w:t xml:space="preserve">needs when determining a ratio. NSPCC (2019). With limited timing and short visits also creates a weakness as the professions may only provide a surface level understanding on complex issues. Many opportunities can arise from this visit, the most important being strengthening the relationship between the school and the community, development of the four </w:t>
      </w:r>
      <w:r w:rsidRPr="00C10C75">
        <w:rPr>
          <w:b/>
          <w:bCs/>
        </w:rPr>
        <w:t>purposes</w:t>
      </w:r>
      <w:r w:rsidRPr="00C10C75">
        <w:rPr>
          <w:b/>
          <w:bCs/>
        </w:rPr>
        <w:t xml:space="preserve"> and integrating the curriculum. The learners are provided with a hands-on experience in this visit which is an extremely valuable way of learning. It is evident that young people learn through their five senses, therefore providing a hand-on experiences that allows children to touch, see, smell, taste and hear is important. Kaltman, G.S. (2010). The final analysis conducted was the threats of this visit. The main issues arise from funding cuts in the public health services and budget for the visit. If the practical sessions are not properly managed, safety or liability issues my arise. The final threat is pupil engagement, and this is the most important aspect to a successful visit. </w:t>
      </w:r>
      <w:r w:rsidRPr="00C10C75">
        <w:rPr>
          <w:b/>
          <w:bCs/>
          <w:lang w:val="en-US"/>
        </w:rPr>
        <w:t> </w:t>
      </w:r>
    </w:p>
    <w:p w14:paraId="1336112C" w14:textId="77777777" w:rsidR="00C10C75" w:rsidRPr="00C10C75" w:rsidRDefault="00C10C75" w:rsidP="00C10C75">
      <w:pPr>
        <w:rPr>
          <w:b/>
          <w:bCs/>
          <w:lang w:val="en-US"/>
        </w:rPr>
      </w:pPr>
      <w:r w:rsidRPr="00C10C75">
        <w:rPr>
          <w:b/>
          <w:bCs/>
          <w:lang w:val="en-US"/>
        </w:rPr>
        <w:t> </w:t>
      </w:r>
    </w:p>
    <w:p w14:paraId="1C3D7B03" w14:textId="77777777" w:rsidR="00C10C75" w:rsidRPr="00C10C75" w:rsidRDefault="00C10C75" w:rsidP="00C10C75">
      <w:pPr>
        <w:rPr>
          <w:b/>
          <w:bCs/>
          <w:lang w:val="en-US"/>
        </w:rPr>
      </w:pPr>
      <w:r w:rsidRPr="00C10C75">
        <w:rPr>
          <w:b/>
          <w:bCs/>
          <w:u w:val="single"/>
        </w:rPr>
        <w:t xml:space="preserve">Conclusion </w:t>
      </w:r>
      <w:r w:rsidRPr="00C10C75">
        <w:rPr>
          <w:b/>
          <w:bCs/>
          <w:lang w:val="en-US"/>
        </w:rPr>
        <w:t> </w:t>
      </w:r>
    </w:p>
    <w:p w14:paraId="7DA4D423" w14:textId="77777777" w:rsidR="00C10C75" w:rsidRDefault="00C10C75" w:rsidP="00C10C75">
      <w:pPr>
        <w:rPr>
          <w:b/>
          <w:bCs/>
          <w:lang w:val="en-US"/>
        </w:rPr>
      </w:pPr>
      <w:r w:rsidRPr="00C10C75">
        <w:rPr>
          <w:b/>
          <w:bCs/>
        </w:rPr>
        <w:t xml:space="preserve">Community engagement is proving to be a vital part of the learning process. Community engagement supports the curriculum in the most effective way. It can be used in the AoLE’s in different ways to support that topic. The four purposes are supported in this visit, helping to create ethical informed citizens. The Ambulance service visiting schools is incredibly important to pupil learning as it offers a higher appreciation for the healthcare workers as well as teaching the pupils </w:t>
      </w:r>
      <w:proofErr w:type="spellStart"/>
      <w:proofErr w:type="gramStart"/>
      <w:r w:rsidRPr="00C10C75">
        <w:rPr>
          <w:b/>
          <w:bCs/>
        </w:rPr>
        <w:t>life long</w:t>
      </w:r>
      <w:proofErr w:type="spellEnd"/>
      <w:proofErr w:type="gramEnd"/>
      <w:r w:rsidRPr="00C10C75">
        <w:rPr>
          <w:b/>
          <w:bCs/>
        </w:rPr>
        <w:t xml:space="preserve"> skills that will not only benefit them but also the people around them. There are so many factors that go into a visit to the school, all thought out in depth to provide the best experience for learners, such as the staffing involved, budgeting, space and the quality of the visit and if it will be beneficial to all learners. This proposal not only provides the learners with key information, but it also delivers it in a </w:t>
      </w:r>
      <w:proofErr w:type="gramStart"/>
      <w:r w:rsidRPr="00C10C75">
        <w:rPr>
          <w:b/>
          <w:bCs/>
        </w:rPr>
        <w:t>hands</w:t>
      </w:r>
      <w:proofErr w:type="gramEnd"/>
      <w:r w:rsidRPr="00C10C75">
        <w:rPr>
          <w:b/>
          <w:bCs/>
        </w:rPr>
        <w:t xml:space="preserve"> on and engaging way, that keeps pupil engagement and opportunities for pupils to ask questions to deeper their knowledge and understanding. For my next steps as a student teacher will ensure that pupils get to experience as many visits from the community as possible and deliver them in ways that keep engagement. </w:t>
      </w:r>
      <w:r w:rsidRPr="00C10C75">
        <w:rPr>
          <w:b/>
          <w:bCs/>
          <w:lang w:val="en-US"/>
        </w:rPr>
        <w:t> </w:t>
      </w:r>
    </w:p>
    <w:p w14:paraId="77F9A172" w14:textId="77777777" w:rsidR="00C10C75" w:rsidRDefault="00C10C75" w:rsidP="00C10C75">
      <w:pPr>
        <w:rPr>
          <w:b/>
          <w:bCs/>
          <w:lang w:val="en-US"/>
        </w:rPr>
      </w:pPr>
    </w:p>
    <w:p w14:paraId="0799E558" w14:textId="666057E2" w:rsidR="00C10C75" w:rsidRPr="00C10C75" w:rsidRDefault="00C10C75" w:rsidP="00C10C75">
      <w:pPr>
        <w:rPr>
          <w:b/>
          <w:bCs/>
          <w:u w:val="single"/>
          <w:lang w:val="en-US"/>
        </w:rPr>
      </w:pPr>
      <w:r w:rsidRPr="00C10C75">
        <w:rPr>
          <w:b/>
          <w:bCs/>
          <w:u w:val="single"/>
          <w:lang w:val="en-US"/>
        </w:rPr>
        <w:t>References</w:t>
      </w:r>
    </w:p>
    <w:p w14:paraId="252849CC" w14:textId="77777777" w:rsidR="00C10C75" w:rsidRPr="00C10C75" w:rsidRDefault="00C10C75" w:rsidP="00C10C75">
      <w:pPr>
        <w:rPr>
          <w:b/>
          <w:bCs/>
          <w:lang w:val="en-US"/>
        </w:rPr>
      </w:pPr>
      <w:r w:rsidRPr="00C10C75">
        <w:rPr>
          <w:b/>
          <w:bCs/>
          <w:lang w:val="en-US"/>
        </w:rPr>
        <w:t xml:space="preserve">Department for Education (2018). </w:t>
      </w:r>
      <w:r w:rsidRPr="00C10C75">
        <w:rPr>
          <w:b/>
          <w:bCs/>
          <w:i/>
          <w:iCs/>
          <w:lang w:val="en-US"/>
        </w:rPr>
        <w:t>Health and safety on educational visits</w:t>
      </w:r>
      <w:r w:rsidRPr="00C10C75">
        <w:rPr>
          <w:b/>
          <w:bCs/>
          <w:lang w:val="en-US"/>
        </w:rPr>
        <w:t xml:space="preserve">. [online] GOV.UK. Available at: </w:t>
      </w:r>
      <w:hyperlink r:id="rId8" w:tgtFrame="_blank" w:history="1">
        <w:r w:rsidRPr="00C10C75">
          <w:rPr>
            <w:rStyle w:val="Hyperlink"/>
            <w:b/>
            <w:bCs/>
            <w:lang w:val="en-US"/>
          </w:rPr>
          <w:t>https://www.gov.uk/government/publications/health-and-safety-on-educational-visits?utm_source=chatgpt.com</w:t>
        </w:r>
      </w:hyperlink>
      <w:r w:rsidRPr="00C10C75">
        <w:rPr>
          <w:b/>
          <w:bCs/>
          <w:lang w:val="en-US"/>
        </w:rPr>
        <w:t>. Accessed on 29/04/25  </w:t>
      </w:r>
    </w:p>
    <w:p w14:paraId="15A3EB8E" w14:textId="77777777" w:rsidR="00C10C75" w:rsidRPr="00C10C75" w:rsidRDefault="00C10C75" w:rsidP="00C10C75">
      <w:pPr>
        <w:rPr>
          <w:b/>
          <w:bCs/>
          <w:lang w:val="en-US"/>
        </w:rPr>
      </w:pPr>
      <w:r w:rsidRPr="00C10C75">
        <w:rPr>
          <w:b/>
          <w:bCs/>
          <w:lang w:val="en-US"/>
        </w:rPr>
        <w:t xml:space="preserve">Donaldson, G. (2015). </w:t>
      </w:r>
      <w:r w:rsidRPr="00C10C75">
        <w:rPr>
          <w:b/>
          <w:bCs/>
          <w:i/>
          <w:iCs/>
          <w:lang w:val="en-US"/>
        </w:rPr>
        <w:t>Successful Futures Independent Review of Curriculum and Assessment Arrangements in Wales</w:t>
      </w:r>
      <w:r w:rsidRPr="00C10C75">
        <w:rPr>
          <w:b/>
          <w:bCs/>
          <w:lang w:val="en-US"/>
        </w:rPr>
        <w:t xml:space="preserve">. [online] Available at: </w:t>
      </w:r>
      <w:hyperlink r:id="rId9" w:tgtFrame="_blank" w:history="1">
        <w:r w:rsidRPr="00C10C75">
          <w:rPr>
            <w:rStyle w:val="Hyperlink"/>
            <w:b/>
            <w:bCs/>
            <w:lang w:val="en-US"/>
          </w:rPr>
          <w:t>https://www.gov.wales/sites/default/files/publications/2018-03/successful-futures.pdf</w:t>
        </w:r>
      </w:hyperlink>
      <w:r w:rsidRPr="00C10C75">
        <w:rPr>
          <w:b/>
          <w:bCs/>
          <w:lang w:val="en-US"/>
        </w:rPr>
        <w:t>. Accessed on 22/04/25 </w:t>
      </w:r>
    </w:p>
    <w:p w14:paraId="4C907543" w14:textId="77777777" w:rsidR="00C10C75" w:rsidRPr="00C10C75" w:rsidRDefault="00C10C75" w:rsidP="00C10C75">
      <w:pPr>
        <w:rPr>
          <w:b/>
          <w:bCs/>
          <w:lang w:val="en-US"/>
        </w:rPr>
      </w:pPr>
      <w:r w:rsidRPr="00C10C75">
        <w:rPr>
          <w:b/>
          <w:bCs/>
          <w:lang w:val="en-US"/>
        </w:rPr>
        <w:t xml:space="preserve">Dann, R. (2018). </w:t>
      </w:r>
      <w:r w:rsidRPr="00C10C75">
        <w:rPr>
          <w:b/>
          <w:bCs/>
          <w:i/>
          <w:iCs/>
          <w:lang w:val="en-US"/>
        </w:rPr>
        <w:t xml:space="preserve">Developing Feedback </w:t>
      </w:r>
      <w:proofErr w:type="gramStart"/>
      <w:r w:rsidRPr="00C10C75">
        <w:rPr>
          <w:b/>
          <w:bCs/>
          <w:i/>
          <w:iCs/>
          <w:lang w:val="en-US"/>
        </w:rPr>
        <w:t>For</w:t>
      </w:r>
      <w:proofErr w:type="gramEnd"/>
      <w:r w:rsidRPr="00C10C75">
        <w:rPr>
          <w:b/>
          <w:bCs/>
          <w:i/>
          <w:iCs/>
          <w:lang w:val="en-US"/>
        </w:rPr>
        <w:t xml:space="preserve"> Pupil Learning. </w:t>
      </w:r>
      <w:r w:rsidRPr="00C10C75">
        <w:rPr>
          <w:b/>
          <w:bCs/>
          <w:lang w:val="en-US"/>
        </w:rPr>
        <w:t xml:space="preserve">Available at: </w:t>
      </w:r>
      <w:hyperlink r:id="rId10" w:tgtFrame="_blank" w:history="1">
        <w:r w:rsidRPr="00C10C75">
          <w:rPr>
            <w:rStyle w:val="Hyperlink"/>
            <w:b/>
            <w:bCs/>
            <w:lang w:val="en-US"/>
          </w:rPr>
          <w:t>https://www.taylorfrancis.com/books/mono/10.4324/9781315564210/developing-feedback-pupil-learning-ruth-dann</w:t>
        </w:r>
      </w:hyperlink>
      <w:r w:rsidRPr="00C10C75">
        <w:rPr>
          <w:b/>
          <w:bCs/>
          <w:lang w:val="en-US"/>
        </w:rPr>
        <w:t>. Accessed on 30/04/25 </w:t>
      </w:r>
    </w:p>
    <w:p w14:paraId="5CEF5A8A" w14:textId="77777777" w:rsidR="00C10C75" w:rsidRPr="00C10C75" w:rsidRDefault="00C10C75" w:rsidP="00C10C75">
      <w:pPr>
        <w:rPr>
          <w:b/>
          <w:bCs/>
          <w:lang w:val="en-US"/>
        </w:rPr>
      </w:pPr>
      <w:r w:rsidRPr="00C10C75">
        <w:rPr>
          <w:b/>
          <w:bCs/>
          <w:lang w:val="en-US"/>
        </w:rPr>
        <w:t>Department for Education (2019). </w:t>
      </w:r>
      <w:r w:rsidRPr="00C10C75">
        <w:rPr>
          <w:b/>
          <w:bCs/>
          <w:i/>
          <w:iCs/>
          <w:lang w:val="en-US"/>
        </w:rPr>
        <w:t>Damian Hinds: Learning life-saving skills in school is crucial</w:t>
      </w:r>
      <w:r w:rsidRPr="00C10C75">
        <w:rPr>
          <w:b/>
          <w:bCs/>
          <w:lang w:val="en-US"/>
        </w:rPr>
        <w:t xml:space="preserve">. [online] GOV.UK. Available at: </w:t>
      </w:r>
      <w:hyperlink r:id="rId11" w:tgtFrame="_blank" w:history="1">
        <w:r w:rsidRPr="00C10C75">
          <w:rPr>
            <w:rStyle w:val="Hyperlink"/>
            <w:b/>
            <w:bCs/>
            <w:lang w:val="en-US"/>
          </w:rPr>
          <w:t>https://www.gov.uk/government/news/damian-hinds-learning-life-saving-skills-in-school-is-crucial</w:t>
        </w:r>
      </w:hyperlink>
      <w:r w:rsidRPr="00C10C75">
        <w:rPr>
          <w:b/>
          <w:bCs/>
          <w:lang w:val="en-US"/>
        </w:rPr>
        <w:t>. Accessed on 05/05/25 </w:t>
      </w:r>
    </w:p>
    <w:p w14:paraId="657139BF" w14:textId="77777777" w:rsidR="00C10C75" w:rsidRPr="00C10C75" w:rsidRDefault="00C10C75" w:rsidP="00C10C75">
      <w:pPr>
        <w:rPr>
          <w:b/>
          <w:bCs/>
          <w:lang w:val="en-US"/>
        </w:rPr>
      </w:pPr>
      <w:r w:rsidRPr="00C10C75">
        <w:rPr>
          <w:b/>
          <w:bCs/>
          <w:lang w:val="en-US"/>
        </w:rPr>
        <w:t xml:space="preserve">Equality Act (2010). </w:t>
      </w:r>
      <w:r w:rsidRPr="00C10C75">
        <w:rPr>
          <w:b/>
          <w:bCs/>
          <w:i/>
          <w:iCs/>
          <w:lang w:val="en-US"/>
        </w:rPr>
        <w:t>Equality Act 2010</w:t>
      </w:r>
      <w:r w:rsidRPr="00C10C75">
        <w:rPr>
          <w:b/>
          <w:bCs/>
          <w:lang w:val="en-US"/>
        </w:rPr>
        <w:t xml:space="preserve">. [online] Legislation.gov.uk. Available at: </w:t>
      </w:r>
      <w:hyperlink r:id="rId12" w:tgtFrame="_blank" w:history="1">
        <w:r w:rsidRPr="00C10C75">
          <w:rPr>
            <w:rStyle w:val="Hyperlink"/>
            <w:b/>
            <w:bCs/>
            <w:lang w:val="en-US"/>
          </w:rPr>
          <w:t>https://www.legislation.gov.uk/ukpga/2010/15/section/4</w:t>
        </w:r>
      </w:hyperlink>
      <w:r w:rsidRPr="00C10C75">
        <w:rPr>
          <w:b/>
          <w:bCs/>
          <w:lang w:val="en-US"/>
        </w:rPr>
        <w:t>. Accessed on 28/04/25 </w:t>
      </w:r>
    </w:p>
    <w:p w14:paraId="43C13784" w14:textId="77777777" w:rsidR="00C10C75" w:rsidRPr="00C10C75" w:rsidRDefault="00C10C75" w:rsidP="00C10C75">
      <w:pPr>
        <w:rPr>
          <w:b/>
          <w:bCs/>
          <w:lang w:val="en-US"/>
        </w:rPr>
      </w:pPr>
      <w:proofErr w:type="spellStart"/>
      <w:r w:rsidRPr="00C10C75">
        <w:rPr>
          <w:b/>
          <w:bCs/>
          <w:lang w:val="en-US"/>
        </w:rPr>
        <w:t>Gov.wales</w:t>
      </w:r>
      <w:proofErr w:type="spellEnd"/>
      <w:r w:rsidRPr="00C10C75">
        <w:rPr>
          <w:b/>
          <w:bCs/>
          <w:lang w:val="en-US"/>
        </w:rPr>
        <w:t xml:space="preserve">. (2021). </w:t>
      </w:r>
      <w:r w:rsidRPr="00C10C75">
        <w:rPr>
          <w:b/>
          <w:bCs/>
          <w:i/>
          <w:iCs/>
          <w:lang w:val="en-US"/>
        </w:rPr>
        <w:t>Cross-cutting themes for designing your curriculum - Hwb</w:t>
      </w:r>
      <w:r w:rsidRPr="00C10C75">
        <w:rPr>
          <w:b/>
          <w:bCs/>
          <w:lang w:val="en-US"/>
        </w:rPr>
        <w:t xml:space="preserve">. [online] Available at: </w:t>
      </w:r>
      <w:hyperlink r:id="rId13" w:anchor="local" w:tgtFrame="_blank" w:history="1">
        <w:r w:rsidRPr="00C10C75">
          <w:rPr>
            <w:rStyle w:val="Hyperlink"/>
            <w:b/>
            <w:bCs/>
            <w:lang w:val="en-US"/>
          </w:rPr>
          <w:t>https://hwb.gov.wales/curriculum-for-wales/designing-your-curriculum/cross-cutting-themes-for-designing-your-curriculum#local</w:t>
        </w:r>
      </w:hyperlink>
      <w:r w:rsidRPr="00C10C75">
        <w:rPr>
          <w:b/>
          <w:bCs/>
          <w:lang w:val="en-US"/>
        </w:rPr>
        <w:t>. Accessed on 23/04/25 </w:t>
      </w:r>
    </w:p>
    <w:p w14:paraId="667BA8B4" w14:textId="77777777" w:rsidR="00C10C75" w:rsidRPr="00C10C75" w:rsidRDefault="00C10C75" w:rsidP="00C10C75">
      <w:pPr>
        <w:rPr>
          <w:b/>
          <w:bCs/>
          <w:lang w:val="en-US"/>
        </w:rPr>
      </w:pPr>
      <w:r w:rsidRPr="00C10C75">
        <w:rPr>
          <w:b/>
          <w:bCs/>
          <w:lang w:val="en-US"/>
        </w:rPr>
        <w:t xml:space="preserve">Impact Wales (2022). </w:t>
      </w:r>
      <w:r w:rsidRPr="00C10C75">
        <w:rPr>
          <w:b/>
          <w:bCs/>
          <w:i/>
          <w:iCs/>
          <w:lang w:val="en-US"/>
        </w:rPr>
        <w:t>What are the 12 Pedagogical Principles &amp; How to use them</w:t>
      </w:r>
      <w:r w:rsidRPr="00C10C75">
        <w:rPr>
          <w:b/>
          <w:bCs/>
          <w:lang w:val="en-US"/>
        </w:rPr>
        <w:t xml:space="preserve">. [online] Impact Wales. Available at: </w:t>
      </w:r>
      <w:hyperlink r:id="rId14" w:tgtFrame="_blank" w:history="1">
        <w:r w:rsidRPr="00C10C75">
          <w:rPr>
            <w:rStyle w:val="Hyperlink"/>
            <w:b/>
            <w:bCs/>
            <w:lang w:val="en-US"/>
          </w:rPr>
          <w:t>https://www.impact.wales/news/12-pedagogical-principles/</w:t>
        </w:r>
      </w:hyperlink>
      <w:r w:rsidRPr="00C10C75">
        <w:rPr>
          <w:b/>
          <w:bCs/>
          <w:lang w:val="en-US"/>
        </w:rPr>
        <w:t>. Accessed on 24/04/25  </w:t>
      </w:r>
    </w:p>
    <w:p w14:paraId="3103F4DB" w14:textId="77777777" w:rsidR="00C10C75" w:rsidRPr="00C10C75" w:rsidRDefault="00C10C75" w:rsidP="00C10C75">
      <w:pPr>
        <w:rPr>
          <w:b/>
          <w:bCs/>
          <w:lang w:val="en-US"/>
        </w:rPr>
      </w:pPr>
      <w:r w:rsidRPr="00C10C75">
        <w:rPr>
          <w:b/>
          <w:bCs/>
          <w:lang w:val="en-US"/>
        </w:rPr>
        <w:t>Kaltman, G.S. (2010). Hands-on learning. </w:t>
      </w:r>
      <w:r w:rsidRPr="00C10C75">
        <w:rPr>
          <w:b/>
          <w:bCs/>
          <w:i/>
          <w:iCs/>
          <w:lang w:val="en-US"/>
        </w:rPr>
        <w:t>Childhood Education</w:t>
      </w:r>
      <w:r w:rsidRPr="00C10C75">
        <w:rPr>
          <w:b/>
          <w:bCs/>
          <w:lang w:val="en-US"/>
        </w:rPr>
        <w:t xml:space="preserve">, [online] 87(2), </w:t>
      </w:r>
      <w:proofErr w:type="gramStart"/>
      <w:r w:rsidRPr="00C10C75">
        <w:rPr>
          <w:b/>
          <w:bCs/>
          <w:lang w:val="en-US"/>
        </w:rPr>
        <w:t>pp.S</w:t>
      </w:r>
      <w:proofErr w:type="gramEnd"/>
      <w:r w:rsidRPr="00C10C75">
        <w:rPr>
          <w:b/>
          <w:bCs/>
          <w:lang w:val="en-US"/>
        </w:rPr>
        <w:t xml:space="preserve">7–S7. Available at: </w:t>
      </w:r>
      <w:hyperlink r:id="rId15" w:tgtFrame="_blank" w:history="1">
        <w:r w:rsidRPr="00C10C75">
          <w:rPr>
            <w:rStyle w:val="Hyperlink"/>
            <w:b/>
            <w:bCs/>
            <w:lang w:val="en-US"/>
          </w:rPr>
          <w:t>https://go.gale.com/ps/i.doid=GALE%7CA245884666&amp;sid=googleScholar&amp;v=2.1&amp;it=r&amp;linkaccess=abs&amp;issn=00094056&amp;p=AONE&amp;sw=w&amp;userGroupName=anon%7E335a093f&amp;aty=open-web-entry</w:t>
        </w:r>
      </w:hyperlink>
      <w:r w:rsidRPr="00C10C75">
        <w:rPr>
          <w:b/>
          <w:bCs/>
          <w:lang w:val="en-US"/>
        </w:rPr>
        <w:t xml:space="preserve"> [Accessed 5 May 2025]. </w:t>
      </w:r>
    </w:p>
    <w:p w14:paraId="7FD54BDF" w14:textId="77777777" w:rsidR="00C10C75" w:rsidRPr="00C10C75" w:rsidRDefault="00C10C75" w:rsidP="00C10C75">
      <w:pPr>
        <w:rPr>
          <w:b/>
          <w:bCs/>
          <w:lang w:val="en-US"/>
        </w:rPr>
      </w:pPr>
      <w:r w:rsidRPr="00C10C75">
        <w:rPr>
          <w:b/>
          <w:bCs/>
          <w:lang w:val="en-US"/>
        </w:rPr>
        <w:t>Mightywriter.co.uk. (2025). </w:t>
      </w:r>
      <w:r w:rsidRPr="00C10C75">
        <w:rPr>
          <w:b/>
          <w:bCs/>
          <w:i/>
          <w:iCs/>
          <w:lang w:val="en-US"/>
        </w:rPr>
        <w:t xml:space="preserve">Setting Clear Learning Objectives </w:t>
      </w:r>
      <w:r w:rsidRPr="00C10C75">
        <w:rPr>
          <w:rFonts w:ascii="Apple Color Emoji" w:hAnsi="Apple Color Emoji" w:cs="Apple Color Emoji"/>
          <w:b/>
          <w:bCs/>
          <w:i/>
          <w:iCs/>
          <w:lang w:val="en-US"/>
        </w:rPr>
        <w:t>🧑</w:t>
      </w:r>
      <w:r w:rsidRPr="00C10C75">
        <w:rPr>
          <w:b/>
          <w:bCs/>
          <w:i/>
          <w:iCs/>
          <w:lang w:val="en-US"/>
        </w:rPr>
        <w:t>‍</w:t>
      </w:r>
      <w:r w:rsidRPr="00C10C75">
        <w:rPr>
          <w:rFonts w:ascii="Apple Color Emoji" w:hAnsi="Apple Color Emoji" w:cs="Apple Color Emoji"/>
          <w:b/>
          <w:bCs/>
          <w:i/>
          <w:iCs/>
          <w:lang w:val="en-US"/>
        </w:rPr>
        <w:t>🏫</w:t>
      </w:r>
      <w:r w:rsidRPr="00C10C75">
        <w:rPr>
          <w:b/>
          <w:bCs/>
          <w:lang w:val="en-US"/>
        </w:rPr>
        <w:t xml:space="preserve">. [online] Available at: </w:t>
      </w:r>
      <w:hyperlink r:id="rId16" w:tgtFrame="_blank" w:history="1">
        <w:r w:rsidRPr="00C10C75">
          <w:rPr>
            <w:rStyle w:val="Hyperlink"/>
            <w:b/>
            <w:bCs/>
            <w:lang w:val="en-US"/>
          </w:rPr>
          <w:t>https://www.mightywriter.co.uk/setting-clear-learning-objectives-aligned-with-the-curriculum</w:t>
        </w:r>
      </w:hyperlink>
      <w:r w:rsidRPr="00C10C75">
        <w:rPr>
          <w:b/>
          <w:bCs/>
          <w:lang w:val="en-US"/>
        </w:rPr>
        <w:t>. Accessed on 05/05/25  </w:t>
      </w:r>
    </w:p>
    <w:p w14:paraId="34CCB3CE" w14:textId="77777777" w:rsidR="00C10C75" w:rsidRPr="00C10C75" w:rsidRDefault="00C10C75" w:rsidP="00C10C75">
      <w:pPr>
        <w:rPr>
          <w:b/>
          <w:bCs/>
          <w:lang w:val="en-US"/>
        </w:rPr>
      </w:pPr>
      <w:r w:rsidRPr="00C10C75">
        <w:rPr>
          <w:b/>
          <w:bCs/>
          <w:lang w:val="en-US"/>
        </w:rPr>
        <w:t xml:space="preserve">NSPCC Learning. (2021). </w:t>
      </w:r>
      <w:r w:rsidRPr="00C10C75">
        <w:rPr>
          <w:b/>
          <w:bCs/>
          <w:i/>
          <w:iCs/>
          <w:lang w:val="en-US"/>
        </w:rPr>
        <w:t>School visitors and safeguarding</w:t>
      </w:r>
      <w:r w:rsidRPr="00C10C75">
        <w:rPr>
          <w:b/>
          <w:bCs/>
          <w:lang w:val="en-US"/>
        </w:rPr>
        <w:t xml:space="preserve">. [online] Available at: </w:t>
      </w:r>
      <w:hyperlink r:id="rId17" w:tgtFrame="_blank" w:history="1">
        <w:r w:rsidRPr="00C10C75">
          <w:rPr>
            <w:rStyle w:val="Hyperlink"/>
            <w:b/>
            <w:bCs/>
            <w:lang w:val="en-US"/>
          </w:rPr>
          <w:t>https://learning.nspcc.org.uk/safeguarding-child-protection-schools/school-visitors</w:t>
        </w:r>
      </w:hyperlink>
      <w:r w:rsidRPr="00C10C75">
        <w:rPr>
          <w:b/>
          <w:bCs/>
          <w:lang w:val="en-US"/>
        </w:rPr>
        <w:t>. Accessed on 30/04/25 </w:t>
      </w:r>
    </w:p>
    <w:p w14:paraId="2C1AC12D" w14:textId="77777777" w:rsidR="00C10C75" w:rsidRPr="00C10C75" w:rsidRDefault="00C10C75" w:rsidP="00C10C75">
      <w:pPr>
        <w:rPr>
          <w:b/>
          <w:bCs/>
          <w:lang w:val="en-US"/>
        </w:rPr>
      </w:pPr>
      <w:r w:rsidRPr="00C10C75">
        <w:rPr>
          <w:b/>
          <w:bCs/>
          <w:lang w:val="en-US"/>
        </w:rPr>
        <w:t>NSPCC (2019). </w:t>
      </w:r>
      <w:r w:rsidRPr="00C10C75">
        <w:rPr>
          <w:b/>
          <w:bCs/>
          <w:i/>
          <w:iCs/>
          <w:lang w:val="en-US"/>
        </w:rPr>
        <w:t>Recommended adult to child ratios for working with children</w:t>
      </w:r>
      <w:r w:rsidRPr="00C10C75">
        <w:rPr>
          <w:b/>
          <w:bCs/>
          <w:lang w:val="en-US"/>
        </w:rPr>
        <w:t xml:space="preserve">. [online] NSPCC Learning. Available at: </w:t>
      </w:r>
      <w:hyperlink r:id="rId18" w:tgtFrame="_blank" w:history="1">
        <w:r w:rsidRPr="00C10C75">
          <w:rPr>
            <w:rStyle w:val="Hyperlink"/>
            <w:b/>
            <w:bCs/>
            <w:lang w:val="en-US"/>
          </w:rPr>
          <w:t>https://learning.nspcc.org.uk/research-resources/briefings/recommended-adult-child-ratios-working-with-children</w:t>
        </w:r>
      </w:hyperlink>
      <w:r w:rsidRPr="00C10C75">
        <w:rPr>
          <w:b/>
          <w:bCs/>
          <w:lang w:val="en-US"/>
        </w:rPr>
        <w:t>. </w:t>
      </w:r>
    </w:p>
    <w:p w14:paraId="19719EF0" w14:textId="77777777" w:rsidR="00C10C75" w:rsidRPr="00C10C75" w:rsidRDefault="00C10C75" w:rsidP="00C10C75">
      <w:pPr>
        <w:rPr>
          <w:b/>
          <w:bCs/>
          <w:lang w:val="en-US"/>
        </w:rPr>
      </w:pPr>
      <w:r w:rsidRPr="00C10C75">
        <w:rPr>
          <w:b/>
          <w:bCs/>
          <w:lang w:val="en-US"/>
        </w:rPr>
        <w:t xml:space="preserve">Public Health Wales. (2024). </w:t>
      </w:r>
      <w:r w:rsidRPr="00C10C75">
        <w:rPr>
          <w:b/>
          <w:bCs/>
          <w:i/>
          <w:iCs/>
          <w:lang w:val="en-US"/>
        </w:rPr>
        <w:t>Supporting the Health and Well-being Area of Learning and Experience in Schools</w:t>
      </w:r>
      <w:r w:rsidRPr="00C10C75">
        <w:rPr>
          <w:b/>
          <w:bCs/>
          <w:lang w:val="en-US"/>
        </w:rPr>
        <w:t xml:space="preserve">. [online] Available at: </w:t>
      </w:r>
      <w:hyperlink r:id="rId19" w:tgtFrame="_blank" w:history="1">
        <w:r w:rsidRPr="00C10C75">
          <w:rPr>
            <w:rStyle w:val="Hyperlink"/>
            <w:b/>
            <w:bCs/>
            <w:lang w:val="en-US"/>
          </w:rPr>
          <w:t>https://phw.nhs.wales/topics/supporting-the-health-and-wellbeing-area-of-learning-and-experience-in-schools/</w:t>
        </w:r>
      </w:hyperlink>
      <w:r w:rsidRPr="00C10C75">
        <w:rPr>
          <w:b/>
          <w:bCs/>
          <w:lang w:val="en-US"/>
        </w:rPr>
        <w:t>. Accessed on 26/04/25 </w:t>
      </w:r>
    </w:p>
    <w:p w14:paraId="36EB0A85" w14:textId="77777777" w:rsidR="00C10C75" w:rsidRPr="00C10C75" w:rsidRDefault="00C10C75" w:rsidP="00C10C75">
      <w:pPr>
        <w:rPr>
          <w:b/>
          <w:bCs/>
          <w:lang w:val="en-US"/>
        </w:rPr>
      </w:pPr>
      <w:proofErr w:type="spellStart"/>
      <w:r w:rsidRPr="00C10C75">
        <w:rPr>
          <w:b/>
          <w:bCs/>
          <w:lang w:val="en-US"/>
        </w:rPr>
        <w:lastRenderedPageBreak/>
        <w:t>Soken-Huberty</w:t>
      </w:r>
      <w:proofErr w:type="spellEnd"/>
      <w:r w:rsidRPr="00C10C75">
        <w:rPr>
          <w:b/>
          <w:bCs/>
          <w:lang w:val="en-US"/>
        </w:rPr>
        <w:t xml:space="preserve">, E. (2020). </w:t>
      </w:r>
      <w:r w:rsidRPr="00C10C75">
        <w:rPr>
          <w:b/>
          <w:bCs/>
          <w:i/>
          <w:iCs/>
          <w:lang w:val="en-US"/>
        </w:rPr>
        <w:t>What is Social Justice in Education?</w:t>
      </w:r>
      <w:r w:rsidRPr="00C10C75">
        <w:rPr>
          <w:b/>
          <w:bCs/>
          <w:lang w:val="en-US"/>
        </w:rPr>
        <w:t xml:space="preserve"> [online] Human Rights Careers. Available at: </w:t>
      </w:r>
      <w:hyperlink r:id="rId20" w:tgtFrame="_blank" w:history="1">
        <w:r w:rsidRPr="00C10C75">
          <w:rPr>
            <w:rStyle w:val="Hyperlink"/>
            <w:b/>
            <w:bCs/>
            <w:lang w:val="en-US"/>
          </w:rPr>
          <w:t>https://www.humanrightscareers.com/issues/what-is-social-justice-in-education/</w:t>
        </w:r>
      </w:hyperlink>
      <w:r w:rsidRPr="00C10C75">
        <w:rPr>
          <w:b/>
          <w:bCs/>
          <w:lang w:val="en-US"/>
        </w:rPr>
        <w:t>. Accessed on 28/04/25 </w:t>
      </w:r>
    </w:p>
    <w:p w14:paraId="71FF6608" w14:textId="77777777" w:rsidR="00C10C75" w:rsidRPr="00C10C75" w:rsidRDefault="00C10C75" w:rsidP="00C10C75">
      <w:pPr>
        <w:rPr>
          <w:b/>
          <w:bCs/>
          <w:lang w:val="en-US"/>
        </w:rPr>
      </w:pPr>
      <w:r w:rsidRPr="00C10C75">
        <w:rPr>
          <w:b/>
          <w:bCs/>
          <w:lang w:val="en-US"/>
        </w:rPr>
        <w:t xml:space="preserve">St John Ambulance (2024). </w:t>
      </w:r>
      <w:r w:rsidRPr="00C10C75">
        <w:rPr>
          <w:b/>
          <w:bCs/>
          <w:i/>
          <w:iCs/>
          <w:lang w:val="en-US"/>
        </w:rPr>
        <w:t xml:space="preserve">KS2 Scenario cards. </w:t>
      </w:r>
      <w:r w:rsidRPr="00C10C75">
        <w:rPr>
          <w:b/>
          <w:bCs/>
          <w:lang w:val="en-US"/>
        </w:rPr>
        <w:t xml:space="preserve">Available at: </w:t>
      </w:r>
      <w:hyperlink r:id="rId21" w:tgtFrame="_blank" w:history="1">
        <w:r w:rsidRPr="00C10C75">
          <w:rPr>
            <w:rStyle w:val="Hyperlink"/>
            <w:b/>
            <w:bCs/>
            <w:lang w:val="en-US"/>
          </w:rPr>
          <w:t>https://www.sja.org.uk/globalassets/first-aid-teaching-resources/key-stage-teaching-resources/scenario-cards/ks2/ks2-scenario-cards.pdf</w:t>
        </w:r>
      </w:hyperlink>
      <w:r w:rsidRPr="00C10C75">
        <w:rPr>
          <w:b/>
          <w:bCs/>
          <w:lang w:val="en-US"/>
        </w:rPr>
        <w:t xml:space="preserve"> Accessed on 05/05/25 </w:t>
      </w:r>
    </w:p>
    <w:p w14:paraId="6DFA3950" w14:textId="77777777" w:rsidR="00C10C75" w:rsidRPr="00C10C75" w:rsidRDefault="00C10C75" w:rsidP="00C10C75">
      <w:pPr>
        <w:rPr>
          <w:b/>
          <w:bCs/>
          <w:lang w:val="en-US"/>
        </w:rPr>
      </w:pPr>
      <w:r w:rsidRPr="00C10C75">
        <w:rPr>
          <w:b/>
          <w:bCs/>
          <w:lang w:val="en-US"/>
        </w:rPr>
        <w:t xml:space="preserve">St John Ambulance (2025). </w:t>
      </w:r>
      <w:r w:rsidRPr="00C10C75">
        <w:rPr>
          <w:b/>
          <w:bCs/>
          <w:i/>
          <w:iCs/>
          <w:lang w:val="en-US"/>
        </w:rPr>
        <w:t xml:space="preserve">St John Ambulance Young Responders </w:t>
      </w:r>
      <w:r w:rsidRPr="00C10C75">
        <w:rPr>
          <w:b/>
          <w:bCs/>
          <w:lang w:val="en-US"/>
        </w:rPr>
        <w:t xml:space="preserve">[Online] Available at: </w:t>
      </w:r>
      <w:hyperlink r:id="rId22" w:tgtFrame="_blank" w:history="1">
        <w:r w:rsidRPr="00C10C75">
          <w:rPr>
            <w:rStyle w:val="Hyperlink"/>
            <w:b/>
            <w:bCs/>
            <w:lang w:val="en-US"/>
          </w:rPr>
          <w:t>https://www.sja.org.uk/get-involved/young-people/young-responders/</w:t>
        </w:r>
      </w:hyperlink>
      <w:r w:rsidRPr="00C10C75">
        <w:rPr>
          <w:b/>
          <w:bCs/>
          <w:lang w:val="en-US"/>
        </w:rPr>
        <w:t>  Accessed on 29/04/25 </w:t>
      </w:r>
    </w:p>
    <w:p w14:paraId="3375AE5F" w14:textId="77777777" w:rsidR="00C10C75" w:rsidRPr="00C10C75" w:rsidRDefault="00C10C75" w:rsidP="00C10C75">
      <w:pPr>
        <w:rPr>
          <w:b/>
          <w:bCs/>
          <w:lang w:val="en-US"/>
        </w:rPr>
      </w:pPr>
      <w:r w:rsidRPr="00C10C75">
        <w:rPr>
          <w:b/>
          <w:bCs/>
          <w:lang w:val="en-US"/>
        </w:rPr>
        <w:t xml:space="preserve">The Right Way: a Case Study. (n.d.). Available at: </w:t>
      </w:r>
      <w:hyperlink r:id="rId23" w:tgtFrame="_blank" w:history="1">
        <w:r w:rsidRPr="00C10C75">
          <w:rPr>
            <w:rStyle w:val="Hyperlink"/>
            <w:b/>
            <w:bCs/>
            <w:lang w:val="en-US"/>
          </w:rPr>
          <w:t>https://www.childcomwales.org.uk/wp-content/uploads/2024/05/WAST-Case-study.pdf</w:t>
        </w:r>
      </w:hyperlink>
      <w:r w:rsidRPr="00C10C75">
        <w:rPr>
          <w:b/>
          <w:bCs/>
          <w:lang w:val="en-US"/>
        </w:rPr>
        <w:t xml:space="preserve"> Accessed on 05/05/25 </w:t>
      </w:r>
    </w:p>
    <w:p w14:paraId="44AF332D" w14:textId="77777777" w:rsidR="00C10C75" w:rsidRPr="00C10C75" w:rsidRDefault="00C10C75" w:rsidP="00C10C75">
      <w:pPr>
        <w:rPr>
          <w:b/>
          <w:bCs/>
          <w:lang w:val="en-US"/>
        </w:rPr>
      </w:pPr>
      <w:r w:rsidRPr="00C10C75">
        <w:rPr>
          <w:b/>
          <w:bCs/>
          <w:lang w:val="en-US"/>
        </w:rPr>
        <w:t xml:space="preserve">UNICEF (1989). </w:t>
      </w:r>
      <w:r w:rsidRPr="00C10C75">
        <w:rPr>
          <w:b/>
          <w:bCs/>
          <w:i/>
          <w:iCs/>
          <w:lang w:val="en-US"/>
        </w:rPr>
        <w:t>THE UNITED NATIONS CONVENTION ON THE RIGHTS OF THE CHILD</w:t>
      </w:r>
      <w:r w:rsidRPr="00C10C75">
        <w:rPr>
          <w:b/>
          <w:bCs/>
          <w:lang w:val="en-US"/>
        </w:rPr>
        <w:t xml:space="preserve">. [online] </w:t>
      </w:r>
      <w:r w:rsidRPr="00C10C75">
        <w:rPr>
          <w:b/>
          <w:bCs/>
          <w:i/>
          <w:iCs/>
          <w:lang w:val="en-US"/>
        </w:rPr>
        <w:t>UNICEF</w:t>
      </w:r>
      <w:r w:rsidRPr="00C10C75">
        <w:rPr>
          <w:b/>
          <w:bCs/>
          <w:lang w:val="en-US"/>
        </w:rPr>
        <w:t xml:space="preserve">. Available at: </w:t>
      </w:r>
      <w:hyperlink r:id="rId24" w:tgtFrame="_blank" w:history="1">
        <w:r w:rsidRPr="00C10C75">
          <w:rPr>
            <w:rStyle w:val="Hyperlink"/>
            <w:b/>
            <w:bCs/>
            <w:lang w:val="en-US"/>
          </w:rPr>
          <w:t>https://www.unicef.org/media/60981/file/convention-rights-child-text-child-friendly-version.pdf</w:t>
        </w:r>
      </w:hyperlink>
      <w:r w:rsidRPr="00C10C75">
        <w:rPr>
          <w:b/>
          <w:bCs/>
          <w:lang w:val="en-US"/>
        </w:rPr>
        <w:t>. Accessed on 27/04/25 </w:t>
      </w:r>
    </w:p>
    <w:p w14:paraId="104B15D3" w14:textId="77777777" w:rsidR="00C10C75" w:rsidRPr="00C10C75" w:rsidRDefault="00C10C75" w:rsidP="00C10C75">
      <w:pPr>
        <w:rPr>
          <w:b/>
          <w:bCs/>
          <w:lang w:val="en-US"/>
        </w:rPr>
      </w:pPr>
      <w:r w:rsidRPr="00C10C75">
        <w:rPr>
          <w:b/>
          <w:bCs/>
          <w:lang w:val="en-US"/>
        </w:rPr>
        <w:t xml:space="preserve">Welsh Government (2015). </w:t>
      </w:r>
      <w:r w:rsidRPr="00C10C75">
        <w:rPr>
          <w:b/>
          <w:bCs/>
          <w:i/>
          <w:iCs/>
          <w:lang w:val="en-US"/>
        </w:rPr>
        <w:t>The Well-being of Future Generations</w:t>
      </w:r>
      <w:r w:rsidRPr="00C10C75">
        <w:rPr>
          <w:b/>
          <w:bCs/>
          <w:lang w:val="en-US"/>
        </w:rPr>
        <w:t xml:space="preserve">. [online] GOV.WALES. Available at: </w:t>
      </w:r>
      <w:hyperlink r:id="rId25" w:tgtFrame="_blank" w:history="1">
        <w:r w:rsidRPr="00C10C75">
          <w:rPr>
            <w:rStyle w:val="Hyperlink"/>
            <w:b/>
            <w:bCs/>
            <w:lang w:val="en-US"/>
          </w:rPr>
          <w:t>https://www.gov.wales/well-being-of-future-generations-wales</w:t>
        </w:r>
      </w:hyperlink>
      <w:r w:rsidRPr="00C10C75">
        <w:rPr>
          <w:b/>
          <w:bCs/>
          <w:lang w:val="en-US"/>
        </w:rPr>
        <w:t>. Accessed on 24/04/25 </w:t>
      </w:r>
    </w:p>
    <w:p w14:paraId="2B90F647" w14:textId="77777777" w:rsidR="00C10C75" w:rsidRPr="00C10C75" w:rsidRDefault="00C10C75" w:rsidP="00C10C75">
      <w:pPr>
        <w:rPr>
          <w:b/>
          <w:bCs/>
          <w:lang w:val="en-US"/>
        </w:rPr>
      </w:pPr>
      <w:r w:rsidRPr="00C10C75">
        <w:rPr>
          <w:b/>
          <w:bCs/>
          <w:lang w:val="en-US"/>
        </w:rPr>
        <w:t xml:space="preserve">Welsh Government (2022). </w:t>
      </w:r>
      <w:r w:rsidRPr="00C10C75">
        <w:rPr>
          <w:b/>
          <w:bCs/>
          <w:i/>
          <w:iCs/>
          <w:lang w:val="en-US"/>
        </w:rPr>
        <w:t>Developing a vision for curriculum design - Hwb</w:t>
      </w:r>
      <w:r w:rsidRPr="00C10C75">
        <w:rPr>
          <w:b/>
          <w:bCs/>
          <w:lang w:val="en-US"/>
        </w:rPr>
        <w:t xml:space="preserve">. [online] </w:t>
      </w:r>
      <w:proofErr w:type="spellStart"/>
      <w:proofErr w:type="gramStart"/>
      <w:r w:rsidRPr="00C10C75">
        <w:rPr>
          <w:b/>
          <w:bCs/>
          <w:lang w:val="en-US"/>
        </w:rPr>
        <w:t>hwb.gov.wales</w:t>
      </w:r>
      <w:proofErr w:type="spellEnd"/>
      <w:proofErr w:type="gramEnd"/>
      <w:r w:rsidRPr="00C10C75">
        <w:rPr>
          <w:b/>
          <w:bCs/>
          <w:lang w:val="en-US"/>
        </w:rPr>
        <w:t xml:space="preserve">. Available at: </w:t>
      </w:r>
      <w:hyperlink r:id="rId26" w:tgtFrame="_blank" w:history="1">
        <w:r w:rsidRPr="00C10C75">
          <w:rPr>
            <w:rStyle w:val="Hyperlink"/>
            <w:b/>
            <w:bCs/>
            <w:lang w:val="en-US"/>
          </w:rPr>
          <w:t>https://hwb.gov.wales/curriculum-for-wales/designing-your-curriculum/developing-a-vision-for-curriculum-design</w:t>
        </w:r>
      </w:hyperlink>
      <w:r w:rsidRPr="00C10C75">
        <w:rPr>
          <w:b/>
          <w:bCs/>
          <w:lang w:val="en-US"/>
        </w:rPr>
        <w:t>. Accessed on 22/04/25 </w:t>
      </w:r>
    </w:p>
    <w:p w14:paraId="7344C53A" w14:textId="77777777" w:rsidR="00C10C75" w:rsidRPr="00C10C75" w:rsidRDefault="00C10C75" w:rsidP="00C10C75">
      <w:pPr>
        <w:rPr>
          <w:b/>
          <w:bCs/>
          <w:lang w:val="en-US"/>
        </w:rPr>
      </w:pPr>
      <w:r w:rsidRPr="00C10C75">
        <w:rPr>
          <w:b/>
          <w:bCs/>
          <w:lang w:val="en-US"/>
        </w:rPr>
        <w:t xml:space="preserve">Welsh Government (2023). </w:t>
      </w:r>
      <w:r w:rsidRPr="00C10C75">
        <w:rPr>
          <w:b/>
          <w:bCs/>
          <w:i/>
          <w:iCs/>
          <w:lang w:val="en-US"/>
        </w:rPr>
        <w:t>Pedagogy - Hwb</w:t>
      </w:r>
      <w:r w:rsidRPr="00C10C75">
        <w:rPr>
          <w:b/>
          <w:bCs/>
          <w:lang w:val="en-US"/>
        </w:rPr>
        <w:t xml:space="preserve">. [online] </w:t>
      </w:r>
      <w:proofErr w:type="spellStart"/>
      <w:proofErr w:type="gramStart"/>
      <w:r w:rsidRPr="00C10C75">
        <w:rPr>
          <w:b/>
          <w:bCs/>
          <w:lang w:val="en-US"/>
        </w:rPr>
        <w:t>hwb.gov.wales</w:t>
      </w:r>
      <w:proofErr w:type="spellEnd"/>
      <w:proofErr w:type="gramEnd"/>
      <w:r w:rsidRPr="00C10C75">
        <w:rPr>
          <w:b/>
          <w:bCs/>
          <w:lang w:val="en-US"/>
        </w:rPr>
        <w:t xml:space="preserve">. Available at: </w:t>
      </w:r>
      <w:hyperlink r:id="rId27" w:tgtFrame="_blank" w:history="1">
        <w:r w:rsidRPr="00C10C75">
          <w:rPr>
            <w:rStyle w:val="Hyperlink"/>
            <w:b/>
            <w:bCs/>
            <w:lang w:val="en-US"/>
          </w:rPr>
          <w:t>https://hwb.gov.wales/curriculum-for-wales/designing-your-curriculum/pedagogy</w:t>
        </w:r>
      </w:hyperlink>
      <w:r w:rsidRPr="00C10C75">
        <w:rPr>
          <w:b/>
          <w:bCs/>
          <w:lang w:val="en-US"/>
        </w:rPr>
        <w:t>.  Accessed on 22/04/25 </w:t>
      </w:r>
    </w:p>
    <w:p w14:paraId="304F2E31" w14:textId="77777777" w:rsidR="00C10C75" w:rsidRPr="00C10C75" w:rsidRDefault="00C10C75" w:rsidP="00C10C75">
      <w:pPr>
        <w:rPr>
          <w:b/>
          <w:bCs/>
          <w:lang w:val="en-US"/>
        </w:rPr>
      </w:pPr>
      <w:r w:rsidRPr="00C10C75">
        <w:rPr>
          <w:b/>
          <w:bCs/>
          <w:lang w:val="en-US"/>
        </w:rPr>
        <w:t xml:space="preserve">Welsh Ambulance Services University NHS Trust. (2024). </w:t>
      </w:r>
      <w:r w:rsidRPr="00C10C75">
        <w:rPr>
          <w:b/>
          <w:bCs/>
          <w:i/>
          <w:iCs/>
          <w:lang w:val="en-US"/>
        </w:rPr>
        <w:t>Patient Experience &amp; Community Involvement</w:t>
      </w:r>
      <w:r w:rsidRPr="00C10C75">
        <w:rPr>
          <w:b/>
          <w:bCs/>
          <w:lang w:val="en-US"/>
        </w:rPr>
        <w:t>. [online] Available at: https://ambulance.nhs.wales/get-involved/patient-experience-community-involvement/?utm_source=chatgpt.com [Accessed 27 Apr. 2025].  </w:t>
      </w:r>
    </w:p>
    <w:p w14:paraId="112FC39F" w14:textId="77777777" w:rsidR="00C10C75" w:rsidRDefault="00C10C75" w:rsidP="0000375B">
      <w:pPr>
        <w:rPr>
          <w:b/>
          <w:bCs/>
        </w:rPr>
      </w:pPr>
    </w:p>
    <w:p w14:paraId="12FF9B72" w14:textId="77777777" w:rsidR="00C10C75" w:rsidRDefault="00C10C75" w:rsidP="0000375B">
      <w:pPr>
        <w:rPr>
          <w:b/>
          <w:bCs/>
        </w:rPr>
      </w:pPr>
    </w:p>
    <w:p w14:paraId="26D8CB9B" w14:textId="77777777" w:rsidR="00C10C75" w:rsidRDefault="00C10C75" w:rsidP="0000375B">
      <w:pPr>
        <w:rPr>
          <w:b/>
          <w:bCs/>
        </w:rPr>
      </w:pPr>
    </w:p>
    <w:p w14:paraId="5017A5B5" w14:textId="77777777" w:rsidR="00C10C75" w:rsidRDefault="00C10C75" w:rsidP="0000375B">
      <w:pPr>
        <w:rPr>
          <w:b/>
          <w:bCs/>
        </w:rPr>
      </w:pPr>
    </w:p>
    <w:p w14:paraId="4700F15D" w14:textId="548F0B9D" w:rsidR="00C10C75" w:rsidRPr="00C10C75" w:rsidRDefault="00C10C75" w:rsidP="0000375B">
      <w:pPr>
        <w:rPr>
          <w:b/>
          <w:bCs/>
          <w:u w:val="single"/>
        </w:rPr>
      </w:pPr>
      <w:r w:rsidRPr="00C10C75">
        <w:rPr>
          <w:b/>
          <w:bCs/>
          <w:u w:val="single"/>
        </w:rPr>
        <w:lastRenderedPageBreak/>
        <w:t>Appendix</w:t>
      </w:r>
    </w:p>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42AABF9C" w:rsidR="0000375B" w:rsidRPr="00B103B9" w:rsidRDefault="00E61EC9" w:rsidP="00DD5969">
      <w:pPr>
        <w:rPr>
          <w:sz w:val="16"/>
          <w:szCs w:val="16"/>
        </w:rPr>
      </w:pPr>
      <w:r>
        <w:rPr>
          <w:noProof/>
          <w:sz w:val="16"/>
          <w:szCs w:val="16"/>
        </w:rPr>
        <w:drawing>
          <wp:inline distT="0" distB="0" distL="0" distR="0" wp14:anchorId="2B85A442" wp14:editId="793552DA">
            <wp:extent cx="5731510" cy="3317875"/>
            <wp:effectExtent l="0" t="0" r="0" b="0"/>
            <wp:docPr id="1855406093" name="Picture 1"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06093" name="Picture 1" descr="A white rectangular table with black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317875"/>
                    </a:xfrm>
                    <a:prstGeom prst="rect">
                      <a:avLst/>
                    </a:prstGeom>
                  </pic:spPr>
                </pic:pic>
              </a:graphicData>
            </a:graphic>
          </wp:inline>
        </w:drawing>
      </w: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920EC9"/>
    <w:multiLevelType w:val="hybridMultilevel"/>
    <w:tmpl w:val="9F8687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812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198D"/>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D474C"/>
    <w:rsid w:val="004D6534"/>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A34FD"/>
    <w:rsid w:val="009B164A"/>
    <w:rsid w:val="00A23D6E"/>
    <w:rsid w:val="00AD7313"/>
    <w:rsid w:val="00AE2AA9"/>
    <w:rsid w:val="00AE3307"/>
    <w:rsid w:val="00B028A8"/>
    <w:rsid w:val="00B103B9"/>
    <w:rsid w:val="00B51B61"/>
    <w:rsid w:val="00B724BB"/>
    <w:rsid w:val="00BE2A35"/>
    <w:rsid w:val="00BE3554"/>
    <w:rsid w:val="00C10C75"/>
    <w:rsid w:val="00C129B8"/>
    <w:rsid w:val="00C24461"/>
    <w:rsid w:val="00C2550A"/>
    <w:rsid w:val="00C4699D"/>
    <w:rsid w:val="00CF32AC"/>
    <w:rsid w:val="00D24ADF"/>
    <w:rsid w:val="00D26517"/>
    <w:rsid w:val="00DC55F3"/>
    <w:rsid w:val="00DD5969"/>
    <w:rsid w:val="00E10797"/>
    <w:rsid w:val="00E243A8"/>
    <w:rsid w:val="00E61EC9"/>
    <w:rsid w:val="00E6747C"/>
    <w:rsid w:val="00EA0B9A"/>
    <w:rsid w:val="00EA15D1"/>
    <w:rsid w:val="00EA6220"/>
    <w:rsid w:val="00EC1771"/>
    <w:rsid w:val="00F8089C"/>
    <w:rsid w:val="00F93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34FD"/>
    <w:rPr>
      <w:color w:val="467886" w:themeColor="hyperlink"/>
      <w:u w:val="single"/>
    </w:rPr>
  </w:style>
  <w:style w:type="character" w:styleId="UnresolvedMention">
    <w:name w:val="Unresolved Mention"/>
    <w:basedOn w:val="DefaultParagraphFont"/>
    <w:uiPriority w:val="99"/>
    <w:semiHidden/>
    <w:unhideWhenUsed/>
    <w:rsid w:val="009A34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472492">
      <w:bodyDiv w:val="1"/>
      <w:marLeft w:val="0"/>
      <w:marRight w:val="0"/>
      <w:marTop w:val="0"/>
      <w:marBottom w:val="0"/>
      <w:divBdr>
        <w:top w:val="none" w:sz="0" w:space="0" w:color="auto"/>
        <w:left w:val="none" w:sz="0" w:space="0" w:color="auto"/>
        <w:bottom w:val="none" w:sz="0" w:space="0" w:color="auto"/>
        <w:right w:val="none" w:sz="0" w:space="0" w:color="auto"/>
      </w:divBdr>
      <w:divsChild>
        <w:div w:id="1356420963">
          <w:marLeft w:val="0"/>
          <w:marRight w:val="0"/>
          <w:marTop w:val="0"/>
          <w:marBottom w:val="0"/>
          <w:divBdr>
            <w:top w:val="none" w:sz="0" w:space="0" w:color="auto"/>
            <w:left w:val="none" w:sz="0" w:space="0" w:color="auto"/>
            <w:bottom w:val="none" w:sz="0" w:space="0" w:color="auto"/>
            <w:right w:val="none" w:sz="0" w:space="0" w:color="auto"/>
          </w:divBdr>
        </w:div>
        <w:div w:id="220674185">
          <w:marLeft w:val="0"/>
          <w:marRight w:val="0"/>
          <w:marTop w:val="0"/>
          <w:marBottom w:val="0"/>
          <w:divBdr>
            <w:top w:val="none" w:sz="0" w:space="0" w:color="auto"/>
            <w:left w:val="none" w:sz="0" w:space="0" w:color="auto"/>
            <w:bottom w:val="none" w:sz="0" w:space="0" w:color="auto"/>
            <w:right w:val="none" w:sz="0" w:space="0" w:color="auto"/>
          </w:divBdr>
        </w:div>
        <w:div w:id="21906805">
          <w:marLeft w:val="0"/>
          <w:marRight w:val="0"/>
          <w:marTop w:val="0"/>
          <w:marBottom w:val="0"/>
          <w:divBdr>
            <w:top w:val="none" w:sz="0" w:space="0" w:color="auto"/>
            <w:left w:val="none" w:sz="0" w:space="0" w:color="auto"/>
            <w:bottom w:val="none" w:sz="0" w:space="0" w:color="auto"/>
            <w:right w:val="none" w:sz="0" w:space="0" w:color="auto"/>
          </w:divBdr>
        </w:div>
        <w:div w:id="1060438912">
          <w:marLeft w:val="0"/>
          <w:marRight w:val="0"/>
          <w:marTop w:val="0"/>
          <w:marBottom w:val="0"/>
          <w:divBdr>
            <w:top w:val="none" w:sz="0" w:space="0" w:color="auto"/>
            <w:left w:val="none" w:sz="0" w:space="0" w:color="auto"/>
            <w:bottom w:val="none" w:sz="0" w:space="0" w:color="auto"/>
            <w:right w:val="none" w:sz="0" w:space="0" w:color="auto"/>
          </w:divBdr>
        </w:div>
        <w:div w:id="1513494912">
          <w:marLeft w:val="0"/>
          <w:marRight w:val="0"/>
          <w:marTop w:val="0"/>
          <w:marBottom w:val="0"/>
          <w:divBdr>
            <w:top w:val="none" w:sz="0" w:space="0" w:color="auto"/>
            <w:left w:val="none" w:sz="0" w:space="0" w:color="auto"/>
            <w:bottom w:val="none" w:sz="0" w:space="0" w:color="auto"/>
            <w:right w:val="none" w:sz="0" w:space="0" w:color="auto"/>
          </w:divBdr>
        </w:div>
        <w:div w:id="1281451379">
          <w:marLeft w:val="0"/>
          <w:marRight w:val="0"/>
          <w:marTop w:val="0"/>
          <w:marBottom w:val="0"/>
          <w:divBdr>
            <w:top w:val="none" w:sz="0" w:space="0" w:color="auto"/>
            <w:left w:val="none" w:sz="0" w:space="0" w:color="auto"/>
            <w:bottom w:val="none" w:sz="0" w:space="0" w:color="auto"/>
            <w:right w:val="none" w:sz="0" w:space="0" w:color="auto"/>
          </w:divBdr>
        </w:div>
        <w:div w:id="144976903">
          <w:marLeft w:val="0"/>
          <w:marRight w:val="0"/>
          <w:marTop w:val="0"/>
          <w:marBottom w:val="0"/>
          <w:divBdr>
            <w:top w:val="none" w:sz="0" w:space="0" w:color="auto"/>
            <w:left w:val="none" w:sz="0" w:space="0" w:color="auto"/>
            <w:bottom w:val="none" w:sz="0" w:space="0" w:color="auto"/>
            <w:right w:val="none" w:sz="0" w:space="0" w:color="auto"/>
          </w:divBdr>
        </w:div>
        <w:div w:id="689256556">
          <w:marLeft w:val="0"/>
          <w:marRight w:val="0"/>
          <w:marTop w:val="0"/>
          <w:marBottom w:val="0"/>
          <w:divBdr>
            <w:top w:val="none" w:sz="0" w:space="0" w:color="auto"/>
            <w:left w:val="none" w:sz="0" w:space="0" w:color="auto"/>
            <w:bottom w:val="none" w:sz="0" w:space="0" w:color="auto"/>
            <w:right w:val="none" w:sz="0" w:space="0" w:color="auto"/>
          </w:divBdr>
        </w:div>
        <w:div w:id="572743835">
          <w:marLeft w:val="0"/>
          <w:marRight w:val="0"/>
          <w:marTop w:val="0"/>
          <w:marBottom w:val="0"/>
          <w:divBdr>
            <w:top w:val="none" w:sz="0" w:space="0" w:color="auto"/>
            <w:left w:val="none" w:sz="0" w:space="0" w:color="auto"/>
            <w:bottom w:val="none" w:sz="0" w:space="0" w:color="auto"/>
            <w:right w:val="none" w:sz="0" w:space="0" w:color="auto"/>
          </w:divBdr>
        </w:div>
        <w:div w:id="1013148638">
          <w:marLeft w:val="0"/>
          <w:marRight w:val="0"/>
          <w:marTop w:val="0"/>
          <w:marBottom w:val="0"/>
          <w:divBdr>
            <w:top w:val="none" w:sz="0" w:space="0" w:color="auto"/>
            <w:left w:val="none" w:sz="0" w:space="0" w:color="auto"/>
            <w:bottom w:val="none" w:sz="0" w:space="0" w:color="auto"/>
            <w:right w:val="none" w:sz="0" w:space="0" w:color="auto"/>
          </w:divBdr>
        </w:div>
        <w:div w:id="1173762711">
          <w:marLeft w:val="0"/>
          <w:marRight w:val="0"/>
          <w:marTop w:val="0"/>
          <w:marBottom w:val="0"/>
          <w:divBdr>
            <w:top w:val="none" w:sz="0" w:space="0" w:color="auto"/>
            <w:left w:val="none" w:sz="0" w:space="0" w:color="auto"/>
            <w:bottom w:val="none" w:sz="0" w:space="0" w:color="auto"/>
            <w:right w:val="none" w:sz="0" w:space="0" w:color="auto"/>
          </w:divBdr>
        </w:div>
        <w:div w:id="1475101641">
          <w:marLeft w:val="0"/>
          <w:marRight w:val="0"/>
          <w:marTop w:val="0"/>
          <w:marBottom w:val="0"/>
          <w:divBdr>
            <w:top w:val="none" w:sz="0" w:space="0" w:color="auto"/>
            <w:left w:val="none" w:sz="0" w:space="0" w:color="auto"/>
            <w:bottom w:val="none" w:sz="0" w:space="0" w:color="auto"/>
            <w:right w:val="none" w:sz="0" w:space="0" w:color="auto"/>
          </w:divBdr>
        </w:div>
        <w:div w:id="377441007">
          <w:marLeft w:val="0"/>
          <w:marRight w:val="0"/>
          <w:marTop w:val="0"/>
          <w:marBottom w:val="0"/>
          <w:divBdr>
            <w:top w:val="none" w:sz="0" w:space="0" w:color="auto"/>
            <w:left w:val="none" w:sz="0" w:space="0" w:color="auto"/>
            <w:bottom w:val="none" w:sz="0" w:space="0" w:color="auto"/>
            <w:right w:val="none" w:sz="0" w:space="0" w:color="auto"/>
          </w:divBdr>
        </w:div>
        <w:div w:id="1114862572">
          <w:marLeft w:val="0"/>
          <w:marRight w:val="0"/>
          <w:marTop w:val="0"/>
          <w:marBottom w:val="0"/>
          <w:divBdr>
            <w:top w:val="none" w:sz="0" w:space="0" w:color="auto"/>
            <w:left w:val="none" w:sz="0" w:space="0" w:color="auto"/>
            <w:bottom w:val="none" w:sz="0" w:space="0" w:color="auto"/>
            <w:right w:val="none" w:sz="0" w:space="0" w:color="auto"/>
          </w:divBdr>
        </w:div>
        <w:div w:id="1517501315">
          <w:marLeft w:val="0"/>
          <w:marRight w:val="0"/>
          <w:marTop w:val="0"/>
          <w:marBottom w:val="0"/>
          <w:divBdr>
            <w:top w:val="none" w:sz="0" w:space="0" w:color="auto"/>
            <w:left w:val="none" w:sz="0" w:space="0" w:color="auto"/>
            <w:bottom w:val="none" w:sz="0" w:space="0" w:color="auto"/>
            <w:right w:val="none" w:sz="0" w:space="0" w:color="auto"/>
          </w:divBdr>
        </w:div>
        <w:div w:id="451287740">
          <w:marLeft w:val="0"/>
          <w:marRight w:val="0"/>
          <w:marTop w:val="0"/>
          <w:marBottom w:val="0"/>
          <w:divBdr>
            <w:top w:val="none" w:sz="0" w:space="0" w:color="auto"/>
            <w:left w:val="none" w:sz="0" w:space="0" w:color="auto"/>
            <w:bottom w:val="none" w:sz="0" w:space="0" w:color="auto"/>
            <w:right w:val="none" w:sz="0" w:space="0" w:color="auto"/>
          </w:divBdr>
        </w:div>
        <w:div w:id="870844087">
          <w:marLeft w:val="0"/>
          <w:marRight w:val="0"/>
          <w:marTop w:val="0"/>
          <w:marBottom w:val="0"/>
          <w:divBdr>
            <w:top w:val="none" w:sz="0" w:space="0" w:color="auto"/>
            <w:left w:val="none" w:sz="0" w:space="0" w:color="auto"/>
            <w:bottom w:val="none" w:sz="0" w:space="0" w:color="auto"/>
            <w:right w:val="none" w:sz="0" w:space="0" w:color="auto"/>
          </w:divBdr>
        </w:div>
        <w:div w:id="796681471">
          <w:marLeft w:val="0"/>
          <w:marRight w:val="0"/>
          <w:marTop w:val="0"/>
          <w:marBottom w:val="0"/>
          <w:divBdr>
            <w:top w:val="none" w:sz="0" w:space="0" w:color="auto"/>
            <w:left w:val="none" w:sz="0" w:space="0" w:color="auto"/>
            <w:bottom w:val="none" w:sz="0" w:space="0" w:color="auto"/>
            <w:right w:val="none" w:sz="0" w:space="0" w:color="auto"/>
          </w:divBdr>
        </w:div>
        <w:div w:id="666709781">
          <w:marLeft w:val="0"/>
          <w:marRight w:val="0"/>
          <w:marTop w:val="0"/>
          <w:marBottom w:val="0"/>
          <w:divBdr>
            <w:top w:val="none" w:sz="0" w:space="0" w:color="auto"/>
            <w:left w:val="none" w:sz="0" w:space="0" w:color="auto"/>
            <w:bottom w:val="none" w:sz="0" w:space="0" w:color="auto"/>
            <w:right w:val="none" w:sz="0" w:space="0" w:color="auto"/>
          </w:divBdr>
        </w:div>
        <w:div w:id="1618680354">
          <w:marLeft w:val="0"/>
          <w:marRight w:val="0"/>
          <w:marTop w:val="0"/>
          <w:marBottom w:val="0"/>
          <w:divBdr>
            <w:top w:val="none" w:sz="0" w:space="0" w:color="auto"/>
            <w:left w:val="none" w:sz="0" w:space="0" w:color="auto"/>
            <w:bottom w:val="none" w:sz="0" w:space="0" w:color="auto"/>
            <w:right w:val="none" w:sz="0" w:space="0" w:color="auto"/>
          </w:divBdr>
        </w:div>
        <w:div w:id="610623041">
          <w:marLeft w:val="0"/>
          <w:marRight w:val="0"/>
          <w:marTop w:val="0"/>
          <w:marBottom w:val="0"/>
          <w:divBdr>
            <w:top w:val="none" w:sz="0" w:space="0" w:color="auto"/>
            <w:left w:val="none" w:sz="0" w:space="0" w:color="auto"/>
            <w:bottom w:val="none" w:sz="0" w:space="0" w:color="auto"/>
            <w:right w:val="none" w:sz="0" w:space="0" w:color="auto"/>
          </w:divBdr>
        </w:div>
      </w:divsChild>
    </w:div>
    <w:div w:id="848713585">
      <w:bodyDiv w:val="1"/>
      <w:marLeft w:val="0"/>
      <w:marRight w:val="0"/>
      <w:marTop w:val="0"/>
      <w:marBottom w:val="0"/>
      <w:divBdr>
        <w:top w:val="none" w:sz="0" w:space="0" w:color="auto"/>
        <w:left w:val="none" w:sz="0" w:space="0" w:color="auto"/>
        <w:bottom w:val="none" w:sz="0" w:space="0" w:color="auto"/>
        <w:right w:val="none" w:sz="0" w:space="0" w:color="auto"/>
      </w:divBdr>
      <w:divsChild>
        <w:div w:id="240143479">
          <w:marLeft w:val="0"/>
          <w:marRight w:val="0"/>
          <w:marTop w:val="0"/>
          <w:marBottom w:val="0"/>
          <w:divBdr>
            <w:top w:val="none" w:sz="0" w:space="0" w:color="auto"/>
            <w:left w:val="none" w:sz="0" w:space="0" w:color="auto"/>
            <w:bottom w:val="none" w:sz="0" w:space="0" w:color="auto"/>
            <w:right w:val="none" w:sz="0" w:space="0" w:color="auto"/>
          </w:divBdr>
        </w:div>
        <w:div w:id="291331885">
          <w:marLeft w:val="0"/>
          <w:marRight w:val="0"/>
          <w:marTop w:val="0"/>
          <w:marBottom w:val="0"/>
          <w:divBdr>
            <w:top w:val="none" w:sz="0" w:space="0" w:color="auto"/>
            <w:left w:val="none" w:sz="0" w:space="0" w:color="auto"/>
            <w:bottom w:val="none" w:sz="0" w:space="0" w:color="auto"/>
            <w:right w:val="none" w:sz="0" w:space="0" w:color="auto"/>
          </w:divBdr>
        </w:div>
        <w:div w:id="1597132929">
          <w:marLeft w:val="0"/>
          <w:marRight w:val="0"/>
          <w:marTop w:val="0"/>
          <w:marBottom w:val="0"/>
          <w:divBdr>
            <w:top w:val="none" w:sz="0" w:space="0" w:color="auto"/>
            <w:left w:val="none" w:sz="0" w:space="0" w:color="auto"/>
            <w:bottom w:val="none" w:sz="0" w:space="0" w:color="auto"/>
            <w:right w:val="none" w:sz="0" w:space="0" w:color="auto"/>
          </w:divBdr>
        </w:div>
        <w:div w:id="2112315764">
          <w:marLeft w:val="0"/>
          <w:marRight w:val="0"/>
          <w:marTop w:val="0"/>
          <w:marBottom w:val="0"/>
          <w:divBdr>
            <w:top w:val="none" w:sz="0" w:space="0" w:color="auto"/>
            <w:left w:val="none" w:sz="0" w:space="0" w:color="auto"/>
            <w:bottom w:val="none" w:sz="0" w:space="0" w:color="auto"/>
            <w:right w:val="none" w:sz="0" w:space="0" w:color="auto"/>
          </w:divBdr>
        </w:div>
        <w:div w:id="908226529">
          <w:marLeft w:val="0"/>
          <w:marRight w:val="0"/>
          <w:marTop w:val="0"/>
          <w:marBottom w:val="0"/>
          <w:divBdr>
            <w:top w:val="none" w:sz="0" w:space="0" w:color="auto"/>
            <w:left w:val="none" w:sz="0" w:space="0" w:color="auto"/>
            <w:bottom w:val="none" w:sz="0" w:space="0" w:color="auto"/>
            <w:right w:val="none" w:sz="0" w:space="0" w:color="auto"/>
          </w:divBdr>
        </w:div>
        <w:div w:id="988440365">
          <w:marLeft w:val="0"/>
          <w:marRight w:val="0"/>
          <w:marTop w:val="0"/>
          <w:marBottom w:val="0"/>
          <w:divBdr>
            <w:top w:val="none" w:sz="0" w:space="0" w:color="auto"/>
            <w:left w:val="none" w:sz="0" w:space="0" w:color="auto"/>
            <w:bottom w:val="none" w:sz="0" w:space="0" w:color="auto"/>
            <w:right w:val="none" w:sz="0" w:space="0" w:color="auto"/>
          </w:divBdr>
        </w:div>
        <w:div w:id="1360206126">
          <w:marLeft w:val="0"/>
          <w:marRight w:val="0"/>
          <w:marTop w:val="0"/>
          <w:marBottom w:val="0"/>
          <w:divBdr>
            <w:top w:val="none" w:sz="0" w:space="0" w:color="auto"/>
            <w:left w:val="none" w:sz="0" w:space="0" w:color="auto"/>
            <w:bottom w:val="none" w:sz="0" w:space="0" w:color="auto"/>
            <w:right w:val="none" w:sz="0" w:space="0" w:color="auto"/>
          </w:divBdr>
        </w:div>
        <w:div w:id="414860336">
          <w:marLeft w:val="0"/>
          <w:marRight w:val="0"/>
          <w:marTop w:val="0"/>
          <w:marBottom w:val="0"/>
          <w:divBdr>
            <w:top w:val="none" w:sz="0" w:space="0" w:color="auto"/>
            <w:left w:val="none" w:sz="0" w:space="0" w:color="auto"/>
            <w:bottom w:val="none" w:sz="0" w:space="0" w:color="auto"/>
            <w:right w:val="none" w:sz="0" w:space="0" w:color="auto"/>
          </w:divBdr>
        </w:div>
        <w:div w:id="1873956160">
          <w:marLeft w:val="0"/>
          <w:marRight w:val="0"/>
          <w:marTop w:val="0"/>
          <w:marBottom w:val="0"/>
          <w:divBdr>
            <w:top w:val="none" w:sz="0" w:space="0" w:color="auto"/>
            <w:left w:val="none" w:sz="0" w:space="0" w:color="auto"/>
            <w:bottom w:val="none" w:sz="0" w:space="0" w:color="auto"/>
            <w:right w:val="none" w:sz="0" w:space="0" w:color="auto"/>
          </w:divBdr>
        </w:div>
        <w:div w:id="577246924">
          <w:marLeft w:val="0"/>
          <w:marRight w:val="0"/>
          <w:marTop w:val="0"/>
          <w:marBottom w:val="0"/>
          <w:divBdr>
            <w:top w:val="none" w:sz="0" w:space="0" w:color="auto"/>
            <w:left w:val="none" w:sz="0" w:space="0" w:color="auto"/>
            <w:bottom w:val="none" w:sz="0" w:space="0" w:color="auto"/>
            <w:right w:val="none" w:sz="0" w:space="0" w:color="auto"/>
          </w:divBdr>
        </w:div>
        <w:div w:id="830801274">
          <w:marLeft w:val="0"/>
          <w:marRight w:val="0"/>
          <w:marTop w:val="0"/>
          <w:marBottom w:val="0"/>
          <w:divBdr>
            <w:top w:val="none" w:sz="0" w:space="0" w:color="auto"/>
            <w:left w:val="none" w:sz="0" w:space="0" w:color="auto"/>
            <w:bottom w:val="none" w:sz="0" w:space="0" w:color="auto"/>
            <w:right w:val="none" w:sz="0" w:space="0" w:color="auto"/>
          </w:divBdr>
        </w:div>
        <w:div w:id="442963330">
          <w:marLeft w:val="0"/>
          <w:marRight w:val="0"/>
          <w:marTop w:val="0"/>
          <w:marBottom w:val="0"/>
          <w:divBdr>
            <w:top w:val="none" w:sz="0" w:space="0" w:color="auto"/>
            <w:left w:val="none" w:sz="0" w:space="0" w:color="auto"/>
            <w:bottom w:val="none" w:sz="0" w:space="0" w:color="auto"/>
            <w:right w:val="none" w:sz="0" w:space="0" w:color="auto"/>
          </w:divBdr>
        </w:div>
        <w:div w:id="543299149">
          <w:marLeft w:val="0"/>
          <w:marRight w:val="0"/>
          <w:marTop w:val="0"/>
          <w:marBottom w:val="0"/>
          <w:divBdr>
            <w:top w:val="none" w:sz="0" w:space="0" w:color="auto"/>
            <w:left w:val="none" w:sz="0" w:space="0" w:color="auto"/>
            <w:bottom w:val="none" w:sz="0" w:space="0" w:color="auto"/>
            <w:right w:val="none" w:sz="0" w:space="0" w:color="auto"/>
          </w:divBdr>
        </w:div>
        <w:div w:id="560360500">
          <w:marLeft w:val="0"/>
          <w:marRight w:val="0"/>
          <w:marTop w:val="0"/>
          <w:marBottom w:val="0"/>
          <w:divBdr>
            <w:top w:val="none" w:sz="0" w:space="0" w:color="auto"/>
            <w:left w:val="none" w:sz="0" w:space="0" w:color="auto"/>
            <w:bottom w:val="none" w:sz="0" w:space="0" w:color="auto"/>
            <w:right w:val="none" w:sz="0" w:space="0" w:color="auto"/>
          </w:divBdr>
        </w:div>
        <w:div w:id="651562145">
          <w:marLeft w:val="0"/>
          <w:marRight w:val="0"/>
          <w:marTop w:val="0"/>
          <w:marBottom w:val="0"/>
          <w:divBdr>
            <w:top w:val="none" w:sz="0" w:space="0" w:color="auto"/>
            <w:left w:val="none" w:sz="0" w:space="0" w:color="auto"/>
            <w:bottom w:val="none" w:sz="0" w:space="0" w:color="auto"/>
            <w:right w:val="none" w:sz="0" w:space="0" w:color="auto"/>
          </w:divBdr>
        </w:div>
        <w:div w:id="323238122">
          <w:marLeft w:val="0"/>
          <w:marRight w:val="0"/>
          <w:marTop w:val="0"/>
          <w:marBottom w:val="0"/>
          <w:divBdr>
            <w:top w:val="none" w:sz="0" w:space="0" w:color="auto"/>
            <w:left w:val="none" w:sz="0" w:space="0" w:color="auto"/>
            <w:bottom w:val="none" w:sz="0" w:space="0" w:color="auto"/>
            <w:right w:val="none" w:sz="0" w:space="0" w:color="auto"/>
          </w:divBdr>
        </w:div>
        <w:div w:id="1861316248">
          <w:marLeft w:val="0"/>
          <w:marRight w:val="0"/>
          <w:marTop w:val="0"/>
          <w:marBottom w:val="0"/>
          <w:divBdr>
            <w:top w:val="none" w:sz="0" w:space="0" w:color="auto"/>
            <w:left w:val="none" w:sz="0" w:space="0" w:color="auto"/>
            <w:bottom w:val="none" w:sz="0" w:space="0" w:color="auto"/>
            <w:right w:val="none" w:sz="0" w:space="0" w:color="auto"/>
          </w:divBdr>
        </w:div>
        <w:div w:id="1538466216">
          <w:marLeft w:val="0"/>
          <w:marRight w:val="0"/>
          <w:marTop w:val="0"/>
          <w:marBottom w:val="0"/>
          <w:divBdr>
            <w:top w:val="none" w:sz="0" w:space="0" w:color="auto"/>
            <w:left w:val="none" w:sz="0" w:space="0" w:color="auto"/>
            <w:bottom w:val="none" w:sz="0" w:space="0" w:color="auto"/>
            <w:right w:val="none" w:sz="0" w:space="0" w:color="auto"/>
          </w:divBdr>
        </w:div>
        <w:div w:id="1026171507">
          <w:marLeft w:val="0"/>
          <w:marRight w:val="0"/>
          <w:marTop w:val="0"/>
          <w:marBottom w:val="0"/>
          <w:divBdr>
            <w:top w:val="none" w:sz="0" w:space="0" w:color="auto"/>
            <w:left w:val="none" w:sz="0" w:space="0" w:color="auto"/>
            <w:bottom w:val="none" w:sz="0" w:space="0" w:color="auto"/>
            <w:right w:val="none" w:sz="0" w:space="0" w:color="auto"/>
          </w:divBdr>
        </w:div>
        <w:div w:id="638464244">
          <w:marLeft w:val="0"/>
          <w:marRight w:val="0"/>
          <w:marTop w:val="0"/>
          <w:marBottom w:val="0"/>
          <w:divBdr>
            <w:top w:val="none" w:sz="0" w:space="0" w:color="auto"/>
            <w:left w:val="none" w:sz="0" w:space="0" w:color="auto"/>
            <w:bottom w:val="none" w:sz="0" w:space="0" w:color="auto"/>
            <w:right w:val="none" w:sz="0" w:space="0" w:color="auto"/>
          </w:divBdr>
        </w:div>
        <w:div w:id="417335378">
          <w:marLeft w:val="0"/>
          <w:marRight w:val="0"/>
          <w:marTop w:val="0"/>
          <w:marBottom w:val="0"/>
          <w:divBdr>
            <w:top w:val="none" w:sz="0" w:space="0" w:color="auto"/>
            <w:left w:val="none" w:sz="0" w:space="0" w:color="auto"/>
            <w:bottom w:val="none" w:sz="0" w:space="0" w:color="auto"/>
            <w:right w:val="none" w:sz="0" w:space="0" w:color="auto"/>
          </w:divBdr>
        </w:div>
      </w:divsChild>
    </w:div>
    <w:div w:id="1337268132">
      <w:bodyDiv w:val="1"/>
      <w:marLeft w:val="0"/>
      <w:marRight w:val="0"/>
      <w:marTop w:val="0"/>
      <w:marBottom w:val="0"/>
      <w:divBdr>
        <w:top w:val="none" w:sz="0" w:space="0" w:color="auto"/>
        <w:left w:val="none" w:sz="0" w:space="0" w:color="auto"/>
        <w:bottom w:val="none" w:sz="0" w:space="0" w:color="auto"/>
        <w:right w:val="none" w:sz="0" w:space="0" w:color="auto"/>
      </w:divBdr>
      <w:divsChild>
        <w:div w:id="1157258559">
          <w:marLeft w:val="0"/>
          <w:marRight w:val="0"/>
          <w:marTop w:val="0"/>
          <w:marBottom w:val="0"/>
          <w:divBdr>
            <w:top w:val="none" w:sz="0" w:space="0" w:color="auto"/>
            <w:left w:val="none" w:sz="0" w:space="0" w:color="auto"/>
            <w:bottom w:val="none" w:sz="0" w:space="0" w:color="auto"/>
            <w:right w:val="none" w:sz="0" w:space="0" w:color="auto"/>
          </w:divBdr>
        </w:div>
        <w:div w:id="1460732402">
          <w:marLeft w:val="0"/>
          <w:marRight w:val="0"/>
          <w:marTop w:val="0"/>
          <w:marBottom w:val="0"/>
          <w:divBdr>
            <w:top w:val="none" w:sz="0" w:space="0" w:color="auto"/>
            <w:left w:val="none" w:sz="0" w:space="0" w:color="auto"/>
            <w:bottom w:val="none" w:sz="0" w:space="0" w:color="auto"/>
            <w:right w:val="none" w:sz="0" w:space="0" w:color="auto"/>
          </w:divBdr>
        </w:div>
        <w:div w:id="493570987">
          <w:marLeft w:val="0"/>
          <w:marRight w:val="0"/>
          <w:marTop w:val="0"/>
          <w:marBottom w:val="0"/>
          <w:divBdr>
            <w:top w:val="none" w:sz="0" w:space="0" w:color="auto"/>
            <w:left w:val="none" w:sz="0" w:space="0" w:color="auto"/>
            <w:bottom w:val="none" w:sz="0" w:space="0" w:color="auto"/>
            <w:right w:val="none" w:sz="0" w:space="0" w:color="auto"/>
          </w:divBdr>
        </w:div>
        <w:div w:id="151875213">
          <w:marLeft w:val="0"/>
          <w:marRight w:val="0"/>
          <w:marTop w:val="0"/>
          <w:marBottom w:val="0"/>
          <w:divBdr>
            <w:top w:val="none" w:sz="0" w:space="0" w:color="auto"/>
            <w:left w:val="none" w:sz="0" w:space="0" w:color="auto"/>
            <w:bottom w:val="none" w:sz="0" w:space="0" w:color="auto"/>
            <w:right w:val="none" w:sz="0" w:space="0" w:color="auto"/>
          </w:divBdr>
        </w:div>
        <w:div w:id="1034505734">
          <w:marLeft w:val="0"/>
          <w:marRight w:val="0"/>
          <w:marTop w:val="0"/>
          <w:marBottom w:val="0"/>
          <w:divBdr>
            <w:top w:val="none" w:sz="0" w:space="0" w:color="auto"/>
            <w:left w:val="none" w:sz="0" w:space="0" w:color="auto"/>
            <w:bottom w:val="none" w:sz="0" w:space="0" w:color="auto"/>
            <w:right w:val="none" w:sz="0" w:space="0" w:color="auto"/>
          </w:divBdr>
        </w:div>
        <w:div w:id="1387097390">
          <w:marLeft w:val="0"/>
          <w:marRight w:val="0"/>
          <w:marTop w:val="0"/>
          <w:marBottom w:val="0"/>
          <w:divBdr>
            <w:top w:val="none" w:sz="0" w:space="0" w:color="auto"/>
            <w:left w:val="none" w:sz="0" w:space="0" w:color="auto"/>
            <w:bottom w:val="none" w:sz="0" w:space="0" w:color="auto"/>
            <w:right w:val="none" w:sz="0" w:space="0" w:color="auto"/>
          </w:divBdr>
        </w:div>
        <w:div w:id="428965110">
          <w:marLeft w:val="0"/>
          <w:marRight w:val="0"/>
          <w:marTop w:val="0"/>
          <w:marBottom w:val="0"/>
          <w:divBdr>
            <w:top w:val="none" w:sz="0" w:space="0" w:color="auto"/>
            <w:left w:val="none" w:sz="0" w:space="0" w:color="auto"/>
            <w:bottom w:val="none" w:sz="0" w:space="0" w:color="auto"/>
            <w:right w:val="none" w:sz="0" w:space="0" w:color="auto"/>
          </w:divBdr>
        </w:div>
        <w:div w:id="146479902">
          <w:marLeft w:val="0"/>
          <w:marRight w:val="0"/>
          <w:marTop w:val="0"/>
          <w:marBottom w:val="0"/>
          <w:divBdr>
            <w:top w:val="none" w:sz="0" w:space="0" w:color="auto"/>
            <w:left w:val="none" w:sz="0" w:space="0" w:color="auto"/>
            <w:bottom w:val="none" w:sz="0" w:space="0" w:color="auto"/>
            <w:right w:val="none" w:sz="0" w:space="0" w:color="auto"/>
          </w:divBdr>
        </w:div>
        <w:div w:id="1711300536">
          <w:marLeft w:val="0"/>
          <w:marRight w:val="0"/>
          <w:marTop w:val="0"/>
          <w:marBottom w:val="0"/>
          <w:divBdr>
            <w:top w:val="none" w:sz="0" w:space="0" w:color="auto"/>
            <w:left w:val="none" w:sz="0" w:space="0" w:color="auto"/>
            <w:bottom w:val="none" w:sz="0" w:space="0" w:color="auto"/>
            <w:right w:val="none" w:sz="0" w:space="0" w:color="auto"/>
          </w:divBdr>
        </w:div>
        <w:div w:id="1241670606">
          <w:marLeft w:val="0"/>
          <w:marRight w:val="0"/>
          <w:marTop w:val="0"/>
          <w:marBottom w:val="0"/>
          <w:divBdr>
            <w:top w:val="none" w:sz="0" w:space="0" w:color="auto"/>
            <w:left w:val="none" w:sz="0" w:space="0" w:color="auto"/>
            <w:bottom w:val="none" w:sz="0" w:space="0" w:color="auto"/>
            <w:right w:val="none" w:sz="0" w:space="0" w:color="auto"/>
          </w:divBdr>
        </w:div>
        <w:div w:id="1985888622">
          <w:marLeft w:val="0"/>
          <w:marRight w:val="0"/>
          <w:marTop w:val="0"/>
          <w:marBottom w:val="0"/>
          <w:divBdr>
            <w:top w:val="none" w:sz="0" w:space="0" w:color="auto"/>
            <w:left w:val="none" w:sz="0" w:space="0" w:color="auto"/>
            <w:bottom w:val="none" w:sz="0" w:space="0" w:color="auto"/>
            <w:right w:val="none" w:sz="0" w:space="0" w:color="auto"/>
          </w:divBdr>
        </w:div>
        <w:div w:id="651563787">
          <w:marLeft w:val="0"/>
          <w:marRight w:val="0"/>
          <w:marTop w:val="0"/>
          <w:marBottom w:val="0"/>
          <w:divBdr>
            <w:top w:val="none" w:sz="0" w:space="0" w:color="auto"/>
            <w:left w:val="none" w:sz="0" w:space="0" w:color="auto"/>
            <w:bottom w:val="none" w:sz="0" w:space="0" w:color="auto"/>
            <w:right w:val="none" w:sz="0" w:space="0" w:color="auto"/>
          </w:divBdr>
        </w:div>
        <w:div w:id="545726511">
          <w:marLeft w:val="0"/>
          <w:marRight w:val="0"/>
          <w:marTop w:val="0"/>
          <w:marBottom w:val="0"/>
          <w:divBdr>
            <w:top w:val="none" w:sz="0" w:space="0" w:color="auto"/>
            <w:left w:val="none" w:sz="0" w:space="0" w:color="auto"/>
            <w:bottom w:val="none" w:sz="0" w:space="0" w:color="auto"/>
            <w:right w:val="none" w:sz="0" w:space="0" w:color="auto"/>
          </w:divBdr>
        </w:div>
        <w:div w:id="861282672">
          <w:marLeft w:val="0"/>
          <w:marRight w:val="0"/>
          <w:marTop w:val="0"/>
          <w:marBottom w:val="0"/>
          <w:divBdr>
            <w:top w:val="none" w:sz="0" w:space="0" w:color="auto"/>
            <w:left w:val="none" w:sz="0" w:space="0" w:color="auto"/>
            <w:bottom w:val="none" w:sz="0" w:space="0" w:color="auto"/>
            <w:right w:val="none" w:sz="0" w:space="0" w:color="auto"/>
          </w:divBdr>
        </w:div>
        <w:div w:id="1226574833">
          <w:marLeft w:val="0"/>
          <w:marRight w:val="0"/>
          <w:marTop w:val="0"/>
          <w:marBottom w:val="0"/>
          <w:divBdr>
            <w:top w:val="none" w:sz="0" w:space="0" w:color="auto"/>
            <w:left w:val="none" w:sz="0" w:space="0" w:color="auto"/>
            <w:bottom w:val="none" w:sz="0" w:space="0" w:color="auto"/>
            <w:right w:val="none" w:sz="0" w:space="0" w:color="auto"/>
          </w:divBdr>
        </w:div>
        <w:div w:id="489908712">
          <w:marLeft w:val="0"/>
          <w:marRight w:val="0"/>
          <w:marTop w:val="0"/>
          <w:marBottom w:val="0"/>
          <w:divBdr>
            <w:top w:val="none" w:sz="0" w:space="0" w:color="auto"/>
            <w:left w:val="none" w:sz="0" w:space="0" w:color="auto"/>
            <w:bottom w:val="none" w:sz="0" w:space="0" w:color="auto"/>
            <w:right w:val="none" w:sz="0" w:space="0" w:color="auto"/>
          </w:divBdr>
        </w:div>
        <w:div w:id="468936413">
          <w:marLeft w:val="0"/>
          <w:marRight w:val="0"/>
          <w:marTop w:val="0"/>
          <w:marBottom w:val="0"/>
          <w:divBdr>
            <w:top w:val="none" w:sz="0" w:space="0" w:color="auto"/>
            <w:left w:val="none" w:sz="0" w:space="0" w:color="auto"/>
            <w:bottom w:val="none" w:sz="0" w:space="0" w:color="auto"/>
            <w:right w:val="none" w:sz="0" w:space="0" w:color="auto"/>
          </w:divBdr>
        </w:div>
        <w:div w:id="1622303032">
          <w:marLeft w:val="0"/>
          <w:marRight w:val="0"/>
          <w:marTop w:val="0"/>
          <w:marBottom w:val="0"/>
          <w:divBdr>
            <w:top w:val="none" w:sz="0" w:space="0" w:color="auto"/>
            <w:left w:val="none" w:sz="0" w:space="0" w:color="auto"/>
            <w:bottom w:val="none" w:sz="0" w:space="0" w:color="auto"/>
            <w:right w:val="none" w:sz="0" w:space="0" w:color="auto"/>
          </w:divBdr>
        </w:div>
        <w:div w:id="925770952">
          <w:marLeft w:val="0"/>
          <w:marRight w:val="0"/>
          <w:marTop w:val="0"/>
          <w:marBottom w:val="0"/>
          <w:divBdr>
            <w:top w:val="none" w:sz="0" w:space="0" w:color="auto"/>
            <w:left w:val="none" w:sz="0" w:space="0" w:color="auto"/>
            <w:bottom w:val="none" w:sz="0" w:space="0" w:color="auto"/>
            <w:right w:val="none" w:sz="0" w:space="0" w:color="auto"/>
          </w:divBdr>
        </w:div>
        <w:div w:id="457726759">
          <w:marLeft w:val="0"/>
          <w:marRight w:val="0"/>
          <w:marTop w:val="0"/>
          <w:marBottom w:val="0"/>
          <w:divBdr>
            <w:top w:val="none" w:sz="0" w:space="0" w:color="auto"/>
            <w:left w:val="none" w:sz="0" w:space="0" w:color="auto"/>
            <w:bottom w:val="none" w:sz="0" w:space="0" w:color="auto"/>
            <w:right w:val="none" w:sz="0" w:space="0" w:color="auto"/>
          </w:divBdr>
        </w:div>
        <w:div w:id="2024932815">
          <w:marLeft w:val="0"/>
          <w:marRight w:val="0"/>
          <w:marTop w:val="0"/>
          <w:marBottom w:val="0"/>
          <w:divBdr>
            <w:top w:val="none" w:sz="0" w:space="0" w:color="auto"/>
            <w:left w:val="none" w:sz="0" w:space="0" w:color="auto"/>
            <w:bottom w:val="none" w:sz="0" w:space="0" w:color="auto"/>
            <w:right w:val="none" w:sz="0" w:space="0" w:color="auto"/>
          </w:divBdr>
        </w:div>
      </w:divsChild>
    </w:div>
    <w:div w:id="1405107525">
      <w:bodyDiv w:val="1"/>
      <w:marLeft w:val="0"/>
      <w:marRight w:val="0"/>
      <w:marTop w:val="0"/>
      <w:marBottom w:val="0"/>
      <w:divBdr>
        <w:top w:val="none" w:sz="0" w:space="0" w:color="auto"/>
        <w:left w:val="none" w:sz="0" w:space="0" w:color="auto"/>
        <w:bottom w:val="none" w:sz="0" w:space="0" w:color="auto"/>
        <w:right w:val="none" w:sz="0" w:space="0" w:color="auto"/>
      </w:divBdr>
      <w:divsChild>
        <w:div w:id="1670140068">
          <w:marLeft w:val="0"/>
          <w:marRight w:val="0"/>
          <w:marTop w:val="0"/>
          <w:marBottom w:val="0"/>
          <w:divBdr>
            <w:top w:val="none" w:sz="0" w:space="0" w:color="auto"/>
            <w:left w:val="none" w:sz="0" w:space="0" w:color="auto"/>
            <w:bottom w:val="none" w:sz="0" w:space="0" w:color="auto"/>
            <w:right w:val="none" w:sz="0" w:space="0" w:color="auto"/>
          </w:divBdr>
        </w:div>
        <w:div w:id="1083335211">
          <w:marLeft w:val="0"/>
          <w:marRight w:val="0"/>
          <w:marTop w:val="0"/>
          <w:marBottom w:val="0"/>
          <w:divBdr>
            <w:top w:val="none" w:sz="0" w:space="0" w:color="auto"/>
            <w:left w:val="none" w:sz="0" w:space="0" w:color="auto"/>
            <w:bottom w:val="none" w:sz="0" w:space="0" w:color="auto"/>
            <w:right w:val="none" w:sz="0" w:space="0" w:color="auto"/>
          </w:divBdr>
        </w:div>
        <w:div w:id="780758082">
          <w:marLeft w:val="0"/>
          <w:marRight w:val="0"/>
          <w:marTop w:val="0"/>
          <w:marBottom w:val="0"/>
          <w:divBdr>
            <w:top w:val="none" w:sz="0" w:space="0" w:color="auto"/>
            <w:left w:val="none" w:sz="0" w:space="0" w:color="auto"/>
            <w:bottom w:val="none" w:sz="0" w:space="0" w:color="auto"/>
            <w:right w:val="none" w:sz="0" w:space="0" w:color="auto"/>
          </w:divBdr>
        </w:div>
        <w:div w:id="1109199366">
          <w:marLeft w:val="0"/>
          <w:marRight w:val="0"/>
          <w:marTop w:val="0"/>
          <w:marBottom w:val="0"/>
          <w:divBdr>
            <w:top w:val="none" w:sz="0" w:space="0" w:color="auto"/>
            <w:left w:val="none" w:sz="0" w:space="0" w:color="auto"/>
            <w:bottom w:val="none" w:sz="0" w:space="0" w:color="auto"/>
            <w:right w:val="none" w:sz="0" w:space="0" w:color="auto"/>
          </w:divBdr>
        </w:div>
        <w:div w:id="592905808">
          <w:marLeft w:val="0"/>
          <w:marRight w:val="0"/>
          <w:marTop w:val="0"/>
          <w:marBottom w:val="0"/>
          <w:divBdr>
            <w:top w:val="none" w:sz="0" w:space="0" w:color="auto"/>
            <w:left w:val="none" w:sz="0" w:space="0" w:color="auto"/>
            <w:bottom w:val="none" w:sz="0" w:space="0" w:color="auto"/>
            <w:right w:val="none" w:sz="0" w:space="0" w:color="auto"/>
          </w:divBdr>
        </w:div>
        <w:div w:id="1009523086">
          <w:marLeft w:val="0"/>
          <w:marRight w:val="0"/>
          <w:marTop w:val="0"/>
          <w:marBottom w:val="0"/>
          <w:divBdr>
            <w:top w:val="none" w:sz="0" w:space="0" w:color="auto"/>
            <w:left w:val="none" w:sz="0" w:space="0" w:color="auto"/>
            <w:bottom w:val="none" w:sz="0" w:space="0" w:color="auto"/>
            <w:right w:val="none" w:sz="0" w:space="0" w:color="auto"/>
          </w:divBdr>
        </w:div>
        <w:div w:id="1494106370">
          <w:marLeft w:val="0"/>
          <w:marRight w:val="0"/>
          <w:marTop w:val="0"/>
          <w:marBottom w:val="0"/>
          <w:divBdr>
            <w:top w:val="none" w:sz="0" w:space="0" w:color="auto"/>
            <w:left w:val="none" w:sz="0" w:space="0" w:color="auto"/>
            <w:bottom w:val="none" w:sz="0" w:space="0" w:color="auto"/>
            <w:right w:val="none" w:sz="0" w:space="0" w:color="auto"/>
          </w:divBdr>
        </w:div>
        <w:div w:id="2093425170">
          <w:marLeft w:val="0"/>
          <w:marRight w:val="0"/>
          <w:marTop w:val="0"/>
          <w:marBottom w:val="0"/>
          <w:divBdr>
            <w:top w:val="none" w:sz="0" w:space="0" w:color="auto"/>
            <w:left w:val="none" w:sz="0" w:space="0" w:color="auto"/>
            <w:bottom w:val="none" w:sz="0" w:space="0" w:color="auto"/>
            <w:right w:val="none" w:sz="0" w:space="0" w:color="auto"/>
          </w:divBdr>
        </w:div>
        <w:div w:id="821193317">
          <w:marLeft w:val="0"/>
          <w:marRight w:val="0"/>
          <w:marTop w:val="0"/>
          <w:marBottom w:val="0"/>
          <w:divBdr>
            <w:top w:val="none" w:sz="0" w:space="0" w:color="auto"/>
            <w:left w:val="none" w:sz="0" w:space="0" w:color="auto"/>
            <w:bottom w:val="none" w:sz="0" w:space="0" w:color="auto"/>
            <w:right w:val="none" w:sz="0" w:space="0" w:color="auto"/>
          </w:divBdr>
        </w:div>
        <w:div w:id="985741010">
          <w:marLeft w:val="0"/>
          <w:marRight w:val="0"/>
          <w:marTop w:val="0"/>
          <w:marBottom w:val="0"/>
          <w:divBdr>
            <w:top w:val="none" w:sz="0" w:space="0" w:color="auto"/>
            <w:left w:val="none" w:sz="0" w:space="0" w:color="auto"/>
            <w:bottom w:val="none" w:sz="0" w:space="0" w:color="auto"/>
            <w:right w:val="none" w:sz="0" w:space="0" w:color="auto"/>
          </w:divBdr>
        </w:div>
        <w:div w:id="1068842454">
          <w:marLeft w:val="0"/>
          <w:marRight w:val="0"/>
          <w:marTop w:val="0"/>
          <w:marBottom w:val="0"/>
          <w:divBdr>
            <w:top w:val="none" w:sz="0" w:space="0" w:color="auto"/>
            <w:left w:val="none" w:sz="0" w:space="0" w:color="auto"/>
            <w:bottom w:val="none" w:sz="0" w:space="0" w:color="auto"/>
            <w:right w:val="none" w:sz="0" w:space="0" w:color="auto"/>
          </w:divBdr>
        </w:div>
        <w:div w:id="1253321030">
          <w:marLeft w:val="0"/>
          <w:marRight w:val="0"/>
          <w:marTop w:val="0"/>
          <w:marBottom w:val="0"/>
          <w:divBdr>
            <w:top w:val="none" w:sz="0" w:space="0" w:color="auto"/>
            <w:left w:val="none" w:sz="0" w:space="0" w:color="auto"/>
            <w:bottom w:val="none" w:sz="0" w:space="0" w:color="auto"/>
            <w:right w:val="none" w:sz="0" w:space="0" w:color="auto"/>
          </w:divBdr>
        </w:div>
        <w:div w:id="2057927042">
          <w:marLeft w:val="0"/>
          <w:marRight w:val="0"/>
          <w:marTop w:val="0"/>
          <w:marBottom w:val="0"/>
          <w:divBdr>
            <w:top w:val="none" w:sz="0" w:space="0" w:color="auto"/>
            <w:left w:val="none" w:sz="0" w:space="0" w:color="auto"/>
            <w:bottom w:val="none" w:sz="0" w:space="0" w:color="auto"/>
            <w:right w:val="none" w:sz="0" w:space="0" w:color="auto"/>
          </w:divBdr>
        </w:div>
        <w:div w:id="487937792">
          <w:marLeft w:val="0"/>
          <w:marRight w:val="0"/>
          <w:marTop w:val="0"/>
          <w:marBottom w:val="0"/>
          <w:divBdr>
            <w:top w:val="none" w:sz="0" w:space="0" w:color="auto"/>
            <w:left w:val="none" w:sz="0" w:space="0" w:color="auto"/>
            <w:bottom w:val="none" w:sz="0" w:space="0" w:color="auto"/>
            <w:right w:val="none" w:sz="0" w:space="0" w:color="auto"/>
          </w:divBdr>
        </w:div>
        <w:div w:id="859970773">
          <w:marLeft w:val="0"/>
          <w:marRight w:val="0"/>
          <w:marTop w:val="0"/>
          <w:marBottom w:val="0"/>
          <w:divBdr>
            <w:top w:val="none" w:sz="0" w:space="0" w:color="auto"/>
            <w:left w:val="none" w:sz="0" w:space="0" w:color="auto"/>
            <w:bottom w:val="none" w:sz="0" w:space="0" w:color="auto"/>
            <w:right w:val="none" w:sz="0" w:space="0" w:color="auto"/>
          </w:divBdr>
        </w:div>
        <w:div w:id="716394671">
          <w:marLeft w:val="0"/>
          <w:marRight w:val="0"/>
          <w:marTop w:val="0"/>
          <w:marBottom w:val="0"/>
          <w:divBdr>
            <w:top w:val="none" w:sz="0" w:space="0" w:color="auto"/>
            <w:left w:val="none" w:sz="0" w:space="0" w:color="auto"/>
            <w:bottom w:val="none" w:sz="0" w:space="0" w:color="auto"/>
            <w:right w:val="none" w:sz="0" w:space="0" w:color="auto"/>
          </w:divBdr>
        </w:div>
        <w:div w:id="1537350764">
          <w:marLeft w:val="0"/>
          <w:marRight w:val="0"/>
          <w:marTop w:val="0"/>
          <w:marBottom w:val="0"/>
          <w:divBdr>
            <w:top w:val="none" w:sz="0" w:space="0" w:color="auto"/>
            <w:left w:val="none" w:sz="0" w:space="0" w:color="auto"/>
            <w:bottom w:val="none" w:sz="0" w:space="0" w:color="auto"/>
            <w:right w:val="none" w:sz="0" w:space="0" w:color="auto"/>
          </w:divBdr>
        </w:div>
        <w:div w:id="1676297381">
          <w:marLeft w:val="0"/>
          <w:marRight w:val="0"/>
          <w:marTop w:val="0"/>
          <w:marBottom w:val="0"/>
          <w:divBdr>
            <w:top w:val="none" w:sz="0" w:space="0" w:color="auto"/>
            <w:left w:val="none" w:sz="0" w:space="0" w:color="auto"/>
            <w:bottom w:val="none" w:sz="0" w:space="0" w:color="auto"/>
            <w:right w:val="none" w:sz="0" w:space="0" w:color="auto"/>
          </w:divBdr>
        </w:div>
        <w:div w:id="43257366">
          <w:marLeft w:val="0"/>
          <w:marRight w:val="0"/>
          <w:marTop w:val="0"/>
          <w:marBottom w:val="0"/>
          <w:divBdr>
            <w:top w:val="none" w:sz="0" w:space="0" w:color="auto"/>
            <w:left w:val="none" w:sz="0" w:space="0" w:color="auto"/>
            <w:bottom w:val="none" w:sz="0" w:space="0" w:color="auto"/>
            <w:right w:val="none" w:sz="0" w:space="0" w:color="auto"/>
          </w:divBdr>
        </w:div>
        <w:div w:id="1657107971">
          <w:marLeft w:val="0"/>
          <w:marRight w:val="0"/>
          <w:marTop w:val="0"/>
          <w:marBottom w:val="0"/>
          <w:divBdr>
            <w:top w:val="none" w:sz="0" w:space="0" w:color="auto"/>
            <w:left w:val="none" w:sz="0" w:space="0" w:color="auto"/>
            <w:bottom w:val="none" w:sz="0" w:space="0" w:color="auto"/>
            <w:right w:val="none" w:sz="0" w:space="0" w:color="auto"/>
          </w:divBdr>
        </w:div>
        <w:div w:id="17820706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and-safety-on-educational-visits?utm_source=chatgpt.com" TargetMode="External"/><Relationship Id="rId13" Type="http://schemas.openxmlformats.org/officeDocument/2006/relationships/hyperlink" Target="https://hwb.gov.wales/curriculum-for-wales/designing-your-curriculum/cross-cutting-themes-for-designing-your-curriculum" TargetMode="External"/><Relationship Id="rId18" Type="http://schemas.openxmlformats.org/officeDocument/2006/relationships/hyperlink" Target="https://learning.nspcc.org.uk/research-resources/briefings/recommended-adult-child-ratios-working-with-children" TargetMode="External"/><Relationship Id="rId26"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21" Type="http://schemas.openxmlformats.org/officeDocument/2006/relationships/hyperlink" Target="https://www.sja.org.uk/globalassets/first-aid-teaching-resources/key-stage-teaching-resources/scenario-cards/ks2/ks2-scenario-cards.pdf" TargetMode="External"/><Relationship Id="rId7" Type="http://schemas.openxmlformats.org/officeDocument/2006/relationships/hyperlink" Target="https://www.mybib.com/#/projects/79WJLv/citations on 05/05/25" TargetMode="External"/><Relationship Id="rId12" Type="http://schemas.openxmlformats.org/officeDocument/2006/relationships/hyperlink" Target="https://www.legislation.gov.uk/ukpga/2010/15/section/4" TargetMode="External"/><Relationship Id="rId17" Type="http://schemas.openxmlformats.org/officeDocument/2006/relationships/hyperlink" Target="https://learning.nspcc.org.uk/safeguarding-child-protection-schools/school-visitors" TargetMode="External"/><Relationship Id="rId25" Type="http://schemas.openxmlformats.org/officeDocument/2006/relationships/hyperlink" Target="https://www.gov.wales/well-being-of-future-generations-wales" TargetMode="External"/><Relationship Id="rId2" Type="http://schemas.openxmlformats.org/officeDocument/2006/relationships/styles" Target="styles.xml"/><Relationship Id="rId16" Type="http://schemas.openxmlformats.org/officeDocument/2006/relationships/hyperlink" Target="https://www.mightywriter.co.uk/setting-clear-learning-objectives-aligned-with-the-curriculum" TargetMode="External"/><Relationship Id="rId20" Type="http://schemas.openxmlformats.org/officeDocument/2006/relationships/hyperlink" Target="https://www.humanrightscareers.com/issues/what-is-social-justice-in-educatio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hatgpt.com" TargetMode="External"/><Relationship Id="rId11" Type="http://schemas.openxmlformats.org/officeDocument/2006/relationships/hyperlink" Target="https://www.gov.uk/government/news/damian-hinds-learning-life-saving-skills-in-school-is-crucial" TargetMode="External"/><Relationship Id="rId24" Type="http://schemas.openxmlformats.org/officeDocument/2006/relationships/hyperlink" Target="https://www.unicef.org/media/60981/file/convention-rights-child-text-child-friendly-version.pdf" TargetMode="External"/><Relationship Id="rId5" Type="http://schemas.openxmlformats.org/officeDocument/2006/relationships/image" Target="media/image1.png"/><Relationship Id="rId15" Type="http://schemas.openxmlformats.org/officeDocument/2006/relationships/hyperlink" Target="https://go.gale.com/ps/i.do?id=GALE%7CA245884666&amp;sid=googleScholar&amp;v=2.1&amp;it=r&amp;linkaccess=abs&amp;issn=00094056&amp;p=AONE&amp;sw=w&amp;userGroupName=anon%7E335a093f&amp;aty=open-web-entry" TargetMode="External"/><Relationship Id="rId23" Type="http://schemas.openxmlformats.org/officeDocument/2006/relationships/hyperlink" Target="https://www.childcomwales.org.uk/wp-content/uploads/2024/05/WAST-Case-study.pdf" TargetMode="External"/><Relationship Id="rId28" Type="http://schemas.openxmlformats.org/officeDocument/2006/relationships/image" Target="media/image2.png"/><Relationship Id="rId10" Type="http://schemas.openxmlformats.org/officeDocument/2006/relationships/hyperlink" Target="https://www.taylorfrancis.com/books/mono/10.4324/9781315564210/developing-feedback-pupil-learning-ruth-dann" TargetMode="External"/><Relationship Id="rId19" Type="http://schemas.openxmlformats.org/officeDocument/2006/relationships/hyperlink" Target="https://phw.nhs.wales/topics/supporting-the-health-and-wellbeing-area-of-learning-and-experience-in-school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impact.wales/news/12-pedagogical-principles/" TargetMode="External"/><Relationship Id="rId22" Type="http://schemas.openxmlformats.org/officeDocument/2006/relationships/hyperlink" Target="https://www.sja.org.uk/get-involved/young-people/young-responders/" TargetMode="External"/><Relationship Id="rId27" Type="http://schemas.openxmlformats.org/officeDocument/2006/relationships/hyperlink" Target="https://hwb.gov.wales/curriculum-for-wales/designing-your-curriculum/pedagog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11</Pages>
  <Words>3857</Words>
  <Characters>21990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 Strong (University Wales Trinity St Davids ITE)</cp:lastModifiedBy>
  <cp:revision>3</cp:revision>
  <dcterms:created xsi:type="dcterms:W3CDTF">2025-03-20T11:28:00Z</dcterms:created>
  <dcterms:modified xsi:type="dcterms:W3CDTF">2025-05-05T17:33:00Z</dcterms:modified>
</cp:coreProperties>
</file>