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1CE6BFF1" w:rsidR="004E568D"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5B5E4F26" w14:textId="4C0F5366" w:rsidR="006074FC" w:rsidRDefault="006074FC" w:rsidP="00C319EB">
      <w:pPr>
        <w:rPr>
          <w:rFonts w:ascii="Arial" w:hAnsi="Arial" w:cs="Arial"/>
          <w:sz w:val="22"/>
          <w:lang w:val="en-US" w:eastAsia="en-US"/>
        </w:rPr>
      </w:pPr>
    </w:p>
    <w:p w14:paraId="17582124" w14:textId="77777777" w:rsidR="006074FC" w:rsidRPr="009511B3" w:rsidRDefault="006074FC" w:rsidP="006074FC">
      <w:pPr>
        <w:shd w:val="clear" w:color="auto" w:fill="FFFFFF"/>
        <w:spacing w:after="240"/>
        <w:jc w:val="center"/>
        <w:rPr>
          <w:rFonts w:ascii="Arial" w:hAnsi="Arial" w:cs="Arial"/>
          <w:b/>
          <w:bCs/>
          <w:color w:val="222222"/>
          <w:sz w:val="36"/>
          <w:szCs w:val="36"/>
        </w:rPr>
      </w:pPr>
      <w:r w:rsidRPr="009511B3">
        <w:rPr>
          <w:rFonts w:ascii="Arial" w:hAnsi="Arial" w:cs="Arial"/>
          <w:b/>
          <w:bCs/>
          <w:color w:val="222222"/>
          <w:sz w:val="36"/>
          <w:szCs w:val="36"/>
        </w:rPr>
        <w:t>Jaromir Pauer</w:t>
      </w:r>
    </w:p>
    <w:p w14:paraId="2AFC24FE" w14:textId="77777777" w:rsidR="006074FC" w:rsidRPr="009511B3" w:rsidRDefault="006074FC" w:rsidP="006074FC">
      <w:pPr>
        <w:shd w:val="clear" w:color="auto" w:fill="FFFFFF"/>
        <w:spacing w:after="240"/>
        <w:jc w:val="center"/>
        <w:rPr>
          <w:rFonts w:ascii="Arial" w:hAnsi="Arial" w:cs="Arial"/>
          <w:b/>
          <w:bCs/>
          <w:color w:val="222222"/>
          <w:sz w:val="36"/>
          <w:szCs w:val="36"/>
        </w:rPr>
      </w:pPr>
      <w:r w:rsidRPr="009511B3">
        <w:rPr>
          <w:rFonts w:ascii="Arial" w:hAnsi="Arial" w:cs="Arial"/>
          <w:b/>
          <w:bCs/>
          <w:color w:val="222222"/>
          <w:sz w:val="36"/>
          <w:szCs w:val="36"/>
        </w:rPr>
        <w:t>University of Wales Trinity Saint David</w:t>
      </w:r>
    </w:p>
    <w:p w14:paraId="2623F69F" w14:textId="77777777" w:rsidR="006074FC" w:rsidRPr="009511B3" w:rsidRDefault="006074FC" w:rsidP="006074FC">
      <w:pPr>
        <w:shd w:val="clear" w:color="auto" w:fill="FFFFFF"/>
        <w:spacing w:after="240"/>
        <w:jc w:val="center"/>
        <w:rPr>
          <w:rFonts w:ascii="Arial" w:hAnsi="Arial" w:cs="Arial"/>
          <w:b/>
          <w:bCs/>
          <w:color w:val="222222"/>
          <w:sz w:val="36"/>
          <w:szCs w:val="36"/>
        </w:rPr>
      </w:pPr>
      <w:r w:rsidRPr="009511B3">
        <w:rPr>
          <w:rFonts w:ascii="Arial" w:hAnsi="Arial" w:cs="Arial"/>
          <w:b/>
          <w:bCs/>
          <w:color w:val="222222"/>
          <w:sz w:val="36"/>
          <w:szCs w:val="36"/>
        </w:rPr>
        <w:t>Computer Architecture and Networks (ACCD4001)</w:t>
      </w:r>
    </w:p>
    <w:p w14:paraId="4CB8FD24" w14:textId="77777777" w:rsidR="006074FC" w:rsidRDefault="006074FC" w:rsidP="006074FC">
      <w:pPr>
        <w:shd w:val="clear" w:color="auto" w:fill="FFFFFF"/>
        <w:spacing w:after="240"/>
        <w:rPr>
          <w:rFonts w:ascii="Arial" w:hAnsi="Arial" w:cs="Arial"/>
          <w:color w:val="222222"/>
          <w:sz w:val="24"/>
          <w:szCs w:val="24"/>
        </w:rPr>
      </w:pPr>
    </w:p>
    <w:p w14:paraId="6FD41D93" w14:textId="77777777" w:rsidR="006074FC" w:rsidRDefault="006074FC" w:rsidP="006074FC">
      <w:pPr>
        <w:shd w:val="clear" w:color="auto" w:fill="FFFFFF"/>
        <w:spacing w:after="240"/>
        <w:rPr>
          <w:rFonts w:ascii="Arial" w:hAnsi="Arial" w:cs="Arial"/>
          <w:color w:val="222222"/>
          <w:sz w:val="24"/>
          <w:szCs w:val="24"/>
        </w:rPr>
      </w:pPr>
    </w:p>
    <w:p w14:paraId="377F85E4" w14:textId="77777777" w:rsidR="006074FC" w:rsidRPr="00F20D43" w:rsidRDefault="006074FC" w:rsidP="006074FC">
      <w:pPr>
        <w:shd w:val="clear" w:color="auto" w:fill="FFFFFF"/>
        <w:spacing w:after="240"/>
        <w:rPr>
          <w:rFonts w:ascii="Arial" w:hAnsi="Arial" w:cs="Arial"/>
          <w:color w:val="222222"/>
          <w:sz w:val="24"/>
          <w:szCs w:val="24"/>
        </w:rPr>
      </w:pPr>
    </w:p>
    <w:p w14:paraId="32404E7A" w14:textId="77777777" w:rsidR="006074FC" w:rsidRPr="00F20D43" w:rsidRDefault="006074FC" w:rsidP="006074FC">
      <w:pPr>
        <w:shd w:val="clear" w:color="auto" w:fill="FFFFFF"/>
        <w:spacing w:before="100" w:beforeAutospacing="1" w:after="100" w:afterAutospacing="1"/>
        <w:rPr>
          <w:rFonts w:ascii="Arial" w:hAnsi="Arial" w:cs="Arial"/>
          <w:b/>
          <w:bCs/>
          <w:color w:val="222222"/>
          <w:sz w:val="32"/>
          <w:szCs w:val="32"/>
        </w:rPr>
      </w:pPr>
      <w:r w:rsidRPr="00F20D43">
        <w:rPr>
          <w:rFonts w:ascii="Arial" w:hAnsi="Arial" w:cs="Arial"/>
          <w:b/>
          <w:bCs/>
          <w:color w:val="222222"/>
          <w:sz w:val="32"/>
          <w:szCs w:val="32"/>
        </w:rPr>
        <w:t>Introduction.</w:t>
      </w:r>
    </w:p>
    <w:p w14:paraId="680F5F35" w14:textId="77777777" w:rsidR="006074FC" w:rsidRPr="00F20D43" w:rsidRDefault="006074FC" w:rsidP="006074FC">
      <w:pPr>
        <w:shd w:val="clear" w:color="auto" w:fill="FFFFFF"/>
        <w:spacing w:before="100" w:beforeAutospacing="1" w:after="100" w:afterAutospacing="1"/>
        <w:rPr>
          <w:rFonts w:ascii="Arial" w:hAnsi="Arial" w:cs="Arial"/>
          <w:color w:val="222222"/>
          <w:sz w:val="24"/>
          <w:szCs w:val="24"/>
        </w:rPr>
      </w:pPr>
      <w:r w:rsidRPr="00F20D43">
        <w:rPr>
          <w:rFonts w:ascii="Arial" w:hAnsi="Arial" w:cs="Arial"/>
          <w:color w:val="222222"/>
          <w:sz w:val="24"/>
          <w:szCs w:val="24"/>
        </w:rPr>
        <w:t>The aim of this report is to examine various features of the Internet Protocol, Version 6 (IPv6) and identify systemic improvements, especially on the earlier IPv4 version. The report will address issues such as expanded addressing capabilities; header format simplification; types of addresses, auto configuration, and related security issues.</w:t>
      </w:r>
    </w:p>
    <w:p w14:paraId="30C459A2" w14:textId="77777777" w:rsidR="006074FC" w:rsidRPr="00F20D43" w:rsidRDefault="006074FC" w:rsidP="006074FC">
      <w:pPr>
        <w:shd w:val="clear" w:color="auto" w:fill="FFFFFF"/>
        <w:spacing w:before="100" w:beforeAutospacing="1" w:after="100" w:afterAutospacing="1"/>
        <w:rPr>
          <w:rFonts w:ascii="Arial" w:hAnsi="Arial" w:cs="Arial"/>
          <w:color w:val="222222"/>
          <w:sz w:val="24"/>
          <w:szCs w:val="24"/>
        </w:rPr>
      </w:pPr>
      <w:r w:rsidRPr="00F20D43">
        <w:rPr>
          <w:rFonts w:ascii="Arial" w:hAnsi="Arial" w:cs="Arial"/>
          <w:color w:val="222222"/>
          <w:sz w:val="24"/>
          <w:szCs w:val="24"/>
        </w:rPr>
        <w:br/>
      </w:r>
    </w:p>
    <w:p w14:paraId="77AF6C79" w14:textId="77777777" w:rsidR="006074FC" w:rsidRPr="00F20D43" w:rsidRDefault="006074FC" w:rsidP="006074FC">
      <w:pPr>
        <w:shd w:val="clear" w:color="auto" w:fill="FFFFFF"/>
        <w:spacing w:before="100" w:beforeAutospacing="1" w:after="100" w:afterAutospacing="1"/>
        <w:rPr>
          <w:rFonts w:ascii="Arial" w:hAnsi="Arial" w:cs="Arial"/>
          <w:color w:val="222222"/>
          <w:sz w:val="24"/>
          <w:szCs w:val="24"/>
        </w:rPr>
      </w:pPr>
      <w:r w:rsidRPr="00F20D43">
        <w:rPr>
          <w:rFonts w:ascii="Arial" w:hAnsi="Arial" w:cs="Arial"/>
          <w:color w:val="222222"/>
          <w:sz w:val="24"/>
          <w:szCs w:val="24"/>
        </w:rPr>
        <w:t xml:space="preserve">The exponential growth in demand for internet addresses has resulted in the IPv6 Protocol, which is gradually superseding IPv4 Protocol. The IPv6 incorporates a 128-bit addressing space that can deliver 340 undecillion unique addresses, which outperforms the 32- bit, or over 4 billion unique combinations of the IPv4 standard </w:t>
      </w:r>
      <w:r>
        <w:rPr>
          <w:rFonts w:ascii="Arial" w:hAnsi="Arial" w:cs="Arial"/>
          <w:color w:val="222222"/>
          <w:sz w:val="24"/>
          <w:szCs w:val="24"/>
        </w:rPr>
        <w:t xml:space="preserve"> </w:t>
      </w:r>
      <w:sdt>
        <w:sdtPr>
          <w:rPr>
            <w:rFonts w:ascii="Arial" w:hAnsi="Arial" w:cs="Arial"/>
            <w:color w:val="222222"/>
            <w:sz w:val="24"/>
            <w:szCs w:val="24"/>
          </w:rPr>
          <w:id w:val="170150254"/>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Aca161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[1]</w:t>
          </w:r>
          <w:r>
            <w:rPr>
              <w:rFonts w:ascii="Arial" w:hAnsi="Arial" w:cs="Arial"/>
              <w:color w:val="222222"/>
              <w:sz w:val="24"/>
              <w:szCs w:val="24"/>
            </w:rPr>
            <w:fldChar w:fldCharType="end"/>
          </w:r>
        </w:sdtContent>
      </w:sdt>
      <w:r>
        <w:rPr>
          <w:rFonts w:ascii="Arial" w:hAnsi="Arial" w:cs="Arial"/>
          <w:color w:val="222222"/>
          <w:sz w:val="24"/>
          <w:szCs w:val="24"/>
        </w:rPr>
        <w:t xml:space="preserve">. </w:t>
      </w:r>
      <w:r w:rsidRPr="00F20D43">
        <w:rPr>
          <w:rFonts w:ascii="Arial" w:hAnsi="Arial" w:cs="Arial"/>
          <w:color w:val="222222"/>
          <w:sz w:val="24"/>
          <w:szCs w:val="24"/>
        </w:rPr>
        <w:t>The Greater addressing capacity of  IPv6 is facilitated by the use of hexadecimal values. It is likely that many users will continue to rely on the Network Address Translation (NAT) standard whilst they manage the transition from IPv4 to IPv6. However, the multiplicity of IP addresses made available by IPv6 will in time make NAT redundant as there will be no need for it to connect numerous internal end-devices to one or a small number of public facing IP address. Do the expanded addressing capabilities provide additional security? The official view is that brute force address scanning attacks remain infeasible</w:t>
      </w:r>
      <w:r>
        <w:rPr>
          <w:rFonts w:ascii="Arial" w:hAnsi="Arial" w:cs="Arial"/>
          <w:color w:val="222222"/>
          <w:sz w:val="24"/>
          <w:szCs w:val="24"/>
        </w:rPr>
        <w:t xml:space="preserve"> </w:t>
      </w:r>
      <w:sdt>
        <w:sdtPr>
          <w:rPr>
            <w:rFonts w:ascii="Arial" w:hAnsi="Arial" w:cs="Arial"/>
            <w:color w:val="222222"/>
            <w:sz w:val="24"/>
            <w:szCs w:val="24"/>
          </w:rPr>
          <w:id w:val="1401639459"/>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FGo16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[2]</w:t>
          </w:r>
          <w:r>
            <w:rPr>
              <w:rFonts w:ascii="Arial" w:hAnsi="Arial" w:cs="Arial"/>
              <w:color w:val="222222"/>
              <w:sz w:val="24"/>
              <w:szCs w:val="24"/>
            </w:rPr>
            <w:fldChar w:fldCharType="end"/>
          </w:r>
        </w:sdtContent>
      </w:sdt>
      <w:r w:rsidRPr="00F20D43">
        <w:rPr>
          <w:rFonts w:ascii="Arial" w:hAnsi="Arial" w:cs="Arial"/>
          <w:color w:val="222222"/>
          <w:sz w:val="24"/>
          <w:szCs w:val="24"/>
        </w:rPr>
        <w:t>,</w:t>
      </w:r>
      <w:r>
        <w:rPr>
          <w:rFonts w:ascii="Arial" w:hAnsi="Arial" w:cs="Arial"/>
          <w:color w:val="222222"/>
          <w:sz w:val="24"/>
          <w:szCs w:val="24"/>
        </w:rPr>
        <w:t xml:space="preserve"> </w:t>
      </w:r>
      <w:r w:rsidRPr="00F20D43">
        <w:rPr>
          <w:rFonts w:ascii="Arial" w:hAnsi="Arial" w:cs="Arial"/>
          <w:color w:val="222222"/>
          <w:sz w:val="24"/>
          <w:szCs w:val="24"/>
        </w:rPr>
        <w:t>although this is not an absolute answer to the question posed. Regrettably,</w:t>
      </w:r>
      <w:r>
        <w:rPr>
          <w:rFonts w:ascii="Arial" w:hAnsi="Arial" w:cs="Arial"/>
          <w:color w:val="222222"/>
          <w:sz w:val="24"/>
          <w:szCs w:val="24"/>
        </w:rPr>
        <w:t xml:space="preserve"> </w:t>
      </w:r>
      <w:r w:rsidRPr="00F20D43">
        <w:rPr>
          <w:rFonts w:ascii="Arial" w:hAnsi="Arial" w:cs="Arial"/>
          <w:color w:val="222222"/>
          <w:sz w:val="24"/>
          <w:szCs w:val="24"/>
        </w:rPr>
        <w:t xml:space="preserve">the attackers have met the addressing challenge of IPv6 by attacking IPv6 address patterns, which is an issue that is considered later in this report. </w:t>
      </w:r>
      <w:r w:rsidRPr="00F20D43">
        <w:rPr>
          <w:rFonts w:ascii="Arial" w:hAnsi="Arial" w:cs="Arial"/>
          <w:color w:val="222222"/>
          <w:sz w:val="24"/>
          <w:szCs w:val="24"/>
        </w:rPr>
        <w:lastRenderedPageBreak/>
        <w:t>What is concerning is that the authorities believe that scanning attacks on IPv6 will become more sophisticated in the future</w:t>
      </w:r>
      <w:r>
        <w:rPr>
          <w:rFonts w:ascii="Arial" w:hAnsi="Arial" w:cs="Arial"/>
          <w:color w:val="222222"/>
          <w:sz w:val="24"/>
          <w:szCs w:val="24"/>
        </w:rPr>
        <w:t xml:space="preserve"> </w:t>
      </w:r>
      <w:sdt>
        <w:sdtPr>
          <w:rPr>
            <w:rFonts w:ascii="Arial" w:hAnsi="Arial" w:cs="Arial"/>
            <w:color w:val="222222"/>
            <w:sz w:val="24"/>
            <w:szCs w:val="24"/>
          </w:rPr>
          <w:id w:val="1480270527"/>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FGo16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[2]</w:t>
          </w:r>
          <w:r>
            <w:rPr>
              <w:rFonts w:ascii="Arial" w:hAnsi="Arial" w:cs="Arial"/>
              <w:color w:val="222222"/>
              <w:sz w:val="24"/>
              <w:szCs w:val="24"/>
            </w:rPr>
            <w:fldChar w:fldCharType="end"/>
          </w:r>
        </w:sdtContent>
      </w:sdt>
      <w:r>
        <w:rPr>
          <w:rFonts w:ascii="Arial" w:hAnsi="Arial" w:cs="Arial"/>
          <w:color w:val="222222"/>
          <w:sz w:val="24"/>
          <w:szCs w:val="24"/>
        </w:rPr>
        <w:t>.</w:t>
      </w:r>
    </w:p>
    <w:p w14:paraId="1FE148E2" w14:textId="77777777" w:rsidR="006074FC" w:rsidRDefault="006074FC" w:rsidP="006074FC">
      <w:pPr>
        <w:shd w:val="clear" w:color="auto" w:fill="FFFFFF"/>
        <w:spacing w:before="100" w:beforeAutospacing="1" w:after="100" w:afterAutospacing="1"/>
        <w:rPr>
          <w:rFonts w:ascii="Arial" w:hAnsi="Arial" w:cs="Arial"/>
          <w:color w:val="222222"/>
          <w:sz w:val="24"/>
          <w:szCs w:val="24"/>
        </w:rPr>
      </w:pPr>
      <w:r w:rsidRPr="00F20D43">
        <w:rPr>
          <w:rFonts w:ascii="Arial" w:hAnsi="Arial" w:cs="Arial"/>
          <w:color w:val="222222"/>
          <w:sz w:val="24"/>
          <w:szCs w:val="24"/>
        </w:rPr>
        <w:br/>
        <w:t>The simplification of the header format is based on the principle that only information necessary for every IPv6 packet should be set out in the IPv6 header, which has a fixed length of 40-bytes. Optional IP information is incorporated in the extension headers. The IPv6 header has been reduced to 8 fields, compared with 12 in the IPv4 version, and the number of fields that need to be processed by an intermediate router has been reduced from six to four</w:t>
      </w:r>
      <w:sdt>
        <w:sdtPr>
          <w:rPr>
            <w:rFonts w:ascii="Arial" w:hAnsi="Arial" w:cs="Arial"/>
            <w:color w:val="222222"/>
            <w:sz w:val="24"/>
            <w:szCs w:val="24"/>
          </w:rPr>
          <w:id w:val="-519695150"/>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Chr12 \l 1033 </w:instrText>
          </w:r>
          <w:r>
            <w:rPr>
              <w:rFonts w:ascii="Arial" w:hAnsi="Arial" w:cs="Arial"/>
              <w:color w:val="222222"/>
              <w:sz w:val="24"/>
              <w:szCs w:val="24"/>
            </w:rPr>
            <w:fldChar w:fldCharType="separate"/>
          </w:r>
          <w:r>
            <w:rPr>
              <w:rFonts w:ascii="Arial" w:hAnsi="Arial" w:cs="Arial"/>
              <w:noProof/>
              <w:color w:val="222222"/>
              <w:sz w:val="24"/>
              <w:szCs w:val="24"/>
              <w:lang w:val="en-US"/>
            </w:rPr>
            <w:t xml:space="preserve"> </w:t>
          </w:r>
          <w:r w:rsidRPr="009511B3">
            <w:rPr>
              <w:rFonts w:ascii="Arial" w:hAnsi="Arial" w:cs="Arial"/>
              <w:noProof/>
              <w:color w:val="222222"/>
              <w:sz w:val="24"/>
              <w:szCs w:val="24"/>
              <w:lang w:val="en-US"/>
            </w:rPr>
            <w:t>[3]</w:t>
          </w:r>
          <w:r>
            <w:rPr>
              <w:rFonts w:ascii="Arial" w:hAnsi="Arial" w:cs="Arial"/>
              <w:color w:val="222222"/>
              <w:sz w:val="24"/>
              <w:szCs w:val="24"/>
            </w:rPr>
            <w:fldChar w:fldCharType="end"/>
          </w:r>
        </w:sdtContent>
      </w:sdt>
      <w:r w:rsidRPr="00F20D43">
        <w:rPr>
          <w:rFonts w:ascii="Arial" w:hAnsi="Arial" w:cs="Arial"/>
          <w:color w:val="222222"/>
          <w:sz w:val="24"/>
          <w:szCs w:val="24"/>
        </w:rPr>
        <w:t>. This streamlining of the header format has increased efficiency, reduced bandwidth and reduced processing costs. As most packets are processed through the main header, the additional costs of using the extension headers are confined to a small proportion of the whole traffic</w:t>
      </w:r>
      <w:r>
        <w:rPr>
          <w:rFonts w:ascii="Arial" w:hAnsi="Arial" w:cs="Arial"/>
          <w:color w:val="222222"/>
          <w:sz w:val="24"/>
          <w:szCs w:val="24"/>
        </w:rPr>
        <w:t xml:space="preserve"> </w:t>
      </w:r>
      <w:sdt>
        <w:sdtPr>
          <w:rPr>
            <w:rFonts w:ascii="Arial" w:hAnsi="Arial" w:cs="Arial"/>
            <w:color w:val="222222"/>
            <w:sz w:val="24"/>
            <w:szCs w:val="24"/>
          </w:rPr>
          <w:id w:val="1792242663"/>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Chr12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[3]</w:t>
          </w:r>
          <w:r>
            <w:rPr>
              <w:rFonts w:ascii="Arial" w:hAnsi="Arial" w:cs="Arial"/>
              <w:color w:val="222222"/>
              <w:sz w:val="24"/>
              <w:szCs w:val="24"/>
            </w:rPr>
            <w:fldChar w:fldCharType="end"/>
          </w:r>
        </w:sdtContent>
      </w:sdt>
      <w:r w:rsidRPr="00F20D43">
        <w:rPr>
          <w:rFonts w:ascii="Arial" w:hAnsi="Arial" w:cs="Arial"/>
          <w:color w:val="222222"/>
          <w:sz w:val="24"/>
          <w:szCs w:val="24"/>
        </w:rPr>
        <w:t xml:space="preserve">. </w:t>
      </w:r>
    </w:p>
    <w:p w14:paraId="20B5C15F" w14:textId="77777777" w:rsidR="006074FC" w:rsidRPr="00F20D43" w:rsidRDefault="006074FC" w:rsidP="006074FC">
      <w:pPr>
        <w:shd w:val="clear" w:color="auto" w:fill="FFFFFF"/>
        <w:spacing w:before="100" w:beforeAutospacing="1" w:after="100" w:afterAutospacing="1"/>
        <w:rPr>
          <w:rFonts w:ascii="Arial" w:hAnsi="Arial" w:cs="Arial"/>
          <w:color w:val="222222"/>
          <w:sz w:val="24"/>
          <w:szCs w:val="24"/>
        </w:rPr>
      </w:pPr>
      <w:r w:rsidRPr="00F20D43">
        <w:rPr>
          <w:rFonts w:ascii="Arial" w:hAnsi="Arial" w:cs="Arial"/>
          <w:color w:val="222222"/>
          <w:sz w:val="24"/>
          <w:szCs w:val="24"/>
        </w:rPr>
        <w:t xml:space="preserve">Most IPv6 extension headers are not examined or processed by any router during a packet’s progress until it reaches its destination, which also improves efficiency </w:t>
      </w:r>
      <w:sdt>
        <w:sdtPr>
          <w:rPr>
            <w:rFonts w:ascii="Arial" w:hAnsi="Arial" w:cs="Arial"/>
            <w:color w:val="222222"/>
            <w:sz w:val="24"/>
            <w:szCs w:val="24"/>
          </w:rPr>
          <w:id w:val="-1938356491"/>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Unk12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[4]</w:t>
          </w:r>
          <w:r>
            <w:rPr>
              <w:rFonts w:ascii="Arial" w:hAnsi="Arial" w:cs="Arial"/>
              <w:color w:val="222222"/>
              <w:sz w:val="24"/>
              <w:szCs w:val="24"/>
            </w:rPr>
            <w:fldChar w:fldCharType="end"/>
          </w:r>
        </w:sdtContent>
      </w:sdt>
      <w:r w:rsidRPr="00F20D43">
        <w:rPr>
          <w:rFonts w:ascii="Arial" w:hAnsi="Arial" w:cs="Arial"/>
          <w:color w:val="222222"/>
          <w:sz w:val="24"/>
          <w:szCs w:val="24"/>
        </w:rPr>
        <w:t>. IPv6 stipulates that extension headers can now be of varying lengths and the number of options conveyed in packets is no longer confined to forty bytes. IPv6 provides the flexibility to add further options to the extension headers</w:t>
      </w:r>
      <w:r>
        <w:rPr>
          <w:rFonts w:ascii="Arial" w:hAnsi="Arial" w:cs="Arial"/>
          <w:color w:val="222222"/>
          <w:sz w:val="24"/>
          <w:szCs w:val="24"/>
        </w:rPr>
        <w:t xml:space="preserve"> </w:t>
      </w:r>
      <w:sdt>
        <w:sdtPr>
          <w:rPr>
            <w:rFonts w:ascii="Arial" w:hAnsi="Arial" w:cs="Arial"/>
            <w:color w:val="222222"/>
            <w:sz w:val="24"/>
            <w:szCs w:val="24"/>
          </w:rPr>
          <w:id w:val="-1484542164"/>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Dan18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[5]</w:t>
          </w:r>
          <w:r>
            <w:rPr>
              <w:rFonts w:ascii="Arial" w:hAnsi="Arial" w:cs="Arial"/>
              <w:color w:val="222222"/>
              <w:sz w:val="24"/>
              <w:szCs w:val="24"/>
            </w:rPr>
            <w:fldChar w:fldCharType="end"/>
          </w:r>
        </w:sdtContent>
      </w:sdt>
      <w:r w:rsidRPr="00F20D43">
        <w:rPr>
          <w:rFonts w:ascii="Arial" w:hAnsi="Arial" w:cs="Arial"/>
          <w:color w:val="222222"/>
          <w:sz w:val="24"/>
          <w:szCs w:val="24"/>
        </w:rPr>
        <w:t>.</w:t>
      </w:r>
    </w:p>
    <w:p w14:paraId="77C826FC" w14:textId="77777777" w:rsidR="006074FC" w:rsidRPr="00F20D43" w:rsidRDefault="006074FC" w:rsidP="006074FC">
      <w:pPr>
        <w:shd w:val="clear" w:color="auto" w:fill="FFFFFF"/>
        <w:spacing w:before="100" w:beforeAutospacing="1" w:after="100" w:afterAutospacing="1"/>
        <w:rPr>
          <w:rFonts w:ascii="Arial" w:hAnsi="Arial" w:cs="Arial"/>
          <w:color w:val="222222"/>
          <w:sz w:val="24"/>
          <w:szCs w:val="24"/>
        </w:rPr>
      </w:pPr>
      <w:r w:rsidRPr="00F20D43">
        <w:rPr>
          <w:rFonts w:ascii="Arial" w:hAnsi="Arial" w:cs="Arial"/>
          <w:color w:val="222222"/>
          <w:sz w:val="24"/>
          <w:szCs w:val="24"/>
        </w:rPr>
        <w:t xml:space="preserve">IPv6 and IPv4 both make use of Unicast and Multicast types of addresses, which are means of sending packets from a host to either a single host or from a host to a selected group of hosts respectively. Additionally, IPv6 introduces a new feature known as Anycast, which can be assigned to multiple devices (Introduction to Networks,p364). Essentially, Anycast is a network addressing and routing method used in circumstances where there are multiple routing paths available to a number of different nodes that share the same IP address. Routers perform a process whereby a node is selected on the basis that it is the most efficient to use as it provides the optimum pathway for the packet to take, after taking into consideration matters such as distance, number of hops, cost of the activity, speed, or congestion </w:t>
      </w:r>
      <w:r>
        <w:rPr>
          <w:rFonts w:ascii="Arial" w:hAnsi="Arial" w:cs="Arial"/>
          <w:color w:val="222222"/>
          <w:sz w:val="24"/>
          <w:szCs w:val="24"/>
        </w:rPr>
        <w:t xml:space="preserve"> </w:t>
      </w:r>
      <w:sdt>
        <w:sdtPr>
          <w:rPr>
            <w:rFonts w:ascii="Arial" w:hAnsi="Arial" w:cs="Arial"/>
            <w:color w:val="222222"/>
            <w:sz w:val="24"/>
            <w:szCs w:val="24"/>
          </w:rPr>
          <w:id w:val="-47071522"/>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Unked1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[6]</w:t>
          </w:r>
          <w:r>
            <w:rPr>
              <w:rFonts w:ascii="Arial" w:hAnsi="Arial" w:cs="Arial"/>
              <w:color w:val="222222"/>
              <w:sz w:val="24"/>
              <w:szCs w:val="24"/>
            </w:rPr>
            <w:fldChar w:fldCharType="end"/>
          </w:r>
        </w:sdtContent>
      </w:sdt>
      <w:r w:rsidRPr="00F20D43">
        <w:rPr>
          <w:rFonts w:ascii="Arial" w:hAnsi="Arial" w:cs="Arial"/>
          <w:color w:val="222222"/>
          <w:sz w:val="24"/>
          <w:szCs w:val="24"/>
        </w:rPr>
        <w:t>. Any</w:t>
      </w:r>
      <w:r>
        <w:rPr>
          <w:rFonts w:ascii="Arial" w:hAnsi="Arial" w:cs="Arial"/>
          <w:color w:val="222222"/>
          <w:sz w:val="24"/>
          <w:szCs w:val="24"/>
        </w:rPr>
        <w:t>-</w:t>
      </w:r>
      <w:r w:rsidRPr="00F20D43">
        <w:rPr>
          <w:rFonts w:ascii="Arial" w:hAnsi="Arial" w:cs="Arial"/>
          <w:color w:val="222222"/>
          <w:sz w:val="24"/>
          <w:szCs w:val="24"/>
        </w:rPr>
        <w:t xml:space="preserve">casting is often utilised to balance traffic loads between servers that are geographically separated. The advantages of Anycast include speedier connectivity, economy and load spreading. Additionally, it is frequently deployed to mitigate or localise the impact of Distributed Denial of Service (DDOS) attacks </w:t>
      </w:r>
      <w:sdt>
        <w:sdtPr>
          <w:rPr>
            <w:rFonts w:ascii="Arial" w:hAnsi="Arial" w:cs="Arial"/>
            <w:color w:val="222222"/>
            <w:sz w:val="24"/>
            <w:szCs w:val="24"/>
          </w:rPr>
          <w:id w:val="288639241"/>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DMM12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[7]</w:t>
          </w:r>
          <w:r>
            <w:rPr>
              <w:rFonts w:ascii="Arial" w:hAnsi="Arial" w:cs="Arial"/>
              <w:color w:val="222222"/>
              <w:sz w:val="24"/>
              <w:szCs w:val="24"/>
            </w:rPr>
            <w:fldChar w:fldCharType="end"/>
          </w:r>
        </w:sdtContent>
      </w:sdt>
      <w:r>
        <w:rPr>
          <w:rFonts w:ascii="Arial" w:hAnsi="Arial" w:cs="Arial"/>
          <w:color w:val="222222"/>
          <w:sz w:val="24"/>
          <w:szCs w:val="24"/>
        </w:rPr>
        <w:t xml:space="preserve">. </w:t>
      </w:r>
      <w:r w:rsidRPr="00F20D43">
        <w:rPr>
          <w:rFonts w:ascii="Arial" w:hAnsi="Arial" w:cs="Arial"/>
          <w:color w:val="222222"/>
          <w:sz w:val="24"/>
          <w:szCs w:val="24"/>
        </w:rPr>
        <w:t>On the other hand, the efficiency of Anycast has been questioned by a study that found that it did not always route packets to the nearest nodes,</w:t>
      </w:r>
      <w:r>
        <w:rPr>
          <w:rFonts w:ascii="Arial" w:hAnsi="Arial" w:cs="Arial"/>
          <w:color w:val="222222"/>
          <w:sz w:val="24"/>
          <w:szCs w:val="24"/>
        </w:rPr>
        <w:t xml:space="preserve"> </w:t>
      </w:r>
      <w:r w:rsidRPr="00F20D43">
        <w:rPr>
          <w:rFonts w:ascii="Arial" w:hAnsi="Arial" w:cs="Arial"/>
          <w:color w:val="222222"/>
          <w:sz w:val="24"/>
          <w:szCs w:val="24"/>
        </w:rPr>
        <w:t>even when these were the obvious choices</w:t>
      </w:r>
      <w:r>
        <w:rPr>
          <w:rFonts w:ascii="Arial" w:hAnsi="Arial" w:cs="Arial"/>
          <w:color w:val="222222"/>
          <w:sz w:val="24"/>
          <w:szCs w:val="24"/>
        </w:rPr>
        <w:t xml:space="preserve"> </w:t>
      </w:r>
      <w:sdt>
        <w:sdtPr>
          <w:rPr>
            <w:rFonts w:ascii="Arial" w:hAnsi="Arial" w:cs="Arial"/>
            <w:color w:val="222222"/>
            <w:sz w:val="24"/>
            <w:szCs w:val="24"/>
          </w:rPr>
          <w:id w:val="-1461652850"/>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Chr19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[8]</w:t>
          </w:r>
          <w:r>
            <w:rPr>
              <w:rFonts w:ascii="Arial" w:hAnsi="Arial" w:cs="Arial"/>
              <w:color w:val="222222"/>
              <w:sz w:val="24"/>
              <w:szCs w:val="24"/>
            </w:rPr>
            <w:fldChar w:fldCharType="end"/>
          </w:r>
        </w:sdtContent>
      </w:sdt>
      <w:r w:rsidRPr="00F20D43">
        <w:rPr>
          <w:rFonts w:ascii="Arial" w:hAnsi="Arial" w:cs="Arial"/>
          <w:color w:val="222222"/>
          <w:sz w:val="24"/>
          <w:szCs w:val="24"/>
        </w:rPr>
        <w:t>.</w:t>
      </w:r>
    </w:p>
    <w:p w14:paraId="548C8AB4" w14:textId="77777777" w:rsidR="006074FC" w:rsidRPr="00F20D43" w:rsidRDefault="006074FC" w:rsidP="006074FC">
      <w:pPr>
        <w:shd w:val="clear" w:color="auto" w:fill="FFFFFF"/>
        <w:spacing w:before="100" w:beforeAutospacing="1" w:after="100" w:afterAutospacing="1"/>
        <w:rPr>
          <w:rFonts w:ascii="Arial" w:hAnsi="Arial" w:cs="Arial"/>
          <w:color w:val="222222"/>
          <w:sz w:val="24"/>
          <w:szCs w:val="24"/>
        </w:rPr>
      </w:pPr>
      <w:r w:rsidRPr="00F20D43">
        <w:rPr>
          <w:rFonts w:ascii="Arial" w:hAnsi="Arial" w:cs="Arial"/>
          <w:color w:val="222222"/>
          <w:sz w:val="24"/>
          <w:szCs w:val="24"/>
        </w:rPr>
        <w:t>IPv4 did not include a straightforward auto configuration capability</w:t>
      </w:r>
      <w:r>
        <w:rPr>
          <w:rFonts w:ascii="Arial" w:hAnsi="Arial" w:cs="Arial"/>
          <w:color w:val="222222"/>
          <w:sz w:val="24"/>
          <w:szCs w:val="24"/>
        </w:rPr>
        <w:t xml:space="preserve"> </w:t>
      </w:r>
      <w:sdt>
        <w:sdtPr>
          <w:rPr>
            <w:rFonts w:ascii="Arial" w:hAnsi="Arial" w:cs="Arial"/>
            <w:color w:val="222222"/>
            <w:sz w:val="24"/>
            <w:szCs w:val="24"/>
          </w:rPr>
          <w:id w:val="-565023940"/>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Pau17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[9]</w:t>
          </w:r>
          <w:r>
            <w:rPr>
              <w:rFonts w:ascii="Arial" w:hAnsi="Arial" w:cs="Arial"/>
              <w:color w:val="222222"/>
              <w:sz w:val="24"/>
              <w:szCs w:val="24"/>
            </w:rPr>
            <w:fldChar w:fldCharType="end"/>
          </w:r>
        </w:sdtContent>
      </w:sdt>
      <w:r w:rsidRPr="00F20D43">
        <w:rPr>
          <w:rFonts w:ascii="Arial" w:hAnsi="Arial" w:cs="Arial"/>
          <w:color w:val="222222"/>
          <w:sz w:val="24"/>
          <w:szCs w:val="24"/>
        </w:rPr>
        <w:t>, but this deficit has been addressed in IPv6 Standard 2462</w:t>
      </w:r>
      <w:r>
        <w:rPr>
          <w:rFonts w:ascii="Arial" w:hAnsi="Arial" w:cs="Arial"/>
          <w:color w:val="222222"/>
          <w:sz w:val="24"/>
          <w:szCs w:val="24"/>
        </w:rPr>
        <w:t xml:space="preserve"> </w:t>
      </w:r>
      <w:sdt>
        <w:sdtPr>
          <w:rPr>
            <w:rFonts w:ascii="Arial" w:hAnsi="Arial" w:cs="Arial"/>
            <w:color w:val="222222"/>
            <w:sz w:val="24"/>
            <w:szCs w:val="24"/>
          </w:rPr>
          <w:id w:val="300197941"/>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STh98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[10]</w:t>
          </w:r>
          <w:r>
            <w:rPr>
              <w:rFonts w:ascii="Arial" w:hAnsi="Arial" w:cs="Arial"/>
              <w:color w:val="222222"/>
              <w:sz w:val="24"/>
              <w:szCs w:val="24"/>
            </w:rPr>
            <w:fldChar w:fldCharType="end"/>
          </w:r>
        </w:sdtContent>
      </w:sdt>
      <w:r w:rsidRPr="00F20D43">
        <w:rPr>
          <w:rFonts w:ascii="Arial" w:hAnsi="Arial" w:cs="Arial"/>
          <w:color w:val="222222"/>
          <w:sz w:val="24"/>
          <w:szCs w:val="24"/>
        </w:rPr>
        <w:t>. In accordance with the standard, auto configuration of addresses and certain other information can be achieved through a Stateless mechanism, Stateful mechanism, or a combination of the two. The standard sets out how the Stateless auto configuration approach can facilitate the generation of Link-Local, Site-Local and Global addresses. What is especially useful is that the Stateless mechanism can be used to connect to the internet without the assistance of a Dynamic Host Configuration Protocol (DHCP) server</w:t>
      </w:r>
      <w:r>
        <w:rPr>
          <w:rFonts w:ascii="Arial" w:hAnsi="Arial" w:cs="Arial"/>
          <w:color w:val="222222"/>
          <w:sz w:val="24"/>
          <w:szCs w:val="24"/>
        </w:rPr>
        <w:t xml:space="preserve"> </w:t>
      </w:r>
      <w:sdt>
        <w:sdtPr>
          <w:rPr>
            <w:rFonts w:ascii="Arial" w:hAnsi="Arial" w:cs="Arial"/>
            <w:color w:val="222222"/>
            <w:sz w:val="24"/>
            <w:szCs w:val="24"/>
          </w:rPr>
          <w:id w:val="-127871430"/>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Unked2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[11]</w:t>
          </w:r>
          <w:r>
            <w:rPr>
              <w:rFonts w:ascii="Arial" w:hAnsi="Arial" w:cs="Arial"/>
              <w:color w:val="222222"/>
              <w:sz w:val="24"/>
              <w:szCs w:val="24"/>
            </w:rPr>
            <w:fldChar w:fldCharType="end"/>
          </w:r>
        </w:sdtContent>
      </w:sdt>
      <w:r w:rsidRPr="00F20D43">
        <w:rPr>
          <w:rFonts w:ascii="Arial" w:hAnsi="Arial" w:cs="Arial"/>
          <w:color w:val="222222"/>
          <w:sz w:val="24"/>
          <w:szCs w:val="24"/>
        </w:rPr>
        <w:t xml:space="preserve">.  However, the host does obtain interface addresses or other information from a server if it is determined that the Stateful mechanism should be used </w:t>
      </w:r>
      <w:sdt>
        <w:sdtPr>
          <w:rPr>
            <w:rFonts w:ascii="Arial" w:hAnsi="Arial" w:cs="Arial"/>
            <w:color w:val="222222"/>
            <w:sz w:val="24"/>
            <w:szCs w:val="24"/>
          </w:rPr>
          <w:id w:val="1858847581"/>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Unk10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[12]</w:t>
          </w:r>
          <w:r>
            <w:rPr>
              <w:rFonts w:ascii="Arial" w:hAnsi="Arial" w:cs="Arial"/>
              <w:color w:val="222222"/>
              <w:sz w:val="24"/>
              <w:szCs w:val="24"/>
            </w:rPr>
            <w:fldChar w:fldCharType="end"/>
          </w:r>
        </w:sdtContent>
      </w:sdt>
      <w:r w:rsidRPr="00F20D43">
        <w:rPr>
          <w:rFonts w:ascii="Arial" w:hAnsi="Arial" w:cs="Arial"/>
          <w:color w:val="222222"/>
          <w:sz w:val="24"/>
          <w:szCs w:val="24"/>
        </w:rPr>
        <w:t>. In certain circumstances it will be appropriate to use both the Stateless and Stateful mechanisms for auto configuration, for example the former to configure an address and the latter to gather other information</w:t>
      </w:r>
      <w:r>
        <w:rPr>
          <w:rFonts w:ascii="Arial" w:hAnsi="Arial" w:cs="Arial"/>
          <w:color w:val="222222"/>
          <w:sz w:val="24"/>
          <w:szCs w:val="24"/>
        </w:rPr>
        <w:t xml:space="preserve"> </w:t>
      </w:r>
      <w:sdt>
        <w:sdtPr>
          <w:rPr>
            <w:rFonts w:ascii="Arial" w:hAnsi="Arial" w:cs="Arial"/>
            <w:color w:val="222222"/>
            <w:sz w:val="24"/>
            <w:szCs w:val="24"/>
          </w:rPr>
          <w:id w:val="1485887355"/>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Unk10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[12]</w:t>
          </w:r>
          <w:r>
            <w:rPr>
              <w:rFonts w:ascii="Arial" w:hAnsi="Arial" w:cs="Arial"/>
              <w:color w:val="222222"/>
              <w:sz w:val="24"/>
              <w:szCs w:val="24"/>
            </w:rPr>
            <w:fldChar w:fldCharType="end"/>
          </w:r>
        </w:sdtContent>
      </w:sdt>
      <w:r w:rsidRPr="00F20D43">
        <w:rPr>
          <w:rFonts w:ascii="Arial" w:hAnsi="Arial" w:cs="Arial"/>
          <w:color w:val="222222"/>
          <w:sz w:val="24"/>
          <w:szCs w:val="24"/>
        </w:rPr>
        <w:t xml:space="preserve">. In the absence of a router the host can only produce Link-Local addresses. The use of any Link-Local address is confined to communicating with other devices on that local link (Introduction to Networks,p366). The standard also sets out how IP addresses can be renumbered and reallocated. A problem has occurred regarding mobile equipment used at numerous locations. The constant nature </w:t>
      </w:r>
      <w:r w:rsidRPr="00F20D43">
        <w:rPr>
          <w:rFonts w:ascii="Arial" w:hAnsi="Arial" w:cs="Arial"/>
          <w:color w:val="222222"/>
          <w:sz w:val="24"/>
          <w:szCs w:val="24"/>
        </w:rPr>
        <w:lastRenderedPageBreak/>
        <w:t xml:space="preserve">of the interface Identifiers, which are part of the IPv6 Stateless configured IP addresses, can potentially be a means of tracking network activity, exposing the type of hardware being deployed and disclosing the user’s online activity. Such security concerns are addressed in Standard RFC 4941 </w:t>
      </w:r>
      <w:sdt>
        <w:sdtPr>
          <w:rPr>
            <w:rFonts w:ascii="Arial" w:hAnsi="Arial" w:cs="Arial"/>
            <w:color w:val="222222"/>
            <w:sz w:val="24"/>
            <w:szCs w:val="24"/>
          </w:rPr>
          <w:id w:val="-737943727"/>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TNa07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[13]</w:t>
          </w:r>
          <w:r>
            <w:rPr>
              <w:rFonts w:ascii="Arial" w:hAnsi="Arial" w:cs="Arial"/>
              <w:color w:val="222222"/>
              <w:sz w:val="24"/>
              <w:szCs w:val="24"/>
            </w:rPr>
            <w:fldChar w:fldCharType="end"/>
          </w:r>
        </w:sdtContent>
      </w:sdt>
      <w:r w:rsidRPr="00F20D43">
        <w:rPr>
          <w:rFonts w:ascii="Arial" w:hAnsi="Arial" w:cs="Arial"/>
          <w:color w:val="222222"/>
          <w:sz w:val="24"/>
          <w:szCs w:val="24"/>
        </w:rPr>
        <w:t xml:space="preserve">, which introduced an algorithm for Privacy Extensions. The standard provides temporary addresses that alter at regular time intervals. However, operators are aware of the vulnerability of the algorithm referred to in RFC 4941 and are therefore using random numbers instead to provide sufficient security protection to their mobile users </w:t>
      </w:r>
      <w:sdt>
        <w:sdtPr>
          <w:rPr>
            <w:rFonts w:ascii="Arial" w:hAnsi="Arial" w:cs="Arial"/>
            <w:color w:val="222222"/>
            <w:sz w:val="24"/>
            <w:szCs w:val="24"/>
          </w:rPr>
          <w:id w:val="-799910652"/>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Joh17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[14]</w:t>
          </w:r>
          <w:r>
            <w:rPr>
              <w:rFonts w:ascii="Arial" w:hAnsi="Arial" w:cs="Arial"/>
              <w:color w:val="222222"/>
              <w:sz w:val="24"/>
              <w:szCs w:val="24"/>
            </w:rPr>
            <w:fldChar w:fldCharType="end"/>
          </w:r>
        </w:sdtContent>
      </w:sdt>
      <w:r w:rsidRPr="00F20D43">
        <w:rPr>
          <w:rFonts w:ascii="Arial" w:hAnsi="Arial" w:cs="Arial"/>
          <w:color w:val="222222"/>
          <w:sz w:val="24"/>
          <w:szCs w:val="24"/>
        </w:rPr>
        <w:t xml:space="preserve">. Indeed, earlier this month the authorities issued draft protocol ietf-IPSec-v6-21, in which they acknowledged that this security risk remains a real threat, pp5 and 6 </w:t>
      </w:r>
      <w:sdt>
        <w:sdtPr>
          <w:rPr>
            <w:rFonts w:ascii="Arial" w:hAnsi="Arial" w:cs="Arial"/>
            <w:color w:val="222222"/>
            <w:sz w:val="24"/>
            <w:szCs w:val="24"/>
          </w:rPr>
          <w:id w:val="-1905680802"/>
          <w:citation/>
        </w:sdtPr>
        <w:sdtEndPr/>
        <w:sdtContent>
          <w:r>
            <w:rPr>
              <w:rFonts w:ascii="Arial" w:hAnsi="Arial" w:cs="Arial"/>
              <w:color w:val="222222"/>
              <w:sz w:val="24"/>
              <w:szCs w:val="24"/>
            </w:rPr>
            <w:fldChar w:fldCharType="begin"/>
          </w:r>
          <w:r>
            <w:rPr>
              <w:rFonts w:ascii="Arial" w:hAnsi="Arial" w:cs="Arial"/>
              <w:color w:val="222222"/>
              <w:sz w:val="24"/>
              <w:szCs w:val="24"/>
              <w:lang w:val="en-US"/>
            </w:rPr>
            <w:instrText xml:space="preserve"> CITATION EVy19 \l 1033 </w:instrText>
          </w:r>
          <w:r>
            <w:rPr>
              <w:rFonts w:ascii="Arial" w:hAnsi="Arial" w:cs="Arial"/>
              <w:color w:val="222222"/>
              <w:sz w:val="24"/>
              <w:szCs w:val="24"/>
            </w:rPr>
            <w:fldChar w:fldCharType="separate"/>
          </w:r>
          <w:r w:rsidRPr="009511B3">
            <w:rPr>
              <w:rFonts w:ascii="Arial" w:hAnsi="Arial" w:cs="Arial"/>
              <w:noProof/>
              <w:color w:val="222222"/>
              <w:sz w:val="24"/>
              <w:szCs w:val="24"/>
              <w:lang w:val="en-US"/>
            </w:rPr>
            <w:t>[15]</w:t>
          </w:r>
          <w:r>
            <w:rPr>
              <w:rFonts w:ascii="Arial" w:hAnsi="Arial" w:cs="Arial"/>
              <w:color w:val="222222"/>
              <w:sz w:val="24"/>
              <w:szCs w:val="24"/>
            </w:rPr>
            <w:fldChar w:fldCharType="end"/>
          </w:r>
        </w:sdtContent>
      </w:sdt>
      <w:r w:rsidRPr="00F20D43">
        <w:rPr>
          <w:rFonts w:ascii="Arial" w:hAnsi="Arial" w:cs="Arial"/>
          <w:color w:val="222222"/>
          <w:sz w:val="24"/>
          <w:szCs w:val="24"/>
        </w:rPr>
        <w:t>. The security of addresses therefore remains a concern.</w:t>
      </w:r>
    </w:p>
    <w:p w14:paraId="2EB210A8" w14:textId="77777777" w:rsidR="006074FC" w:rsidRPr="00F20D43" w:rsidRDefault="006074FC" w:rsidP="006074FC">
      <w:pPr>
        <w:shd w:val="clear" w:color="auto" w:fill="FFFFFF"/>
        <w:spacing w:before="100" w:beforeAutospacing="1" w:after="100" w:afterAutospacing="1"/>
        <w:rPr>
          <w:rFonts w:ascii="Arial" w:hAnsi="Arial" w:cs="Arial"/>
          <w:color w:val="222222"/>
          <w:sz w:val="24"/>
          <w:szCs w:val="24"/>
        </w:rPr>
      </w:pPr>
      <w:r w:rsidRPr="00F20D43">
        <w:rPr>
          <w:rFonts w:ascii="Arial" w:hAnsi="Arial" w:cs="Arial"/>
          <w:color w:val="222222"/>
          <w:sz w:val="24"/>
          <w:szCs w:val="24"/>
        </w:rPr>
        <w:br/>
      </w:r>
    </w:p>
    <w:p w14:paraId="0035BAC7" w14:textId="77777777" w:rsidR="006074FC" w:rsidRDefault="006074FC" w:rsidP="006074FC">
      <w:pPr>
        <w:shd w:val="clear" w:color="auto" w:fill="FFFFFF"/>
        <w:spacing w:before="100" w:beforeAutospacing="1" w:after="100" w:afterAutospacing="1"/>
        <w:rPr>
          <w:rFonts w:ascii="Arial" w:hAnsi="Arial" w:cs="Arial"/>
          <w:b/>
          <w:bCs/>
          <w:color w:val="222222"/>
          <w:sz w:val="32"/>
          <w:szCs w:val="32"/>
        </w:rPr>
      </w:pPr>
    </w:p>
    <w:p w14:paraId="284B0B2F" w14:textId="77777777" w:rsidR="006074FC" w:rsidRPr="00FF6360" w:rsidRDefault="006074FC" w:rsidP="006074FC">
      <w:pPr>
        <w:shd w:val="clear" w:color="auto" w:fill="FFFFFF"/>
        <w:spacing w:before="100" w:beforeAutospacing="1" w:after="100" w:afterAutospacing="1"/>
        <w:rPr>
          <w:rFonts w:ascii="Arial" w:hAnsi="Arial" w:cs="Arial"/>
          <w:b/>
          <w:bCs/>
          <w:color w:val="222222"/>
          <w:sz w:val="32"/>
          <w:szCs w:val="32"/>
        </w:rPr>
      </w:pPr>
      <w:r w:rsidRPr="00F20D43">
        <w:rPr>
          <w:rFonts w:ascii="Arial" w:hAnsi="Arial" w:cs="Arial"/>
          <w:b/>
          <w:bCs/>
          <w:color w:val="222222"/>
          <w:sz w:val="32"/>
          <w:szCs w:val="32"/>
        </w:rPr>
        <w:t>Conclusion.</w:t>
      </w:r>
    </w:p>
    <w:p w14:paraId="61F8C7F7" w14:textId="77777777" w:rsidR="006074FC" w:rsidRPr="00F20D43" w:rsidRDefault="006074FC" w:rsidP="006074FC">
      <w:pPr>
        <w:shd w:val="clear" w:color="auto" w:fill="FFFFFF"/>
        <w:spacing w:before="100" w:beforeAutospacing="1" w:after="100" w:afterAutospacing="1"/>
        <w:rPr>
          <w:rFonts w:ascii="Arial" w:hAnsi="Arial" w:cs="Arial"/>
          <w:color w:val="222222"/>
          <w:sz w:val="24"/>
          <w:szCs w:val="24"/>
        </w:rPr>
      </w:pPr>
      <w:r w:rsidRPr="00F20D43">
        <w:rPr>
          <w:rFonts w:ascii="Arial" w:hAnsi="Arial" w:cs="Arial"/>
          <w:color w:val="222222"/>
          <w:sz w:val="24"/>
          <w:szCs w:val="24"/>
        </w:rPr>
        <w:t>Clearly the availability of a greater number of IP addresses is invaluable in an age were consumer demand for these is on the increase. There is evidence that various IPv6 features have increased efficiency, reduced costs and effectively eliminated certain security risks. However, network attackers are ingenious people who have responded to IPv6 developments by devising new ways of attacking the system. It is clear from official documents, referred to in this report, that the authorities remain concerned about the level of security offered by the IPv6 standard. </w:t>
      </w:r>
    </w:p>
    <w:p w14:paraId="201C384F" w14:textId="77777777" w:rsidR="006074FC" w:rsidRDefault="006074FC" w:rsidP="006074FC"/>
    <w:sdt>
      <w:sdtPr>
        <w:rPr>
          <w:b w:val="0"/>
          <w:sz w:val="20"/>
        </w:rPr>
        <w:id w:val="-1682423013"/>
        <w:docPartObj>
          <w:docPartGallery w:val="Bibliographies"/>
          <w:docPartUnique/>
        </w:docPartObj>
      </w:sdtPr>
      <w:sdtEndPr/>
      <w:sdtContent>
        <w:p w14:paraId="75A8DF8D" w14:textId="77777777" w:rsidR="006074FC" w:rsidRDefault="006074FC" w:rsidP="006074FC">
          <w:pPr>
            <w:pStyle w:val="Heading1"/>
          </w:pPr>
          <w:r>
            <w:t>References</w:t>
          </w:r>
        </w:p>
        <w:sdt>
          <w:sdtPr>
            <w:id w:val="-573587230"/>
            <w:bibliography/>
          </w:sdtPr>
          <w:sdtEndPr/>
          <w:sdtContent>
            <w:p w14:paraId="6A950E8B" w14:textId="77777777" w:rsidR="006074FC" w:rsidRDefault="006074FC" w:rsidP="006074F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9398"/>
              </w:tblGrid>
              <w:tr w:rsidR="006074FC" w14:paraId="3C9E0890" w14:textId="77777777" w:rsidTr="00D51C58">
                <w:trPr>
                  <w:tblCellSpacing w:w="15" w:type="dxa"/>
                </w:trPr>
                <w:tc>
                  <w:tcPr>
                    <w:tcW w:w="50" w:type="pct"/>
                    <w:hideMark/>
                  </w:tcPr>
                  <w:p w14:paraId="735BE11B" w14:textId="77777777" w:rsidR="006074FC" w:rsidRDefault="006074FC" w:rsidP="00D51C58">
                    <w:pPr>
                      <w:pStyle w:val="Bibliography"/>
                      <w:rPr>
                        <w:noProof/>
                        <w:sz w:val="24"/>
                        <w:szCs w:val="24"/>
                        <w:lang w:val="en-US"/>
                      </w:rPr>
                    </w:pPr>
                    <w:r>
                      <w:rPr>
                        <w:noProof/>
                        <w:lang w:val="en-US"/>
                      </w:rPr>
                      <w:t xml:space="preserve">[1] </w:t>
                    </w:r>
                  </w:p>
                </w:tc>
                <w:tc>
                  <w:tcPr>
                    <w:tcW w:w="0" w:type="auto"/>
                    <w:hideMark/>
                  </w:tcPr>
                  <w:p w14:paraId="26D7B741" w14:textId="77777777" w:rsidR="006074FC" w:rsidRDefault="006074FC" w:rsidP="00D51C58">
                    <w:pPr>
                      <w:pStyle w:val="Bibliography"/>
                      <w:rPr>
                        <w:noProof/>
                        <w:lang w:val="en-US"/>
                      </w:rPr>
                    </w:pPr>
                    <w:r>
                      <w:rPr>
                        <w:noProof/>
                        <w:lang w:val="en-US"/>
                      </w:rPr>
                      <w:t>C. N. Academy, Introduction to Networks Companion Guide v5.1, Indianapolis: Cisco Press, 2016, p. 357.</w:t>
                    </w:r>
                  </w:p>
                </w:tc>
              </w:tr>
              <w:tr w:rsidR="006074FC" w14:paraId="75F0DD19" w14:textId="77777777" w:rsidTr="00D51C58">
                <w:trPr>
                  <w:tblCellSpacing w:w="15" w:type="dxa"/>
                </w:trPr>
                <w:tc>
                  <w:tcPr>
                    <w:tcW w:w="50" w:type="pct"/>
                    <w:hideMark/>
                  </w:tcPr>
                  <w:p w14:paraId="15BB4EE3" w14:textId="77777777" w:rsidR="006074FC" w:rsidRDefault="006074FC" w:rsidP="00D51C58">
                    <w:pPr>
                      <w:pStyle w:val="Bibliography"/>
                      <w:rPr>
                        <w:noProof/>
                        <w:lang w:val="en-US"/>
                      </w:rPr>
                    </w:pPr>
                    <w:r>
                      <w:rPr>
                        <w:noProof/>
                        <w:lang w:val="en-US"/>
                      </w:rPr>
                      <w:t xml:space="preserve">[2] </w:t>
                    </w:r>
                  </w:p>
                </w:tc>
                <w:tc>
                  <w:tcPr>
                    <w:tcW w:w="0" w:type="auto"/>
                    <w:hideMark/>
                  </w:tcPr>
                  <w:p w14:paraId="4DCE1462" w14:textId="77777777" w:rsidR="006074FC" w:rsidRDefault="006074FC" w:rsidP="00D51C58">
                    <w:pPr>
                      <w:pStyle w:val="Bibliography"/>
                      <w:rPr>
                        <w:noProof/>
                        <w:lang w:val="en-US"/>
                      </w:rPr>
                    </w:pPr>
                    <w:r>
                      <w:rPr>
                        <w:noProof/>
                        <w:lang w:val="en-US"/>
                      </w:rPr>
                      <w:t>F. Gont, "RFC 7707 - Network Reconnaissance in IPv6 Networks," Internet Engineering Task Force, 3 2016. [Online]. Available: https://tools.ietf.org/html/rfc7707. [Accessed 23 11 2019].</w:t>
                    </w:r>
                  </w:p>
                </w:tc>
              </w:tr>
              <w:tr w:rsidR="006074FC" w14:paraId="15D4E10F" w14:textId="77777777" w:rsidTr="00D51C58">
                <w:trPr>
                  <w:tblCellSpacing w:w="15" w:type="dxa"/>
                </w:trPr>
                <w:tc>
                  <w:tcPr>
                    <w:tcW w:w="50" w:type="pct"/>
                    <w:hideMark/>
                  </w:tcPr>
                  <w:p w14:paraId="345EFEB2" w14:textId="77777777" w:rsidR="006074FC" w:rsidRDefault="006074FC" w:rsidP="00D51C58">
                    <w:pPr>
                      <w:pStyle w:val="Bibliography"/>
                      <w:rPr>
                        <w:noProof/>
                        <w:lang w:val="en-US"/>
                      </w:rPr>
                    </w:pPr>
                    <w:r>
                      <w:rPr>
                        <w:noProof/>
                        <w:lang w:val="en-US"/>
                      </w:rPr>
                      <w:t xml:space="preserve">[3] </w:t>
                    </w:r>
                  </w:p>
                </w:tc>
                <w:tc>
                  <w:tcPr>
                    <w:tcW w:w="0" w:type="auto"/>
                    <w:hideMark/>
                  </w:tcPr>
                  <w:p w14:paraId="3B5DBAD2" w14:textId="77777777" w:rsidR="006074FC" w:rsidRDefault="006074FC" w:rsidP="00D51C58">
                    <w:pPr>
                      <w:pStyle w:val="Bibliography"/>
                      <w:rPr>
                        <w:noProof/>
                        <w:lang w:val="en-US"/>
                      </w:rPr>
                    </w:pPr>
                    <w:r>
                      <w:rPr>
                        <w:noProof/>
                        <w:lang w:val="en-US"/>
                      </w:rPr>
                      <w:t>C. Grundemann, "Introducing IPv6 Headers," ChrisGrundemann.com, 16 2 2012. [Online]. Available: https://chrisgrundemann.com/index.php/2012/introducing-ipv6-ipv6-headers/. [Accessed 23 11 2019].</w:t>
                    </w:r>
                  </w:p>
                </w:tc>
              </w:tr>
              <w:tr w:rsidR="006074FC" w14:paraId="21899FEF" w14:textId="77777777" w:rsidTr="00D51C58">
                <w:trPr>
                  <w:tblCellSpacing w:w="15" w:type="dxa"/>
                </w:trPr>
                <w:tc>
                  <w:tcPr>
                    <w:tcW w:w="50" w:type="pct"/>
                    <w:hideMark/>
                  </w:tcPr>
                  <w:p w14:paraId="22CABCF7" w14:textId="77777777" w:rsidR="006074FC" w:rsidRDefault="006074FC" w:rsidP="00D51C58">
                    <w:pPr>
                      <w:pStyle w:val="Bibliography"/>
                      <w:rPr>
                        <w:noProof/>
                        <w:lang w:val="en-US"/>
                      </w:rPr>
                    </w:pPr>
                    <w:r>
                      <w:rPr>
                        <w:noProof/>
                        <w:lang w:val="en-US"/>
                      </w:rPr>
                      <w:t xml:space="preserve">[4] </w:t>
                    </w:r>
                  </w:p>
                </w:tc>
                <w:tc>
                  <w:tcPr>
                    <w:tcW w:w="0" w:type="auto"/>
                    <w:hideMark/>
                  </w:tcPr>
                  <w:p w14:paraId="56C01244" w14:textId="77777777" w:rsidR="006074FC" w:rsidRDefault="006074FC" w:rsidP="00D51C58">
                    <w:pPr>
                      <w:pStyle w:val="Bibliography"/>
                      <w:rPr>
                        <w:noProof/>
                        <w:lang w:val="en-US"/>
                      </w:rPr>
                    </w:pPr>
                    <w:r>
                      <w:rPr>
                        <w:noProof/>
                        <w:lang w:val="en-US"/>
                      </w:rPr>
                      <w:t>Unknown, "Chapter 1 IPv6 ( Overview) IPv6 (Adminstration Guide)," docs.oracle.com, 2012. [Online]. Available: https://docs.oracle.com/cd/E19683-01/817-0573/6mgc65bb0/index.html. [Accessed 23 11 2019].</w:t>
                    </w:r>
                  </w:p>
                </w:tc>
              </w:tr>
              <w:tr w:rsidR="006074FC" w14:paraId="61CA5922" w14:textId="77777777" w:rsidTr="00D51C58">
                <w:trPr>
                  <w:tblCellSpacing w:w="15" w:type="dxa"/>
                </w:trPr>
                <w:tc>
                  <w:tcPr>
                    <w:tcW w:w="50" w:type="pct"/>
                    <w:hideMark/>
                  </w:tcPr>
                  <w:p w14:paraId="37C95683" w14:textId="77777777" w:rsidR="006074FC" w:rsidRDefault="006074FC" w:rsidP="00D51C58">
                    <w:pPr>
                      <w:pStyle w:val="Bibliography"/>
                      <w:rPr>
                        <w:noProof/>
                        <w:lang w:val="en-US"/>
                      </w:rPr>
                    </w:pPr>
                    <w:r>
                      <w:rPr>
                        <w:noProof/>
                        <w:lang w:val="en-US"/>
                      </w:rPr>
                      <w:t xml:space="preserve">[5] </w:t>
                    </w:r>
                  </w:p>
                </w:tc>
                <w:tc>
                  <w:tcPr>
                    <w:tcW w:w="0" w:type="auto"/>
                    <w:hideMark/>
                  </w:tcPr>
                  <w:p w14:paraId="4208AC64" w14:textId="77777777" w:rsidR="006074FC" w:rsidRDefault="006074FC" w:rsidP="00D51C58">
                    <w:pPr>
                      <w:pStyle w:val="Bibliography"/>
                      <w:rPr>
                        <w:noProof/>
                        <w:lang w:val="en-US"/>
                      </w:rPr>
                    </w:pPr>
                    <w:r>
                      <w:rPr>
                        <w:noProof/>
                        <w:lang w:val="en-US"/>
                      </w:rPr>
                      <w:t>D. Robinson, "IPv6: It's only NAT-ural that network nerds are dragging their feet...," theregister.co.uk, 8 8 2018. [Online]. Available: https://www.theregister.co.uk/2018/08/08/ipv6_how_soon_is_now/. [Accessed 23 11 2019].</w:t>
                    </w:r>
                  </w:p>
                </w:tc>
              </w:tr>
              <w:tr w:rsidR="006074FC" w14:paraId="3F7C914C" w14:textId="77777777" w:rsidTr="00D51C58">
                <w:trPr>
                  <w:tblCellSpacing w:w="15" w:type="dxa"/>
                </w:trPr>
                <w:tc>
                  <w:tcPr>
                    <w:tcW w:w="50" w:type="pct"/>
                    <w:hideMark/>
                  </w:tcPr>
                  <w:p w14:paraId="2ACA6144" w14:textId="77777777" w:rsidR="006074FC" w:rsidRDefault="006074FC" w:rsidP="00D51C58">
                    <w:pPr>
                      <w:pStyle w:val="Bibliography"/>
                      <w:rPr>
                        <w:noProof/>
                        <w:lang w:val="en-US"/>
                      </w:rPr>
                    </w:pPr>
                    <w:r>
                      <w:rPr>
                        <w:noProof/>
                        <w:lang w:val="en-US"/>
                      </w:rPr>
                      <w:t xml:space="preserve">[6] </w:t>
                    </w:r>
                  </w:p>
                </w:tc>
                <w:tc>
                  <w:tcPr>
                    <w:tcW w:w="0" w:type="auto"/>
                    <w:hideMark/>
                  </w:tcPr>
                  <w:p w14:paraId="31024778" w14:textId="77777777" w:rsidR="006074FC" w:rsidRDefault="006074FC" w:rsidP="00D51C58">
                    <w:pPr>
                      <w:pStyle w:val="Bibliography"/>
                      <w:rPr>
                        <w:noProof/>
                        <w:lang w:val="en-US"/>
                      </w:rPr>
                    </w:pPr>
                    <w:r>
                      <w:rPr>
                        <w:noProof/>
                        <w:lang w:val="en-US"/>
                      </w:rPr>
                      <w:t>Unknown, "What is Anycast routing," imperva.com, Undated. [Online]. Available: https://www.imperva.com/learn/performance/anycast/. [Accessed 24 11 2019].</w:t>
                    </w:r>
                  </w:p>
                </w:tc>
              </w:tr>
              <w:tr w:rsidR="006074FC" w14:paraId="4638CCCF" w14:textId="77777777" w:rsidTr="00D51C58">
                <w:trPr>
                  <w:tblCellSpacing w:w="15" w:type="dxa"/>
                </w:trPr>
                <w:tc>
                  <w:tcPr>
                    <w:tcW w:w="50" w:type="pct"/>
                    <w:hideMark/>
                  </w:tcPr>
                  <w:p w14:paraId="28DEEE1F" w14:textId="77777777" w:rsidR="006074FC" w:rsidRDefault="006074FC" w:rsidP="00D51C58">
                    <w:pPr>
                      <w:pStyle w:val="Bibliography"/>
                      <w:rPr>
                        <w:noProof/>
                        <w:lang w:val="en-US"/>
                      </w:rPr>
                    </w:pPr>
                    <w:r>
                      <w:rPr>
                        <w:noProof/>
                        <w:lang w:val="en-US"/>
                      </w:rPr>
                      <w:t xml:space="preserve">[7] </w:t>
                    </w:r>
                  </w:p>
                </w:tc>
                <w:tc>
                  <w:tcPr>
                    <w:tcW w:w="0" w:type="auto"/>
                    <w:hideMark/>
                  </w:tcPr>
                  <w:p w14:paraId="0B61E91E" w14:textId="77777777" w:rsidR="006074FC" w:rsidRDefault="006074FC" w:rsidP="00D51C58">
                    <w:pPr>
                      <w:pStyle w:val="Bibliography"/>
                      <w:rPr>
                        <w:noProof/>
                        <w:lang w:val="en-US"/>
                      </w:rPr>
                    </w:pPr>
                    <w:r>
                      <w:rPr>
                        <w:noProof/>
                        <w:lang w:val="en-US"/>
                      </w:rPr>
                      <w:t xml:space="preserve">D. M. McPherson, "Architectual Considerations of IP anycast," tools.ietf.org, 10 2012. [Online]. </w:t>
                    </w:r>
                    <w:r>
                      <w:rPr>
                        <w:noProof/>
                        <w:lang w:val="en-US"/>
                      </w:rPr>
                      <w:lastRenderedPageBreak/>
                      <w:t>Available: https://tools.ietf.org/id/draft-iab-anycast-arch-implications-05.html. [Accessed 25 11 2019].</w:t>
                    </w:r>
                  </w:p>
                </w:tc>
              </w:tr>
              <w:tr w:rsidR="006074FC" w14:paraId="50A443E2" w14:textId="77777777" w:rsidTr="00D51C58">
                <w:trPr>
                  <w:tblCellSpacing w:w="15" w:type="dxa"/>
                </w:trPr>
                <w:tc>
                  <w:tcPr>
                    <w:tcW w:w="50" w:type="pct"/>
                    <w:hideMark/>
                  </w:tcPr>
                  <w:p w14:paraId="0C1601C9" w14:textId="77777777" w:rsidR="006074FC" w:rsidRDefault="006074FC" w:rsidP="00D51C58">
                    <w:pPr>
                      <w:pStyle w:val="Bibliography"/>
                      <w:rPr>
                        <w:noProof/>
                        <w:lang w:val="en-US"/>
                      </w:rPr>
                    </w:pPr>
                    <w:r>
                      <w:rPr>
                        <w:noProof/>
                        <w:lang w:val="en-US"/>
                      </w:rPr>
                      <w:lastRenderedPageBreak/>
                      <w:t xml:space="preserve">[8] </w:t>
                    </w:r>
                  </w:p>
                </w:tc>
                <w:tc>
                  <w:tcPr>
                    <w:tcW w:w="0" w:type="auto"/>
                    <w:hideMark/>
                  </w:tcPr>
                  <w:p w14:paraId="434F34AA" w14:textId="77777777" w:rsidR="006074FC" w:rsidRDefault="006074FC" w:rsidP="00D51C58">
                    <w:pPr>
                      <w:pStyle w:val="Bibliography"/>
                      <w:rPr>
                        <w:noProof/>
                        <w:lang w:val="en-US"/>
                      </w:rPr>
                    </w:pPr>
                    <w:r>
                      <w:rPr>
                        <w:noProof/>
                        <w:lang w:val="en-US"/>
                      </w:rPr>
                      <w:t>C. Elsen, "Limitations of Anycast for distributed content delivery," Edge-cloud.net, 8 4 2019. [Online]. Available: https://www.edge-cloud.net/2019/04/08/limitations-of-anycast/#. [Accessed 25 11 2019].</w:t>
                    </w:r>
                  </w:p>
                </w:tc>
              </w:tr>
              <w:tr w:rsidR="006074FC" w14:paraId="50D03AD7" w14:textId="77777777" w:rsidTr="00D51C58">
                <w:trPr>
                  <w:tblCellSpacing w:w="15" w:type="dxa"/>
                </w:trPr>
                <w:tc>
                  <w:tcPr>
                    <w:tcW w:w="50" w:type="pct"/>
                    <w:hideMark/>
                  </w:tcPr>
                  <w:p w14:paraId="48CD250B" w14:textId="77777777" w:rsidR="006074FC" w:rsidRDefault="006074FC" w:rsidP="00D51C58">
                    <w:pPr>
                      <w:pStyle w:val="Bibliography"/>
                      <w:rPr>
                        <w:noProof/>
                        <w:lang w:val="en-US"/>
                      </w:rPr>
                    </w:pPr>
                    <w:r>
                      <w:rPr>
                        <w:noProof/>
                        <w:lang w:val="en-US"/>
                      </w:rPr>
                      <w:t xml:space="preserve">[9] </w:t>
                    </w:r>
                  </w:p>
                </w:tc>
                <w:tc>
                  <w:tcPr>
                    <w:tcW w:w="0" w:type="auto"/>
                    <w:hideMark/>
                  </w:tcPr>
                  <w:p w14:paraId="0112FF13" w14:textId="77777777" w:rsidR="006074FC" w:rsidRDefault="006074FC" w:rsidP="00D51C58">
                    <w:pPr>
                      <w:pStyle w:val="Bibliography"/>
                      <w:rPr>
                        <w:noProof/>
                        <w:lang w:val="en-US"/>
                      </w:rPr>
                    </w:pPr>
                    <w:r>
                      <w:rPr>
                        <w:noProof/>
                        <w:lang w:val="en-US"/>
                      </w:rPr>
                      <w:t xml:space="preserve">P. Browning, Cisco CCNA Simplified, Milton Keynes: Reality Press Ltd., 2017. </w:t>
                    </w:r>
                  </w:p>
                </w:tc>
              </w:tr>
              <w:tr w:rsidR="006074FC" w14:paraId="2288ABBC" w14:textId="77777777" w:rsidTr="00D51C58">
                <w:trPr>
                  <w:tblCellSpacing w:w="15" w:type="dxa"/>
                </w:trPr>
                <w:tc>
                  <w:tcPr>
                    <w:tcW w:w="50" w:type="pct"/>
                    <w:hideMark/>
                  </w:tcPr>
                  <w:p w14:paraId="5F6E3A1F" w14:textId="77777777" w:rsidR="006074FC" w:rsidRDefault="006074FC" w:rsidP="00D51C58">
                    <w:pPr>
                      <w:pStyle w:val="Bibliography"/>
                      <w:rPr>
                        <w:noProof/>
                        <w:lang w:val="en-US"/>
                      </w:rPr>
                    </w:pPr>
                    <w:r>
                      <w:rPr>
                        <w:noProof/>
                        <w:lang w:val="en-US"/>
                      </w:rPr>
                      <w:t xml:space="preserve">[10] </w:t>
                    </w:r>
                  </w:p>
                </w:tc>
                <w:tc>
                  <w:tcPr>
                    <w:tcW w:w="0" w:type="auto"/>
                    <w:hideMark/>
                  </w:tcPr>
                  <w:p w14:paraId="22B8B1C6" w14:textId="77777777" w:rsidR="006074FC" w:rsidRDefault="006074FC" w:rsidP="00D51C58">
                    <w:pPr>
                      <w:pStyle w:val="Bibliography"/>
                      <w:rPr>
                        <w:noProof/>
                        <w:lang w:val="en-US"/>
                      </w:rPr>
                    </w:pPr>
                    <w:r>
                      <w:rPr>
                        <w:noProof/>
                        <w:lang w:val="en-US"/>
                      </w:rPr>
                      <w:t>S. Thomson, "IPv6 Stateless Auto Configuration," tools.ietf.org, 12 1998. [Online]. Available: https://tools.ietf.org/html/rfc2462. [Accessed 25 11 2019].</w:t>
                    </w:r>
                  </w:p>
                </w:tc>
              </w:tr>
              <w:tr w:rsidR="006074FC" w14:paraId="259307CF" w14:textId="77777777" w:rsidTr="00D51C58">
                <w:trPr>
                  <w:tblCellSpacing w:w="15" w:type="dxa"/>
                </w:trPr>
                <w:tc>
                  <w:tcPr>
                    <w:tcW w:w="50" w:type="pct"/>
                    <w:hideMark/>
                  </w:tcPr>
                  <w:p w14:paraId="7031049D" w14:textId="77777777" w:rsidR="006074FC" w:rsidRDefault="006074FC" w:rsidP="00D51C58">
                    <w:pPr>
                      <w:pStyle w:val="Bibliography"/>
                      <w:rPr>
                        <w:noProof/>
                        <w:lang w:val="en-US"/>
                      </w:rPr>
                    </w:pPr>
                    <w:r>
                      <w:rPr>
                        <w:noProof/>
                        <w:lang w:val="en-US"/>
                      </w:rPr>
                      <w:t xml:space="preserve">[11] </w:t>
                    </w:r>
                  </w:p>
                </w:tc>
                <w:tc>
                  <w:tcPr>
                    <w:tcW w:w="0" w:type="auto"/>
                    <w:hideMark/>
                  </w:tcPr>
                  <w:p w14:paraId="238AF984" w14:textId="77777777" w:rsidR="006074FC" w:rsidRDefault="006074FC" w:rsidP="00D51C58">
                    <w:pPr>
                      <w:pStyle w:val="Bibliography"/>
                      <w:rPr>
                        <w:noProof/>
                        <w:lang w:val="en-US"/>
                      </w:rPr>
                    </w:pPr>
                    <w:r>
                      <w:rPr>
                        <w:noProof/>
                        <w:lang w:val="en-US"/>
                      </w:rPr>
                      <w:t>Unknown, "Stateless Auto Configuration," IPv6.com, Undated. [Online]. Available: https://www.ipv6.com/general/stateless-auto-configuration/. [Accessed 25 11 2019].</w:t>
                    </w:r>
                  </w:p>
                </w:tc>
              </w:tr>
              <w:tr w:rsidR="006074FC" w14:paraId="358D9D03" w14:textId="77777777" w:rsidTr="00D51C58">
                <w:trPr>
                  <w:tblCellSpacing w:w="15" w:type="dxa"/>
                </w:trPr>
                <w:tc>
                  <w:tcPr>
                    <w:tcW w:w="50" w:type="pct"/>
                    <w:hideMark/>
                  </w:tcPr>
                  <w:p w14:paraId="149F5549" w14:textId="77777777" w:rsidR="006074FC" w:rsidRDefault="006074FC" w:rsidP="00D51C58">
                    <w:pPr>
                      <w:pStyle w:val="Bibliography"/>
                      <w:rPr>
                        <w:noProof/>
                        <w:lang w:val="en-US"/>
                      </w:rPr>
                    </w:pPr>
                    <w:r>
                      <w:rPr>
                        <w:noProof/>
                        <w:lang w:val="en-US"/>
                      </w:rPr>
                      <w:t xml:space="preserve">[12] </w:t>
                    </w:r>
                  </w:p>
                </w:tc>
                <w:tc>
                  <w:tcPr>
                    <w:tcW w:w="0" w:type="auto"/>
                    <w:hideMark/>
                  </w:tcPr>
                  <w:p w14:paraId="3F979721" w14:textId="77777777" w:rsidR="006074FC" w:rsidRDefault="006074FC" w:rsidP="00D51C58">
                    <w:pPr>
                      <w:pStyle w:val="Bibliography"/>
                      <w:rPr>
                        <w:noProof/>
                        <w:lang w:val="en-US"/>
                      </w:rPr>
                    </w:pPr>
                    <w:r>
                      <w:rPr>
                        <w:noProof/>
                        <w:lang w:val="en-US"/>
                      </w:rPr>
                      <w:t>Unknown, "IPv6 Stateless Address Autoconfiguration," docs.oracle.com, 2010. [Online]. Available: https://docs.oracle.com/cd/E19683-01/817-0573/chapter1-42/index.html. [Accessed 25 11 2019].</w:t>
                    </w:r>
                  </w:p>
                </w:tc>
              </w:tr>
              <w:tr w:rsidR="006074FC" w14:paraId="4CF6132E" w14:textId="77777777" w:rsidTr="00D51C58">
                <w:trPr>
                  <w:tblCellSpacing w:w="15" w:type="dxa"/>
                </w:trPr>
                <w:tc>
                  <w:tcPr>
                    <w:tcW w:w="50" w:type="pct"/>
                    <w:hideMark/>
                  </w:tcPr>
                  <w:p w14:paraId="14CD55A2" w14:textId="77777777" w:rsidR="006074FC" w:rsidRDefault="006074FC" w:rsidP="00D51C58">
                    <w:pPr>
                      <w:pStyle w:val="Bibliography"/>
                      <w:rPr>
                        <w:noProof/>
                        <w:lang w:val="en-US"/>
                      </w:rPr>
                    </w:pPr>
                    <w:r>
                      <w:rPr>
                        <w:noProof/>
                        <w:lang w:val="en-US"/>
                      </w:rPr>
                      <w:t xml:space="preserve">[13] </w:t>
                    </w:r>
                  </w:p>
                </w:tc>
                <w:tc>
                  <w:tcPr>
                    <w:tcW w:w="0" w:type="auto"/>
                    <w:hideMark/>
                  </w:tcPr>
                  <w:p w14:paraId="245ADDA7" w14:textId="77777777" w:rsidR="006074FC" w:rsidRDefault="006074FC" w:rsidP="00D51C58">
                    <w:pPr>
                      <w:pStyle w:val="Bibliography"/>
                      <w:rPr>
                        <w:noProof/>
                        <w:lang w:val="en-US"/>
                      </w:rPr>
                    </w:pPr>
                    <w:r>
                      <w:rPr>
                        <w:noProof/>
                        <w:lang w:val="en-US"/>
                      </w:rPr>
                      <w:t>T. Narten, "Privacy Extensions for Stateless Address Autoconfiguration in IPv6," tools.ietf.org, 2007. [Online]. Available: https://tools.ietf.org/html/rfc4941. [Accessed 26 11 2019].</w:t>
                    </w:r>
                  </w:p>
                </w:tc>
              </w:tr>
              <w:tr w:rsidR="006074FC" w14:paraId="1EBA3EB8" w14:textId="77777777" w:rsidTr="00D51C58">
                <w:trPr>
                  <w:tblCellSpacing w:w="15" w:type="dxa"/>
                </w:trPr>
                <w:tc>
                  <w:tcPr>
                    <w:tcW w:w="50" w:type="pct"/>
                    <w:hideMark/>
                  </w:tcPr>
                  <w:p w14:paraId="174A9871" w14:textId="77777777" w:rsidR="006074FC" w:rsidRDefault="006074FC" w:rsidP="00D51C58">
                    <w:pPr>
                      <w:pStyle w:val="Bibliography"/>
                      <w:rPr>
                        <w:noProof/>
                        <w:lang w:val="en-US"/>
                      </w:rPr>
                    </w:pPr>
                    <w:r>
                      <w:rPr>
                        <w:noProof/>
                        <w:lang w:val="en-US"/>
                      </w:rPr>
                      <w:t xml:space="preserve">[14] </w:t>
                    </w:r>
                  </w:p>
                </w:tc>
                <w:tc>
                  <w:tcPr>
                    <w:tcW w:w="0" w:type="auto"/>
                    <w:hideMark/>
                  </w:tcPr>
                  <w:p w14:paraId="23C6DA87" w14:textId="77777777" w:rsidR="006074FC" w:rsidRDefault="006074FC" w:rsidP="00D51C58">
                    <w:pPr>
                      <w:pStyle w:val="Bibliography"/>
                      <w:rPr>
                        <w:noProof/>
                        <w:lang w:val="en-US"/>
                      </w:rPr>
                    </w:pPr>
                    <w:r>
                      <w:rPr>
                        <w:noProof/>
                        <w:lang w:val="en-US"/>
                      </w:rPr>
                      <w:t>J. Ullrich, "IPv6 Addresses, Security and Privacy," labs.ripe.net, 8 12 2017. [Online]. Available: https://labs.ripe.net/Members/johanna-ullrich/ipv6-addresses-security-and-privacy/. [Accessed 26 11 2019].</w:t>
                    </w:r>
                  </w:p>
                </w:tc>
              </w:tr>
              <w:tr w:rsidR="006074FC" w14:paraId="13F907EA" w14:textId="77777777" w:rsidTr="00D51C58">
                <w:trPr>
                  <w:tblCellSpacing w:w="15" w:type="dxa"/>
                </w:trPr>
                <w:tc>
                  <w:tcPr>
                    <w:tcW w:w="50" w:type="pct"/>
                    <w:hideMark/>
                  </w:tcPr>
                  <w:p w14:paraId="6A04CBDE" w14:textId="77777777" w:rsidR="006074FC" w:rsidRDefault="006074FC" w:rsidP="00D51C58">
                    <w:pPr>
                      <w:pStyle w:val="Bibliography"/>
                      <w:rPr>
                        <w:noProof/>
                        <w:lang w:val="en-US"/>
                      </w:rPr>
                    </w:pPr>
                    <w:r>
                      <w:rPr>
                        <w:noProof/>
                        <w:lang w:val="en-US"/>
                      </w:rPr>
                      <w:t xml:space="preserve">[15] </w:t>
                    </w:r>
                  </w:p>
                </w:tc>
                <w:tc>
                  <w:tcPr>
                    <w:tcW w:w="0" w:type="auto"/>
                    <w:hideMark/>
                  </w:tcPr>
                  <w:p w14:paraId="550DF83C" w14:textId="77777777" w:rsidR="006074FC" w:rsidRDefault="006074FC" w:rsidP="00D51C58">
                    <w:pPr>
                      <w:pStyle w:val="Bibliography"/>
                      <w:rPr>
                        <w:noProof/>
                        <w:lang w:val="en-US"/>
                      </w:rPr>
                    </w:pPr>
                    <w:r>
                      <w:rPr>
                        <w:noProof/>
                        <w:lang w:val="en-US"/>
                      </w:rPr>
                      <w:t>E. E. Vyncke, "Operational Security Considerations for IPv6 Networks draft-ietf-opsec-v6-21," tools.ietf.org, 3 11 2019. [Online]. Available: https://tools.ietf.org/html/draft-ietf-opsec-v6-21/. [Accessed 26 11 2019].</w:t>
                    </w:r>
                  </w:p>
                </w:tc>
              </w:tr>
            </w:tbl>
            <w:p w14:paraId="53B167FC" w14:textId="77777777" w:rsidR="006074FC" w:rsidRDefault="006074FC" w:rsidP="006074FC">
              <w:pPr>
                <w:rPr>
                  <w:noProof/>
                </w:rPr>
              </w:pPr>
            </w:p>
            <w:p w14:paraId="57EF0F6E" w14:textId="77777777" w:rsidR="006074FC" w:rsidRDefault="006074FC" w:rsidP="006074FC">
              <w:r>
                <w:rPr>
                  <w:b/>
                  <w:bCs/>
                  <w:noProof/>
                </w:rPr>
                <w:fldChar w:fldCharType="end"/>
              </w:r>
            </w:p>
          </w:sdtContent>
        </w:sdt>
      </w:sdtContent>
    </w:sdt>
    <w:p w14:paraId="02FF4DCB" w14:textId="092FC37C" w:rsidR="006074FC" w:rsidRDefault="006074FC" w:rsidP="00C319EB">
      <w:pPr>
        <w:rPr>
          <w:rFonts w:ascii="Arial" w:hAnsi="Arial" w:cs="Arial"/>
          <w:sz w:val="22"/>
          <w:lang w:val="en-US" w:eastAsia="en-US"/>
        </w:rPr>
      </w:pPr>
    </w:p>
    <w:p w14:paraId="086B1B55" w14:textId="10043099" w:rsidR="006074FC" w:rsidRDefault="006074FC" w:rsidP="00C319EB">
      <w:pPr>
        <w:rPr>
          <w:rFonts w:ascii="Arial" w:hAnsi="Arial" w:cs="Arial"/>
          <w:sz w:val="22"/>
          <w:lang w:val="en-US" w:eastAsia="en-US"/>
        </w:rPr>
      </w:pPr>
    </w:p>
    <w:p w14:paraId="0BC91136" w14:textId="3BA5FDDD" w:rsidR="006074FC" w:rsidRDefault="006074FC" w:rsidP="00C319EB">
      <w:pPr>
        <w:rPr>
          <w:rFonts w:ascii="Arial" w:hAnsi="Arial" w:cs="Arial"/>
          <w:sz w:val="22"/>
          <w:lang w:val="en-US" w:eastAsia="en-US"/>
        </w:rPr>
      </w:pPr>
    </w:p>
    <w:p w14:paraId="6A08D86E" w14:textId="7063E94C" w:rsidR="006074FC" w:rsidRDefault="006074FC" w:rsidP="00C319EB">
      <w:pPr>
        <w:rPr>
          <w:rFonts w:ascii="Arial" w:hAnsi="Arial" w:cs="Arial"/>
          <w:sz w:val="22"/>
          <w:lang w:val="en-US" w:eastAsia="en-US"/>
        </w:rPr>
      </w:pPr>
    </w:p>
    <w:p w14:paraId="43F9F3AF" w14:textId="670649C7" w:rsidR="006074FC" w:rsidRDefault="006074FC" w:rsidP="00C319EB">
      <w:pPr>
        <w:rPr>
          <w:rFonts w:ascii="Arial" w:hAnsi="Arial" w:cs="Arial"/>
          <w:sz w:val="22"/>
          <w:lang w:val="en-US" w:eastAsia="en-US"/>
        </w:rPr>
      </w:pPr>
    </w:p>
    <w:p w14:paraId="774942E3" w14:textId="5097F85F" w:rsidR="006074FC" w:rsidRDefault="006074FC" w:rsidP="00C319EB">
      <w:pPr>
        <w:rPr>
          <w:rFonts w:ascii="Arial" w:hAnsi="Arial" w:cs="Arial"/>
          <w:sz w:val="22"/>
          <w:lang w:val="en-US" w:eastAsia="en-US"/>
        </w:rPr>
      </w:pPr>
    </w:p>
    <w:p w14:paraId="712042BB" w14:textId="7DACE130" w:rsidR="006074FC" w:rsidRDefault="006074FC" w:rsidP="00C319EB">
      <w:pPr>
        <w:rPr>
          <w:rFonts w:ascii="Arial" w:hAnsi="Arial" w:cs="Arial"/>
          <w:sz w:val="22"/>
          <w:lang w:val="en-US" w:eastAsia="en-US"/>
        </w:rPr>
      </w:pPr>
    </w:p>
    <w:p w14:paraId="6C47E5F2" w14:textId="1D4D6A54" w:rsidR="006074FC" w:rsidRDefault="006074FC" w:rsidP="00C319EB">
      <w:pPr>
        <w:rPr>
          <w:rFonts w:ascii="Arial" w:hAnsi="Arial" w:cs="Arial"/>
          <w:sz w:val="22"/>
          <w:lang w:val="en-US" w:eastAsia="en-US"/>
        </w:rPr>
      </w:pPr>
    </w:p>
    <w:p w14:paraId="3DF4E445" w14:textId="76E5F70A" w:rsidR="006074FC" w:rsidRDefault="006074FC" w:rsidP="00C319EB">
      <w:pPr>
        <w:rPr>
          <w:rFonts w:ascii="Arial" w:hAnsi="Arial" w:cs="Arial"/>
          <w:sz w:val="22"/>
          <w:lang w:val="en-US" w:eastAsia="en-US"/>
        </w:rPr>
      </w:pPr>
    </w:p>
    <w:p w14:paraId="6F4341E0" w14:textId="02432956" w:rsidR="006074FC" w:rsidRDefault="006074FC" w:rsidP="00C319EB">
      <w:pPr>
        <w:rPr>
          <w:rFonts w:ascii="Arial" w:hAnsi="Arial" w:cs="Arial"/>
          <w:sz w:val="22"/>
          <w:lang w:val="en-US" w:eastAsia="en-US"/>
        </w:rPr>
      </w:pPr>
    </w:p>
    <w:p w14:paraId="65957E90" w14:textId="33254E9B" w:rsidR="006074FC" w:rsidRDefault="006074FC" w:rsidP="00C319EB">
      <w:pPr>
        <w:rPr>
          <w:rFonts w:ascii="Arial" w:hAnsi="Arial" w:cs="Arial"/>
          <w:sz w:val="22"/>
          <w:lang w:val="en-US" w:eastAsia="en-US"/>
        </w:rPr>
      </w:pPr>
    </w:p>
    <w:p w14:paraId="39455731" w14:textId="342EC632" w:rsidR="006074FC" w:rsidRDefault="006074FC" w:rsidP="00C319EB">
      <w:pPr>
        <w:rPr>
          <w:rFonts w:ascii="Arial" w:hAnsi="Arial" w:cs="Arial"/>
          <w:sz w:val="22"/>
          <w:lang w:val="en-US" w:eastAsia="en-US"/>
        </w:rPr>
      </w:pPr>
    </w:p>
    <w:p w14:paraId="01764C60" w14:textId="325CBB0B" w:rsidR="006074FC" w:rsidRDefault="006074FC" w:rsidP="00C319EB">
      <w:pPr>
        <w:rPr>
          <w:rFonts w:ascii="Arial" w:hAnsi="Arial" w:cs="Arial"/>
          <w:sz w:val="22"/>
          <w:lang w:val="en-US" w:eastAsia="en-US"/>
        </w:rPr>
      </w:pPr>
    </w:p>
    <w:p w14:paraId="2A80695E" w14:textId="1B570E5C" w:rsidR="006074FC" w:rsidRDefault="006074FC" w:rsidP="00C319EB">
      <w:pPr>
        <w:rPr>
          <w:rFonts w:ascii="Arial" w:hAnsi="Arial" w:cs="Arial"/>
          <w:sz w:val="22"/>
          <w:lang w:val="en-US" w:eastAsia="en-US"/>
        </w:rPr>
      </w:pPr>
    </w:p>
    <w:p w14:paraId="75CE9B06" w14:textId="121E3533" w:rsidR="006074FC" w:rsidRDefault="006074FC" w:rsidP="00C319EB">
      <w:pPr>
        <w:rPr>
          <w:rFonts w:ascii="Arial" w:hAnsi="Arial" w:cs="Arial"/>
          <w:sz w:val="22"/>
          <w:lang w:val="en-US" w:eastAsia="en-US"/>
        </w:rPr>
      </w:pPr>
    </w:p>
    <w:p w14:paraId="2BEB92B6" w14:textId="076817E7" w:rsidR="006074FC" w:rsidRDefault="006074FC" w:rsidP="00C319EB">
      <w:pPr>
        <w:rPr>
          <w:rFonts w:ascii="Arial" w:hAnsi="Arial" w:cs="Arial"/>
          <w:sz w:val="22"/>
          <w:lang w:val="en-US" w:eastAsia="en-US"/>
        </w:rPr>
      </w:pPr>
    </w:p>
    <w:p w14:paraId="3F69ACD8" w14:textId="5418AF96" w:rsidR="006074FC" w:rsidRDefault="006074FC" w:rsidP="00C319EB">
      <w:pPr>
        <w:rPr>
          <w:rFonts w:ascii="Arial" w:hAnsi="Arial" w:cs="Arial"/>
          <w:sz w:val="22"/>
          <w:lang w:val="en-US" w:eastAsia="en-US"/>
        </w:rPr>
      </w:pPr>
    </w:p>
    <w:p w14:paraId="5214F485" w14:textId="08F562CB" w:rsidR="006074FC" w:rsidRDefault="006074FC" w:rsidP="00C319EB">
      <w:pPr>
        <w:rPr>
          <w:rFonts w:ascii="Arial" w:hAnsi="Arial" w:cs="Arial"/>
          <w:sz w:val="22"/>
          <w:lang w:val="en-US" w:eastAsia="en-US"/>
        </w:rPr>
      </w:pPr>
    </w:p>
    <w:p w14:paraId="48DBBC5E" w14:textId="30D64BF3" w:rsidR="006074FC" w:rsidRDefault="006074FC" w:rsidP="00C319EB">
      <w:pPr>
        <w:rPr>
          <w:rFonts w:ascii="Arial" w:hAnsi="Arial" w:cs="Arial"/>
          <w:sz w:val="22"/>
          <w:lang w:val="en-US" w:eastAsia="en-US"/>
        </w:rPr>
      </w:pPr>
    </w:p>
    <w:p w14:paraId="282C6F0A" w14:textId="4BAC8A3B" w:rsidR="006074FC" w:rsidRDefault="006074FC" w:rsidP="00C319EB">
      <w:pPr>
        <w:rPr>
          <w:rFonts w:ascii="Arial" w:hAnsi="Arial" w:cs="Arial"/>
          <w:sz w:val="22"/>
          <w:lang w:val="en-US" w:eastAsia="en-US"/>
        </w:rPr>
      </w:pPr>
    </w:p>
    <w:p w14:paraId="353FCABB" w14:textId="77777777" w:rsidR="006074FC" w:rsidRPr="00C319EB" w:rsidRDefault="006074FC" w:rsidP="00C319EB">
      <w:pPr>
        <w:rPr>
          <w:rFonts w:ascii="Arial" w:hAnsi="Arial" w:cs="Arial"/>
          <w:sz w:val="22"/>
          <w:lang w:val="en-US" w:eastAsia="en-US"/>
        </w:rPr>
      </w:pPr>
    </w:p>
    <w:p w14:paraId="0E324976" w14:textId="53C809FA" w:rsidR="004A1148" w:rsidRPr="004C0909" w:rsidRDefault="006D5DA8" w:rsidP="004A1148">
      <w:pPr>
        <w:pStyle w:val="PartHead"/>
      </w:pPr>
      <w:r>
        <w:lastRenderedPageBreak/>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bookmarkStart w:id="0" w:name="_GoBack"/>
      <w:bookmarkEnd w:id="0"/>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C04A94" w:rsidRPr="004A1148" w14:paraId="166CE3E7" w14:textId="77777777" w:rsidTr="005554AB">
        <w:trPr>
          <w:cantSplit/>
          <w:trHeight w:val="510"/>
          <w:jc w:val="center"/>
        </w:trPr>
        <w:tc>
          <w:tcPr>
            <w:tcW w:w="1412" w:type="dxa"/>
            <w:vAlign w:val="bottom"/>
          </w:tcPr>
          <w:p w14:paraId="2C3618AC" w14:textId="1F4624FD" w:rsidR="00C04A94" w:rsidRPr="004A1148" w:rsidRDefault="00C04A94" w:rsidP="00C04A94">
            <w:pPr>
              <w:pStyle w:val="TableText"/>
              <w:ind w:left="284"/>
              <w:rPr>
                <w:rFonts w:cs="Arial"/>
              </w:rPr>
            </w:pPr>
            <w:r>
              <w:rPr>
                <w:rFonts w:cs="Arial"/>
              </w:rPr>
              <w:t>B</w:t>
            </w:r>
          </w:p>
        </w:tc>
        <w:tc>
          <w:tcPr>
            <w:tcW w:w="2561" w:type="dxa"/>
            <w:vAlign w:val="bottom"/>
          </w:tcPr>
          <w:p w14:paraId="325D5AA6" w14:textId="6105BCEC" w:rsidR="00C04A94" w:rsidRPr="004A1148" w:rsidRDefault="00C04A94" w:rsidP="00C04A94">
            <w:pPr>
              <w:pStyle w:val="TableText"/>
              <w:rPr>
                <w:rFonts w:cs="Arial"/>
              </w:rPr>
            </w:pPr>
            <w:r>
              <w:rPr>
                <w:rFonts w:cs="Arial"/>
              </w:rPr>
              <w:t>172.16.2.0</w:t>
            </w:r>
          </w:p>
        </w:tc>
        <w:tc>
          <w:tcPr>
            <w:tcW w:w="2552" w:type="dxa"/>
          </w:tcPr>
          <w:p w14:paraId="64D79944" w14:textId="342DA0B9" w:rsidR="00C04A94" w:rsidRPr="004A1148" w:rsidRDefault="00C04A94" w:rsidP="00C04A94">
            <w:pPr>
              <w:pStyle w:val="TableText"/>
              <w:rPr>
                <w:rFonts w:cs="Arial"/>
              </w:rPr>
            </w:pPr>
            <w:r>
              <w:rPr>
                <w:rFonts w:cs="Arial"/>
              </w:rPr>
              <w:t>255.255.248.0</w:t>
            </w:r>
          </w:p>
        </w:tc>
        <w:tc>
          <w:tcPr>
            <w:tcW w:w="2724" w:type="dxa"/>
            <w:vAlign w:val="bottom"/>
          </w:tcPr>
          <w:p w14:paraId="426B55D1" w14:textId="557B9DC4" w:rsidR="00C04A94" w:rsidRPr="004A1148" w:rsidRDefault="00C04A94" w:rsidP="00C04A94">
            <w:pPr>
              <w:pStyle w:val="TableText"/>
              <w:rPr>
                <w:rFonts w:cs="Arial"/>
              </w:rPr>
            </w:pPr>
            <w:r>
              <w:rPr>
                <w:rFonts w:cs="Arial"/>
              </w:rPr>
              <w:t>172.16.2.1</w:t>
            </w:r>
          </w:p>
        </w:tc>
        <w:tc>
          <w:tcPr>
            <w:tcW w:w="2922" w:type="dxa"/>
            <w:vAlign w:val="bottom"/>
          </w:tcPr>
          <w:p w14:paraId="2AC7FFA7" w14:textId="026049C4" w:rsidR="00C04A94" w:rsidRPr="004A1148" w:rsidRDefault="00C04A94" w:rsidP="00C04A94">
            <w:pPr>
              <w:pStyle w:val="TableText"/>
              <w:rPr>
                <w:rFonts w:cs="Arial"/>
              </w:rPr>
            </w:pPr>
            <w:r>
              <w:rPr>
                <w:rFonts w:cs="Arial"/>
              </w:rPr>
              <w:t>172.16.9.254</w:t>
            </w:r>
          </w:p>
        </w:tc>
        <w:tc>
          <w:tcPr>
            <w:tcW w:w="2905" w:type="dxa"/>
            <w:vAlign w:val="bottom"/>
          </w:tcPr>
          <w:p w14:paraId="55A78382" w14:textId="42FA8459" w:rsidR="00C04A94" w:rsidRPr="004A1148" w:rsidRDefault="00C04A94" w:rsidP="00C04A94">
            <w:pPr>
              <w:pStyle w:val="TableText"/>
              <w:ind w:left="284"/>
              <w:rPr>
                <w:rFonts w:cs="Arial"/>
              </w:rPr>
            </w:pPr>
            <w:r>
              <w:rPr>
                <w:rFonts w:cs="Arial"/>
              </w:rPr>
              <w:t>172.16.9.255</w:t>
            </w:r>
          </w:p>
        </w:tc>
      </w:tr>
      <w:tr w:rsidR="00C04A94" w:rsidRPr="004A1148" w14:paraId="25431512" w14:textId="77777777" w:rsidTr="005554AB">
        <w:trPr>
          <w:cantSplit/>
          <w:trHeight w:val="510"/>
          <w:jc w:val="center"/>
        </w:trPr>
        <w:tc>
          <w:tcPr>
            <w:tcW w:w="1412" w:type="dxa"/>
            <w:vAlign w:val="bottom"/>
          </w:tcPr>
          <w:p w14:paraId="6A6FC7F1" w14:textId="1FB42141" w:rsidR="00C04A94" w:rsidRPr="004A1148" w:rsidRDefault="00C04A94" w:rsidP="00C04A94">
            <w:pPr>
              <w:pStyle w:val="TableText"/>
              <w:ind w:left="284"/>
              <w:rPr>
                <w:rFonts w:cs="Arial"/>
              </w:rPr>
            </w:pPr>
            <w:r>
              <w:rPr>
                <w:rFonts w:cs="Arial"/>
              </w:rPr>
              <w:t>D</w:t>
            </w:r>
          </w:p>
        </w:tc>
        <w:tc>
          <w:tcPr>
            <w:tcW w:w="2561" w:type="dxa"/>
            <w:vAlign w:val="bottom"/>
          </w:tcPr>
          <w:p w14:paraId="5D565D23" w14:textId="5C6C79B4" w:rsidR="00C04A94" w:rsidRPr="004A1148" w:rsidRDefault="00C04A94" w:rsidP="00C04A94">
            <w:pPr>
              <w:pStyle w:val="TableText"/>
              <w:rPr>
                <w:rFonts w:cs="Arial"/>
              </w:rPr>
            </w:pPr>
            <w:r>
              <w:rPr>
                <w:rFonts w:cs="Arial"/>
              </w:rPr>
              <w:t>172.16.10.0</w:t>
            </w:r>
          </w:p>
        </w:tc>
        <w:tc>
          <w:tcPr>
            <w:tcW w:w="2552" w:type="dxa"/>
          </w:tcPr>
          <w:p w14:paraId="5E77A652" w14:textId="4885C5FB" w:rsidR="00C04A94" w:rsidRPr="004A1148" w:rsidRDefault="00C04A94" w:rsidP="00C04A94">
            <w:pPr>
              <w:pStyle w:val="TableText"/>
              <w:rPr>
                <w:rFonts w:cs="Arial"/>
              </w:rPr>
            </w:pPr>
            <w:r>
              <w:rPr>
                <w:rFonts w:cs="Arial"/>
              </w:rPr>
              <w:t>255.255.254.0</w:t>
            </w:r>
          </w:p>
        </w:tc>
        <w:tc>
          <w:tcPr>
            <w:tcW w:w="2724" w:type="dxa"/>
            <w:vAlign w:val="bottom"/>
          </w:tcPr>
          <w:p w14:paraId="553FF9D4" w14:textId="4F0914FC" w:rsidR="00C04A94" w:rsidRPr="004A1148" w:rsidRDefault="00C04A94" w:rsidP="00C04A94">
            <w:pPr>
              <w:pStyle w:val="TableText"/>
              <w:rPr>
                <w:rFonts w:cs="Arial"/>
              </w:rPr>
            </w:pPr>
            <w:r>
              <w:rPr>
                <w:rFonts w:cs="Arial"/>
              </w:rPr>
              <w:t>172.16.10.1</w:t>
            </w:r>
          </w:p>
        </w:tc>
        <w:tc>
          <w:tcPr>
            <w:tcW w:w="2922" w:type="dxa"/>
            <w:vAlign w:val="bottom"/>
          </w:tcPr>
          <w:p w14:paraId="12602C5C" w14:textId="2A76E97B" w:rsidR="00C04A94" w:rsidRPr="004A1148" w:rsidRDefault="00C04A94" w:rsidP="00C04A94">
            <w:pPr>
              <w:pStyle w:val="TableText"/>
              <w:rPr>
                <w:rFonts w:cs="Arial"/>
              </w:rPr>
            </w:pPr>
            <w:r>
              <w:rPr>
                <w:rFonts w:cs="Arial"/>
              </w:rPr>
              <w:t>172.16.11.254</w:t>
            </w:r>
          </w:p>
        </w:tc>
        <w:tc>
          <w:tcPr>
            <w:tcW w:w="2905" w:type="dxa"/>
            <w:vAlign w:val="bottom"/>
          </w:tcPr>
          <w:p w14:paraId="0E927FF2" w14:textId="2EE7D6AC" w:rsidR="00C04A94" w:rsidRPr="004A1148" w:rsidRDefault="00C04A94" w:rsidP="00C04A94">
            <w:pPr>
              <w:pStyle w:val="TableText"/>
              <w:ind w:left="284"/>
              <w:rPr>
                <w:rFonts w:cs="Arial"/>
              </w:rPr>
            </w:pPr>
            <w:r>
              <w:rPr>
                <w:rFonts w:cs="Arial"/>
              </w:rPr>
              <w:t>172.16.11.255</w:t>
            </w:r>
          </w:p>
        </w:tc>
      </w:tr>
      <w:tr w:rsidR="00C04A94" w:rsidRPr="004A1148" w14:paraId="1804910C" w14:textId="77777777" w:rsidTr="005554AB">
        <w:trPr>
          <w:cantSplit/>
          <w:trHeight w:val="510"/>
          <w:jc w:val="center"/>
        </w:trPr>
        <w:tc>
          <w:tcPr>
            <w:tcW w:w="1412" w:type="dxa"/>
            <w:vAlign w:val="bottom"/>
          </w:tcPr>
          <w:p w14:paraId="198C292F" w14:textId="0F2346CD" w:rsidR="00C04A94" w:rsidRPr="004A1148" w:rsidRDefault="00C04A94" w:rsidP="00C04A94">
            <w:pPr>
              <w:pStyle w:val="TableText"/>
              <w:ind w:left="284"/>
              <w:rPr>
                <w:rFonts w:cs="Arial"/>
              </w:rPr>
            </w:pPr>
            <w:r>
              <w:rPr>
                <w:rFonts w:cs="Arial"/>
              </w:rPr>
              <w:t>F</w:t>
            </w:r>
          </w:p>
        </w:tc>
        <w:tc>
          <w:tcPr>
            <w:tcW w:w="2561" w:type="dxa"/>
            <w:vAlign w:val="bottom"/>
          </w:tcPr>
          <w:p w14:paraId="3114BB27" w14:textId="575FD06E" w:rsidR="00C04A94" w:rsidRPr="004A1148" w:rsidRDefault="00C04A94" w:rsidP="00C04A94">
            <w:pPr>
              <w:pStyle w:val="TableText"/>
              <w:rPr>
                <w:rFonts w:cs="Arial"/>
              </w:rPr>
            </w:pPr>
            <w:r>
              <w:rPr>
                <w:rFonts w:cs="Arial"/>
              </w:rPr>
              <w:t>172.16.12.0</w:t>
            </w:r>
          </w:p>
        </w:tc>
        <w:tc>
          <w:tcPr>
            <w:tcW w:w="2552" w:type="dxa"/>
          </w:tcPr>
          <w:p w14:paraId="0D8FD5C7" w14:textId="11CC0160" w:rsidR="00C04A94" w:rsidRPr="004A1148" w:rsidRDefault="00C04A94" w:rsidP="00C04A94">
            <w:pPr>
              <w:pStyle w:val="TableText"/>
              <w:rPr>
                <w:rFonts w:cs="Arial"/>
              </w:rPr>
            </w:pPr>
            <w:r>
              <w:rPr>
                <w:rFonts w:cs="Arial"/>
              </w:rPr>
              <w:t>255.255.255.0</w:t>
            </w:r>
          </w:p>
        </w:tc>
        <w:tc>
          <w:tcPr>
            <w:tcW w:w="2724" w:type="dxa"/>
            <w:vAlign w:val="bottom"/>
          </w:tcPr>
          <w:p w14:paraId="035CA129" w14:textId="5A5D8B8D" w:rsidR="00C04A94" w:rsidRPr="004A1148" w:rsidRDefault="00C04A94" w:rsidP="00C04A94">
            <w:pPr>
              <w:pStyle w:val="TableText"/>
              <w:rPr>
                <w:rFonts w:cs="Arial"/>
              </w:rPr>
            </w:pPr>
            <w:r>
              <w:rPr>
                <w:rFonts w:cs="Arial"/>
              </w:rPr>
              <w:t>172.16.12.1</w:t>
            </w:r>
          </w:p>
        </w:tc>
        <w:tc>
          <w:tcPr>
            <w:tcW w:w="2922" w:type="dxa"/>
            <w:vAlign w:val="bottom"/>
          </w:tcPr>
          <w:p w14:paraId="139F5B25" w14:textId="51BF8B98" w:rsidR="00C04A94" w:rsidRPr="004A1148" w:rsidRDefault="00C04A94" w:rsidP="00C04A94">
            <w:pPr>
              <w:pStyle w:val="TableText"/>
              <w:rPr>
                <w:rFonts w:cs="Arial"/>
              </w:rPr>
            </w:pPr>
            <w:r>
              <w:rPr>
                <w:rFonts w:cs="Arial"/>
              </w:rPr>
              <w:t>172.16.12.254</w:t>
            </w:r>
          </w:p>
        </w:tc>
        <w:tc>
          <w:tcPr>
            <w:tcW w:w="2905" w:type="dxa"/>
            <w:vAlign w:val="bottom"/>
          </w:tcPr>
          <w:p w14:paraId="63784539" w14:textId="3C5B2B39" w:rsidR="00C04A94" w:rsidRPr="004A1148" w:rsidRDefault="00C04A94" w:rsidP="00C04A94">
            <w:pPr>
              <w:pStyle w:val="TableText"/>
              <w:ind w:left="284"/>
              <w:rPr>
                <w:rFonts w:cs="Arial"/>
              </w:rPr>
            </w:pPr>
            <w:r>
              <w:rPr>
                <w:rFonts w:cs="Arial"/>
              </w:rPr>
              <w:t>172.16.12.255</w:t>
            </w:r>
          </w:p>
        </w:tc>
      </w:tr>
      <w:tr w:rsidR="00C04A94" w:rsidRPr="004A1148" w14:paraId="6FCEA750" w14:textId="77777777" w:rsidTr="005554AB">
        <w:trPr>
          <w:cantSplit/>
          <w:trHeight w:val="510"/>
          <w:jc w:val="center"/>
        </w:trPr>
        <w:tc>
          <w:tcPr>
            <w:tcW w:w="1412" w:type="dxa"/>
            <w:vAlign w:val="bottom"/>
          </w:tcPr>
          <w:p w14:paraId="023D3E13" w14:textId="1095FDDB" w:rsidR="00C04A94" w:rsidRPr="004A1148" w:rsidRDefault="00C04A94" w:rsidP="00C04A94">
            <w:pPr>
              <w:pStyle w:val="TableText"/>
              <w:ind w:left="284"/>
              <w:rPr>
                <w:rFonts w:cs="Arial"/>
              </w:rPr>
            </w:pPr>
            <w:r>
              <w:rPr>
                <w:rFonts w:cs="Arial"/>
              </w:rPr>
              <w:t>E</w:t>
            </w:r>
          </w:p>
        </w:tc>
        <w:tc>
          <w:tcPr>
            <w:tcW w:w="2561" w:type="dxa"/>
            <w:vAlign w:val="bottom"/>
          </w:tcPr>
          <w:p w14:paraId="028301AC" w14:textId="65386D5C" w:rsidR="00C04A94" w:rsidRPr="004A1148" w:rsidRDefault="00C04A94" w:rsidP="00C04A94">
            <w:pPr>
              <w:pStyle w:val="TableText"/>
              <w:rPr>
                <w:rFonts w:cs="Arial"/>
              </w:rPr>
            </w:pPr>
            <w:r>
              <w:rPr>
                <w:rFonts w:cs="Arial"/>
              </w:rPr>
              <w:t>172.16.13.0</w:t>
            </w:r>
          </w:p>
        </w:tc>
        <w:tc>
          <w:tcPr>
            <w:tcW w:w="2552" w:type="dxa"/>
          </w:tcPr>
          <w:p w14:paraId="0E107CA2" w14:textId="40C8421B" w:rsidR="00C04A94" w:rsidRPr="004A1148" w:rsidRDefault="00C04A94" w:rsidP="00C04A94">
            <w:pPr>
              <w:pStyle w:val="TableText"/>
              <w:rPr>
                <w:rFonts w:cs="Arial"/>
              </w:rPr>
            </w:pPr>
            <w:r>
              <w:rPr>
                <w:rFonts w:cs="Arial"/>
              </w:rPr>
              <w:t>255.255.255.192</w:t>
            </w:r>
          </w:p>
        </w:tc>
        <w:tc>
          <w:tcPr>
            <w:tcW w:w="2724" w:type="dxa"/>
            <w:vAlign w:val="bottom"/>
          </w:tcPr>
          <w:p w14:paraId="76E3E1C0" w14:textId="5D9CDDEC" w:rsidR="00C04A94" w:rsidRPr="004A1148" w:rsidRDefault="00C04A94" w:rsidP="00C04A94">
            <w:pPr>
              <w:pStyle w:val="TableText"/>
              <w:rPr>
                <w:rFonts w:cs="Arial"/>
              </w:rPr>
            </w:pPr>
            <w:r>
              <w:rPr>
                <w:rFonts w:cs="Arial"/>
              </w:rPr>
              <w:t>172.16.13.1</w:t>
            </w:r>
          </w:p>
        </w:tc>
        <w:tc>
          <w:tcPr>
            <w:tcW w:w="2922" w:type="dxa"/>
            <w:vAlign w:val="bottom"/>
          </w:tcPr>
          <w:p w14:paraId="1F58716B" w14:textId="65FA97F3" w:rsidR="00C04A94" w:rsidRPr="004A1148" w:rsidRDefault="00C04A94" w:rsidP="00C04A94">
            <w:pPr>
              <w:pStyle w:val="TableText"/>
              <w:rPr>
                <w:rFonts w:cs="Arial"/>
              </w:rPr>
            </w:pPr>
            <w:r>
              <w:rPr>
                <w:rFonts w:cs="Arial"/>
              </w:rPr>
              <w:t>172.16.13.62</w:t>
            </w:r>
          </w:p>
        </w:tc>
        <w:tc>
          <w:tcPr>
            <w:tcW w:w="2905" w:type="dxa"/>
            <w:vAlign w:val="bottom"/>
          </w:tcPr>
          <w:p w14:paraId="1F03CCA5" w14:textId="59A430B9" w:rsidR="00C04A94" w:rsidRPr="004A1148" w:rsidRDefault="00C04A94" w:rsidP="00C04A94">
            <w:pPr>
              <w:pStyle w:val="TableText"/>
              <w:ind w:left="284"/>
              <w:rPr>
                <w:rFonts w:cs="Arial"/>
              </w:rPr>
            </w:pPr>
            <w:r>
              <w:rPr>
                <w:rFonts w:cs="Arial"/>
              </w:rPr>
              <w:t>172.16.13.63</w:t>
            </w:r>
          </w:p>
        </w:tc>
      </w:tr>
      <w:tr w:rsidR="00C04A94" w:rsidRPr="004A1148" w14:paraId="6B34B8B1" w14:textId="77777777" w:rsidTr="005554AB">
        <w:trPr>
          <w:cantSplit/>
          <w:trHeight w:val="510"/>
          <w:jc w:val="center"/>
        </w:trPr>
        <w:tc>
          <w:tcPr>
            <w:tcW w:w="1412" w:type="dxa"/>
            <w:vAlign w:val="bottom"/>
          </w:tcPr>
          <w:p w14:paraId="65F58BF1" w14:textId="0AEE152F" w:rsidR="00C04A94" w:rsidRPr="004A1148" w:rsidRDefault="00C04A94" w:rsidP="00C04A94">
            <w:pPr>
              <w:pStyle w:val="TableText"/>
              <w:ind w:left="284"/>
              <w:rPr>
                <w:rFonts w:cs="Arial"/>
              </w:rPr>
            </w:pPr>
            <w:r>
              <w:rPr>
                <w:rFonts w:cs="Arial"/>
              </w:rPr>
              <w:t>A</w:t>
            </w:r>
          </w:p>
        </w:tc>
        <w:tc>
          <w:tcPr>
            <w:tcW w:w="2561" w:type="dxa"/>
            <w:vAlign w:val="bottom"/>
          </w:tcPr>
          <w:p w14:paraId="18067B56" w14:textId="6AAF55BB" w:rsidR="00C04A94" w:rsidRPr="004A1148" w:rsidRDefault="00C04A94" w:rsidP="00C04A94">
            <w:pPr>
              <w:pStyle w:val="TableText"/>
              <w:rPr>
                <w:rFonts w:cs="Arial"/>
              </w:rPr>
            </w:pPr>
            <w:r>
              <w:rPr>
                <w:rFonts w:cs="Arial"/>
              </w:rPr>
              <w:t>172.16.13.64</w:t>
            </w:r>
          </w:p>
        </w:tc>
        <w:tc>
          <w:tcPr>
            <w:tcW w:w="2552" w:type="dxa"/>
          </w:tcPr>
          <w:p w14:paraId="309D051E" w14:textId="6378E6D6" w:rsidR="00C04A94" w:rsidRPr="004A1148" w:rsidRDefault="00C04A94" w:rsidP="00C04A94">
            <w:pPr>
              <w:pStyle w:val="TableText"/>
              <w:rPr>
                <w:rFonts w:cs="Arial"/>
              </w:rPr>
            </w:pPr>
            <w:r>
              <w:rPr>
                <w:rFonts w:cs="Arial"/>
              </w:rPr>
              <w:t>255.255.255.224</w:t>
            </w:r>
          </w:p>
        </w:tc>
        <w:tc>
          <w:tcPr>
            <w:tcW w:w="2724" w:type="dxa"/>
            <w:vAlign w:val="bottom"/>
          </w:tcPr>
          <w:p w14:paraId="4BB66377" w14:textId="303C7BE8" w:rsidR="00C04A94" w:rsidRPr="004A1148" w:rsidRDefault="00C04A94" w:rsidP="00C04A94">
            <w:pPr>
              <w:pStyle w:val="TableText"/>
              <w:rPr>
                <w:rFonts w:cs="Arial"/>
              </w:rPr>
            </w:pPr>
            <w:r>
              <w:rPr>
                <w:rFonts w:cs="Arial"/>
              </w:rPr>
              <w:t>172.16.13.65</w:t>
            </w:r>
          </w:p>
        </w:tc>
        <w:tc>
          <w:tcPr>
            <w:tcW w:w="2922" w:type="dxa"/>
            <w:vAlign w:val="bottom"/>
          </w:tcPr>
          <w:p w14:paraId="2F12A22D" w14:textId="1B6A36CB" w:rsidR="00C04A94" w:rsidRPr="004A1148" w:rsidRDefault="00C04A94" w:rsidP="00C04A94">
            <w:pPr>
              <w:pStyle w:val="TableText"/>
              <w:rPr>
                <w:rFonts w:cs="Arial"/>
              </w:rPr>
            </w:pPr>
            <w:r>
              <w:rPr>
                <w:rFonts w:cs="Arial"/>
              </w:rPr>
              <w:t>172.16.13.94</w:t>
            </w:r>
          </w:p>
        </w:tc>
        <w:tc>
          <w:tcPr>
            <w:tcW w:w="2905" w:type="dxa"/>
            <w:vAlign w:val="bottom"/>
          </w:tcPr>
          <w:p w14:paraId="78E458EF" w14:textId="54C4D679" w:rsidR="00C04A94" w:rsidRPr="004A1148" w:rsidRDefault="00C04A94" w:rsidP="00C04A94">
            <w:pPr>
              <w:pStyle w:val="TableText"/>
              <w:ind w:left="284"/>
              <w:rPr>
                <w:rFonts w:cs="Arial"/>
              </w:rPr>
            </w:pPr>
            <w:r>
              <w:rPr>
                <w:rFonts w:cs="Arial"/>
              </w:rPr>
              <w:t>172.16.13.95</w:t>
            </w:r>
          </w:p>
        </w:tc>
      </w:tr>
      <w:tr w:rsidR="00C04A94" w:rsidRPr="004A1148" w14:paraId="0B4ED2B0" w14:textId="77777777" w:rsidTr="005554AB">
        <w:trPr>
          <w:cantSplit/>
          <w:trHeight w:val="510"/>
          <w:jc w:val="center"/>
        </w:trPr>
        <w:tc>
          <w:tcPr>
            <w:tcW w:w="1412" w:type="dxa"/>
            <w:vAlign w:val="bottom"/>
          </w:tcPr>
          <w:p w14:paraId="609E3F7B" w14:textId="1E64B9CC" w:rsidR="00C04A94" w:rsidRPr="004A1148" w:rsidRDefault="00C04A94" w:rsidP="00C04A94">
            <w:pPr>
              <w:pStyle w:val="TableText"/>
              <w:ind w:left="284"/>
              <w:rPr>
                <w:rFonts w:cs="Arial"/>
              </w:rPr>
            </w:pPr>
            <w:r>
              <w:rPr>
                <w:rFonts w:cs="Arial"/>
              </w:rPr>
              <w:t>C</w:t>
            </w:r>
          </w:p>
        </w:tc>
        <w:tc>
          <w:tcPr>
            <w:tcW w:w="2561" w:type="dxa"/>
            <w:vAlign w:val="bottom"/>
          </w:tcPr>
          <w:p w14:paraId="31F64227" w14:textId="193898C9" w:rsidR="00C04A94" w:rsidRPr="004A1148" w:rsidRDefault="00C04A94" w:rsidP="00C04A94">
            <w:pPr>
              <w:pStyle w:val="TableText"/>
              <w:rPr>
                <w:rFonts w:cs="Arial"/>
              </w:rPr>
            </w:pPr>
            <w:r>
              <w:rPr>
                <w:rFonts w:cs="Arial"/>
              </w:rPr>
              <w:t>172.16.13.96</w:t>
            </w:r>
          </w:p>
        </w:tc>
        <w:tc>
          <w:tcPr>
            <w:tcW w:w="2552" w:type="dxa"/>
          </w:tcPr>
          <w:p w14:paraId="55665601" w14:textId="2B4A0A0C" w:rsidR="00C04A94" w:rsidRPr="004A1148" w:rsidRDefault="00C04A94" w:rsidP="00C04A94">
            <w:pPr>
              <w:pStyle w:val="TableText"/>
              <w:rPr>
                <w:rFonts w:cs="Arial"/>
              </w:rPr>
            </w:pPr>
            <w:r>
              <w:rPr>
                <w:rFonts w:cs="Arial"/>
              </w:rPr>
              <w:t>255.255.255.248</w:t>
            </w:r>
          </w:p>
        </w:tc>
        <w:tc>
          <w:tcPr>
            <w:tcW w:w="2724" w:type="dxa"/>
            <w:vAlign w:val="bottom"/>
          </w:tcPr>
          <w:p w14:paraId="4F549E4B" w14:textId="52703C95" w:rsidR="00C04A94" w:rsidRPr="004A1148" w:rsidRDefault="00C04A94" w:rsidP="00C04A94">
            <w:pPr>
              <w:pStyle w:val="TableText"/>
              <w:rPr>
                <w:rFonts w:cs="Arial"/>
              </w:rPr>
            </w:pPr>
            <w:r>
              <w:rPr>
                <w:rFonts w:cs="Arial"/>
              </w:rPr>
              <w:t>172.16.13.97</w:t>
            </w:r>
          </w:p>
        </w:tc>
        <w:tc>
          <w:tcPr>
            <w:tcW w:w="2922" w:type="dxa"/>
            <w:vAlign w:val="bottom"/>
          </w:tcPr>
          <w:p w14:paraId="7C499210" w14:textId="36D1123F" w:rsidR="00C04A94" w:rsidRPr="004A1148" w:rsidRDefault="00C04A94" w:rsidP="00C04A94">
            <w:pPr>
              <w:pStyle w:val="TableText"/>
              <w:rPr>
                <w:rFonts w:cs="Arial"/>
              </w:rPr>
            </w:pPr>
            <w:r>
              <w:rPr>
                <w:rFonts w:cs="Arial"/>
              </w:rPr>
              <w:t>172.16.13.102</w:t>
            </w:r>
          </w:p>
        </w:tc>
        <w:tc>
          <w:tcPr>
            <w:tcW w:w="2905" w:type="dxa"/>
            <w:vAlign w:val="bottom"/>
          </w:tcPr>
          <w:p w14:paraId="2D756274" w14:textId="0DB5C6DE" w:rsidR="00C04A94" w:rsidRPr="004A1148" w:rsidRDefault="00C04A94" w:rsidP="00C04A94">
            <w:pPr>
              <w:pStyle w:val="TableText"/>
              <w:ind w:left="284"/>
              <w:rPr>
                <w:rFonts w:cs="Arial"/>
              </w:rPr>
            </w:pPr>
            <w:r>
              <w:rPr>
                <w:rFonts w:cs="Arial"/>
              </w:rPr>
              <w:t>172.16.13.103</w:t>
            </w:r>
          </w:p>
        </w:tc>
      </w:tr>
      <w:tr w:rsidR="00C04A94" w:rsidRPr="004A1148" w14:paraId="27709968" w14:textId="77777777" w:rsidTr="005554AB">
        <w:trPr>
          <w:cantSplit/>
          <w:trHeight w:val="510"/>
          <w:jc w:val="center"/>
        </w:trPr>
        <w:tc>
          <w:tcPr>
            <w:tcW w:w="1412" w:type="dxa"/>
            <w:vAlign w:val="bottom"/>
          </w:tcPr>
          <w:p w14:paraId="20984A5F" w14:textId="119AED2C" w:rsidR="00C04A94" w:rsidRPr="004A1148" w:rsidRDefault="00C04A94" w:rsidP="00C04A94">
            <w:pPr>
              <w:pStyle w:val="TableText"/>
              <w:ind w:left="284"/>
              <w:rPr>
                <w:rFonts w:cs="Arial"/>
              </w:rPr>
            </w:pPr>
            <w:r>
              <w:rPr>
                <w:rFonts w:cs="Arial"/>
              </w:rPr>
              <w:t>G</w:t>
            </w:r>
          </w:p>
        </w:tc>
        <w:tc>
          <w:tcPr>
            <w:tcW w:w="2561" w:type="dxa"/>
            <w:vAlign w:val="bottom"/>
          </w:tcPr>
          <w:p w14:paraId="0D69D9DC" w14:textId="7F895F23" w:rsidR="00C04A94" w:rsidRPr="004A1148" w:rsidRDefault="00C04A94" w:rsidP="00C04A94">
            <w:pPr>
              <w:pStyle w:val="TableText"/>
              <w:rPr>
                <w:rFonts w:cs="Arial"/>
              </w:rPr>
            </w:pPr>
            <w:r>
              <w:rPr>
                <w:rFonts w:cs="Arial"/>
              </w:rPr>
              <w:t>172.16.13.104</w:t>
            </w:r>
          </w:p>
        </w:tc>
        <w:tc>
          <w:tcPr>
            <w:tcW w:w="2552" w:type="dxa"/>
          </w:tcPr>
          <w:p w14:paraId="30D77B01" w14:textId="5413BDB8" w:rsidR="00C04A94" w:rsidRPr="004A1148" w:rsidRDefault="00C04A94" w:rsidP="00C04A94">
            <w:pPr>
              <w:pStyle w:val="TableText"/>
              <w:rPr>
                <w:rFonts w:cs="Arial"/>
              </w:rPr>
            </w:pPr>
            <w:r>
              <w:rPr>
                <w:rFonts w:cs="Arial"/>
              </w:rPr>
              <w:t>255.255.255.252</w:t>
            </w:r>
          </w:p>
        </w:tc>
        <w:tc>
          <w:tcPr>
            <w:tcW w:w="2724" w:type="dxa"/>
            <w:vAlign w:val="bottom"/>
          </w:tcPr>
          <w:p w14:paraId="5596A409" w14:textId="14622D5D" w:rsidR="00C04A94" w:rsidRPr="004A1148" w:rsidRDefault="00C04A94" w:rsidP="00C04A94">
            <w:pPr>
              <w:pStyle w:val="TableText"/>
              <w:rPr>
                <w:rFonts w:cs="Arial"/>
              </w:rPr>
            </w:pPr>
            <w:r>
              <w:rPr>
                <w:rFonts w:cs="Arial"/>
              </w:rPr>
              <w:t>172.16.13.105</w:t>
            </w:r>
          </w:p>
        </w:tc>
        <w:tc>
          <w:tcPr>
            <w:tcW w:w="2922" w:type="dxa"/>
            <w:vAlign w:val="bottom"/>
          </w:tcPr>
          <w:p w14:paraId="0F1FE2D6" w14:textId="15730362" w:rsidR="00C04A94" w:rsidRPr="004A1148" w:rsidRDefault="00C04A94" w:rsidP="00C04A94">
            <w:pPr>
              <w:pStyle w:val="TableText"/>
              <w:rPr>
                <w:rFonts w:cs="Arial"/>
              </w:rPr>
            </w:pPr>
            <w:r>
              <w:rPr>
                <w:rFonts w:cs="Arial"/>
              </w:rPr>
              <w:t>172.16.13.106</w:t>
            </w:r>
          </w:p>
        </w:tc>
        <w:tc>
          <w:tcPr>
            <w:tcW w:w="2905" w:type="dxa"/>
            <w:vAlign w:val="bottom"/>
          </w:tcPr>
          <w:p w14:paraId="554DDEFE" w14:textId="78557BB9" w:rsidR="00C04A94" w:rsidRPr="004A1148" w:rsidRDefault="00C04A94" w:rsidP="00C04A94">
            <w:pPr>
              <w:pStyle w:val="TableText"/>
              <w:ind w:left="284"/>
              <w:rPr>
                <w:rFonts w:cs="Arial"/>
              </w:rPr>
            </w:pPr>
            <w:r>
              <w:rPr>
                <w:rFonts w:cs="Arial"/>
              </w:rPr>
              <w:t>172.16.13.107</w:t>
            </w:r>
          </w:p>
        </w:tc>
      </w:tr>
      <w:tr w:rsidR="00C04A94" w:rsidRPr="004A1148" w14:paraId="0B6C4A12" w14:textId="77777777" w:rsidTr="005554AB">
        <w:trPr>
          <w:cantSplit/>
          <w:trHeight w:val="510"/>
          <w:jc w:val="center"/>
        </w:trPr>
        <w:tc>
          <w:tcPr>
            <w:tcW w:w="1412" w:type="dxa"/>
            <w:vAlign w:val="bottom"/>
          </w:tcPr>
          <w:p w14:paraId="61BCB553" w14:textId="02786019" w:rsidR="00C04A94" w:rsidRPr="004A1148" w:rsidRDefault="00C04A94" w:rsidP="00C04A94">
            <w:pPr>
              <w:pStyle w:val="TableText"/>
              <w:ind w:left="284"/>
              <w:rPr>
                <w:rFonts w:cs="Arial"/>
              </w:rPr>
            </w:pPr>
            <w:r>
              <w:rPr>
                <w:rFonts w:cs="Arial"/>
              </w:rPr>
              <w:t>H</w:t>
            </w:r>
          </w:p>
        </w:tc>
        <w:tc>
          <w:tcPr>
            <w:tcW w:w="2561" w:type="dxa"/>
            <w:vAlign w:val="bottom"/>
          </w:tcPr>
          <w:p w14:paraId="1F850D77" w14:textId="5F0B442C" w:rsidR="00C04A94" w:rsidRPr="004A1148" w:rsidRDefault="00C04A94" w:rsidP="00C04A94">
            <w:pPr>
              <w:pStyle w:val="TableText"/>
              <w:rPr>
                <w:rFonts w:cs="Arial"/>
              </w:rPr>
            </w:pPr>
            <w:r>
              <w:rPr>
                <w:rFonts w:cs="Arial"/>
              </w:rPr>
              <w:t>172.16.13.108</w:t>
            </w:r>
          </w:p>
        </w:tc>
        <w:tc>
          <w:tcPr>
            <w:tcW w:w="2552" w:type="dxa"/>
          </w:tcPr>
          <w:p w14:paraId="4E625FAD" w14:textId="4E432274" w:rsidR="00C04A94" w:rsidRPr="004A1148" w:rsidRDefault="00C04A94" w:rsidP="00C04A94">
            <w:pPr>
              <w:pStyle w:val="TableText"/>
              <w:rPr>
                <w:rFonts w:cs="Arial"/>
              </w:rPr>
            </w:pPr>
            <w:r>
              <w:rPr>
                <w:rFonts w:cs="Arial"/>
              </w:rPr>
              <w:t>255.255.255.252</w:t>
            </w:r>
          </w:p>
        </w:tc>
        <w:tc>
          <w:tcPr>
            <w:tcW w:w="2724" w:type="dxa"/>
            <w:vAlign w:val="bottom"/>
          </w:tcPr>
          <w:p w14:paraId="2EFD5AB2" w14:textId="008D9E27" w:rsidR="00C04A94" w:rsidRPr="004A1148" w:rsidRDefault="00C04A94" w:rsidP="00C04A94">
            <w:pPr>
              <w:pStyle w:val="TableText"/>
              <w:rPr>
                <w:rFonts w:cs="Arial"/>
              </w:rPr>
            </w:pPr>
            <w:r>
              <w:rPr>
                <w:rFonts w:cs="Arial"/>
              </w:rPr>
              <w:t>172.16.13.109</w:t>
            </w:r>
          </w:p>
        </w:tc>
        <w:tc>
          <w:tcPr>
            <w:tcW w:w="2922" w:type="dxa"/>
            <w:vAlign w:val="bottom"/>
          </w:tcPr>
          <w:p w14:paraId="488D3941" w14:textId="53F8E1C2" w:rsidR="00C04A94" w:rsidRPr="004A1148" w:rsidRDefault="00C04A94" w:rsidP="00C04A94">
            <w:pPr>
              <w:pStyle w:val="TableText"/>
              <w:rPr>
                <w:rFonts w:cs="Arial"/>
              </w:rPr>
            </w:pPr>
            <w:r>
              <w:rPr>
                <w:rFonts w:cs="Arial"/>
              </w:rPr>
              <w:t>172.16.13.110</w:t>
            </w:r>
          </w:p>
        </w:tc>
        <w:tc>
          <w:tcPr>
            <w:tcW w:w="2905" w:type="dxa"/>
            <w:vAlign w:val="bottom"/>
          </w:tcPr>
          <w:p w14:paraId="6CDA3D3D" w14:textId="0DF9B409" w:rsidR="00C04A94" w:rsidRPr="004A1148" w:rsidRDefault="00C04A94" w:rsidP="00C04A94">
            <w:pPr>
              <w:pStyle w:val="TableText"/>
              <w:ind w:left="284"/>
              <w:rPr>
                <w:rFonts w:cs="Arial"/>
              </w:rPr>
            </w:pPr>
            <w:r>
              <w:rPr>
                <w:rFonts w:cs="Arial"/>
              </w:rPr>
              <w:t>172.16.13.111</w:t>
            </w:r>
          </w:p>
        </w:tc>
      </w:tr>
      <w:tr w:rsidR="00C04A94" w:rsidRPr="004A1148" w14:paraId="7FC18FDC" w14:textId="77777777" w:rsidTr="005554AB">
        <w:trPr>
          <w:cantSplit/>
          <w:trHeight w:val="510"/>
          <w:jc w:val="center"/>
        </w:trPr>
        <w:tc>
          <w:tcPr>
            <w:tcW w:w="1412" w:type="dxa"/>
            <w:vAlign w:val="bottom"/>
          </w:tcPr>
          <w:p w14:paraId="1FB33D0A" w14:textId="77777777" w:rsidR="00C04A94" w:rsidRPr="004A1148" w:rsidRDefault="00C04A94" w:rsidP="00C04A94">
            <w:pPr>
              <w:pStyle w:val="TableText"/>
              <w:ind w:left="284"/>
              <w:rPr>
                <w:rFonts w:cs="Arial"/>
              </w:rPr>
            </w:pPr>
          </w:p>
        </w:tc>
        <w:tc>
          <w:tcPr>
            <w:tcW w:w="2561" w:type="dxa"/>
            <w:vAlign w:val="bottom"/>
          </w:tcPr>
          <w:p w14:paraId="3A3974FC" w14:textId="77777777" w:rsidR="00C04A94" w:rsidRPr="004A1148" w:rsidRDefault="00C04A94" w:rsidP="00C04A94">
            <w:pPr>
              <w:pStyle w:val="TableText"/>
              <w:rPr>
                <w:rFonts w:cs="Arial"/>
              </w:rPr>
            </w:pPr>
          </w:p>
        </w:tc>
        <w:tc>
          <w:tcPr>
            <w:tcW w:w="2552" w:type="dxa"/>
          </w:tcPr>
          <w:p w14:paraId="4949C4E8" w14:textId="77777777" w:rsidR="00C04A94" w:rsidRPr="004A1148" w:rsidRDefault="00C04A94" w:rsidP="00C04A94">
            <w:pPr>
              <w:pStyle w:val="TableText"/>
              <w:rPr>
                <w:rFonts w:cs="Arial"/>
              </w:rPr>
            </w:pPr>
          </w:p>
        </w:tc>
        <w:tc>
          <w:tcPr>
            <w:tcW w:w="2724" w:type="dxa"/>
            <w:vAlign w:val="bottom"/>
          </w:tcPr>
          <w:p w14:paraId="2E13DE8F" w14:textId="77777777" w:rsidR="00C04A94" w:rsidRPr="004A1148" w:rsidRDefault="00C04A94" w:rsidP="00C04A94">
            <w:pPr>
              <w:pStyle w:val="TableText"/>
              <w:rPr>
                <w:rFonts w:cs="Arial"/>
              </w:rPr>
            </w:pPr>
          </w:p>
        </w:tc>
        <w:tc>
          <w:tcPr>
            <w:tcW w:w="2922" w:type="dxa"/>
            <w:vAlign w:val="bottom"/>
          </w:tcPr>
          <w:p w14:paraId="4B4DEB77" w14:textId="77777777" w:rsidR="00C04A94" w:rsidRPr="004A1148" w:rsidRDefault="00C04A94" w:rsidP="00C04A94">
            <w:pPr>
              <w:pStyle w:val="TableText"/>
              <w:rPr>
                <w:rFonts w:cs="Arial"/>
              </w:rPr>
            </w:pPr>
          </w:p>
        </w:tc>
        <w:tc>
          <w:tcPr>
            <w:tcW w:w="2905" w:type="dxa"/>
            <w:vAlign w:val="bottom"/>
          </w:tcPr>
          <w:p w14:paraId="074F1411" w14:textId="77777777" w:rsidR="00C04A94" w:rsidRPr="004A1148" w:rsidRDefault="00C04A94" w:rsidP="00C04A94">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E25A3" w14:textId="77777777" w:rsidR="00A91094" w:rsidRDefault="00A91094">
      <w:r>
        <w:separator/>
      </w:r>
    </w:p>
  </w:endnote>
  <w:endnote w:type="continuationSeparator" w:id="0">
    <w:p w14:paraId="4A4E8389" w14:textId="77777777" w:rsidR="00A91094" w:rsidRDefault="00A91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9C45B" w14:textId="77777777" w:rsidR="00A91094" w:rsidRDefault="00A91094">
      <w:r>
        <w:separator/>
      </w:r>
    </w:p>
  </w:footnote>
  <w:footnote w:type="continuationSeparator" w:id="0">
    <w:p w14:paraId="629C4DFC" w14:textId="77777777" w:rsidR="00A91094" w:rsidRDefault="00A910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137"/>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074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1094"/>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4A94"/>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styleId="Bibliography">
    <w:name w:val="Bibliography"/>
    <w:basedOn w:val="Normal"/>
    <w:next w:val="Normal"/>
    <w:uiPriority w:val="37"/>
    <w:unhideWhenUsed/>
    <w:rsid w:val="006074FC"/>
    <w:pPr>
      <w:spacing w:after="160" w:line="259"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Aca161</b:Tag>
    <b:SourceType>Book</b:SourceType>
    <b:Guid>{963F073F-5638-4BCC-A279-24EEE533CD13}</b:Guid>
    <b:Title>Introduction to Networks Companion Guide v5.1</b:Title>
    <b:Year>2016</b:Year>
    <b:Author>
      <b:Author>
        <b:NameList>
          <b:Person>
            <b:Last>Academy</b:Last>
            <b:First>Cisco</b:First>
            <b:Middle>Networking</b:Middle>
          </b:Person>
        </b:NameList>
      </b:Author>
    </b:Author>
    <b:City>Indianapolis</b:City>
    <b:Publisher>Cisco Press</b:Publisher>
    <b:Pages>357</b:Pages>
    <b:RefOrder>1</b:RefOrder>
  </b:Source>
  <b:Source>
    <b:Tag>FGo16</b:Tag>
    <b:SourceType>InternetSite</b:SourceType>
    <b:Guid>{E7FFDAF8-B46B-484F-9E6E-37B8A47C2887}</b:Guid>
    <b:Title>RFC 7707 - Network Reconnaissance in IPv6 Networks</b:Title>
    <b:Year>2016</b:Year>
    <b:ProductionCompany>Internet Engineering Task Force</b:ProductionCompany>
    <b:Month>3</b:Month>
    <b:YearAccessed>2019</b:YearAccessed>
    <b:MonthAccessed>11</b:MonthAccessed>
    <b:DayAccessed>23</b:DayAccessed>
    <b:URL>https://tools.ietf.org/html/rfc7707</b:URL>
    <b:Author>
      <b:Author>
        <b:NameList>
          <b:Person>
            <b:Last>Gont</b:Last>
            <b:First>F.</b:First>
          </b:Person>
        </b:NameList>
      </b:Author>
    </b:Author>
    <b:InternetSiteTitle>tools.ietf.org</b:InternetSiteTitle>
    <b:RefOrder>2</b:RefOrder>
  </b:Source>
  <b:Source>
    <b:Tag>Chr12</b:Tag>
    <b:SourceType>InternetSite</b:SourceType>
    <b:Guid>{DDAA9CE9-1B71-4890-AF2C-EE98105DA9DD}</b:Guid>
    <b:Author>
      <b:Author>
        <b:NameList>
          <b:Person>
            <b:Last>Grundemann</b:Last>
            <b:First>Chris</b:First>
          </b:Person>
        </b:NameList>
      </b:Author>
    </b:Author>
    <b:Title>Introducing IPv6 Headers</b:Title>
    <b:ProductionCompany>ChrisGrundemann.com</b:ProductionCompany>
    <b:Year>2012</b:Year>
    <b:Month>2</b:Month>
    <b:Day>16</b:Day>
    <b:YearAccessed>2019</b:YearAccessed>
    <b:MonthAccessed>11</b:MonthAccessed>
    <b:DayAccessed>23</b:DayAccessed>
    <b:URL>https://chrisgrundemann.com/index.php/2012/introducing-ipv6-ipv6-headers/</b:URL>
    <b:RefOrder>3</b:RefOrder>
  </b:Source>
  <b:Source>
    <b:Tag>Unk12</b:Tag>
    <b:SourceType>InternetSite</b:SourceType>
    <b:Guid>{C70C8608-E65D-4800-AFCB-08507E11DF37}</b:Guid>
    <b:Author>
      <b:Author>
        <b:NameList>
          <b:Person>
            <b:Last>Unknown</b:Last>
          </b:Person>
        </b:NameList>
      </b:Author>
    </b:Author>
    <b:Title>Chapter 1 IPv6 ( Overview) IPv6 (Adminstration Guide) </b:Title>
    <b:ProductionCompany>docs.oracle.com</b:ProductionCompany>
    <b:Year>2012</b:Year>
    <b:YearAccessed>2019</b:YearAccessed>
    <b:MonthAccessed>11</b:MonthAccessed>
    <b:DayAccessed>23</b:DayAccessed>
    <b:URL>https://docs.oracle.com/cd/E19683-01/817-0573/6mgc65bb0/index.html</b:URL>
    <b:RefOrder>4</b:RefOrder>
  </b:Source>
  <b:Source>
    <b:Tag>Dan18</b:Tag>
    <b:SourceType>InternetSite</b:SourceType>
    <b:Guid>{C0E630C4-5C5D-4A8F-9D2C-716FF985CE73}</b:Guid>
    <b:Author>
      <b:Author>
        <b:NameList>
          <b:Person>
            <b:Last>Robinson</b:Last>
            <b:First>Dan</b:First>
          </b:Person>
        </b:NameList>
      </b:Author>
    </b:Author>
    <b:Title>IPv6: It's only NAT-ural that network nerds are dragging their feet...</b:Title>
    <b:ProductionCompany>theregister.co.uk</b:ProductionCompany>
    <b:Year>2018</b:Year>
    <b:Month>8</b:Month>
    <b:Day>8</b:Day>
    <b:YearAccessed>2019</b:YearAccessed>
    <b:MonthAccessed>11</b:MonthAccessed>
    <b:DayAccessed>23</b:DayAccessed>
    <b:URL>https://www.theregister.co.uk/2018/08/08/ipv6_how_soon_is_now/</b:URL>
    <b:RefOrder>5</b:RefOrder>
  </b:Source>
  <b:Source>
    <b:Tag>Unked1</b:Tag>
    <b:SourceType>InternetSite</b:SourceType>
    <b:Guid>{95AC92DC-91C1-4EA9-AC86-01C05B14C945}</b:Guid>
    <b:Author>
      <b:Author>
        <b:NameList>
          <b:Person>
            <b:Last>Unknown</b:Last>
          </b:Person>
        </b:NameList>
      </b:Author>
    </b:Author>
    <b:Title>What is Anycast routing</b:Title>
    <b:ProductionCompany>imperva.com</b:ProductionCompany>
    <b:Year>Undated</b:Year>
    <b:YearAccessed>2019</b:YearAccessed>
    <b:MonthAccessed>11</b:MonthAccessed>
    <b:DayAccessed>24</b:DayAccessed>
    <b:URL>https://www.imperva.com/learn/performance/anycast/</b:URL>
    <b:RefOrder>6</b:RefOrder>
  </b:Source>
  <b:Source>
    <b:Tag>DMM12</b:Tag>
    <b:SourceType>InternetSite</b:SourceType>
    <b:Guid>{787124F7-C363-45E4-BCB3-D312CC4E6FE2}</b:Guid>
    <b:Author>
      <b:Author>
        <b:NameList>
          <b:Person>
            <b:Last>McPherson</b:Last>
            <b:First>D.</b:First>
            <b:Middle>M.</b:Middle>
          </b:Person>
        </b:NameList>
      </b:Author>
    </b:Author>
    <b:Title>Architectual Considerations of IP anycast</b:Title>
    <b:ProductionCompany>tools.ietf.org</b:ProductionCompany>
    <b:Year>2012</b:Year>
    <b:Month>10</b:Month>
    <b:YearAccessed>2019</b:YearAccessed>
    <b:MonthAccessed>11</b:MonthAccessed>
    <b:DayAccessed>25</b:DayAccessed>
    <b:URL>https://tools.ietf.org/id/draft-iab-anycast-arch-implications-05.html</b:URL>
    <b:RefOrder>7</b:RefOrder>
  </b:Source>
  <b:Source>
    <b:Tag>Chr19</b:Tag>
    <b:SourceType>InternetSite</b:SourceType>
    <b:Guid>{D876C047-C343-4E74-B05F-7E001BBC9369}</b:Guid>
    <b:Author>
      <b:Author>
        <b:NameList>
          <b:Person>
            <b:Last>Elsen</b:Last>
            <b:First>Christian</b:First>
          </b:Person>
        </b:NameList>
      </b:Author>
    </b:Author>
    <b:Title>Limitations of Anycast for distributed content delivery</b:Title>
    <b:ProductionCompany>Edge-cloud.net</b:ProductionCompany>
    <b:Year>2019</b:Year>
    <b:Month>4</b:Month>
    <b:Day>8</b:Day>
    <b:YearAccessed>2019</b:YearAccessed>
    <b:MonthAccessed>11</b:MonthAccessed>
    <b:DayAccessed>25</b:DayAccessed>
    <b:URL>https://www.edge-cloud.net/2019/04/08/limitations-of-anycast/#</b:URL>
    <b:RefOrder>8</b:RefOrder>
  </b:Source>
  <b:Source>
    <b:Tag>Pau17</b:Tag>
    <b:SourceType>Book</b:SourceType>
    <b:Guid>{8FA37034-050F-49C7-874A-2458D610ED5D}</b:Guid>
    <b:Title>Cisco CCNA Simplified</b:Title>
    <b:Year>2017</b:Year>
    <b:Author>
      <b:Author>
        <b:NameList>
          <b:Person>
            <b:Last>Browning</b:Last>
            <b:First>Paul</b:First>
          </b:Person>
        </b:NameList>
      </b:Author>
    </b:Author>
    <b:City>Milton Keynes</b:City>
    <b:Publisher>Reality Press Ltd.</b:Publisher>
    <b:RefOrder>9</b:RefOrder>
  </b:Source>
  <b:Source>
    <b:Tag>STh98</b:Tag>
    <b:SourceType>InternetSite</b:SourceType>
    <b:Guid>{06B5698D-4043-4ACF-81E1-E9F122C1BC8F}</b:Guid>
    <b:Title>IPv6 Stateless Auto Configuration</b:Title>
    <b:Year>1998</b:Year>
    <b:Month>12</b:Month>
    <b:YearAccessed>2019</b:YearAccessed>
    <b:MonthAccessed>11</b:MonthAccessed>
    <b:DayAccessed>25</b:DayAccessed>
    <b:URL>https://tools.ietf.org/html/rfc2462</b:URL>
    <b:Author>
      <b:Author>
        <b:NameList>
          <b:Person>
            <b:Last>Thomson</b:Last>
            <b:First>S.</b:First>
          </b:Person>
        </b:NameList>
      </b:Author>
    </b:Author>
    <b:ProductionCompany>tools.ietf.org</b:ProductionCompany>
    <b:RefOrder>10</b:RefOrder>
  </b:Source>
  <b:Source>
    <b:Tag>Unked2</b:Tag>
    <b:SourceType>InternetSite</b:SourceType>
    <b:Guid>{F0A6A588-E848-48A1-93B2-25CE0437D6E5}</b:Guid>
    <b:Author>
      <b:Author>
        <b:NameList>
          <b:Person>
            <b:Last>Unknown</b:Last>
          </b:Person>
        </b:NameList>
      </b:Author>
    </b:Author>
    <b:Title>Stateless Auto Configuration</b:Title>
    <b:ProductionCompany>IPv6.com</b:ProductionCompany>
    <b:Year>Undated</b:Year>
    <b:YearAccessed>2019</b:YearAccessed>
    <b:MonthAccessed>11</b:MonthAccessed>
    <b:DayAccessed>25</b:DayAccessed>
    <b:URL>https://www.ipv6.com/general/stateless-auto-configuration/</b:URL>
    <b:RefOrder>11</b:RefOrder>
  </b:Source>
  <b:Source>
    <b:Tag>Unk10</b:Tag>
    <b:SourceType>InternetSite</b:SourceType>
    <b:Guid>{36EA763E-5949-4C83-93E0-785D83C3F164}</b:Guid>
    <b:Author>
      <b:Author>
        <b:NameList>
          <b:Person>
            <b:Last>Unknown</b:Last>
          </b:Person>
        </b:NameList>
      </b:Author>
    </b:Author>
    <b:Title>IPv6 Stateless Address Autoconfiguration</b:Title>
    <b:ProductionCompany>docs.oracle.com</b:ProductionCompany>
    <b:Year>2010</b:Year>
    <b:YearAccessed>2019</b:YearAccessed>
    <b:MonthAccessed>11</b:MonthAccessed>
    <b:DayAccessed>25</b:DayAccessed>
    <b:URL>https://docs.oracle.com/cd/E19683-01/817-0573/chapter1-42/index.html</b:URL>
    <b:RefOrder>12</b:RefOrder>
  </b:Source>
  <b:Source>
    <b:Tag>TNa07</b:Tag>
    <b:SourceType>InternetSite</b:SourceType>
    <b:Guid>{E12A6A62-0F84-414F-82CB-9CA607BC73E7}</b:Guid>
    <b:Author>
      <b:Author>
        <b:NameList>
          <b:Person>
            <b:Last>Narten</b:Last>
            <b:First>T.</b:First>
          </b:Person>
        </b:NameList>
      </b:Author>
    </b:Author>
    <b:Title>Privacy Extensions for Stateless Address Autoconfiguration in IPv6</b:Title>
    <b:ProductionCompany>tools.ietf.org</b:ProductionCompany>
    <b:Year>2007</b:Year>
    <b:YearAccessed>2019</b:YearAccessed>
    <b:MonthAccessed>11</b:MonthAccessed>
    <b:DayAccessed>26</b:DayAccessed>
    <b:URL>https://tools.ietf.org/html/rfc4941</b:URL>
    <b:RefOrder>13</b:RefOrder>
  </b:Source>
  <b:Source>
    <b:Tag>Joh17</b:Tag>
    <b:SourceType>InternetSite</b:SourceType>
    <b:Guid>{2F838FBD-5920-48DB-BE47-F0DB82F088B9}</b:Guid>
    <b:Author>
      <b:Author>
        <b:NameList>
          <b:Person>
            <b:Last>Ullrich</b:Last>
            <b:First>Johanna</b:First>
          </b:Person>
        </b:NameList>
      </b:Author>
    </b:Author>
    <b:Title>IPv6 Addresses, Security and Privacy</b:Title>
    <b:ProductionCompany>labs.ripe.net</b:ProductionCompany>
    <b:Year>2017</b:Year>
    <b:Month>12</b:Month>
    <b:Day>8</b:Day>
    <b:YearAccessed>2019</b:YearAccessed>
    <b:MonthAccessed>11</b:MonthAccessed>
    <b:DayAccessed>26</b:DayAccessed>
    <b:URL>https://labs.ripe.net/Members/johanna-ullrich/ipv6-addresses-security-and-privacy/</b:URL>
    <b:RefOrder>14</b:RefOrder>
  </b:Source>
  <b:Source>
    <b:Tag>EVy19</b:Tag>
    <b:SourceType>InternetSite</b:SourceType>
    <b:Guid>{4BB3E5CD-9061-4756-AD94-E09D8708EB7C}</b:Guid>
    <b:Author>
      <b:Author>
        <b:NameList>
          <b:Person>
            <b:Last>E. Vyncke</b:Last>
            <b:First>Ed.</b:First>
          </b:Person>
        </b:NameList>
      </b:Author>
    </b:Author>
    <b:Title>Operational Security Considerations for IPv6 Networks draft-ietf-opsec-v6-21</b:Title>
    <b:ProductionCompany>tools.ietf.org</b:ProductionCompany>
    <b:Year>2019</b:Year>
    <b:Month>11</b:Month>
    <b:Day>3</b:Day>
    <b:YearAccessed>2019</b:YearAccessed>
    <b:MonthAccessed>11</b:MonthAccessed>
    <b:DayAccessed>26</b:DayAccessed>
    <b:URL>https://tools.ietf.org/html/draft-ietf-opsec-v6-21/</b:URL>
    <b:RefOrder>15</b:RefOrder>
  </b:Source>
</b:Sources>
</file>

<file path=customXml/itemProps1.xml><?xml version="1.0" encoding="utf-8"?>
<ds:datastoreItem xmlns:ds="http://schemas.openxmlformats.org/officeDocument/2006/customXml" ds:itemID="{A6EAA6E6-20D9-4E4F-8643-032D5ABFC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7</Pages>
  <Words>1768</Words>
  <Characters>10082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11827</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Jaromir Pauer</cp:lastModifiedBy>
  <cp:revision>2</cp:revision>
  <cp:lastPrinted>2014-11-07T14:47:00Z</cp:lastPrinted>
  <dcterms:created xsi:type="dcterms:W3CDTF">2019-12-11T14:06:00Z</dcterms:created>
  <dcterms:modified xsi:type="dcterms:W3CDTF">2019-12-11T14:06:00Z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