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eastAsia="宋体"/>
          <w:b/>
          <w:bCs/>
          <w:sz w:val="40"/>
          <w:szCs w:val="40"/>
          <w:lang w:val="en-US" w:eastAsia="zh-CN"/>
        </w:rPr>
      </w:pPr>
      <w:bookmarkStart w:id="29" w:name="_GoBack"/>
      <w:bookmarkEnd w:id="29"/>
      <w:r>
        <w:rPr>
          <w:rFonts w:hint="eastAsia" w:eastAsia="宋体"/>
          <w:b/>
          <w:bCs/>
          <w:sz w:val="40"/>
          <w:szCs w:val="40"/>
          <w:lang w:val="en-US" w:eastAsia="zh-CN"/>
        </w:rPr>
        <w:t>Strategic Analysis of Adidas</w:t>
      </w:r>
    </w:p>
    <w:p/>
    <w:p/>
    <w:p/>
    <w:p/>
    <w:p/>
    <w:p/>
    <w:p/>
    <w:p/>
    <w:p/>
    <w:p/>
    <w:p/>
    <w:p/>
    <w:p/>
    <w:p/>
    <w:p/>
    <w:p/>
    <w:p/>
    <w:p/>
    <w:p/>
    <w:p/>
    <w:p/>
    <w:p/>
    <w:p/>
    <w:p/>
    <w:p/>
    <w:p/>
    <w:sdt>
      <w:sdtPr>
        <w:rPr>
          <w:rFonts w:ascii="宋体" w:hAnsi="宋体" w:eastAsia="宋体" w:cs="Calibri"/>
          <w:sz w:val="21"/>
          <w:szCs w:val="22"/>
          <w:lang w:val="en-US" w:eastAsia="en-US" w:bidi="ar-SA"/>
        </w:rPr>
        <w:id w:val="147472630"/>
        <w:docPartObj>
          <w:docPartGallery w:val="Table of Contents"/>
          <w:docPartUnique/>
        </w:docPartObj>
      </w:sdtPr>
      <w:sdtEndPr>
        <w:rPr>
          <w:rFonts w:ascii="宋体" w:hAnsi="宋体" w:eastAsia="宋体" w:cs="Calibri"/>
          <w:sz w:val="20"/>
          <w:szCs w:val="20"/>
          <w:lang w:val="en-US" w:eastAsia="en-US" w:bidi="ar-SA"/>
        </w:rPr>
      </w:sdtEndPr>
      <w:sdtContent>
        <w:p>
          <w:pPr>
            <w:spacing w:before="0" w:beforeLines="0" w:after="0" w:afterLines="0" w:line="240" w:lineRule="auto"/>
            <w:ind w:left="0" w:leftChars="0" w:right="0" w:rightChars="0" w:firstLine="0" w:firstLineChars="0"/>
            <w:jc w:val="center"/>
            <w:rPr>
              <w:rFonts w:hint="eastAsia" w:eastAsia="宋体" w:asciiTheme="majorAscii"/>
              <w:b/>
              <w:bCs/>
              <w:sz w:val="32"/>
              <w:szCs w:val="32"/>
              <w:lang w:val="en-US" w:eastAsia="zh-CN"/>
            </w:rPr>
          </w:pPr>
          <w:bookmarkStart w:id="0" w:name="_Toc22056_WPSOffice_Type3"/>
          <w:r>
            <w:rPr>
              <w:rFonts w:hint="eastAsia" w:hAnsi="宋体" w:eastAsia="宋体" w:cs="Calibri" w:asciiTheme="majorAscii"/>
              <w:b/>
              <w:bCs/>
              <w:sz w:val="32"/>
              <w:szCs w:val="32"/>
              <w:lang w:val="en-US" w:eastAsia="zh-CN" w:bidi="ar-SA"/>
            </w:rPr>
            <w:t>Table of Contents</w:t>
          </w:r>
        </w:p>
        <w:p>
          <w:pPr>
            <w:pStyle w:val="14"/>
            <w:tabs>
              <w:tab w:val="right" w:leader="dot" w:pos="9026"/>
            </w:tabs>
          </w:pPr>
          <w:r>
            <w:fldChar w:fldCharType="begin"/>
          </w:r>
          <w:r>
            <w:instrText xml:space="preserve"> HYPERLINK \l _Toc19177_WPSOffice_Level1 </w:instrText>
          </w:r>
          <w:r>
            <w:fldChar w:fldCharType="separate"/>
          </w:r>
          <w:sdt>
            <w:sdtPr>
              <w:rPr>
                <w:rFonts w:ascii="Calibri" w:hAnsi="Calibri" w:cs="Calibri" w:eastAsiaTheme="minorHAnsi"/>
                <w:sz w:val="22"/>
                <w:szCs w:val="22"/>
                <w:lang w:val="en-GB" w:eastAsia="en-US" w:bidi="ar-SA"/>
              </w:rPr>
              <w:id w:val="147472630"/>
              <w:placeholder>
                <w:docPart w:val="{c28f5c2e-e75d-46f0-9b67-ef5afe535c0a}"/>
              </w:placeholder>
            </w:sdtPr>
            <w:sdtEndPr>
              <w:rPr>
                <w:rFonts w:ascii="Calibri" w:hAnsi="Calibri" w:cs="Calibri" w:eastAsiaTheme="minorHAnsi"/>
                <w:sz w:val="22"/>
                <w:szCs w:val="22"/>
                <w:lang w:val="en-GB" w:eastAsia="en-US" w:bidi="ar-SA"/>
              </w:rPr>
            </w:sdtEndPr>
            <w:sdtContent>
              <w:r>
                <w:rPr>
                  <w:rFonts w:hint="default" w:ascii="Verdana" w:hAnsi="Verdana" w:eastAsia="Times New Roman" w:cs="Arial"/>
                </w:rPr>
                <w:t xml:space="preserve">1. </w:t>
              </w:r>
              <w:r>
                <w:rPr>
                  <w:rFonts w:ascii="Verdana" w:hAnsi="Verdana" w:eastAsia="Times New Roman" w:cs="Arial"/>
                </w:rPr>
                <w:t>Introduction</w:t>
              </w:r>
            </w:sdtContent>
          </w:sdt>
          <w:r>
            <w:tab/>
          </w:r>
          <w:bookmarkStart w:id="1" w:name="_Toc19177_WPSOffice_Level1Page"/>
          <w:r>
            <w:t>3</w:t>
          </w:r>
          <w:bookmarkEnd w:id="1"/>
          <w:r>
            <w:fldChar w:fldCharType="end"/>
          </w:r>
        </w:p>
        <w:p>
          <w:pPr>
            <w:pStyle w:val="15"/>
            <w:tabs>
              <w:tab w:val="right" w:leader="dot" w:pos="9026"/>
            </w:tabs>
          </w:pPr>
          <w:r>
            <w:fldChar w:fldCharType="begin"/>
          </w:r>
          <w:r>
            <w:instrText xml:space="preserve"> HYPERLINK \l _Toc22056_WPSOffice_Level2 </w:instrText>
          </w:r>
          <w:r>
            <w:fldChar w:fldCharType="separate"/>
          </w:r>
          <w:sdt>
            <w:sdtPr>
              <w:rPr>
                <w:rFonts w:ascii="Calibri" w:hAnsi="Calibri" w:cs="Calibri" w:eastAsiaTheme="minorHAnsi"/>
                <w:sz w:val="22"/>
                <w:szCs w:val="22"/>
                <w:lang w:val="en-GB" w:eastAsia="en-US" w:bidi="ar-SA"/>
              </w:rPr>
              <w:id w:val="147472630"/>
              <w:placeholder>
                <w:docPart w:val="{afced3c0-5407-471b-8d9a-ba95c0655722}"/>
              </w:placeholder>
            </w:sdtPr>
            <w:sdtEndPr>
              <w:rPr>
                <w:rFonts w:ascii="Calibri" w:hAnsi="Calibri" w:cs="Calibri" w:eastAsiaTheme="minorHAnsi"/>
                <w:sz w:val="22"/>
                <w:szCs w:val="22"/>
                <w:lang w:val="en-GB" w:eastAsia="en-US" w:bidi="ar-SA"/>
              </w:rPr>
            </w:sdtEndPr>
            <w:sdtContent>
              <w:r>
                <w:rPr>
                  <w:rFonts w:hint="default" w:ascii="Verdana" w:hAnsi="Verdana" w:cs="Calibri" w:eastAsiaTheme="minorHAnsi"/>
                </w:rPr>
                <w:t xml:space="preserve">1.1 </w:t>
              </w:r>
              <w:r>
                <w:rPr>
                  <w:rFonts w:ascii="Verdana" w:hAnsi="Verdana" w:cs="Calibri" w:eastAsiaTheme="minorHAnsi"/>
                </w:rPr>
                <w:t>Report Remit</w:t>
              </w:r>
            </w:sdtContent>
          </w:sdt>
          <w:r>
            <w:tab/>
          </w:r>
          <w:bookmarkStart w:id="2" w:name="_Toc22056_WPSOffice_Level2Page"/>
          <w:r>
            <w:t>3</w:t>
          </w:r>
          <w:bookmarkEnd w:id="2"/>
          <w:r>
            <w:fldChar w:fldCharType="end"/>
          </w:r>
        </w:p>
        <w:p>
          <w:pPr>
            <w:pStyle w:val="15"/>
            <w:tabs>
              <w:tab w:val="right" w:leader="dot" w:pos="9026"/>
            </w:tabs>
          </w:pPr>
          <w:r>
            <w:fldChar w:fldCharType="begin"/>
          </w:r>
          <w:r>
            <w:instrText xml:space="preserve"> HYPERLINK \l _Toc25217_WPSOffice_Level2 </w:instrText>
          </w:r>
          <w:r>
            <w:fldChar w:fldCharType="separate"/>
          </w:r>
          <w:sdt>
            <w:sdtPr>
              <w:rPr>
                <w:rFonts w:ascii="Calibri" w:hAnsi="Calibri" w:cs="Calibri" w:eastAsiaTheme="minorHAnsi"/>
                <w:sz w:val="22"/>
                <w:szCs w:val="22"/>
                <w:lang w:val="en-GB" w:eastAsia="en-US" w:bidi="ar-SA"/>
              </w:rPr>
              <w:id w:val="147472630"/>
              <w:placeholder>
                <w:docPart w:val="{51dca589-2389-4e11-b829-0aabdd96b9a8}"/>
              </w:placeholder>
            </w:sdtPr>
            <w:sdtEndPr>
              <w:rPr>
                <w:rFonts w:ascii="Calibri" w:hAnsi="Calibri" w:cs="Calibri" w:eastAsiaTheme="minorHAnsi"/>
                <w:sz w:val="22"/>
                <w:szCs w:val="22"/>
                <w:lang w:val="en-GB" w:eastAsia="en-US" w:bidi="ar-SA"/>
              </w:rPr>
            </w:sdtEndPr>
            <w:sdtContent>
              <w:r>
                <w:rPr>
                  <w:rFonts w:hint="default" w:ascii="Verdana" w:hAnsi="Verdana" w:cs="Calibri" w:eastAsiaTheme="minorHAnsi"/>
                </w:rPr>
                <w:t xml:space="preserve">1.2 </w:t>
              </w:r>
              <w:r>
                <w:rPr>
                  <w:rFonts w:ascii="Verdana" w:hAnsi="Verdana" w:cs="Calibri" w:eastAsiaTheme="minorHAnsi"/>
                </w:rPr>
                <w:t>Background of the organi</w:t>
              </w:r>
              <w:r>
                <w:rPr>
                  <w:rFonts w:hint="eastAsia" w:ascii="Verdana" w:hAnsi="Verdana" w:cs="Calibri" w:eastAsiaTheme="minorHAnsi"/>
                </w:rPr>
                <w:t>z</w:t>
              </w:r>
              <w:r>
                <w:rPr>
                  <w:rFonts w:ascii="Verdana" w:hAnsi="Verdana" w:cs="Calibri" w:eastAsiaTheme="minorHAnsi"/>
                </w:rPr>
                <w:t>ation</w:t>
              </w:r>
            </w:sdtContent>
          </w:sdt>
          <w:r>
            <w:tab/>
          </w:r>
          <w:bookmarkStart w:id="3" w:name="_Toc25217_WPSOffice_Level2Page"/>
          <w:r>
            <w:t>3</w:t>
          </w:r>
          <w:bookmarkEnd w:id="3"/>
          <w:r>
            <w:fldChar w:fldCharType="end"/>
          </w:r>
        </w:p>
        <w:p>
          <w:pPr>
            <w:pStyle w:val="15"/>
            <w:tabs>
              <w:tab w:val="right" w:leader="dot" w:pos="9026"/>
            </w:tabs>
          </w:pPr>
          <w:r>
            <w:fldChar w:fldCharType="begin"/>
          </w:r>
          <w:r>
            <w:instrText xml:space="preserve"> HYPERLINK \l _Toc20361_WPSOffice_Level2 </w:instrText>
          </w:r>
          <w:r>
            <w:fldChar w:fldCharType="separate"/>
          </w:r>
          <w:sdt>
            <w:sdtPr>
              <w:rPr>
                <w:rFonts w:ascii="Calibri" w:hAnsi="Calibri" w:cs="Calibri" w:eastAsiaTheme="minorHAnsi"/>
                <w:sz w:val="22"/>
                <w:szCs w:val="22"/>
                <w:lang w:val="en-GB" w:eastAsia="en-US" w:bidi="ar-SA"/>
              </w:rPr>
              <w:id w:val="147472630"/>
              <w:placeholder>
                <w:docPart w:val="{2b22704c-a36a-43e8-8d05-11dcf0713d62}"/>
              </w:placeholder>
            </w:sdtPr>
            <w:sdtEndPr>
              <w:rPr>
                <w:rFonts w:ascii="Calibri" w:hAnsi="Calibri" w:cs="Calibri" w:eastAsiaTheme="minorHAnsi"/>
                <w:sz w:val="22"/>
                <w:szCs w:val="22"/>
                <w:lang w:val="en-GB" w:eastAsia="en-US" w:bidi="ar-SA"/>
              </w:rPr>
            </w:sdtEndPr>
            <w:sdtContent>
              <w:r>
                <w:rPr>
                  <w:rFonts w:hint="default" w:ascii="Verdana" w:hAnsi="Verdana" w:cs="Calibri" w:eastAsiaTheme="minorHAnsi"/>
                </w:rPr>
                <w:t xml:space="preserve">1.3 </w:t>
              </w:r>
              <w:r>
                <w:rPr>
                  <w:rFonts w:ascii="Verdana" w:hAnsi="Verdana" w:cs="Calibri" w:eastAsiaTheme="minorHAnsi"/>
                </w:rPr>
                <w:t>Definitions of Major Concepts</w:t>
              </w:r>
            </w:sdtContent>
          </w:sdt>
          <w:r>
            <w:tab/>
          </w:r>
          <w:bookmarkStart w:id="4" w:name="_Toc20361_WPSOffice_Level2Page"/>
          <w:r>
            <w:t>4</w:t>
          </w:r>
          <w:bookmarkEnd w:id="4"/>
          <w:r>
            <w:fldChar w:fldCharType="end"/>
          </w:r>
        </w:p>
        <w:p>
          <w:pPr>
            <w:pStyle w:val="14"/>
            <w:tabs>
              <w:tab w:val="right" w:leader="dot" w:pos="9026"/>
            </w:tabs>
          </w:pPr>
          <w:r>
            <w:fldChar w:fldCharType="begin"/>
          </w:r>
          <w:r>
            <w:instrText xml:space="preserve"> HYPERLINK \l _Toc22056_WPSOffice_Level1 </w:instrText>
          </w:r>
          <w:r>
            <w:fldChar w:fldCharType="separate"/>
          </w:r>
          <w:sdt>
            <w:sdtPr>
              <w:rPr>
                <w:rFonts w:ascii="Calibri" w:hAnsi="Calibri" w:cs="Calibri" w:eastAsiaTheme="minorHAnsi"/>
                <w:sz w:val="22"/>
                <w:szCs w:val="22"/>
                <w:lang w:val="en-GB" w:eastAsia="en-US" w:bidi="ar-SA"/>
              </w:rPr>
              <w:id w:val="147472630"/>
              <w:placeholder>
                <w:docPart w:val="{5728551e-3672-4681-ad6b-cf24417aa359}"/>
              </w:placeholder>
            </w:sdtPr>
            <w:sdtEndPr>
              <w:rPr>
                <w:rFonts w:ascii="Calibri" w:hAnsi="Calibri" w:cs="Calibri" w:eastAsiaTheme="minorHAnsi"/>
                <w:sz w:val="22"/>
                <w:szCs w:val="22"/>
                <w:lang w:val="en-GB" w:eastAsia="en-US" w:bidi="ar-SA"/>
              </w:rPr>
            </w:sdtEndPr>
            <w:sdtContent>
              <w:r>
                <w:rPr>
                  <w:rFonts w:hint="default" w:ascii="Verdana" w:hAnsi="Verdana" w:cs="Calibri" w:eastAsiaTheme="minorHAnsi"/>
                </w:rPr>
                <w:t xml:space="preserve">2 </w:t>
              </w:r>
              <w:r>
                <w:rPr>
                  <w:rFonts w:hint="eastAsia" w:ascii="Verdana" w:hAnsi="Verdana" w:cs="Calibri" w:eastAsiaTheme="minorHAnsi"/>
                </w:rPr>
                <w:t>Main Body</w:t>
              </w:r>
            </w:sdtContent>
          </w:sdt>
          <w:r>
            <w:tab/>
          </w:r>
          <w:bookmarkStart w:id="5" w:name="_Toc22056_WPSOffice_Level1Page"/>
          <w:r>
            <w:t>7</w:t>
          </w:r>
          <w:bookmarkEnd w:id="5"/>
          <w:r>
            <w:fldChar w:fldCharType="end"/>
          </w:r>
        </w:p>
        <w:p>
          <w:pPr>
            <w:pStyle w:val="15"/>
            <w:tabs>
              <w:tab w:val="right" w:leader="dot" w:pos="9026"/>
            </w:tabs>
          </w:pPr>
          <w:r>
            <w:fldChar w:fldCharType="begin"/>
          </w:r>
          <w:r>
            <w:instrText xml:space="preserve"> HYPERLINK \l _Toc24750_WPSOffice_Level2 </w:instrText>
          </w:r>
          <w:r>
            <w:fldChar w:fldCharType="separate"/>
          </w:r>
          <w:sdt>
            <w:sdtPr>
              <w:rPr>
                <w:rFonts w:ascii="Calibri" w:hAnsi="Calibri" w:cs="Calibri" w:eastAsiaTheme="minorHAnsi"/>
                <w:sz w:val="22"/>
                <w:szCs w:val="22"/>
                <w:lang w:val="en-GB" w:eastAsia="en-US" w:bidi="ar-SA"/>
              </w:rPr>
              <w:id w:val="147472630"/>
              <w:placeholder>
                <w:docPart w:val="{bd54b7ae-7778-490e-b72c-f76de28042db}"/>
              </w:placeholder>
            </w:sdtPr>
            <w:sdtEndPr>
              <w:rPr>
                <w:rFonts w:ascii="Calibri" w:hAnsi="Calibri" w:cs="Calibri" w:eastAsiaTheme="minorHAnsi"/>
                <w:sz w:val="22"/>
                <w:szCs w:val="22"/>
                <w:lang w:val="en-GB" w:eastAsia="en-US" w:bidi="ar-SA"/>
              </w:rPr>
            </w:sdtEndPr>
            <w:sdtContent>
              <w:r>
                <w:rPr>
                  <w:rFonts w:hint="default" w:ascii="Verdana" w:hAnsi="Verdana" w:cs="Calibri" w:eastAsiaTheme="minorHAnsi"/>
                </w:rPr>
                <w:t xml:space="preserve">2.1 </w:t>
              </w:r>
              <w:r>
                <w:rPr>
                  <w:rFonts w:ascii="Verdana" w:hAnsi="Verdana" w:cs="Calibri" w:eastAsiaTheme="minorHAnsi"/>
                </w:rPr>
                <w:t>IMpl</w:t>
              </w:r>
              <w:r>
                <w:rPr>
                  <w:rFonts w:hint="eastAsia" w:ascii="Verdana" w:hAnsi="Verdana" w:cs="Calibri" w:eastAsiaTheme="minorHAnsi"/>
                </w:rPr>
                <w:t>e</w:t>
              </w:r>
              <w:r>
                <w:rPr>
                  <w:rFonts w:ascii="Verdana" w:hAnsi="Verdana" w:cs="Calibri" w:eastAsiaTheme="minorHAnsi"/>
                </w:rPr>
                <w:t>mentation of the strategy</w:t>
              </w:r>
            </w:sdtContent>
          </w:sdt>
          <w:r>
            <w:tab/>
          </w:r>
          <w:bookmarkStart w:id="6" w:name="_Toc24750_WPSOffice_Level2Page"/>
          <w:r>
            <w:t>8</w:t>
          </w:r>
          <w:bookmarkEnd w:id="6"/>
          <w:r>
            <w:fldChar w:fldCharType="end"/>
          </w:r>
        </w:p>
        <w:p>
          <w:pPr>
            <w:pStyle w:val="15"/>
            <w:tabs>
              <w:tab w:val="right" w:leader="dot" w:pos="9026"/>
            </w:tabs>
          </w:pPr>
          <w:r>
            <w:fldChar w:fldCharType="begin"/>
          </w:r>
          <w:r>
            <w:instrText xml:space="preserve"> HYPERLINK \l _Toc14647_WPSOffice_Level2 </w:instrText>
          </w:r>
          <w:r>
            <w:fldChar w:fldCharType="separate"/>
          </w:r>
          <w:sdt>
            <w:sdtPr>
              <w:rPr>
                <w:rFonts w:ascii="Calibri" w:hAnsi="Calibri" w:cs="Calibri" w:eastAsiaTheme="minorHAnsi"/>
                <w:sz w:val="22"/>
                <w:szCs w:val="22"/>
                <w:lang w:val="en-GB" w:eastAsia="en-US" w:bidi="ar-SA"/>
              </w:rPr>
              <w:id w:val="147472630"/>
              <w:placeholder>
                <w:docPart w:val="{c15da311-ec38-4192-b8bb-f5f6da90e1fe}"/>
              </w:placeholder>
            </w:sdtPr>
            <w:sdtEndPr>
              <w:rPr>
                <w:rFonts w:ascii="Calibri" w:hAnsi="Calibri" w:cs="Calibri" w:eastAsiaTheme="minorHAnsi"/>
                <w:sz w:val="22"/>
                <w:szCs w:val="22"/>
                <w:lang w:val="en-GB" w:eastAsia="en-US" w:bidi="ar-SA"/>
              </w:rPr>
            </w:sdtEndPr>
            <w:sdtContent>
              <w:r>
                <w:rPr>
                  <w:rFonts w:hint="default" w:ascii="Verdana" w:hAnsi="Verdana" w:cs="Calibri" w:eastAsiaTheme="minorHAnsi"/>
                </w:rPr>
                <w:t xml:space="preserve">2.2 </w:t>
              </w:r>
              <w:r>
                <w:rPr>
                  <w:rFonts w:ascii="Verdana" w:hAnsi="Verdana" w:cs="Calibri" w:eastAsiaTheme="minorHAnsi"/>
                </w:rPr>
                <w:t>Advantages &amp; Disadvantages of the strategy</w:t>
              </w:r>
            </w:sdtContent>
          </w:sdt>
          <w:r>
            <w:tab/>
          </w:r>
          <w:bookmarkStart w:id="7" w:name="_Toc14647_WPSOffice_Level2Page"/>
          <w:r>
            <w:t>11</w:t>
          </w:r>
          <w:bookmarkEnd w:id="7"/>
          <w:r>
            <w:fldChar w:fldCharType="end"/>
          </w:r>
        </w:p>
        <w:p>
          <w:pPr>
            <w:pStyle w:val="16"/>
            <w:tabs>
              <w:tab w:val="right" w:leader="dot" w:pos="9026"/>
            </w:tabs>
          </w:pPr>
          <w:r>
            <w:fldChar w:fldCharType="begin"/>
          </w:r>
          <w:r>
            <w:instrText xml:space="preserve"> HYPERLINK \l _Toc22056_WPSOffice_Level3 </w:instrText>
          </w:r>
          <w:r>
            <w:fldChar w:fldCharType="separate"/>
          </w:r>
          <w:sdt>
            <w:sdtPr>
              <w:rPr>
                <w:rFonts w:ascii="Calibri" w:hAnsi="Calibri" w:cs="Calibri" w:eastAsiaTheme="minorHAnsi"/>
                <w:sz w:val="22"/>
                <w:szCs w:val="22"/>
                <w:lang w:val="en-GB" w:eastAsia="en-US" w:bidi="ar-SA"/>
              </w:rPr>
              <w:id w:val="147472630"/>
              <w:placeholder>
                <w:docPart w:val="{492ece1b-dec0-4c78-b856-3374335ef9d9}"/>
              </w:placeholder>
            </w:sdtPr>
            <w:sdtEndPr>
              <w:rPr>
                <w:rFonts w:ascii="Calibri" w:hAnsi="Calibri" w:cs="Calibri" w:eastAsiaTheme="minorHAnsi"/>
                <w:sz w:val="22"/>
                <w:szCs w:val="22"/>
                <w:lang w:val="en-GB" w:eastAsia="en-US" w:bidi="ar-SA"/>
              </w:rPr>
            </w:sdtEndPr>
            <w:sdtContent>
              <w:r>
                <w:rPr>
                  <w:rFonts w:hint="eastAsia" w:ascii="Calibri" w:hAnsi="Calibri" w:cs="Calibri" w:eastAsiaTheme="minorHAnsi"/>
                </w:rPr>
                <w:t>2.2.1 Advantages of the differentiation strategy</w:t>
              </w:r>
            </w:sdtContent>
          </w:sdt>
          <w:r>
            <w:tab/>
          </w:r>
          <w:bookmarkStart w:id="8" w:name="_Toc22056_WPSOffice_Level3Page"/>
          <w:r>
            <w:t>11</w:t>
          </w:r>
          <w:bookmarkEnd w:id="8"/>
          <w:r>
            <w:fldChar w:fldCharType="end"/>
          </w:r>
        </w:p>
        <w:p>
          <w:pPr>
            <w:pStyle w:val="16"/>
            <w:tabs>
              <w:tab w:val="right" w:leader="dot" w:pos="9026"/>
            </w:tabs>
          </w:pPr>
          <w:r>
            <w:fldChar w:fldCharType="begin"/>
          </w:r>
          <w:r>
            <w:instrText xml:space="preserve"> HYPERLINK \l _Toc25217_WPSOffice_Level3 </w:instrText>
          </w:r>
          <w:r>
            <w:fldChar w:fldCharType="separate"/>
          </w:r>
          <w:sdt>
            <w:sdtPr>
              <w:rPr>
                <w:rFonts w:ascii="Calibri" w:hAnsi="Calibri" w:cs="Calibri" w:eastAsiaTheme="minorHAnsi"/>
                <w:sz w:val="22"/>
                <w:szCs w:val="22"/>
                <w:lang w:val="en-GB" w:eastAsia="en-US" w:bidi="ar-SA"/>
              </w:rPr>
              <w:id w:val="147472630"/>
              <w:placeholder>
                <w:docPart w:val="{4ba7e6a6-a621-43b6-bd34-753c754df349}"/>
              </w:placeholder>
            </w:sdtPr>
            <w:sdtEndPr>
              <w:rPr>
                <w:rFonts w:ascii="Calibri" w:hAnsi="Calibri" w:cs="Calibri" w:eastAsiaTheme="minorHAnsi"/>
                <w:sz w:val="22"/>
                <w:szCs w:val="22"/>
                <w:lang w:val="en-GB" w:eastAsia="en-US" w:bidi="ar-SA"/>
              </w:rPr>
            </w:sdtEndPr>
            <w:sdtContent>
              <w:r>
                <w:rPr>
                  <w:rFonts w:hint="eastAsia" w:ascii="Calibri" w:hAnsi="Calibri" w:cs="Calibri" w:eastAsiaTheme="minorHAnsi"/>
                </w:rPr>
                <w:t>2.2.2 Disadvantages of the differentiation strategy</w:t>
              </w:r>
            </w:sdtContent>
          </w:sdt>
          <w:r>
            <w:tab/>
          </w:r>
          <w:bookmarkStart w:id="9" w:name="_Toc25217_WPSOffice_Level3Page"/>
          <w:r>
            <w:t>12</w:t>
          </w:r>
          <w:bookmarkEnd w:id="9"/>
          <w:r>
            <w:fldChar w:fldCharType="end"/>
          </w:r>
        </w:p>
        <w:p>
          <w:pPr>
            <w:pStyle w:val="14"/>
            <w:tabs>
              <w:tab w:val="right" w:leader="dot" w:pos="9026"/>
            </w:tabs>
          </w:pPr>
          <w:r>
            <w:fldChar w:fldCharType="begin"/>
          </w:r>
          <w:r>
            <w:instrText xml:space="preserve"> HYPERLINK \l _Toc25217_WPSOffice_Level1 </w:instrText>
          </w:r>
          <w:r>
            <w:fldChar w:fldCharType="separate"/>
          </w:r>
          <w:sdt>
            <w:sdtPr>
              <w:rPr>
                <w:rFonts w:ascii="Calibri" w:hAnsi="Calibri" w:cs="Calibri" w:eastAsiaTheme="minorHAnsi"/>
                <w:sz w:val="22"/>
                <w:szCs w:val="22"/>
                <w:lang w:val="en-GB" w:eastAsia="en-US" w:bidi="ar-SA"/>
              </w:rPr>
              <w:id w:val="147472630"/>
              <w:placeholder>
                <w:docPart w:val="{47165fed-7ce0-4ac0-b9e8-c15f87fbf363}"/>
              </w:placeholder>
            </w:sdtPr>
            <w:sdtEndPr>
              <w:rPr>
                <w:rFonts w:ascii="Calibri" w:hAnsi="Calibri" w:cs="Calibri" w:eastAsiaTheme="minorHAnsi"/>
                <w:sz w:val="22"/>
                <w:szCs w:val="22"/>
                <w:lang w:val="en-GB" w:eastAsia="en-US" w:bidi="ar-SA"/>
              </w:rPr>
            </w:sdtEndPr>
            <w:sdtContent>
              <w:r>
                <w:rPr>
                  <w:rFonts w:hint="default" w:ascii="Verdana" w:hAnsi="Verdana" w:cs="Calibri" w:eastAsiaTheme="minorHAnsi"/>
                </w:rPr>
                <w:t xml:space="preserve">3 </w:t>
              </w:r>
              <w:r>
                <w:rPr>
                  <w:rFonts w:ascii="Verdana" w:hAnsi="Verdana" w:cs="Calibri" w:eastAsiaTheme="minorHAnsi"/>
                </w:rPr>
                <w:t>Conclusion</w:t>
              </w:r>
            </w:sdtContent>
          </w:sdt>
          <w:r>
            <w:tab/>
          </w:r>
          <w:bookmarkStart w:id="10" w:name="_Toc25217_WPSOffice_Level1Page"/>
          <w:r>
            <w:t>14</w:t>
          </w:r>
          <w:bookmarkEnd w:id="10"/>
          <w:r>
            <w:fldChar w:fldCharType="end"/>
          </w:r>
        </w:p>
        <w:p>
          <w:pPr>
            <w:pStyle w:val="14"/>
            <w:tabs>
              <w:tab w:val="right" w:leader="dot" w:pos="9026"/>
            </w:tabs>
          </w:pPr>
          <w:r>
            <w:fldChar w:fldCharType="begin"/>
          </w:r>
          <w:r>
            <w:instrText xml:space="preserve"> HYPERLINK \l _Toc20361_WPSOffice_Level1 </w:instrText>
          </w:r>
          <w:r>
            <w:fldChar w:fldCharType="separate"/>
          </w:r>
          <w:sdt>
            <w:sdtPr>
              <w:rPr>
                <w:rFonts w:ascii="Calibri" w:hAnsi="Calibri" w:cs="Calibri" w:eastAsiaTheme="minorHAnsi"/>
                <w:sz w:val="22"/>
                <w:szCs w:val="22"/>
                <w:lang w:val="en-GB" w:eastAsia="en-US" w:bidi="ar-SA"/>
              </w:rPr>
              <w:id w:val="147472630"/>
              <w:placeholder>
                <w:docPart w:val="{b86d33aa-1564-4b3f-803c-8526c1ddf893}"/>
              </w:placeholder>
            </w:sdtPr>
            <w:sdtEndPr>
              <w:rPr>
                <w:rFonts w:ascii="Calibri" w:hAnsi="Calibri" w:cs="Calibri" w:eastAsiaTheme="minorHAnsi"/>
                <w:sz w:val="22"/>
                <w:szCs w:val="22"/>
                <w:lang w:val="en-GB" w:eastAsia="en-US" w:bidi="ar-SA"/>
              </w:rPr>
            </w:sdtEndPr>
            <w:sdtContent>
              <w:r>
                <w:rPr>
                  <w:rFonts w:hint="default" w:ascii="Verdana" w:hAnsi="Verdana" w:cs="Calibri" w:eastAsiaTheme="minorHAnsi"/>
                </w:rPr>
                <w:t xml:space="preserve">4 </w:t>
              </w:r>
              <w:r>
                <w:rPr>
                  <w:rFonts w:ascii="Verdana" w:hAnsi="Verdana" w:cs="Calibri" w:eastAsiaTheme="minorHAnsi"/>
                </w:rPr>
                <w:t>Recommendations</w:t>
              </w:r>
            </w:sdtContent>
          </w:sdt>
          <w:r>
            <w:tab/>
          </w:r>
          <w:bookmarkStart w:id="11" w:name="_Toc20361_WPSOffice_Level1Page"/>
          <w:r>
            <w:t>14</w:t>
          </w:r>
          <w:bookmarkEnd w:id="11"/>
          <w:r>
            <w:fldChar w:fldCharType="end"/>
          </w:r>
        </w:p>
        <w:p>
          <w:pPr>
            <w:pStyle w:val="14"/>
            <w:tabs>
              <w:tab w:val="right" w:leader="dot" w:pos="9026"/>
            </w:tabs>
          </w:pPr>
          <w:r>
            <w:fldChar w:fldCharType="begin"/>
          </w:r>
          <w:r>
            <w:instrText xml:space="preserve"> HYPERLINK \l _Toc24750_WPSOffice_Level1 </w:instrText>
          </w:r>
          <w:r>
            <w:fldChar w:fldCharType="separate"/>
          </w:r>
          <w:sdt>
            <w:sdtPr>
              <w:rPr>
                <w:rFonts w:ascii="Calibri" w:hAnsi="Calibri" w:cs="Calibri" w:eastAsiaTheme="minorHAnsi"/>
                <w:sz w:val="22"/>
                <w:szCs w:val="22"/>
                <w:lang w:val="en-GB" w:eastAsia="en-US" w:bidi="ar-SA"/>
              </w:rPr>
              <w:id w:val="147472630"/>
              <w:placeholder>
                <w:docPart w:val="{0b5f47f9-a2d1-41c0-8908-e665f786949d}"/>
              </w:placeholder>
            </w:sdtPr>
            <w:sdtEndPr>
              <w:rPr>
                <w:rFonts w:ascii="Calibri" w:hAnsi="Calibri" w:cs="Calibri" w:eastAsiaTheme="minorHAnsi"/>
                <w:sz w:val="22"/>
                <w:szCs w:val="22"/>
                <w:lang w:val="en-GB" w:eastAsia="en-US" w:bidi="ar-SA"/>
              </w:rPr>
            </w:sdtEndPr>
            <w:sdtContent>
              <w:r>
                <w:rPr>
                  <w:rFonts w:hint="eastAsia" w:ascii="Verdana" w:hAnsi="Verdana" w:cs="Calibri" w:eastAsiaTheme="minorHAnsi"/>
                </w:rPr>
                <w:t>Reference</w:t>
              </w:r>
            </w:sdtContent>
          </w:sdt>
          <w:r>
            <w:tab/>
          </w:r>
          <w:bookmarkStart w:id="12" w:name="_Toc24750_WPSOffice_Level1Page"/>
          <w:r>
            <w:t>15</w:t>
          </w:r>
          <w:bookmarkEnd w:id="12"/>
          <w:r>
            <w:fldChar w:fldCharType="end"/>
          </w:r>
          <w:bookmarkEnd w:id="0"/>
        </w:p>
      </w:sdtContent>
    </w:sdt>
    <w:p/>
    <w:p/>
    <w:p/>
    <w:p/>
    <w:p/>
    <w:p/>
    <w:p/>
    <w:p/>
    <w:p/>
    <w:p/>
    <w:p/>
    <w:p/>
    <w:p/>
    <w:p/>
    <w:p/>
    <w:p/>
    <w:p/>
    <w:p/>
    <w:p/>
    <w:p/>
    <w:p>
      <w:pPr>
        <w:pStyle w:val="3"/>
        <w:rPr>
          <w:rFonts w:hint="eastAsia" w:ascii="Verdana" w:hAnsi="Verdana" w:eastAsia="Times New Roman" w:cs="Arial"/>
          <w:b/>
          <w:bCs/>
          <w:caps/>
          <w:sz w:val="18"/>
          <w:szCs w:val="20"/>
          <w:lang w:val="en-US" w:eastAsia="zh-CN" w:bidi="ar-SA"/>
        </w:rPr>
      </w:pPr>
      <w:r>
        <w:rPr>
          <w:rFonts w:hint="eastAsia" w:eastAsia="宋体"/>
          <w:lang w:val="en-US" w:eastAsia="zh-CN"/>
        </w:rPr>
        <w:t xml:space="preserve">                        </w:t>
      </w:r>
      <w:r>
        <w:rPr>
          <w:rFonts w:hint="eastAsia" w:ascii="Verdana" w:hAnsi="Verdana" w:eastAsia="Times New Roman" w:cs="Arial"/>
          <w:b/>
          <w:bCs/>
          <w:caps/>
          <w:sz w:val="18"/>
          <w:szCs w:val="20"/>
          <w:lang w:val="en-US" w:eastAsia="zh-CN" w:bidi="ar-SA"/>
        </w:rPr>
        <w:t>Executive  Summary</w:t>
      </w:r>
    </w:p>
    <w:p>
      <w:pPr>
        <w:pStyle w:val="3"/>
        <w:rPr>
          <w:rFonts w:hint="eastAsia" w:ascii="Verdana" w:hAnsi="Verdana" w:eastAsia="Times New Roman" w:cs="Arial"/>
          <w:b/>
          <w:bCs/>
          <w:caps/>
          <w:sz w:val="18"/>
          <w:szCs w:val="20"/>
          <w:lang w:val="en-US" w:eastAsia="zh-CN" w:bidi="ar-SA"/>
        </w:rPr>
      </w:pPr>
    </w:p>
    <w:p>
      <w:pPr>
        <w:numPr>
          <w:ilvl w:val="0"/>
          <w:numId w:val="0"/>
        </w:numPr>
        <w:ind w:left="1078" w:leftChars="408" w:hanging="180" w:hangingChars="100"/>
        <w:rPr>
          <w:rFonts w:hint="eastAsia" w:ascii="Verdana" w:hAnsi="Verdana" w:eastAsia="宋体" w:cs="Times New Roman"/>
          <w:sz w:val="18"/>
          <w:szCs w:val="24"/>
          <w:lang w:val="en-US" w:eastAsia="zh-CN" w:bidi="ar-SA"/>
        </w:rPr>
      </w:pPr>
      <w:r>
        <w:rPr>
          <w:rFonts w:hint="eastAsia" w:ascii="Verdana" w:hAnsi="Verdana" w:eastAsia="宋体" w:cs="Times New Roman"/>
          <w:sz w:val="18"/>
          <w:szCs w:val="24"/>
          <w:lang w:val="en-US" w:eastAsia="zh-CN" w:bidi="ar-SA"/>
        </w:rPr>
        <w:t>1. Remit of Report</w:t>
      </w:r>
    </w:p>
    <w:p>
      <w:pPr>
        <w:numPr>
          <w:ilvl w:val="0"/>
          <w:numId w:val="0"/>
        </w:numPr>
        <w:ind w:left="1079" w:leftChars="327" w:hanging="360" w:hangingChars="200"/>
        <w:rPr>
          <w:rFonts w:hint="eastAsia" w:ascii="Verdana" w:hAnsi="Verdana" w:eastAsia="宋体" w:cs="Times New Roman"/>
          <w:sz w:val="18"/>
          <w:szCs w:val="24"/>
          <w:lang w:val="en-US" w:eastAsia="zh-CN" w:bidi="ar-SA"/>
        </w:rPr>
      </w:pPr>
      <w:r>
        <w:rPr>
          <w:rFonts w:hint="eastAsia" w:ascii="Verdana" w:hAnsi="Verdana" w:eastAsia="宋体" w:cs="Times New Roman"/>
          <w:sz w:val="18"/>
          <w:szCs w:val="24"/>
          <w:lang w:val="en-US" w:eastAsia="zh-CN" w:bidi="ar-SA"/>
        </w:rPr>
        <w:t xml:space="preserve">    The report is aimed to analyse the core business strategy of Adidas which contributes to   the success of the organization , and analyse the advantages and disadvantages of the strategy.</w:t>
      </w:r>
    </w:p>
    <w:p>
      <w:pPr>
        <w:numPr>
          <w:ilvl w:val="0"/>
          <w:numId w:val="0"/>
        </w:numPr>
        <w:ind w:left="1079" w:leftChars="327" w:hanging="360" w:hangingChars="200"/>
        <w:rPr>
          <w:rFonts w:hint="eastAsia" w:ascii="Verdana" w:hAnsi="Verdana" w:eastAsia="宋体" w:cs="Times New Roman"/>
          <w:sz w:val="18"/>
          <w:szCs w:val="24"/>
          <w:lang w:val="en-US" w:eastAsia="zh-CN" w:bidi="ar-SA"/>
        </w:rPr>
      </w:pPr>
    </w:p>
    <w:p>
      <w:pPr>
        <w:numPr>
          <w:ilvl w:val="0"/>
          <w:numId w:val="2"/>
        </w:numPr>
        <w:ind w:left="720" w:leftChars="0" w:firstLine="220" w:firstLineChars="100"/>
        <w:rPr>
          <w:rFonts w:hint="eastAsia" w:cs="Calibri"/>
          <w:sz w:val="22"/>
          <w:szCs w:val="22"/>
          <w:lang w:val="en-US" w:eastAsia="zh-CN" w:bidi="ar-SA"/>
        </w:rPr>
      </w:pPr>
      <w:r>
        <w:rPr>
          <w:rFonts w:hint="eastAsia" w:ascii="Calibri" w:hAnsi="Calibri" w:cs="Calibri" w:eastAsiaTheme="minorHAnsi"/>
          <w:sz w:val="22"/>
          <w:szCs w:val="22"/>
          <w:lang w:val="en-US" w:eastAsia="zh-CN" w:bidi="ar-SA"/>
        </w:rPr>
        <w:t>Bri</w:t>
      </w:r>
      <w:r>
        <w:rPr>
          <w:rFonts w:hint="eastAsia" w:cs="Calibri"/>
          <w:sz w:val="22"/>
          <w:szCs w:val="22"/>
          <w:lang w:val="en-US" w:eastAsia="zh-CN" w:bidi="ar-SA"/>
        </w:rPr>
        <w:t xml:space="preserve">ef Background Information in Adidas </w:t>
      </w:r>
    </w:p>
    <w:p>
      <w:pPr>
        <w:numPr>
          <w:ilvl w:val="0"/>
          <w:numId w:val="0"/>
        </w:numPr>
        <w:ind w:left="1159" w:leftChars="327" w:hanging="440" w:hangingChars="200"/>
        <w:rPr>
          <w:rFonts w:hint="eastAsia" w:ascii="Verdana" w:hAnsi="Verdana" w:eastAsia="宋体" w:cs="Times New Roman"/>
          <w:sz w:val="18"/>
          <w:szCs w:val="24"/>
          <w:lang w:val="en-US" w:eastAsia="zh-CN" w:bidi="ar-SA"/>
        </w:rPr>
      </w:pPr>
      <w:r>
        <w:rPr>
          <w:rFonts w:hint="eastAsia" w:cs="Calibri"/>
          <w:sz w:val="22"/>
          <w:szCs w:val="22"/>
          <w:lang w:val="en-US" w:eastAsia="zh-CN" w:bidi="ar-SA"/>
        </w:rPr>
        <w:t xml:space="preserve">   </w:t>
      </w:r>
      <w:r>
        <w:rPr>
          <w:rFonts w:hint="eastAsia" w:ascii="Verdana" w:hAnsi="Verdana" w:eastAsia="宋体" w:cs="Times New Roman"/>
          <w:sz w:val="18"/>
          <w:szCs w:val="24"/>
          <w:lang w:val="en-US" w:eastAsia="zh-CN" w:bidi="ar-SA"/>
        </w:rPr>
        <w:t xml:space="preserve">Adidas (Adidas) is a German sporting goods manufacturer and a member of Adidas AG </w:t>
      </w:r>
    </w:p>
    <w:p>
      <w:pPr>
        <w:numPr>
          <w:ilvl w:val="0"/>
          <w:numId w:val="0"/>
        </w:numPr>
        <w:ind w:firstLine="1080" w:firstLineChars="600"/>
        <w:rPr>
          <w:rFonts w:hint="eastAsia" w:cs="Calibri"/>
          <w:sz w:val="22"/>
          <w:szCs w:val="22"/>
          <w:lang w:val="en-US" w:eastAsia="zh-CN" w:bidi="ar-SA"/>
        </w:rPr>
      </w:pPr>
      <w:r>
        <w:rPr>
          <w:rFonts w:hint="eastAsia" w:ascii="Verdana" w:hAnsi="Verdana" w:eastAsia="宋体" w:cs="Times New Roman"/>
          <w:sz w:val="18"/>
          <w:szCs w:val="24"/>
          <w:lang w:val="en-US" w:eastAsia="zh-CN" w:bidi="ar-SA"/>
        </w:rPr>
        <w:t>named after its founder Adolf Adi Dassler.</w:t>
      </w:r>
    </w:p>
    <w:p>
      <w:pPr>
        <w:numPr>
          <w:ilvl w:val="0"/>
          <w:numId w:val="0"/>
        </w:numPr>
        <w:autoSpaceDE w:val="0"/>
        <w:autoSpaceDN w:val="0"/>
        <w:adjustRightInd w:val="0"/>
        <w:spacing w:after="200" w:line="276" w:lineRule="auto"/>
        <w:rPr>
          <w:rFonts w:hint="eastAsia" w:cs="Calibri"/>
          <w:sz w:val="22"/>
          <w:szCs w:val="22"/>
          <w:lang w:val="en-US" w:eastAsia="zh-CN" w:bidi="ar-SA"/>
        </w:rPr>
      </w:pPr>
    </w:p>
    <w:p>
      <w:pPr>
        <w:numPr>
          <w:ilvl w:val="0"/>
          <w:numId w:val="2"/>
        </w:numPr>
        <w:autoSpaceDE w:val="0"/>
        <w:autoSpaceDN w:val="0"/>
        <w:adjustRightInd w:val="0"/>
        <w:spacing w:after="200" w:line="276" w:lineRule="auto"/>
        <w:ind w:left="720" w:leftChars="0" w:firstLine="220" w:firstLineChars="100"/>
        <w:rPr>
          <w:rFonts w:hint="eastAsia" w:cs="Calibri"/>
          <w:sz w:val="22"/>
          <w:szCs w:val="22"/>
          <w:lang w:val="en-US" w:eastAsia="zh-CN" w:bidi="ar-SA"/>
        </w:rPr>
      </w:pPr>
      <w:r>
        <w:rPr>
          <w:rFonts w:hint="eastAsia" w:cs="Calibri"/>
          <w:sz w:val="22"/>
          <w:szCs w:val="22"/>
          <w:lang w:val="en-US" w:eastAsia="zh-CN" w:bidi="ar-SA"/>
        </w:rPr>
        <w:t xml:space="preserve">Summary of the Findings  </w:t>
      </w:r>
    </w:p>
    <w:p>
      <w:pPr>
        <w:numPr>
          <w:ilvl w:val="0"/>
          <w:numId w:val="0"/>
        </w:numPr>
        <w:autoSpaceDE w:val="0"/>
        <w:autoSpaceDN w:val="0"/>
        <w:adjustRightInd w:val="0"/>
        <w:spacing w:after="200" w:line="276" w:lineRule="auto"/>
        <w:ind w:leftChars="100"/>
        <w:rPr>
          <w:rFonts w:hint="eastAsia" w:cs="Calibri"/>
          <w:sz w:val="22"/>
          <w:szCs w:val="22"/>
          <w:lang w:val="en-US" w:eastAsia="zh-CN" w:bidi="ar-SA"/>
        </w:rPr>
      </w:pPr>
      <w:r>
        <w:rPr>
          <w:rFonts w:hint="eastAsia" w:cs="Calibri"/>
          <w:sz w:val="22"/>
          <w:szCs w:val="22"/>
          <w:lang w:val="en-US" w:eastAsia="zh-CN" w:bidi="ar-SA"/>
        </w:rPr>
        <w:t xml:space="preserve">         Adidas adopts differentiation strategy and makes continuous innovation.</w:t>
      </w:r>
    </w:p>
    <w:p>
      <w:pPr>
        <w:numPr>
          <w:ilvl w:val="0"/>
          <w:numId w:val="0"/>
        </w:numPr>
        <w:autoSpaceDE w:val="0"/>
        <w:autoSpaceDN w:val="0"/>
        <w:adjustRightInd w:val="0"/>
        <w:spacing w:after="200" w:line="276" w:lineRule="auto"/>
        <w:ind w:leftChars="100"/>
        <w:rPr>
          <w:rFonts w:hint="eastAsia" w:cs="Calibri"/>
          <w:sz w:val="22"/>
          <w:szCs w:val="22"/>
          <w:lang w:val="en-US" w:eastAsia="zh-CN" w:bidi="ar-SA"/>
        </w:rPr>
      </w:pPr>
    </w:p>
    <w:p>
      <w:pPr>
        <w:numPr>
          <w:ilvl w:val="0"/>
          <w:numId w:val="2"/>
        </w:numPr>
        <w:autoSpaceDE w:val="0"/>
        <w:autoSpaceDN w:val="0"/>
        <w:adjustRightInd w:val="0"/>
        <w:spacing w:after="200" w:line="276" w:lineRule="auto"/>
        <w:ind w:left="720" w:leftChars="0" w:firstLine="220" w:firstLineChars="100"/>
        <w:rPr>
          <w:rFonts w:hint="eastAsia" w:cs="Calibri"/>
          <w:sz w:val="22"/>
          <w:szCs w:val="22"/>
          <w:lang w:val="en-US" w:eastAsia="zh-CN" w:bidi="ar-SA"/>
        </w:rPr>
      </w:pPr>
      <w:r>
        <w:rPr>
          <w:rFonts w:hint="eastAsia" w:cs="Calibri"/>
          <w:sz w:val="22"/>
          <w:szCs w:val="22"/>
          <w:lang w:val="en-US" w:eastAsia="zh-CN" w:bidi="ar-SA"/>
        </w:rPr>
        <w:t>Summary of Advantages and Disadvantages of Differentiation Strategy</w:t>
      </w:r>
    </w:p>
    <w:p>
      <w:pPr>
        <w:numPr>
          <w:ilvl w:val="0"/>
          <w:numId w:val="0"/>
        </w:numPr>
        <w:autoSpaceDE w:val="0"/>
        <w:autoSpaceDN w:val="0"/>
        <w:adjustRightInd w:val="0"/>
        <w:spacing w:after="200" w:line="276" w:lineRule="auto"/>
        <w:ind w:leftChars="100"/>
        <w:rPr>
          <w:rFonts w:hint="eastAsia" w:cs="Calibri"/>
          <w:sz w:val="22"/>
          <w:szCs w:val="22"/>
          <w:lang w:val="en-US" w:eastAsia="zh-CN" w:bidi="ar-SA"/>
        </w:rPr>
      </w:pPr>
      <w:r>
        <w:rPr>
          <w:rFonts w:hint="eastAsia" w:cs="Calibri"/>
          <w:sz w:val="22"/>
          <w:szCs w:val="22"/>
          <w:lang w:val="en-US" w:eastAsia="zh-CN" w:bidi="ar-SA"/>
        </w:rPr>
        <w:t xml:space="preserve">         Advantages:</w:t>
      </w:r>
    </w:p>
    <w:p>
      <w:pPr>
        <w:pStyle w:val="6"/>
        <w:numPr>
          <w:ilvl w:val="0"/>
          <w:numId w:val="3"/>
        </w:numPr>
        <w:spacing w:line="480" w:lineRule="auto"/>
        <w:ind w:left="891" w:leftChars="405" w:firstLine="360" w:firstLineChars="200"/>
        <w:rPr>
          <w:rFonts w:hint="eastAsia" w:eastAsia="宋体"/>
          <w:lang w:val="en-US" w:eastAsia="zh-CN"/>
        </w:rPr>
      </w:pPr>
      <w:r>
        <w:rPr>
          <w:rFonts w:hint="eastAsia" w:eastAsia="宋体"/>
          <w:lang w:val="en-US" w:eastAsia="zh-CN"/>
        </w:rPr>
        <w:t>Form barriers to new entrants</w:t>
      </w:r>
    </w:p>
    <w:p>
      <w:pPr>
        <w:pStyle w:val="6"/>
        <w:numPr>
          <w:ilvl w:val="0"/>
          <w:numId w:val="3"/>
        </w:numPr>
        <w:spacing w:line="480" w:lineRule="auto"/>
        <w:ind w:left="891" w:leftChars="405" w:firstLine="360" w:firstLineChars="200"/>
        <w:rPr>
          <w:rFonts w:hint="eastAsia" w:eastAsia="宋体"/>
          <w:lang w:val="en-US" w:eastAsia="zh-CN"/>
        </w:rPr>
      </w:pPr>
      <w:r>
        <w:rPr>
          <w:rFonts w:hint="eastAsia" w:eastAsia="宋体"/>
          <w:lang w:val="en-US" w:eastAsia="zh-CN"/>
        </w:rPr>
        <w:t>Reduce customer sensitivity to price</w:t>
      </w:r>
    </w:p>
    <w:p>
      <w:pPr>
        <w:pStyle w:val="6"/>
        <w:numPr>
          <w:ilvl w:val="0"/>
          <w:numId w:val="3"/>
        </w:numPr>
        <w:spacing w:line="480" w:lineRule="auto"/>
        <w:ind w:left="891" w:leftChars="405" w:firstLine="360" w:firstLineChars="200"/>
        <w:rPr>
          <w:rFonts w:hint="eastAsia" w:cs="Calibri"/>
          <w:sz w:val="22"/>
          <w:szCs w:val="22"/>
          <w:lang w:val="en-US" w:eastAsia="zh-CN" w:bidi="ar-SA"/>
        </w:rPr>
      </w:pPr>
      <w:r>
        <w:rPr>
          <w:rFonts w:hint="eastAsia" w:eastAsia="宋体"/>
          <w:lang w:val="en-US" w:eastAsia="zh-CN"/>
        </w:rPr>
        <w:t>Enhance the ability to bargain</w:t>
      </w:r>
    </w:p>
    <w:p>
      <w:pPr>
        <w:pStyle w:val="6"/>
        <w:numPr>
          <w:ilvl w:val="0"/>
          <w:numId w:val="0"/>
        </w:numPr>
        <w:spacing w:line="480" w:lineRule="auto"/>
        <w:rPr>
          <w:rFonts w:hint="eastAsia" w:cs="Calibri"/>
          <w:sz w:val="22"/>
          <w:szCs w:val="22"/>
          <w:lang w:val="en-US" w:eastAsia="zh-CN" w:bidi="ar-SA"/>
        </w:rPr>
      </w:pPr>
    </w:p>
    <w:p>
      <w:pPr>
        <w:numPr>
          <w:ilvl w:val="0"/>
          <w:numId w:val="0"/>
        </w:numPr>
        <w:autoSpaceDE w:val="0"/>
        <w:autoSpaceDN w:val="0"/>
        <w:adjustRightInd w:val="0"/>
        <w:spacing w:after="200" w:line="276" w:lineRule="auto"/>
        <w:ind w:leftChars="100"/>
        <w:rPr>
          <w:rFonts w:hint="eastAsia" w:cs="Calibri"/>
          <w:sz w:val="22"/>
          <w:szCs w:val="22"/>
          <w:lang w:val="en-US" w:eastAsia="zh-CN" w:bidi="ar-SA"/>
        </w:rPr>
      </w:pPr>
      <w:r>
        <w:rPr>
          <w:rFonts w:hint="eastAsia" w:cs="Calibri"/>
          <w:sz w:val="22"/>
          <w:szCs w:val="22"/>
          <w:lang w:val="en-US" w:eastAsia="zh-CN" w:bidi="ar-SA"/>
        </w:rPr>
        <w:t xml:space="preserve">         Disadvantages:</w:t>
      </w:r>
    </w:p>
    <w:p>
      <w:pPr>
        <w:pStyle w:val="6"/>
        <w:numPr>
          <w:ilvl w:val="0"/>
          <w:numId w:val="4"/>
        </w:numPr>
        <w:spacing w:line="480" w:lineRule="auto"/>
        <w:ind w:left="1221" w:leftChars="0" w:firstLine="0" w:firstLineChars="0"/>
        <w:rPr>
          <w:rFonts w:hint="eastAsia" w:eastAsia="宋体"/>
          <w:lang w:val="en-US" w:eastAsia="zh-CN"/>
        </w:rPr>
      </w:pPr>
      <w:r>
        <w:rPr>
          <w:rFonts w:hint="eastAsia" w:eastAsia="宋体"/>
          <w:lang w:val="en-US" w:eastAsia="zh-CN"/>
        </w:rPr>
        <w:t>Neglect to imply or promote the value of differentiation to the buyer</w:t>
      </w:r>
    </w:p>
    <w:p>
      <w:pPr>
        <w:pStyle w:val="6"/>
        <w:numPr>
          <w:ilvl w:val="0"/>
          <w:numId w:val="4"/>
        </w:numPr>
        <w:spacing w:line="480" w:lineRule="auto"/>
        <w:ind w:left="1221" w:leftChars="0" w:firstLine="0" w:firstLineChars="0"/>
        <w:rPr>
          <w:rFonts w:hint="eastAsia" w:eastAsia="宋体"/>
          <w:lang w:val="en-US" w:eastAsia="zh-CN"/>
        </w:rPr>
      </w:pPr>
      <w:r>
        <w:rPr>
          <w:rFonts w:hint="eastAsia" w:eastAsia="宋体"/>
          <w:lang w:val="en-US" w:eastAsia="zh-CN"/>
        </w:rPr>
        <w:t>Competitors may try to quickly imitate the differentiated characteristics of the product</w:t>
      </w:r>
    </w:p>
    <w:p>
      <w:pPr>
        <w:pStyle w:val="6"/>
        <w:numPr>
          <w:ilvl w:val="0"/>
          <w:numId w:val="4"/>
        </w:numPr>
        <w:spacing w:line="480" w:lineRule="auto"/>
        <w:ind w:left="1221" w:leftChars="0" w:firstLine="0" w:firstLineChars="0"/>
        <w:rPr>
          <w:rFonts w:hint="eastAsia" w:eastAsia="宋体"/>
          <w:lang w:val="en-US" w:eastAsia="zh-CN"/>
        </w:rPr>
      </w:pPr>
      <w:r>
        <w:rPr>
          <w:rFonts w:hint="eastAsia" w:eastAsia="宋体"/>
          <w:lang w:val="en-US" w:eastAsia="zh-CN"/>
        </w:rPr>
        <w:t>The user's recognition and preference for the value of a particular product is not sufficient to accept the high price of the product</w:t>
      </w:r>
    </w:p>
    <w:p>
      <w:pPr>
        <w:pStyle w:val="6"/>
        <w:numPr>
          <w:ilvl w:val="0"/>
          <w:numId w:val="0"/>
        </w:numPr>
        <w:spacing w:line="480" w:lineRule="auto"/>
        <w:rPr>
          <w:rFonts w:hint="eastAsia" w:eastAsia="宋体"/>
          <w:lang w:val="en-US" w:eastAsia="zh-CN"/>
        </w:rPr>
      </w:pPr>
    </w:p>
    <w:p>
      <w:pPr>
        <w:pStyle w:val="6"/>
        <w:numPr>
          <w:ilvl w:val="0"/>
          <w:numId w:val="2"/>
        </w:numPr>
        <w:spacing w:line="480" w:lineRule="auto"/>
        <w:ind w:left="720" w:leftChars="0" w:firstLine="180" w:firstLineChars="100"/>
        <w:rPr>
          <w:rFonts w:hint="eastAsia" w:eastAsia="宋体"/>
          <w:lang w:val="en-US" w:eastAsia="zh-CN"/>
        </w:rPr>
      </w:pPr>
      <w:r>
        <w:rPr>
          <w:rFonts w:hint="eastAsia" w:eastAsia="宋体"/>
          <w:lang w:val="en-US" w:eastAsia="zh-CN"/>
        </w:rPr>
        <w:t xml:space="preserve"> Recommendations</w:t>
      </w:r>
    </w:p>
    <w:p>
      <w:pPr>
        <w:pStyle w:val="6"/>
        <w:numPr>
          <w:ilvl w:val="0"/>
          <w:numId w:val="5"/>
        </w:numPr>
        <w:spacing w:line="480" w:lineRule="auto"/>
        <w:ind w:left="891" w:leftChars="405" w:firstLine="360" w:firstLineChars="200"/>
        <w:rPr>
          <w:rFonts w:hint="eastAsia" w:eastAsia="宋体"/>
          <w:lang w:val="en-US" w:eastAsia="zh-CN"/>
        </w:rPr>
      </w:pPr>
      <w:r>
        <w:rPr>
          <w:rFonts w:hint="eastAsia" w:eastAsia="宋体"/>
          <w:lang w:val="en-US" w:eastAsia="zh-CN"/>
        </w:rPr>
        <w:t>Adidas should cut the redundant business lines</w:t>
      </w:r>
    </w:p>
    <w:p>
      <w:pPr>
        <w:pStyle w:val="6"/>
        <w:numPr>
          <w:ilvl w:val="0"/>
          <w:numId w:val="5"/>
        </w:numPr>
        <w:spacing w:line="480" w:lineRule="auto"/>
        <w:ind w:left="891" w:leftChars="405" w:firstLine="360" w:firstLineChars="200"/>
        <w:rPr>
          <w:rFonts w:hint="eastAsia" w:eastAsia="宋体"/>
          <w:lang w:val="en-US" w:eastAsia="zh-CN"/>
        </w:rPr>
      </w:pPr>
      <w:r>
        <w:rPr>
          <w:rFonts w:hint="eastAsia" w:eastAsia="宋体"/>
          <w:lang w:val="en-US" w:eastAsia="zh-CN"/>
        </w:rPr>
        <w:t>It is advisable to cut down the price in the emerging markets</w:t>
      </w:r>
    </w:p>
    <w:p>
      <w:pPr>
        <w:numPr>
          <w:ilvl w:val="0"/>
          <w:numId w:val="0"/>
        </w:numPr>
        <w:autoSpaceDE w:val="0"/>
        <w:autoSpaceDN w:val="0"/>
        <w:adjustRightInd w:val="0"/>
        <w:spacing w:after="200" w:line="276" w:lineRule="auto"/>
        <w:rPr>
          <w:b/>
          <w:color w:val="FF0000"/>
        </w:rPr>
      </w:pPr>
    </w:p>
    <w:p>
      <w:pPr>
        <w:pStyle w:val="2"/>
        <w:keepNext/>
        <w:numPr>
          <w:ilvl w:val="0"/>
          <w:numId w:val="6"/>
        </w:numPr>
        <w:tabs>
          <w:tab w:val="left" w:pos="0"/>
        </w:tabs>
        <w:spacing w:after="0" w:line="480" w:lineRule="auto"/>
        <w:ind w:left="851" w:hanging="851"/>
        <w:contextualSpacing w:val="0"/>
        <w:rPr>
          <w:rFonts w:eastAsia="Times New Roman" w:cs="Arial"/>
          <w:bCs/>
          <w:szCs w:val="20"/>
        </w:rPr>
      </w:pPr>
      <w:bookmarkStart w:id="13" w:name="_Toc496043658"/>
      <w:bookmarkStart w:id="14" w:name="_Toc19177_WPSOffice_Level1"/>
      <w:r>
        <w:rPr>
          <w:rFonts w:eastAsia="Times New Roman" w:cs="Arial"/>
          <w:bCs/>
          <w:szCs w:val="20"/>
        </w:rPr>
        <w:t>Introduction</w:t>
      </w:r>
      <w:bookmarkEnd w:id="13"/>
      <w:bookmarkEnd w:id="14"/>
    </w:p>
    <w:p>
      <w:pPr>
        <w:pStyle w:val="6"/>
        <w:spacing w:line="480" w:lineRule="auto"/>
      </w:pPr>
    </w:p>
    <w:p>
      <w:pPr>
        <w:pStyle w:val="6"/>
        <w:spacing w:line="480" w:lineRule="auto"/>
        <w:rPr>
          <w:rFonts w:hint="eastAsia" w:eastAsia="宋体"/>
          <w:lang w:val="en-US" w:eastAsia="zh-CN"/>
        </w:rPr>
      </w:pPr>
      <w:r>
        <w:rPr>
          <w:rFonts w:hint="eastAsia" w:eastAsia="宋体"/>
          <w:lang w:val="en-US" w:eastAsia="zh-CN"/>
        </w:rPr>
        <w:t>As Adidas becomes the second largest company in the sports industry, the experiences could be concluded from strategic analysis of Adidas by utilizing the Porter</w:t>
      </w:r>
      <w:r>
        <w:rPr>
          <w:rFonts w:hint="default" w:eastAsia="宋体"/>
          <w:lang w:val="en-US" w:eastAsia="zh-CN"/>
        </w:rPr>
        <w:t>’</w:t>
      </w:r>
      <w:r>
        <w:rPr>
          <w:rFonts w:hint="eastAsia" w:eastAsia="宋体"/>
          <w:lang w:val="en-US" w:eastAsia="zh-CN"/>
        </w:rPr>
        <w:t>s Generic Strategies. Through the strategic analysis, the advantages and disadvantages of Adidas are more easily understood. To get a more in-depth understanding of business level strategy, the case study is indispensable.</w:t>
      </w:r>
    </w:p>
    <w:p>
      <w:pPr>
        <w:pStyle w:val="6"/>
        <w:spacing w:line="480" w:lineRule="auto"/>
        <w:rPr>
          <w:rFonts w:hint="eastAsia" w:eastAsia="宋体"/>
          <w:lang w:val="en-US" w:eastAsia="zh-CN"/>
        </w:rPr>
      </w:pPr>
    </w:p>
    <w:p>
      <w:pPr>
        <w:pStyle w:val="4"/>
      </w:pPr>
      <w:bookmarkStart w:id="15" w:name="_Toc496043659"/>
      <w:bookmarkStart w:id="16" w:name="_Toc22056_WPSOffice_Level2"/>
      <w:r>
        <w:t>Report Remit</w:t>
      </w:r>
      <w:bookmarkEnd w:id="15"/>
      <w:bookmarkEnd w:id="16"/>
    </w:p>
    <w:p>
      <w:pPr>
        <w:pStyle w:val="6"/>
        <w:keepNext w:val="0"/>
        <w:keepLines w:val="0"/>
        <w:pageBreakBefore w:val="0"/>
        <w:widowControl/>
        <w:kinsoku/>
        <w:wordWrap/>
        <w:overflowPunct/>
        <w:topLinePunct w:val="0"/>
        <w:autoSpaceDE w:val="0"/>
        <w:autoSpaceDN w:val="0"/>
        <w:bidi w:val="0"/>
        <w:adjustRightInd w:val="0"/>
        <w:snapToGrid/>
        <w:spacing w:line="480" w:lineRule="auto"/>
        <w:ind w:left="0" w:leftChars="0" w:firstLine="0" w:firstLineChars="0"/>
        <w:textAlignment w:val="auto"/>
        <w:outlineLvl w:val="9"/>
      </w:pPr>
    </w:p>
    <w:p>
      <w:pPr>
        <w:pStyle w:val="12"/>
        <w:keepNext w:val="0"/>
        <w:keepLines w:val="0"/>
        <w:pageBreakBefore w:val="0"/>
        <w:widowControl/>
        <w:numPr>
          <w:ilvl w:val="0"/>
          <w:numId w:val="0"/>
        </w:numPr>
        <w:tabs>
          <w:tab w:val="clear" w:pos="720"/>
          <w:tab w:val="clear" w:pos="1440"/>
        </w:tabs>
        <w:kinsoku/>
        <w:wordWrap/>
        <w:overflowPunct/>
        <w:topLinePunct w:val="0"/>
        <w:autoSpaceDE w:val="0"/>
        <w:autoSpaceDN w:val="0"/>
        <w:bidi w:val="0"/>
        <w:adjustRightInd w:val="0"/>
        <w:snapToGrid/>
        <w:spacing w:line="480" w:lineRule="auto"/>
        <w:ind w:left="891" w:leftChars="405" w:firstLine="0" w:firstLineChars="0"/>
        <w:jc w:val="both"/>
        <w:textAlignment w:val="auto"/>
        <w:outlineLvl w:val="9"/>
      </w:pPr>
      <w:r>
        <w:rPr>
          <w:rFonts w:hint="eastAsia" w:ascii="Verdana" w:hAnsi="Verdana" w:eastAsia="宋体" w:cs="Times New Roman"/>
          <w:sz w:val="18"/>
          <w:szCs w:val="24"/>
          <w:lang w:val="en-US" w:eastAsia="zh-CN" w:bidi="ar-SA"/>
        </w:rPr>
        <w:t>The report is aimed to analyse the business strategy of Adidas which contributes to  the success of the organization the most. It intends to clarify the competitive strategy utilized by Adidas, and illustrates how Adidas accomplish the strategy. Subsequently, the pros and cons of the certain strategy would be evaluated comprehensively. At length, feasible advice will be listed.</w:t>
      </w:r>
    </w:p>
    <w:p>
      <w:pPr>
        <w:pStyle w:val="4"/>
      </w:pPr>
      <w:bookmarkStart w:id="17" w:name="_Toc496043660"/>
      <w:bookmarkStart w:id="18" w:name="_Toc25217_WPSOffice_Level2"/>
      <w:r>
        <w:t>Background of the organi</w:t>
      </w:r>
      <w:r>
        <w:rPr>
          <w:rFonts w:hint="eastAsia"/>
          <w:lang w:val="en-US" w:eastAsia="zh-CN"/>
        </w:rPr>
        <w:t>z</w:t>
      </w:r>
      <w:r>
        <w:t>ation</w:t>
      </w:r>
      <w:bookmarkEnd w:id="17"/>
      <w:bookmarkEnd w:id="18"/>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val="0"/>
        <w:autoSpaceDN w:val="0"/>
        <w:bidi w:val="0"/>
        <w:adjustRightInd w:val="0"/>
        <w:snapToGrid/>
        <w:spacing w:before="0" w:beforeAutospacing="0" w:after="0" w:afterAutospacing="0" w:line="480" w:lineRule="auto"/>
        <w:ind w:left="891" w:leftChars="405" w:right="0" w:firstLine="0" w:firstLineChars="0"/>
        <w:jc w:val="left"/>
        <w:textAlignment w:val="auto"/>
        <w:outlineLvl w:val="9"/>
        <w:rPr>
          <w:rFonts w:hint="eastAsia" w:ascii="Verdana" w:hAnsi="Verdana" w:eastAsia="宋体" w:cs="Times New Roman"/>
          <w:sz w:val="18"/>
          <w:szCs w:val="24"/>
          <w:lang w:val="en-US" w:eastAsia="zh-CN" w:bidi="ar-SA"/>
        </w:rPr>
      </w:pPr>
      <w:r>
        <w:rPr>
          <w:rFonts w:hint="eastAsia" w:ascii="Verdana" w:hAnsi="Verdana" w:eastAsia="宋体" w:cs="Times New Roman"/>
          <w:sz w:val="18"/>
          <w:szCs w:val="24"/>
          <w:lang w:val="en-US" w:eastAsia="zh-CN" w:bidi="ar-SA"/>
        </w:rPr>
        <w:t>Adidas (Adidas) is a giant of sporting goods manufacturer whose headquarter is located in German. And the name of the company can originate to the founder Adolf Adi Dassler. The renown sporting multinational corporation began produced sports shoes in Heitsogen Olah. The corporation was initially co-founded with Adi</w:t>
      </w:r>
      <w:r>
        <w:rPr>
          <w:rFonts w:hint="default" w:ascii="Verdana" w:hAnsi="Verdana" w:eastAsia="宋体" w:cs="Times New Roman"/>
          <w:sz w:val="18"/>
          <w:szCs w:val="24"/>
          <w:lang w:val="en-US" w:eastAsia="zh-CN" w:bidi="ar-SA"/>
        </w:rPr>
        <w:t>’</w:t>
      </w:r>
      <w:r>
        <w:rPr>
          <w:rFonts w:hint="eastAsia" w:ascii="Verdana" w:hAnsi="Verdana" w:eastAsia="宋体" w:cs="Times New Roman"/>
          <w:sz w:val="18"/>
          <w:szCs w:val="24"/>
          <w:lang w:val="en-US" w:eastAsia="zh-CN" w:bidi="ar-SA"/>
        </w:rPr>
        <w:t xml:space="preserve">s brother,Rudolf Dassler. And Budolf established another brand named PUMA. Other than football-related products, Adidas produces products including basketball, apparel of track and fields and sports shorts as well. The company concentrates its business on sports-related clothing, sports footwear, sports accessories, even on male fragrance and skincare products(Adidas.com  2018). In 2009, </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val="0"/>
        <w:autoSpaceDN w:val="0"/>
        <w:bidi w:val="0"/>
        <w:adjustRightInd w:val="0"/>
        <w:snapToGrid/>
        <w:spacing w:before="0" w:beforeAutospacing="0" w:after="0" w:afterAutospacing="0" w:line="480" w:lineRule="auto"/>
        <w:ind w:left="891" w:leftChars="405" w:right="0" w:firstLine="0" w:firstLineChars="0"/>
        <w:jc w:val="left"/>
        <w:textAlignment w:val="auto"/>
        <w:outlineLvl w:val="9"/>
        <w:rPr>
          <w:rFonts w:hint="eastAsia" w:ascii="Verdana" w:hAnsi="Verdana" w:eastAsia="宋体" w:cs="Times New Roman"/>
          <w:sz w:val="18"/>
          <w:szCs w:val="24"/>
          <w:lang w:val="en-US" w:eastAsia="zh-CN" w:bidi="ar-SA"/>
        </w:rPr>
      </w:pPr>
      <w:r>
        <w:rPr>
          <w:rFonts w:hint="eastAsia" w:ascii="Verdana" w:hAnsi="Verdana" w:eastAsia="宋体" w:cs="Times New Roman"/>
          <w:sz w:val="18"/>
          <w:szCs w:val="24"/>
          <w:lang w:val="en-US" w:eastAsia="zh-CN" w:bidi="ar-SA"/>
        </w:rPr>
        <w:t>a new product of young children</w:t>
      </w:r>
      <w:r>
        <w:rPr>
          <w:rFonts w:hint="default" w:ascii="Verdana" w:hAnsi="Verdana" w:eastAsia="宋体" w:cs="Times New Roman"/>
          <w:sz w:val="18"/>
          <w:szCs w:val="24"/>
          <w:lang w:val="en-US" w:eastAsia="zh-CN" w:bidi="ar-SA"/>
        </w:rPr>
        <w:t>’</w:t>
      </w:r>
      <w:r>
        <w:rPr>
          <w:rFonts w:hint="eastAsia" w:ascii="Verdana" w:hAnsi="Verdana" w:eastAsia="宋体" w:cs="Times New Roman"/>
          <w:sz w:val="18"/>
          <w:szCs w:val="24"/>
          <w:lang w:val="en-US" w:eastAsia="zh-CN" w:bidi="ar-SA"/>
        </w:rPr>
        <w:t>s garments was launched in the market under the collaboration of Disney and Adidas. In the year of 2005, one of the main competitors, Reebok was purchased by Adidas for 3.8 billion dollars. The acquisition aimed to increase the market share of the United States and Canada. The event helped increase its competitive advantages to some degree(</w:t>
      </w:r>
      <w:r>
        <w:rPr>
          <w:rFonts w:ascii="Arial" w:hAnsi="Arial" w:eastAsia="宋体" w:cs="Arial"/>
          <w:i w:val="0"/>
          <w:caps w:val="0"/>
          <w:color w:val="222222"/>
          <w:spacing w:val="0"/>
          <w:sz w:val="19"/>
          <w:szCs w:val="19"/>
          <w:shd w:val="clear" w:fill="FFFFFF"/>
        </w:rPr>
        <w:t>Turner</w:t>
      </w:r>
      <w:r>
        <w:rPr>
          <w:rFonts w:hint="eastAsia" w:ascii="Arial" w:hAnsi="Arial" w:eastAsia="宋体" w:cs="Arial"/>
          <w:i w:val="0"/>
          <w:caps w:val="0"/>
          <w:color w:val="222222"/>
          <w:spacing w:val="0"/>
          <w:sz w:val="19"/>
          <w:szCs w:val="19"/>
          <w:shd w:val="clear" w:fill="FFFFFF"/>
          <w:lang w:val="en-US" w:eastAsia="zh-CN"/>
        </w:rPr>
        <w:t xml:space="preserve"> 2015</w:t>
      </w:r>
      <w:r>
        <w:rPr>
          <w:rFonts w:hint="eastAsia" w:ascii="Verdana" w:hAnsi="Verdana" w:eastAsia="宋体" w:cs="Times New Roman"/>
          <w:sz w:val="18"/>
          <w:szCs w:val="24"/>
          <w:lang w:val="en-US" w:eastAsia="zh-CN" w:bidi="ar-SA"/>
        </w:rPr>
        <w:t xml:space="preserve">). On August 24, 2011, Greenpeace released its findings that Adidas garments have toxic chemical substances . After the negative exposure, the sports industry giant was investigated by the London Olympic Organizing Committee for the wages of Cambodian factory workers who produce London Olympic Games licensed goods at a mere 10 pounds a week(Hertrich and Mayrhofer 2015). </w:t>
      </w:r>
    </w:p>
    <w:p>
      <w:pPr>
        <w:pStyle w:val="2"/>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tabs>
          <w:tab w:val="clear" w:pos="851"/>
        </w:tabs>
        <w:spacing w:before="0" w:beforeAutospacing="0" w:after="0" w:afterAutospacing="0" w:line="450" w:lineRule="atLeast"/>
        <w:ind w:left="891" w:leftChars="405" w:right="0" w:rightChars="0" w:firstLine="0" w:firstLineChars="0"/>
        <w:textAlignment w:val="baseline"/>
        <w:rPr>
          <w:rFonts w:hint="eastAsia" w:eastAsia="宋体"/>
          <w:lang w:val="en-US" w:eastAsia="zh-CN"/>
        </w:rPr>
      </w:pPr>
      <w:r>
        <w:rPr>
          <w:rFonts w:hint="eastAsia" w:ascii="Verdana" w:hAnsi="Verdana" w:eastAsia="宋体" w:cs="Times New Roman"/>
          <w:b w:val="0"/>
          <w:caps w:val="0"/>
          <w:sz w:val="18"/>
          <w:szCs w:val="24"/>
          <w:lang w:val="en-US" w:eastAsia="zh-CN" w:bidi="ar-SA"/>
        </w:rPr>
        <w:t>According to the 2017 fiscal yearly report released by Adidas,</w:t>
      </w:r>
      <w:r>
        <w:rPr>
          <w:rFonts w:hint="eastAsia" w:eastAsia="宋体" w:cs="Times New Roman"/>
          <w:b w:val="0"/>
          <w:caps w:val="0"/>
          <w:sz w:val="18"/>
          <w:szCs w:val="24"/>
          <w:lang w:val="en-US" w:eastAsia="zh-CN" w:bidi="ar-SA"/>
        </w:rPr>
        <w:t xml:space="preserve"> the</w:t>
      </w:r>
      <w:r>
        <w:rPr>
          <w:rFonts w:hint="eastAsia" w:ascii="Verdana" w:hAnsi="Verdana" w:eastAsia="宋体" w:cs="Times New Roman"/>
          <w:b w:val="0"/>
          <w:caps w:val="0"/>
          <w:sz w:val="18"/>
          <w:szCs w:val="24"/>
          <w:lang w:val="en-US" w:eastAsia="zh-CN" w:bidi="ar-SA"/>
        </w:rPr>
        <w:t xml:space="preserve"> Greater China once </w:t>
      </w:r>
      <w:r>
        <w:rPr>
          <w:rFonts w:hint="eastAsia" w:eastAsia="宋体" w:cs="Times New Roman"/>
          <w:b w:val="0"/>
          <w:caps w:val="0"/>
          <w:sz w:val="18"/>
          <w:szCs w:val="24"/>
          <w:lang w:val="en-US" w:eastAsia="zh-CN" w:bidi="ar-SA"/>
        </w:rPr>
        <w:t>has become</w:t>
      </w:r>
      <w:r>
        <w:rPr>
          <w:rFonts w:hint="eastAsia" w:ascii="Verdana" w:hAnsi="Verdana" w:eastAsia="宋体" w:cs="Times New Roman"/>
          <w:b w:val="0"/>
          <w:caps w:val="0"/>
          <w:sz w:val="18"/>
          <w:szCs w:val="24"/>
          <w:lang w:val="en-US" w:eastAsia="zh-CN" w:bidi="ar-SA"/>
        </w:rPr>
        <w:t xml:space="preserve"> the </w:t>
      </w:r>
      <w:r>
        <w:rPr>
          <w:rFonts w:hint="eastAsia" w:eastAsia="宋体" w:cs="Times New Roman"/>
          <w:b w:val="0"/>
          <w:caps w:val="0"/>
          <w:sz w:val="18"/>
          <w:szCs w:val="24"/>
          <w:lang w:val="en-US" w:eastAsia="zh-CN" w:bidi="ar-SA"/>
        </w:rPr>
        <w:t>the retail market with the fastest growing speed</w:t>
      </w:r>
      <w:r>
        <w:rPr>
          <w:rFonts w:hint="eastAsia" w:ascii="Verdana" w:hAnsi="Verdana" w:eastAsia="宋体" w:cs="Times New Roman"/>
          <w:b w:val="0"/>
          <w:caps w:val="0"/>
          <w:sz w:val="18"/>
          <w:szCs w:val="24"/>
          <w:lang w:val="en-US" w:eastAsia="zh-CN" w:bidi="ar-SA"/>
        </w:rPr>
        <w:t xml:space="preserve">. </w:t>
      </w:r>
      <w:r>
        <w:rPr>
          <w:rFonts w:hint="eastAsia" w:eastAsia="宋体" w:cs="Times New Roman"/>
          <w:b w:val="0"/>
          <w:caps w:val="0"/>
          <w:sz w:val="18"/>
          <w:szCs w:val="24"/>
          <w:lang w:val="en-US" w:eastAsia="zh-CN" w:bidi="ar-SA"/>
        </w:rPr>
        <w:t>In spite of the exchange risks</w:t>
      </w:r>
      <w:r>
        <w:rPr>
          <w:rFonts w:hint="eastAsia" w:ascii="Verdana" w:hAnsi="Verdana" w:eastAsia="宋体" w:cs="Times New Roman"/>
          <w:b w:val="0"/>
          <w:caps w:val="0"/>
          <w:sz w:val="18"/>
          <w:szCs w:val="24"/>
          <w:lang w:val="en-US" w:eastAsia="zh-CN" w:bidi="ar-SA"/>
        </w:rPr>
        <w:t xml:space="preserve">, the </w:t>
      </w:r>
      <w:r>
        <w:rPr>
          <w:rFonts w:hint="eastAsia" w:eastAsia="宋体" w:cs="Times New Roman"/>
          <w:b w:val="0"/>
          <w:caps w:val="0"/>
          <w:sz w:val="18"/>
          <w:szCs w:val="24"/>
          <w:lang w:val="en-US" w:eastAsia="zh-CN" w:bidi="ar-SA"/>
        </w:rPr>
        <w:t>growth rate within the year has reached 29%</w:t>
      </w:r>
      <w:r>
        <w:rPr>
          <w:rFonts w:hint="eastAsia" w:ascii="Verdana" w:hAnsi="Verdana" w:eastAsia="宋体" w:cs="Times New Roman"/>
          <w:b w:val="0"/>
          <w:caps w:val="0"/>
          <w:sz w:val="18"/>
          <w:szCs w:val="24"/>
          <w:lang w:val="en-US" w:eastAsia="zh-CN" w:bidi="ar-SA"/>
        </w:rPr>
        <w:t xml:space="preserve">, </w:t>
      </w:r>
      <w:r>
        <w:rPr>
          <w:rFonts w:hint="eastAsia" w:eastAsia="宋体" w:cs="Times New Roman"/>
          <w:b w:val="0"/>
          <w:caps w:val="0"/>
          <w:sz w:val="18"/>
          <w:szCs w:val="24"/>
          <w:lang w:val="en-US" w:eastAsia="zh-CN" w:bidi="ar-SA"/>
        </w:rPr>
        <w:t>which is a new sales record (</w:t>
      </w:r>
      <w:r>
        <w:rPr>
          <w:rFonts w:hint="eastAsia" w:ascii="Verdana" w:hAnsi="Verdana" w:eastAsia="宋体" w:cs="Times New Roman"/>
          <w:b w:val="0"/>
          <w:caps w:val="0"/>
          <w:sz w:val="18"/>
          <w:szCs w:val="24"/>
          <w:lang w:val="en-US" w:eastAsia="zh-CN" w:bidi="ar-SA"/>
        </w:rPr>
        <w:t>Adidas.com</w:t>
      </w:r>
      <w:r>
        <w:rPr>
          <w:rFonts w:hint="eastAsia" w:eastAsia="宋体" w:cs="Times New Roman"/>
          <w:b w:val="0"/>
          <w:caps w:val="0"/>
          <w:sz w:val="18"/>
          <w:szCs w:val="24"/>
          <w:lang w:val="en-US" w:eastAsia="zh-CN" w:bidi="ar-SA"/>
        </w:rPr>
        <w:t xml:space="preserve"> 2018)</w:t>
      </w:r>
      <w:r>
        <w:rPr>
          <w:rFonts w:hint="eastAsia" w:ascii="Verdana" w:hAnsi="Verdana" w:eastAsia="宋体" w:cs="Times New Roman"/>
          <w:b w:val="0"/>
          <w:caps w:val="0"/>
          <w:sz w:val="18"/>
          <w:szCs w:val="24"/>
          <w:lang w:val="en-US" w:eastAsia="zh-CN" w:bidi="ar-SA"/>
        </w:rPr>
        <w:t>. Behind the achievements of the people, Adidas employer image is also very popular. On the social media platform, an employee’s comment on Adidas was impressive -</w:t>
      </w:r>
      <w:r>
        <w:rPr>
          <w:rFonts w:hint="default" w:ascii="Verdana" w:hAnsi="Verdana" w:eastAsia="宋体" w:cs="Times New Roman"/>
          <w:b w:val="0"/>
          <w:caps w:val="0"/>
          <w:sz w:val="18"/>
          <w:szCs w:val="24"/>
          <w:lang w:val="en-US" w:eastAsia="zh-CN" w:bidi="ar-SA"/>
        </w:rPr>
        <w:t>“</w:t>
      </w:r>
      <w:r>
        <w:rPr>
          <w:rFonts w:hint="eastAsia" w:ascii="Verdana" w:hAnsi="Verdana" w:eastAsia="宋体" w:cs="Times New Roman"/>
          <w:b w:val="0"/>
          <w:caps w:val="0"/>
          <w:sz w:val="18"/>
          <w:szCs w:val="24"/>
          <w:lang w:val="en-US" w:eastAsia="zh-CN" w:bidi="ar-SA"/>
        </w:rPr>
        <w:t>This is a place where you can really work and live, not just an office.</w:t>
      </w:r>
      <w:r>
        <w:rPr>
          <w:rFonts w:hint="default" w:ascii="Verdana" w:hAnsi="Verdana" w:eastAsia="宋体" w:cs="Times New Roman"/>
          <w:b w:val="0"/>
          <w:caps w:val="0"/>
          <w:sz w:val="18"/>
          <w:szCs w:val="24"/>
          <w:lang w:val="en-US" w:eastAsia="zh-CN" w:bidi="ar-SA"/>
        </w:rPr>
        <w:t>”</w:t>
      </w:r>
      <w:r>
        <w:rPr>
          <w:rFonts w:hint="eastAsia" w:ascii="Verdana" w:hAnsi="Verdana" w:eastAsia="宋体" w:cs="Times New Roman"/>
          <w:b w:val="0"/>
          <w:caps w:val="0"/>
          <w:sz w:val="18"/>
          <w:szCs w:val="24"/>
          <w:lang w:val="en-US" w:eastAsia="zh-CN" w:bidi="ar-SA"/>
        </w:rPr>
        <w:t xml:space="preserve"> The multinational organization now has 56,888 employees </w:t>
      </w:r>
      <w:r>
        <w:rPr>
          <w:rFonts w:hint="eastAsia" w:eastAsia="宋体" w:cs="Times New Roman"/>
          <w:b w:val="0"/>
          <w:caps w:val="0"/>
          <w:sz w:val="18"/>
          <w:szCs w:val="24"/>
          <w:lang w:val="en-US" w:eastAsia="zh-CN" w:bidi="ar-SA"/>
        </w:rPr>
        <w:t>worldwide. Adidas hires the creative and aggressive talents from the world regardless of nationalities, races and religions.</w:t>
      </w:r>
    </w:p>
    <w:p>
      <w:pPr>
        <w:pStyle w:val="6"/>
        <w:spacing w:line="480" w:lineRule="auto"/>
      </w:pPr>
    </w:p>
    <w:p>
      <w:pPr>
        <w:pStyle w:val="4"/>
      </w:pPr>
      <w:bookmarkStart w:id="19" w:name="_Toc20361_WPSOffice_Level2"/>
      <w:r>
        <w:t>Definitions of Major Concepts</w:t>
      </w:r>
      <w:bookmarkEnd w:id="19"/>
    </w:p>
    <w:p>
      <w:pPr>
        <w:pStyle w:val="6"/>
        <w:spacing w:line="480" w:lineRule="auto"/>
        <w:ind w:left="900" w:hanging="900" w:hangingChars="500"/>
        <w:rPr>
          <w:rFonts w:hint="eastAsia" w:eastAsia="宋体"/>
          <w:lang w:val="en-US" w:eastAsia="zh-CN"/>
        </w:rPr>
      </w:pPr>
      <w:r>
        <w:rPr>
          <w:rFonts w:hint="eastAsia" w:eastAsia="宋体"/>
          <w:lang w:val="en-US" w:eastAsia="zh-CN"/>
        </w:rPr>
        <w:t xml:space="preserve">          The report mainly discussed the strategy of Adidas. Before the content moves on to the strategic analysis. It is essential to define some significant concepts. The strategy is a certain mode that how an organization makes its decisions to achieve its objectives. And as for business level strategies, it means the strategic approach that a profit-seeking organization offers guidelines to the market segmentation and positioning, including financial planning, organizational structuring and so on. It is advisable for a corporation to form right business strategy in order to enhance its competitive advantages (</w:t>
      </w:r>
      <w:r>
        <w:rPr>
          <w:rFonts w:ascii="Arial" w:hAnsi="Arial" w:eastAsia="宋体" w:cs="Arial"/>
          <w:i w:val="0"/>
          <w:caps w:val="0"/>
          <w:color w:val="222222"/>
          <w:spacing w:val="0"/>
          <w:sz w:val="19"/>
          <w:szCs w:val="19"/>
          <w:shd w:val="clear" w:fill="FFFFFF"/>
        </w:rPr>
        <w:t>Dirisu</w:t>
      </w:r>
      <w:r>
        <w:rPr>
          <w:rFonts w:hint="eastAsia" w:ascii="Arial" w:hAnsi="Arial" w:eastAsia="宋体" w:cs="Arial"/>
          <w:i w:val="0"/>
          <w:caps w:val="0"/>
          <w:color w:val="222222"/>
          <w:spacing w:val="0"/>
          <w:sz w:val="19"/>
          <w:szCs w:val="19"/>
          <w:shd w:val="clear" w:fill="FFFFFF"/>
          <w:lang w:val="en-US" w:eastAsia="zh-CN"/>
        </w:rPr>
        <w:t xml:space="preserve"> et al 2013)</w:t>
      </w:r>
      <w:r>
        <w:rPr>
          <w:rFonts w:hint="eastAsia" w:eastAsia="宋体"/>
          <w:lang w:val="en-US" w:eastAsia="zh-CN"/>
        </w:rPr>
        <w:t>. Based on the strategy, each company will make strategic choices, which defines the major strategies, plans and approaches of the company. Strategic choices refer to a series of choices regard to the development of organization, including financial policies, human resource management structure, and choices of corporate culture, etc(</w:t>
      </w:r>
      <w:r>
        <w:rPr>
          <w:rFonts w:ascii="Arial" w:hAnsi="Arial" w:eastAsia="宋体" w:cs="Arial"/>
          <w:i w:val="0"/>
          <w:caps w:val="0"/>
          <w:color w:val="222222"/>
          <w:spacing w:val="0"/>
          <w:sz w:val="19"/>
          <w:szCs w:val="19"/>
          <w:shd w:val="clear" w:fill="FFFFFF"/>
        </w:rPr>
        <w:t>Scholes</w:t>
      </w:r>
      <w:r>
        <w:rPr>
          <w:rFonts w:hint="eastAsia" w:ascii="Arial" w:hAnsi="Arial" w:eastAsia="宋体" w:cs="Arial"/>
          <w:i w:val="0"/>
          <w:caps w:val="0"/>
          <w:color w:val="222222"/>
          <w:spacing w:val="0"/>
          <w:sz w:val="19"/>
          <w:szCs w:val="19"/>
          <w:shd w:val="clear" w:fill="FFFFFF"/>
          <w:lang w:val="en-US" w:eastAsia="zh-CN"/>
        </w:rPr>
        <w:t xml:space="preserve"> 2015</w:t>
      </w:r>
      <w:r>
        <w:rPr>
          <w:rFonts w:hint="eastAsia" w:eastAsia="宋体"/>
          <w:lang w:val="en-US" w:eastAsia="zh-CN"/>
        </w:rPr>
        <w:t>). The strategic choice is aimed at increasing the competitive advantage which can be divided into cost advantage, differentiation advantage and focus advantage.</w:t>
      </w:r>
    </w:p>
    <w:p>
      <w:pPr>
        <w:pStyle w:val="6"/>
        <w:spacing w:line="480" w:lineRule="auto"/>
        <w:ind w:left="0"/>
        <w:rPr>
          <w:rFonts w:hint="eastAsia" w:eastAsia="宋体"/>
          <w:lang w:val="en-US" w:eastAsia="zh-CN"/>
        </w:rPr>
      </w:pPr>
    </w:p>
    <w:p>
      <w:pPr>
        <w:pStyle w:val="6"/>
        <w:spacing w:line="480" w:lineRule="auto"/>
        <w:ind w:left="900" w:hanging="904" w:hangingChars="500"/>
        <w:rPr>
          <w:rFonts w:hint="eastAsia" w:eastAsia="宋体"/>
          <w:lang w:val="en-US" w:eastAsia="zh-CN"/>
        </w:rPr>
      </w:pPr>
      <w:r>
        <w:rPr>
          <w:rFonts w:hint="eastAsia" w:eastAsia="宋体"/>
          <w:b/>
          <w:color w:val="FF0000"/>
          <w:lang w:val="en-US" w:eastAsia="zh-CN"/>
        </w:rPr>
        <w:t xml:space="preserve">          </w:t>
      </w:r>
      <w:r>
        <w:rPr>
          <w:rFonts w:hint="eastAsia" w:eastAsia="宋体"/>
          <w:lang w:val="en-US" w:eastAsia="zh-CN"/>
        </w:rPr>
        <w:t>To analyse the strategies utilized by Adidas comprehensively, the Porter</w:t>
      </w:r>
      <w:r>
        <w:rPr>
          <w:rFonts w:hint="default" w:eastAsia="宋体"/>
          <w:lang w:val="en-US" w:eastAsia="zh-CN"/>
        </w:rPr>
        <w:t>’</w:t>
      </w:r>
      <w:r>
        <w:rPr>
          <w:rFonts w:hint="eastAsia" w:eastAsia="宋体"/>
          <w:lang w:val="en-US" w:eastAsia="zh-CN"/>
        </w:rPr>
        <w:t xml:space="preserve">s Generic Strategies are applied. According to Michael Porter, the strategy urges corporations to acquire competitive advantages from cost leadership, differentiation strategy and focus strategy. There are four main types including cost leadership, differentiation, focus cost leadership and focus differentiation(Gehani 2013). </w:t>
      </w:r>
    </w:p>
    <w:p>
      <w:pPr>
        <w:pStyle w:val="6"/>
        <w:spacing w:line="480" w:lineRule="auto"/>
        <w:ind w:left="891" w:leftChars="405" w:firstLine="0" w:firstLineChars="0"/>
        <w:rPr>
          <w:rFonts w:hint="eastAsia" w:eastAsia="宋体"/>
          <w:lang w:val="en-US" w:eastAsia="zh-CN"/>
        </w:rPr>
      </w:pPr>
    </w:p>
    <w:p>
      <w:pPr>
        <w:pStyle w:val="6"/>
        <w:spacing w:line="480" w:lineRule="auto"/>
        <w:ind w:left="891" w:leftChars="405" w:firstLine="0" w:firstLineChars="0"/>
        <w:rPr>
          <w:rFonts w:hint="eastAsia" w:eastAsia="宋体"/>
          <w:lang w:val="en-US" w:eastAsia="zh-CN"/>
        </w:rPr>
      </w:pPr>
      <w:r>
        <w:rPr>
          <w:rFonts w:hint="eastAsia" w:eastAsia="宋体"/>
          <w:lang w:val="en-US" w:eastAsia="zh-CN"/>
        </w:rPr>
        <w:t xml:space="preserve">The cost leadership put an emphasis on offering standardized goods to price-sensitive consumers at a relatively low price. This tactic will be adopted by the company if the competition of price among the suppliers is extremely fierce; the differentiation of products is hard to be noticed, and there are many interested sellers to supply; there is no way to achieve product differentiation that is beneficial to the buyer; most buyers use the same product; the buyer moves from one seller to another according to the price; the buyer has a large demand and has sufficient capacity to cut the price. There are some potential risks posed by cost leadership strategy: the competitors in the industry probably imitate the strategy and in this way the profitability of the whole industry was undermined; significant technological advances in the industry tend to result in the failure of the cost leadership strategy; the purchaser may transfer interest to other features than the cost. </w:t>
      </w:r>
    </w:p>
    <w:p>
      <w:pPr>
        <w:pStyle w:val="6"/>
        <w:spacing w:line="480" w:lineRule="auto"/>
        <w:ind w:left="900" w:hanging="900" w:hangingChars="500"/>
        <w:rPr>
          <w:rFonts w:hint="eastAsia" w:eastAsia="宋体"/>
          <w:lang w:val="en-US" w:eastAsia="zh-CN"/>
        </w:rPr>
      </w:pPr>
    </w:p>
    <w:p>
      <w:pPr>
        <w:pStyle w:val="6"/>
        <w:spacing w:line="480" w:lineRule="auto"/>
        <w:ind w:left="891" w:leftChars="405" w:firstLine="0" w:firstLineChars="0"/>
        <w:rPr>
          <w:rFonts w:hint="eastAsia" w:eastAsia="宋体"/>
          <w:lang w:val="en-US" w:eastAsia="zh-CN"/>
        </w:rPr>
      </w:pPr>
      <w:r>
        <w:rPr>
          <w:rFonts w:hint="eastAsia" w:eastAsia="宋体"/>
          <w:lang w:val="en-US" w:eastAsia="zh-CN"/>
        </w:rPr>
        <w:t>Differentiation strategy means that uniqueness of products and services enables them to be less price-sensitive to consumers. The strategies tend to be utilized by corporations if the corporation is capable of efficiently coordinating researching and marketing functionality; the corporation cultivates its unique corporate cultures and values to attract creative talents and diligent employees; the buyers</w:t>
      </w:r>
      <w:r>
        <w:rPr>
          <w:rFonts w:hint="default" w:eastAsia="宋体"/>
          <w:lang w:val="en-US" w:eastAsia="zh-CN"/>
        </w:rPr>
        <w:t>’</w:t>
      </w:r>
      <w:r>
        <w:rPr>
          <w:rFonts w:hint="eastAsia" w:eastAsia="宋体"/>
          <w:lang w:val="en-US" w:eastAsia="zh-CN"/>
        </w:rPr>
        <w:t xml:space="preserve"> needs are diversified; the companies seldom  adopt the same strategy similar to others ; technology advances too quickly, and competition revolves around changing product features.</w:t>
      </w:r>
    </w:p>
    <w:p>
      <w:pPr>
        <w:pStyle w:val="6"/>
        <w:spacing w:line="480" w:lineRule="auto"/>
        <w:ind w:left="900" w:hanging="900" w:hangingChars="500"/>
        <w:rPr>
          <w:rFonts w:hint="eastAsia" w:eastAsia="宋体"/>
          <w:lang w:val="en-US" w:eastAsia="zh-CN"/>
        </w:rPr>
      </w:pPr>
    </w:p>
    <w:p>
      <w:pPr>
        <w:pStyle w:val="6"/>
        <w:spacing w:line="480" w:lineRule="auto"/>
        <w:ind w:left="891" w:leftChars="405" w:firstLine="0" w:firstLineChars="0"/>
        <w:rPr>
          <w:rFonts w:hint="eastAsia" w:eastAsia="宋体"/>
          <w:lang w:val="en-US" w:eastAsia="zh-CN"/>
        </w:rPr>
      </w:pPr>
      <w:r>
        <w:rPr>
          <w:rFonts w:hint="eastAsia" w:eastAsia="宋体"/>
          <w:lang w:val="en-US" w:eastAsia="zh-CN"/>
        </w:rPr>
        <w:t>Focus strategy aims to offer a quantity of consumer groups with the goods or services they desire for. The strategy will be adopted if the target market has a large, profitable and growing niche; business leaders believe that niches are not very important to themselves;</w:t>
      </w:r>
    </w:p>
    <w:p>
      <w:pPr>
        <w:pStyle w:val="6"/>
        <w:spacing w:line="480" w:lineRule="auto"/>
        <w:ind w:left="891" w:leftChars="405" w:firstLine="0" w:firstLineChars="0"/>
        <w:rPr>
          <w:rFonts w:hint="eastAsia" w:eastAsia="宋体"/>
          <w:lang w:val="en-US" w:eastAsia="zh-CN"/>
        </w:rPr>
      </w:pPr>
      <w:r>
        <w:rPr>
          <w:rFonts w:hint="eastAsia" w:eastAsia="宋体"/>
          <w:lang w:val="en-US" w:eastAsia="zh-CN"/>
        </w:rPr>
        <w:t>business leaders believe that while meeting the needs of mainstream customers; the special needs of meeting the niche of the target market are expensive or difficult to meet;</w:t>
      </w:r>
    </w:p>
    <w:p>
      <w:pPr>
        <w:pStyle w:val="6"/>
        <w:spacing w:line="480" w:lineRule="auto"/>
        <w:ind w:left="891" w:leftChars="405" w:firstLine="0" w:firstLineChars="0"/>
        <w:rPr>
          <w:rFonts w:hint="eastAsia" w:eastAsia="宋体"/>
          <w:lang w:val="en-US" w:eastAsia="zh-CN"/>
        </w:rPr>
      </w:pPr>
      <w:r>
        <w:rPr>
          <w:rFonts w:hint="eastAsia" w:eastAsia="宋体"/>
          <w:lang w:val="en-US" w:eastAsia="zh-CN"/>
        </w:rPr>
        <w:t xml:space="preserve">the company has a number of different niches or departments, so that a project can only </w:t>
      </w:r>
    </w:p>
    <w:p>
      <w:pPr>
        <w:pStyle w:val="6"/>
        <w:spacing w:line="480" w:lineRule="auto"/>
        <w:ind w:left="891" w:leftChars="405" w:firstLine="0" w:firstLineChars="0"/>
        <w:rPr>
          <w:rFonts w:hint="eastAsia" w:eastAsia="宋体"/>
          <w:lang w:val="en-US" w:eastAsia="zh-CN"/>
        </w:rPr>
      </w:pPr>
      <w:r>
        <w:rPr>
          <w:rFonts w:hint="eastAsia" w:eastAsia="宋体"/>
          <w:lang w:val="en-US" w:eastAsia="zh-CN"/>
        </w:rPr>
        <w:t xml:space="preserve">choose a niche that is suitable for itself; even if there are, few competitors try to be </w:t>
      </w:r>
    </w:p>
    <w:p>
      <w:pPr>
        <w:pStyle w:val="6"/>
        <w:spacing w:line="480" w:lineRule="auto"/>
        <w:ind w:left="891" w:leftChars="405" w:firstLine="0" w:firstLineChars="0"/>
        <w:rPr>
          <w:rFonts w:hint="eastAsia"/>
          <w:lang w:val="en-US" w:eastAsia="zh-CN"/>
        </w:rPr>
        <w:sectPr>
          <w:headerReference r:id="rId4" w:type="first"/>
          <w:footerReference r:id="rId6" w:type="first"/>
          <w:headerReference r:id="rId3" w:type="default"/>
          <w:footerReference r:id="rId5" w:type="default"/>
          <w:pgSz w:w="11906" w:h="16838"/>
          <w:pgMar w:top="1440" w:right="1440" w:bottom="1440" w:left="1440" w:header="567" w:footer="567" w:gutter="0"/>
          <w:cols w:space="708" w:num="1"/>
          <w:titlePg/>
          <w:docGrid w:linePitch="360" w:charSpace="0"/>
        </w:sectPr>
      </w:pPr>
      <w:r>
        <w:rPr>
          <w:rFonts w:hint="eastAsia" w:eastAsia="宋体"/>
          <w:lang w:val="en-US" w:eastAsia="zh-CN"/>
        </w:rPr>
        <w:t>unconventional in the same target zone(Lundgren 2017).</w:t>
      </w:r>
    </w:p>
    <w:p>
      <w:pPr>
        <w:pStyle w:val="2"/>
        <w:rPr>
          <w:rFonts w:hint="eastAsia"/>
          <w:lang w:val="en-US" w:eastAsia="zh-CN"/>
        </w:rPr>
      </w:pPr>
      <w:bookmarkStart w:id="20" w:name="_Toc22056_WPSOffice_Level1"/>
      <w:r>
        <w:rPr>
          <w:rFonts w:hint="eastAsia"/>
          <w:lang w:val="en-US" w:eastAsia="zh-CN"/>
        </w:rPr>
        <w:t>Main Body</w:t>
      </w:r>
      <w:bookmarkEnd w:id="20"/>
    </w:p>
    <w:p>
      <w:pPr>
        <w:pStyle w:val="6"/>
        <w:spacing w:line="480" w:lineRule="auto"/>
        <w:ind w:left="891" w:leftChars="405" w:firstLine="0" w:firstLineChars="0"/>
        <w:rPr>
          <w:rFonts w:hint="eastAsia" w:eastAsia="宋体"/>
          <w:lang w:val="en-US" w:eastAsia="zh-CN"/>
        </w:rPr>
      </w:pPr>
      <w:r>
        <w:rPr>
          <w:rFonts w:hint="eastAsia" w:eastAsia="宋体"/>
          <w:lang w:val="en-US" w:eastAsia="zh-CN"/>
        </w:rPr>
        <w:t xml:space="preserve">According to the annual report of Adidas(2017) and its marketing and manufacturing strategies, Adidas has been utilizing differentiation strategy to enlarge its market share and enhance its competitive advantages. </w:t>
      </w:r>
    </w:p>
    <w:p>
      <w:pPr>
        <w:pStyle w:val="6"/>
        <w:spacing w:line="480" w:lineRule="auto"/>
        <w:ind w:left="891" w:leftChars="405" w:firstLine="0" w:firstLineChars="0"/>
        <w:rPr>
          <w:rFonts w:hint="eastAsia" w:eastAsia="宋体"/>
          <w:lang w:val="en-US" w:eastAsia="zh-CN"/>
        </w:rPr>
      </w:pPr>
    </w:p>
    <w:p>
      <w:pPr>
        <w:pStyle w:val="6"/>
        <w:spacing w:line="480" w:lineRule="auto"/>
        <w:ind w:left="891" w:leftChars="405" w:firstLine="0" w:firstLineChars="0"/>
        <w:rPr>
          <w:rFonts w:hint="eastAsia" w:eastAsia="宋体"/>
          <w:lang w:val="en-US" w:eastAsia="zh-CN"/>
        </w:rPr>
      </w:pPr>
      <w:r>
        <w:rPr>
          <w:rFonts w:hint="eastAsia" w:eastAsia="宋体"/>
          <w:lang w:val="en-US" w:eastAsia="zh-CN"/>
        </w:rPr>
        <w:t>The differentiation strategy is named quality advantage strategy. It refers to that the manufacturers or suppliers are able to offer unique products and services to consumers so that the demand elasticity is relatively low. In this way, the quality premium enables the company to charge a relatively high price due to a weak bargaining power of buyers. The companies that adopt differentiation strategy  are better positioned than competitors in the industry when facing the threats of alternatives.</w:t>
      </w:r>
    </w:p>
    <w:p>
      <w:pPr>
        <w:pStyle w:val="6"/>
        <w:spacing w:line="480" w:lineRule="auto"/>
        <w:ind w:left="891" w:leftChars="405" w:firstLine="0" w:firstLineChars="0"/>
        <w:rPr>
          <w:rFonts w:hint="eastAsia" w:eastAsia="宋体"/>
          <w:lang w:val="en-US" w:eastAsia="zh-CN"/>
        </w:rPr>
      </w:pPr>
    </w:p>
    <w:p>
      <w:pPr>
        <w:pStyle w:val="6"/>
        <w:spacing w:line="480" w:lineRule="auto"/>
        <w:rPr>
          <w:rFonts w:hint="eastAsia" w:eastAsia="宋体"/>
          <w:lang w:val="en-US" w:eastAsia="zh-CN"/>
        </w:rPr>
      </w:pPr>
      <w:r>
        <w:rPr>
          <w:rFonts w:hint="eastAsia" w:eastAsia="宋体"/>
          <w:lang w:val="en-US" w:eastAsia="zh-CN"/>
        </w:rPr>
        <w:t>The differentiation of product brings a higher marginal returns to enterprises. Apparently, product innovation plays a vital role in the process of this business advantages. And Adidas who persists in product innovation is aimed to be the leader in the sports industry with a considerable amount of investment into R&amp;D activities every year.</w:t>
      </w:r>
    </w:p>
    <w:p>
      <w:pPr>
        <w:pStyle w:val="6"/>
        <w:spacing w:line="480" w:lineRule="auto"/>
        <w:ind w:left="891" w:leftChars="405" w:firstLine="0" w:firstLineChars="0"/>
        <w:rPr>
          <w:rFonts w:hint="eastAsia" w:eastAsia="宋体"/>
          <w:lang w:val="en-US" w:eastAsia="zh-CN"/>
        </w:rPr>
      </w:pPr>
    </w:p>
    <w:p>
      <w:pPr>
        <w:pStyle w:val="4"/>
      </w:pPr>
      <w:bookmarkStart w:id="21" w:name="_Toc24750_WPSOffice_Level2"/>
      <w:r>
        <w:t>IMpl</w:t>
      </w:r>
      <w:r>
        <w:rPr>
          <w:rFonts w:hint="eastAsia"/>
          <w:lang w:val="en-US" w:eastAsia="zh-CN"/>
        </w:rPr>
        <w:t>e</w:t>
      </w:r>
      <w:r>
        <w:t>mentation of the strategy</w:t>
      </w:r>
      <w:bookmarkEnd w:id="21"/>
    </w:p>
    <w:p>
      <w:pPr>
        <w:rPr>
          <w:rFonts w:hint="eastAsia" w:eastAsia="宋体"/>
          <w:lang w:val="en-US" w:eastAsia="zh-CN"/>
        </w:rPr>
      </w:pPr>
      <w:r>
        <w:rPr>
          <w:rFonts w:hint="eastAsia" w:eastAsia="宋体" w:cs="Arial"/>
          <w:bCs/>
          <w:iCs/>
          <w:szCs w:val="28"/>
          <w:lang w:val="en-US" w:eastAsia="zh-CN"/>
        </w:rPr>
        <w:t xml:space="preserve">        </w:t>
      </w:r>
      <w:r>
        <w:rPr>
          <w:rStyle w:val="13"/>
          <w:rFonts w:hint="eastAsia"/>
          <w:b/>
          <w:sz w:val="24"/>
          <w:szCs w:val="24"/>
          <w:lang w:val="en-US" w:eastAsia="zh-CN"/>
        </w:rPr>
        <w:t>2.1.1</w:t>
      </w:r>
      <w:r>
        <w:rPr>
          <w:rStyle w:val="13"/>
          <w:rFonts w:hint="eastAsia"/>
          <w:sz w:val="24"/>
          <w:szCs w:val="24"/>
          <w:lang w:val="en-US" w:eastAsia="zh-CN"/>
        </w:rPr>
        <w:t xml:space="preserve"> Differentiated Innovative Product</w:t>
      </w:r>
    </w:p>
    <w:p>
      <w:pPr>
        <w:pStyle w:val="6"/>
        <w:spacing w:line="480" w:lineRule="auto"/>
        <w:ind w:left="891" w:leftChars="405" w:firstLine="0" w:firstLineChars="0"/>
        <w:rPr>
          <w:rFonts w:hint="eastAsia" w:eastAsia="宋体"/>
          <w:lang w:val="en-US" w:eastAsia="zh-CN"/>
        </w:rPr>
      </w:pPr>
      <w:r>
        <w:rPr>
          <w:rFonts w:hint="eastAsia" w:eastAsia="宋体"/>
          <w:lang w:val="en-US" w:eastAsia="zh-CN"/>
        </w:rPr>
        <w:t xml:space="preserve">Adidas strives to consistently upgrading the technology of product and enhancing product design capabilities. In the year of 2004, it launched the A3 shoe with the concept of shock absorption, guidance and transmission in 2002, and once again revolutionized the launch of </w:t>
      </w:r>
      <w:r>
        <w:rPr>
          <w:rFonts w:hint="default" w:eastAsia="宋体"/>
          <w:lang w:val="en-US" w:eastAsia="zh-CN"/>
        </w:rPr>
        <w:t>“</w:t>
      </w:r>
      <w:r>
        <w:rPr>
          <w:rFonts w:hint="eastAsia" w:eastAsia="宋体"/>
          <w:lang w:val="en-US" w:eastAsia="zh-CN"/>
        </w:rPr>
        <w:t>A3 ULTRA</w:t>
      </w:r>
      <w:r>
        <w:rPr>
          <w:rFonts w:hint="default" w:eastAsia="宋体"/>
          <w:lang w:val="en-US" w:eastAsia="zh-CN"/>
        </w:rPr>
        <w:t>”</w:t>
      </w:r>
      <w:r>
        <w:rPr>
          <w:rFonts w:hint="eastAsia" w:eastAsia="宋体"/>
          <w:lang w:val="en-US" w:eastAsia="zh-CN"/>
        </w:rPr>
        <w:t xml:space="preserve"> with wear resistance, temperature resistance and shock absorption(Drnevich and Croson 2013). The continuous innovation enhances its competitive advantages at the cost of a great amount of research and development expenses to some degree.</w:t>
      </w:r>
    </w:p>
    <w:p>
      <w:pPr>
        <w:pStyle w:val="6"/>
        <w:spacing w:line="480" w:lineRule="auto"/>
        <w:ind w:left="891" w:leftChars="405" w:firstLine="0" w:firstLineChars="0"/>
        <w:rPr>
          <w:rFonts w:hint="eastAsia" w:eastAsia="宋体"/>
          <w:lang w:val="en-US" w:eastAsia="zh-CN"/>
        </w:rPr>
      </w:pPr>
    </w:p>
    <w:p>
      <w:pPr>
        <w:pStyle w:val="5"/>
        <w:ind w:firstLine="960" w:firstLineChars="400"/>
        <w:rPr>
          <w:rFonts w:hint="eastAsia"/>
          <w:sz w:val="24"/>
          <w:szCs w:val="24"/>
          <w:lang w:val="en-US" w:eastAsia="zh-CN"/>
        </w:rPr>
      </w:pPr>
      <w:r>
        <w:rPr>
          <w:rFonts w:hint="eastAsia"/>
          <w:sz w:val="24"/>
          <w:szCs w:val="24"/>
          <w:lang w:val="en-US" w:eastAsia="zh-CN"/>
        </w:rPr>
        <w:t>2.1.2 Differentiated Customer Services Tailored to Segmented Markets</w:t>
      </w:r>
    </w:p>
    <w:p>
      <w:pPr>
        <w:pStyle w:val="6"/>
        <w:spacing w:line="480" w:lineRule="auto"/>
        <w:ind w:left="891" w:leftChars="405" w:firstLine="0" w:firstLineChars="0"/>
        <w:rPr>
          <w:rFonts w:hint="eastAsia" w:eastAsia="宋体"/>
          <w:lang w:val="en-US" w:eastAsia="zh-CN"/>
        </w:rPr>
      </w:pPr>
      <w:r>
        <w:rPr>
          <w:rFonts w:hint="eastAsia" w:eastAsia="宋体"/>
          <w:lang w:val="en-US" w:eastAsia="zh-CN"/>
        </w:rPr>
        <w:t xml:space="preserve">In 2005, Adidas officially landed in China on April 15th, the world's first dual-chip high-tech footwear </w:t>
      </w:r>
      <w:r>
        <w:rPr>
          <w:rFonts w:hint="default" w:eastAsia="宋体"/>
          <w:lang w:val="en-US" w:eastAsia="zh-CN"/>
        </w:rPr>
        <w:t>“</w:t>
      </w:r>
      <w:r>
        <w:rPr>
          <w:rFonts w:hint="eastAsia" w:eastAsia="宋体"/>
          <w:lang w:val="en-US" w:eastAsia="zh-CN"/>
        </w:rPr>
        <w:t>adidas-1</w:t>
      </w:r>
      <w:r>
        <w:rPr>
          <w:rFonts w:hint="default" w:eastAsia="宋体"/>
          <w:lang w:val="en-US" w:eastAsia="zh-CN"/>
        </w:rPr>
        <w:t>”</w:t>
      </w:r>
      <w:r>
        <w:rPr>
          <w:rFonts w:hint="eastAsia" w:eastAsia="宋体"/>
          <w:lang w:val="en-US" w:eastAsia="zh-CN"/>
        </w:rPr>
        <w:t>. Although it sold for 2680 yuan, it has become a favorite among many sports fans of high-tech sports products. Adidas designed the sports products with scientific content specially designed for the legendary figure Muhammad Ali. It has also been put on the shelves in various Chinese stores.</w:t>
      </w:r>
    </w:p>
    <w:p>
      <w:pPr>
        <w:pStyle w:val="6"/>
        <w:spacing w:line="480" w:lineRule="auto"/>
        <w:ind w:left="891" w:leftChars="405" w:firstLine="0" w:firstLineChars="0"/>
        <w:rPr>
          <w:rFonts w:hint="eastAsia" w:eastAsia="宋体"/>
          <w:lang w:val="en-US" w:eastAsia="zh-CN"/>
        </w:rPr>
      </w:pPr>
    </w:p>
    <w:p>
      <w:pPr>
        <w:pStyle w:val="6"/>
        <w:spacing w:line="480" w:lineRule="auto"/>
        <w:ind w:left="891" w:leftChars="405" w:firstLine="0" w:firstLineChars="0"/>
        <w:rPr>
          <w:rFonts w:hint="eastAsia" w:eastAsia="宋体"/>
          <w:lang w:val="en-US" w:eastAsia="zh-CN"/>
        </w:rPr>
      </w:pPr>
      <w:r>
        <w:rPr>
          <w:rFonts w:hint="eastAsia" w:eastAsia="宋体"/>
          <w:lang w:val="en-US" w:eastAsia="zh-CN"/>
        </w:rPr>
        <w:t>Only Adidas let Chinese consumers really feel that "Adidas is around" "Adidas is not only a sports aristocrat, but also an indispensable and high-quality sports companion for the Chinese." We can find that other than the continuous introduction of high-tech sports products and tailored customer services in the unified management of Chinese-language business, Adidas has also repeatedly thrown a goal in the Chinese sportswear industry in the market promotion level(Lebrun et al, 2013). A powerful bomb that is enough to drive the economic development of the industry such as China Localization Sponsorship Campaign.</w:t>
      </w:r>
    </w:p>
    <w:p>
      <w:pPr>
        <w:pStyle w:val="6"/>
        <w:spacing w:line="480" w:lineRule="auto"/>
        <w:ind w:left="891" w:leftChars="405" w:firstLine="0" w:firstLineChars="0"/>
        <w:rPr>
          <w:rFonts w:hint="eastAsia" w:eastAsia="宋体"/>
          <w:lang w:val="en-US" w:eastAsia="zh-CN"/>
        </w:rPr>
      </w:pPr>
    </w:p>
    <w:p>
      <w:pPr>
        <w:pStyle w:val="6"/>
        <w:spacing w:line="480" w:lineRule="auto"/>
        <w:ind w:left="891" w:leftChars="405" w:firstLine="0" w:firstLineChars="0"/>
        <w:rPr>
          <w:rFonts w:hint="eastAsia" w:eastAsia="宋体"/>
          <w:lang w:val="en-US" w:eastAsia="zh-CN"/>
        </w:rPr>
      </w:pPr>
      <w:r>
        <w:rPr>
          <w:rFonts w:hint="eastAsia" w:eastAsia="宋体"/>
          <w:lang w:val="en-US" w:eastAsia="zh-CN"/>
        </w:rPr>
        <w:t>According to business level strategy of Adidas, if the branches merges in the same language area is a sign of its strong business strategy, then the huge sponsorship of Chinese football is the first bomb after the establishment of Adidas China.</w:t>
      </w:r>
    </w:p>
    <w:p>
      <w:pPr>
        <w:pStyle w:val="6"/>
        <w:spacing w:line="480" w:lineRule="auto"/>
        <w:ind w:left="891" w:leftChars="405" w:firstLine="0" w:firstLineChars="0"/>
        <w:rPr>
          <w:rFonts w:hint="eastAsia" w:eastAsia="宋体"/>
          <w:lang w:val="en-US" w:eastAsia="zh-CN"/>
        </w:rPr>
      </w:pPr>
    </w:p>
    <w:p>
      <w:pPr>
        <w:pStyle w:val="6"/>
        <w:spacing w:line="480" w:lineRule="auto"/>
        <w:ind w:left="891" w:leftChars="405" w:firstLine="0" w:firstLineChars="0"/>
        <w:rPr>
          <w:rFonts w:hint="eastAsia" w:eastAsia="宋体"/>
          <w:lang w:val="en-US" w:eastAsia="zh-CN"/>
        </w:rPr>
      </w:pPr>
      <w:r>
        <w:rPr>
          <w:rFonts w:hint="eastAsia" w:eastAsia="宋体"/>
          <w:lang w:val="en-US" w:eastAsia="zh-CN"/>
        </w:rPr>
        <w:t>As Adidas's five-year contract with the Chinese Football Association in 1999 will expire in 2004, in order to allow the development of the Chinese market to have a solid local communication and promotion resources, Adidas will be in advance with the Chinese Football Association when the establishment of the China Region Contact. Although the Nike positively participating participated, a considerable amount of high advertising fees drew the attention of the Chinese Football Association. Adidas will finally open a sponsorship of 500 million yuan after comprehensively analyzing and forecasting the trend of the Chinese football market(Akdeniz and Kara 2014).</w:t>
      </w:r>
    </w:p>
    <w:p>
      <w:pPr>
        <w:pStyle w:val="6"/>
        <w:spacing w:line="480" w:lineRule="auto"/>
        <w:ind w:left="891" w:leftChars="405" w:firstLine="0" w:firstLineChars="0"/>
        <w:rPr>
          <w:rFonts w:hint="eastAsia" w:eastAsia="宋体"/>
          <w:lang w:val="en-US" w:eastAsia="zh-CN"/>
        </w:rPr>
      </w:pPr>
    </w:p>
    <w:p>
      <w:pPr>
        <w:pStyle w:val="6"/>
        <w:spacing w:line="480" w:lineRule="auto"/>
        <w:ind w:left="891" w:leftChars="405" w:firstLine="0" w:firstLineChars="0"/>
        <w:rPr>
          <w:rFonts w:hint="eastAsia" w:eastAsia="宋体"/>
          <w:lang w:val="en-US" w:eastAsia="zh-CN"/>
        </w:rPr>
      </w:pPr>
      <w:r>
        <w:rPr>
          <w:rFonts w:hint="eastAsia" w:eastAsia="宋体"/>
          <w:lang w:val="en-US" w:eastAsia="zh-CN"/>
        </w:rPr>
        <w:t xml:space="preserve">After the signing of this new agreement, and through the market confirmation of nearly one year: the national team's genuine jerseys became a new sensation for sports product sales, particularly the Adidas "Falcon Series". </w:t>
      </w:r>
    </w:p>
    <w:p>
      <w:pPr>
        <w:pStyle w:val="5"/>
        <w:ind w:firstLine="960" w:firstLineChars="400"/>
        <w:rPr>
          <w:rFonts w:hint="eastAsia" w:eastAsia="宋体"/>
          <w:sz w:val="24"/>
          <w:szCs w:val="24"/>
          <w:lang w:val="en-US" w:eastAsia="zh-CN"/>
        </w:rPr>
      </w:pPr>
      <w:r>
        <w:rPr>
          <w:rFonts w:hint="eastAsia"/>
          <w:sz w:val="24"/>
          <w:szCs w:val="24"/>
          <w:lang w:val="en-US" w:eastAsia="zh-CN"/>
        </w:rPr>
        <w:t>2.1.3 Differentiated Scope of Business</w:t>
      </w:r>
    </w:p>
    <w:p>
      <w:pPr>
        <w:pStyle w:val="6"/>
        <w:spacing w:line="480" w:lineRule="auto"/>
        <w:ind w:left="891" w:leftChars="405" w:firstLine="0" w:firstLineChars="0"/>
        <w:rPr>
          <w:rFonts w:hint="eastAsia" w:eastAsia="宋体"/>
          <w:lang w:val="en-US" w:eastAsia="zh-CN"/>
        </w:rPr>
      </w:pPr>
      <w:r>
        <w:rPr>
          <w:rFonts w:hint="eastAsia" w:eastAsia="宋体"/>
          <w:lang w:val="en-US" w:eastAsia="zh-CN"/>
        </w:rPr>
        <w:t>Adidas now manufactures the garments of tracking and field, sports shoes, casual shoes, yoga apparel, sports accessories,, male fragrances and skincare products(</w:t>
      </w:r>
      <w:r>
        <w:rPr>
          <w:rFonts w:ascii="Arial" w:hAnsi="Arial" w:eastAsia="宋体" w:cs="Arial"/>
          <w:i w:val="0"/>
          <w:caps w:val="0"/>
          <w:color w:val="222222"/>
          <w:spacing w:val="0"/>
          <w:sz w:val="19"/>
          <w:szCs w:val="19"/>
          <w:shd w:val="clear" w:fill="FFFFFF"/>
        </w:rPr>
        <w:t>Baena</w:t>
      </w:r>
      <w:r>
        <w:rPr>
          <w:rFonts w:hint="eastAsia" w:ascii="Arial" w:hAnsi="Arial" w:eastAsia="宋体" w:cs="Arial"/>
          <w:i w:val="0"/>
          <w:caps w:val="0"/>
          <w:color w:val="222222"/>
          <w:spacing w:val="0"/>
          <w:sz w:val="19"/>
          <w:szCs w:val="19"/>
          <w:shd w:val="clear" w:fill="FFFFFF"/>
          <w:lang w:val="en-US" w:eastAsia="zh-CN"/>
        </w:rPr>
        <w:t xml:space="preserve"> 2016)</w:t>
      </w:r>
      <w:r>
        <w:rPr>
          <w:rFonts w:hint="eastAsia" w:eastAsia="宋体"/>
          <w:lang w:val="en-US" w:eastAsia="zh-CN"/>
        </w:rPr>
        <w:t>. The diversified business activities enlarges its customer bases, however, the diversification also makes some of its products less competitive.</w:t>
      </w:r>
    </w:p>
    <w:p>
      <w:pPr>
        <w:pStyle w:val="6"/>
        <w:spacing w:line="480" w:lineRule="auto"/>
        <w:ind w:left="891" w:leftChars="405" w:firstLine="0" w:firstLineChars="0"/>
        <w:rPr>
          <w:rFonts w:hint="eastAsia" w:eastAsia="宋体"/>
          <w:lang w:val="en-US" w:eastAsia="zh-CN"/>
        </w:rPr>
      </w:pPr>
    </w:p>
    <w:p>
      <w:pPr>
        <w:pStyle w:val="4"/>
      </w:pPr>
      <w:bookmarkStart w:id="22" w:name="_Toc14647_WPSOffice_Level2"/>
      <w:r>
        <w:t>Advantages &amp; Disadvantages of the strategy</w:t>
      </w:r>
      <w:bookmarkEnd w:id="22"/>
    </w:p>
    <w:p>
      <w:pPr>
        <w:pStyle w:val="6"/>
        <w:spacing w:line="480" w:lineRule="auto"/>
        <w:ind w:left="891" w:leftChars="405" w:firstLine="0" w:firstLineChars="0"/>
        <w:rPr>
          <w:rFonts w:hint="eastAsia" w:eastAsia="宋体"/>
          <w:lang w:val="en-US" w:eastAsia="zh-CN"/>
        </w:rPr>
      </w:pPr>
    </w:p>
    <w:p>
      <w:pPr>
        <w:pStyle w:val="5"/>
        <w:ind w:firstLine="960" w:firstLineChars="400"/>
        <w:rPr>
          <w:rFonts w:hint="eastAsia" w:eastAsia="宋体"/>
          <w:lang w:val="en-US" w:eastAsia="zh-CN"/>
        </w:rPr>
      </w:pPr>
      <w:bookmarkStart w:id="23" w:name="_Toc22056_WPSOffice_Level3"/>
      <w:r>
        <w:rPr>
          <w:rFonts w:hint="eastAsia"/>
          <w:sz w:val="24"/>
          <w:szCs w:val="24"/>
          <w:lang w:val="en-US" w:eastAsia="zh-CN"/>
        </w:rPr>
        <w:t>2.2.1 Advantages of the differentiation strategy</w:t>
      </w:r>
      <w:bookmarkEnd w:id="23"/>
    </w:p>
    <w:p>
      <w:pPr>
        <w:pStyle w:val="6"/>
        <w:spacing w:line="480" w:lineRule="auto"/>
        <w:ind w:left="891" w:leftChars="405" w:firstLine="0" w:firstLineChars="0"/>
        <w:rPr>
          <w:rFonts w:hint="eastAsia" w:eastAsia="宋体"/>
          <w:lang w:val="en-US" w:eastAsia="zh-CN"/>
        </w:rPr>
      </w:pPr>
      <w:r>
        <w:rPr>
          <w:rFonts w:hint="eastAsia" w:eastAsia="宋体"/>
          <w:lang w:val="en-US" w:eastAsia="zh-CN"/>
        </w:rPr>
        <w:t>Achieving a differentiated strategy can enhance consumer loyalty for certain brands and lower price sensitivity. Though the price my be higher than competitors</w:t>
      </w:r>
      <w:r>
        <w:rPr>
          <w:rFonts w:hint="default" w:eastAsia="宋体"/>
          <w:lang w:val="en-US" w:eastAsia="zh-CN"/>
        </w:rPr>
        <w:t>’</w:t>
      </w:r>
      <w:r>
        <w:rPr>
          <w:rFonts w:hint="eastAsia" w:eastAsia="宋体"/>
          <w:lang w:val="en-US" w:eastAsia="zh-CN"/>
        </w:rPr>
        <w:t xml:space="preserve"> price, the consumers probably probably prefer the differentiated products (</w:t>
      </w:r>
      <w:r>
        <w:rPr>
          <w:rFonts w:ascii="Arial" w:hAnsi="Arial" w:eastAsia="宋体" w:cs="Arial"/>
          <w:i w:val="0"/>
          <w:caps w:val="0"/>
          <w:color w:val="222222"/>
          <w:spacing w:val="0"/>
          <w:sz w:val="19"/>
          <w:szCs w:val="19"/>
          <w:shd w:val="clear" w:fill="FFFFFF"/>
        </w:rPr>
        <w:t>Dhanapala</w:t>
      </w:r>
      <w:r>
        <w:rPr>
          <w:rFonts w:hint="eastAsia" w:ascii="Arial" w:hAnsi="Arial" w:eastAsia="宋体" w:cs="Arial"/>
          <w:i w:val="0"/>
          <w:caps w:val="0"/>
          <w:color w:val="222222"/>
          <w:spacing w:val="0"/>
          <w:sz w:val="19"/>
          <w:szCs w:val="19"/>
          <w:shd w:val="clear" w:fill="FFFFFF"/>
          <w:lang w:val="en-US" w:eastAsia="zh-CN"/>
        </w:rPr>
        <w:t xml:space="preserve"> 2015</w:t>
      </w:r>
      <w:r>
        <w:rPr>
          <w:rFonts w:hint="eastAsia" w:eastAsia="宋体"/>
          <w:lang w:val="en-US" w:eastAsia="zh-CN"/>
        </w:rPr>
        <w:t>). Therefore, the differentiation strategy can help corporations acquire higher profit level than average level. In addition, companies adopting this strategy can well defend against the five competitive forces in the industry and the direct and fierce competition in the industry(</w:t>
      </w:r>
      <w:r>
        <w:rPr>
          <w:rFonts w:ascii="Arial" w:hAnsi="Arial" w:eastAsia="宋体" w:cs="Arial"/>
          <w:i w:val="0"/>
          <w:caps w:val="0"/>
          <w:color w:val="222222"/>
          <w:spacing w:val="0"/>
          <w:sz w:val="19"/>
          <w:szCs w:val="19"/>
          <w:shd w:val="clear" w:fill="FFFFFF"/>
        </w:rPr>
        <w:t>Casadesus</w:t>
      </w:r>
      <w:r>
        <w:rPr>
          <w:rFonts w:hint="eastAsia" w:ascii="Arial" w:hAnsi="Arial" w:eastAsia="宋体" w:cs="Arial"/>
          <w:i w:val="0"/>
          <w:caps w:val="0"/>
          <w:color w:val="222222"/>
          <w:spacing w:val="0"/>
          <w:sz w:val="19"/>
          <w:szCs w:val="19"/>
          <w:shd w:val="clear" w:fill="FFFFFF"/>
          <w:lang w:val="en-US" w:eastAsia="zh-CN"/>
        </w:rPr>
        <w:t xml:space="preserve"> at al 2013</w:t>
      </w:r>
      <w:r>
        <w:rPr>
          <w:rFonts w:hint="eastAsia" w:eastAsia="宋体"/>
          <w:lang w:val="en-US" w:eastAsia="zh-CN"/>
        </w:rPr>
        <w:t>). A successful differentiation strategy can enable a company to:</w:t>
      </w:r>
    </w:p>
    <w:p>
      <w:pPr>
        <w:pStyle w:val="6"/>
        <w:numPr>
          <w:ilvl w:val="0"/>
          <w:numId w:val="7"/>
        </w:numPr>
        <w:spacing w:line="480" w:lineRule="auto"/>
        <w:ind w:left="954" w:leftChars="0" w:firstLine="0" w:firstLineChars="0"/>
        <w:rPr>
          <w:rFonts w:hint="eastAsia" w:eastAsia="宋体"/>
          <w:lang w:val="en-US" w:eastAsia="zh-CN"/>
        </w:rPr>
      </w:pPr>
      <w:r>
        <w:rPr>
          <w:rFonts w:hint="eastAsia" w:eastAsia="宋体"/>
          <w:lang w:val="en-US" w:eastAsia="zh-CN"/>
        </w:rPr>
        <w:t>Form barriers to new entrants. Due to the uniqueness of the product, the consumers has a certain degree of loyalty to goods or services, and the industry has strong barriers for new entrants. To face the competitors, potential entrants are supposed to surpass the uniqueness of the product or services. Using the characteristics of the product to establish barriers for new entrants can keep  potential competitors from being actual competitors(</w:t>
      </w:r>
      <w:r>
        <w:rPr>
          <w:rFonts w:ascii="Arial" w:hAnsi="Arial" w:eastAsia="宋体" w:cs="Arial"/>
          <w:i w:val="0"/>
          <w:caps w:val="0"/>
          <w:color w:val="222222"/>
          <w:spacing w:val="0"/>
          <w:sz w:val="19"/>
          <w:szCs w:val="19"/>
          <w:shd w:val="clear" w:fill="FFFFFF"/>
        </w:rPr>
        <w:t>Salavou</w:t>
      </w:r>
      <w:r>
        <w:rPr>
          <w:rFonts w:hint="eastAsia" w:ascii="Arial" w:hAnsi="Arial" w:eastAsia="宋体" w:cs="Arial"/>
          <w:i w:val="0"/>
          <w:caps w:val="0"/>
          <w:color w:val="222222"/>
          <w:spacing w:val="0"/>
          <w:sz w:val="19"/>
          <w:szCs w:val="19"/>
          <w:shd w:val="clear" w:fill="FFFFFF"/>
          <w:lang w:val="en-US" w:eastAsia="zh-CN"/>
        </w:rPr>
        <w:t xml:space="preserve"> 2015</w:t>
      </w:r>
      <w:r>
        <w:rPr>
          <w:rFonts w:hint="eastAsia" w:eastAsia="宋体"/>
          <w:lang w:val="en-US" w:eastAsia="zh-CN"/>
        </w:rPr>
        <w:t>).</w:t>
      </w:r>
    </w:p>
    <w:p>
      <w:pPr>
        <w:pStyle w:val="6"/>
        <w:numPr>
          <w:ilvl w:val="0"/>
          <w:numId w:val="0"/>
        </w:numPr>
        <w:spacing w:line="480" w:lineRule="auto"/>
        <w:ind w:left="954" w:leftChars="0"/>
        <w:rPr>
          <w:rFonts w:hint="eastAsia" w:eastAsia="宋体"/>
          <w:lang w:val="en-US" w:eastAsia="zh-CN"/>
        </w:rPr>
      </w:pPr>
    </w:p>
    <w:p>
      <w:pPr>
        <w:pStyle w:val="6"/>
        <w:spacing w:line="480" w:lineRule="auto"/>
        <w:ind w:left="891" w:leftChars="405" w:firstLine="0" w:firstLineChars="0"/>
        <w:rPr>
          <w:rFonts w:hint="eastAsia" w:eastAsia="宋体"/>
          <w:lang w:val="en-US" w:eastAsia="zh-CN"/>
        </w:rPr>
      </w:pPr>
      <w:r>
        <w:rPr>
          <w:rFonts w:hint="eastAsia" w:eastAsia="宋体"/>
          <w:lang w:val="en-US" w:eastAsia="zh-CN"/>
        </w:rPr>
        <w:t>(2) Reduce customer sensitivity to price. The company that produces the product can use the product differentiation strategy to form an isolation zone in the industry competition to avoid the harm of competitors(Lu et Xu 2015). Because of the unique intrinsic value of the products, the price sensitivity is low due to a lack of alternatives for consumers, thus significantly weakening the bargaining power of buyers.</w:t>
      </w:r>
    </w:p>
    <w:p>
      <w:pPr>
        <w:pStyle w:val="6"/>
        <w:spacing w:line="480" w:lineRule="auto"/>
        <w:ind w:left="891" w:leftChars="405" w:firstLine="0" w:firstLineChars="0"/>
        <w:rPr>
          <w:rFonts w:hint="eastAsia" w:eastAsia="宋体"/>
          <w:lang w:val="en-US" w:eastAsia="zh-CN"/>
        </w:rPr>
      </w:pPr>
    </w:p>
    <w:p>
      <w:pPr>
        <w:pStyle w:val="6"/>
        <w:numPr>
          <w:ilvl w:val="0"/>
          <w:numId w:val="8"/>
        </w:numPr>
        <w:spacing w:line="480" w:lineRule="auto"/>
        <w:ind w:left="891" w:leftChars="405" w:firstLine="0" w:firstLineChars="0"/>
        <w:rPr>
          <w:rFonts w:hint="eastAsia" w:eastAsia="宋体"/>
          <w:lang w:val="en-US" w:eastAsia="zh-CN"/>
        </w:rPr>
      </w:pPr>
      <w:r>
        <w:rPr>
          <w:rFonts w:hint="eastAsia" w:eastAsia="宋体"/>
          <w:lang w:val="en-US" w:eastAsia="zh-CN"/>
        </w:rPr>
        <w:t>Enhance the ability to bargain. The product differentiation strategy can bring more marginal benefits to the enterprise, thus reducing the total cost of the overall cost and improving the capabilities of the enterprise to bargain with suppliers. Meanwhile, because consumers have no alternatives but to be less sensitive to price, corporations could use the differentiation strategy to undermine the buyer's bargaining power.</w:t>
      </w:r>
    </w:p>
    <w:p>
      <w:pPr>
        <w:pStyle w:val="6"/>
        <w:numPr>
          <w:ilvl w:val="0"/>
          <w:numId w:val="0"/>
        </w:numPr>
        <w:spacing w:line="480" w:lineRule="auto"/>
        <w:rPr>
          <w:rFonts w:hint="eastAsia" w:eastAsia="宋体"/>
          <w:lang w:val="en-US" w:eastAsia="zh-CN"/>
        </w:rPr>
      </w:pPr>
    </w:p>
    <w:p>
      <w:pPr>
        <w:pStyle w:val="5"/>
        <w:ind w:firstLine="960" w:firstLineChars="400"/>
        <w:rPr>
          <w:rFonts w:hint="eastAsia"/>
          <w:sz w:val="24"/>
          <w:szCs w:val="24"/>
          <w:lang w:val="en-US" w:eastAsia="zh-CN"/>
        </w:rPr>
      </w:pPr>
      <w:bookmarkStart w:id="24" w:name="_Toc25217_WPSOffice_Level3"/>
      <w:r>
        <w:rPr>
          <w:rFonts w:hint="eastAsia"/>
          <w:sz w:val="24"/>
          <w:szCs w:val="24"/>
          <w:lang w:val="en-US" w:eastAsia="zh-CN"/>
        </w:rPr>
        <w:t>2.2.2  Disadvantages of the differentiation strategy</w:t>
      </w:r>
      <w:bookmarkEnd w:id="24"/>
    </w:p>
    <w:p>
      <w:pPr>
        <w:pStyle w:val="6"/>
        <w:numPr>
          <w:ilvl w:val="0"/>
          <w:numId w:val="0"/>
        </w:numPr>
        <w:spacing w:line="480" w:lineRule="auto"/>
        <w:ind w:leftChars="405"/>
        <w:rPr>
          <w:rFonts w:hint="eastAsia" w:eastAsia="宋体"/>
          <w:lang w:val="en-US" w:eastAsia="zh-CN"/>
        </w:rPr>
      </w:pPr>
      <w:r>
        <w:rPr>
          <w:rFonts w:hint="eastAsia" w:eastAsia="宋体"/>
          <w:lang w:val="en-US" w:eastAsia="zh-CN"/>
        </w:rPr>
        <w:t>There are three major shortcomings in the adoption and maintenance of differentiation strategies:</w:t>
      </w:r>
    </w:p>
    <w:p>
      <w:pPr>
        <w:pStyle w:val="6"/>
        <w:numPr>
          <w:ilvl w:val="0"/>
          <w:numId w:val="0"/>
        </w:numPr>
        <w:spacing w:line="480" w:lineRule="auto"/>
        <w:ind w:leftChars="405"/>
        <w:rPr>
          <w:rFonts w:hint="eastAsia" w:eastAsia="宋体"/>
          <w:lang w:val="en-US" w:eastAsia="zh-CN"/>
        </w:rPr>
      </w:pPr>
      <w:r>
        <w:rPr>
          <w:rFonts w:hint="eastAsia" w:eastAsia="宋体"/>
          <w:lang w:val="en-US" w:eastAsia="zh-CN"/>
        </w:rPr>
        <w:t>(1) Neglect to imply or promote the value of differentiation to the buyer, relying solely on the intrinsic product attributes to achieve differentiation. In this general market saturated with suppliers, coupled with the proliferation of advertising information, consumers</w:t>
      </w:r>
      <w:r>
        <w:rPr>
          <w:rFonts w:hint="default" w:eastAsia="宋体"/>
          <w:lang w:val="en-US" w:eastAsia="zh-CN"/>
        </w:rPr>
        <w:t>’</w:t>
      </w:r>
      <w:r>
        <w:rPr>
          <w:rFonts w:hint="eastAsia" w:eastAsia="宋体"/>
          <w:lang w:val="en-US" w:eastAsia="zh-CN"/>
        </w:rPr>
        <w:t xml:space="preserve"> attention is becoming more and more distracted. The uniqueness and value of the products are hard to satisfy consumers' favor and preferences.</w:t>
      </w:r>
    </w:p>
    <w:p>
      <w:pPr>
        <w:pStyle w:val="6"/>
        <w:numPr>
          <w:ilvl w:val="0"/>
          <w:numId w:val="7"/>
        </w:numPr>
        <w:spacing w:line="480" w:lineRule="auto"/>
        <w:ind w:left="954" w:leftChars="0" w:firstLine="0" w:firstLineChars="0"/>
        <w:rPr>
          <w:rFonts w:hint="eastAsia" w:eastAsia="宋体"/>
          <w:lang w:val="en-US" w:eastAsia="zh-CN"/>
        </w:rPr>
      </w:pPr>
      <w:r>
        <w:rPr>
          <w:rFonts w:hint="eastAsia" w:eastAsia="宋体"/>
          <w:lang w:val="en-US" w:eastAsia="zh-CN"/>
        </w:rPr>
        <w:t xml:space="preserve">Competitors may try to quickly imitate the differentiated characteristics of the product. Competitors are launching similar products, reducing the differentiation of products, or introducing more differentiated products, which makes the original buyers of the company turn to the competitors' market(Goswami and Ha-Brookshire 2015). Companies must maintain the uniqueness of their products for a long time, so that this uniqueness is not quickly and inexpensively imitated by competing companies. </w:t>
      </w:r>
    </w:p>
    <w:p>
      <w:pPr>
        <w:pStyle w:val="6"/>
        <w:numPr>
          <w:ilvl w:val="0"/>
          <w:numId w:val="0"/>
        </w:numPr>
        <w:spacing w:line="480" w:lineRule="auto"/>
        <w:rPr>
          <w:rFonts w:hint="eastAsia" w:eastAsia="宋体"/>
          <w:lang w:val="en-US" w:eastAsia="zh-CN"/>
        </w:rPr>
      </w:pPr>
    </w:p>
    <w:p>
      <w:pPr>
        <w:pStyle w:val="6"/>
        <w:numPr>
          <w:ilvl w:val="0"/>
          <w:numId w:val="0"/>
        </w:numPr>
        <w:spacing w:line="480" w:lineRule="auto"/>
        <w:ind w:leftChars="405"/>
        <w:rPr>
          <w:rFonts w:hint="eastAsia" w:eastAsia="宋体"/>
          <w:lang w:val="en-US" w:eastAsia="zh-CN"/>
        </w:rPr>
      </w:pPr>
      <w:r>
        <w:rPr>
          <w:rFonts w:hint="eastAsia" w:eastAsia="宋体"/>
          <w:lang w:val="en-US" w:eastAsia="zh-CN"/>
        </w:rPr>
        <w:t>(3) The user's preference for the intrinsic value of a certain product may not be enough for users to accept the high price of the product. The greater the difference in prices, the higher the likelihood that the buyer would choose to buy the lower price products. The overall cost to achieve product differentiation in within an organization is too high, and most customers are unable to bear the price of the product, and the enterprise is difficult to make a profit(Ind Nicholas et al 2015).</w:t>
      </w:r>
    </w:p>
    <w:p>
      <w:pPr>
        <w:autoSpaceDE/>
        <w:autoSpaceDN/>
        <w:adjustRightInd/>
        <w:spacing w:after="160" w:line="259" w:lineRule="auto"/>
        <w:rPr>
          <w:rFonts w:ascii="Verdana" w:hAnsi="Verdana" w:eastAsia="Times New Roman" w:cs="Times New Roman"/>
          <w:b/>
          <w:color w:val="FF0000"/>
          <w:sz w:val="18"/>
          <w:szCs w:val="24"/>
        </w:rPr>
      </w:pPr>
      <w:r>
        <w:rPr>
          <w:b/>
          <w:color w:val="FF0000"/>
        </w:rPr>
        <w:br w:type="page"/>
      </w:r>
    </w:p>
    <w:p>
      <w:pPr>
        <w:pStyle w:val="2"/>
      </w:pPr>
      <w:bookmarkStart w:id="25" w:name="_Toc496043664"/>
      <w:bookmarkStart w:id="26" w:name="_Toc25217_WPSOffice_Level1"/>
      <w:r>
        <w:t>Conclusion</w:t>
      </w:r>
      <w:bookmarkEnd w:id="25"/>
      <w:bookmarkEnd w:id="26"/>
    </w:p>
    <w:p>
      <w:pPr>
        <w:pStyle w:val="6"/>
        <w:spacing w:line="480" w:lineRule="auto"/>
        <w:rPr>
          <w:b/>
          <w:color w:val="FF0000"/>
        </w:rPr>
      </w:pPr>
    </w:p>
    <w:p>
      <w:pPr>
        <w:pStyle w:val="6"/>
        <w:numPr>
          <w:ilvl w:val="0"/>
          <w:numId w:val="0"/>
        </w:numPr>
        <w:spacing w:line="480" w:lineRule="auto"/>
        <w:ind w:leftChars="405"/>
        <w:rPr>
          <w:rFonts w:hint="eastAsia" w:eastAsia="宋体"/>
          <w:lang w:val="en-US" w:eastAsia="zh-CN"/>
        </w:rPr>
      </w:pPr>
      <w:r>
        <w:rPr>
          <w:rFonts w:hint="eastAsia" w:eastAsia="宋体"/>
          <w:lang w:val="en-US" w:eastAsia="zh-CN"/>
        </w:rPr>
        <w:t>Adidas strives to achieve its mission by differentiation strategies based on Porter</w:t>
      </w:r>
      <w:r>
        <w:rPr>
          <w:rFonts w:hint="default" w:eastAsia="宋体"/>
          <w:lang w:val="en-US" w:eastAsia="zh-CN"/>
        </w:rPr>
        <w:t>’</w:t>
      </w:r>
      <w:r>
        <w:rPr>
          <w:rFonts w:hint="eastAsia" w:eastAsia="宋体"/>
          <w:lang w:val="en-US" w:eastAsia="zh-CN"/>
        </w:rPr>
        <w:t>s Generic Strategies Model. Adidas has made some progress in the Greater China and E-commerce market and enlarges its scope of business by continuous innovation, which reflects the core value of Adidas (Cleff 2013).</w:t>
      </w:r>
    </w:p>
    <w:p>
      <w:pPr>
        <w:pStyle w:val="6"/>
        <w:numPr>
          <w:ilvl w:val="0"/>
          <w:numId w:val="0"/>
        </w:numPr>
        <w:spacing w:line="480" w:lineRule="auto"/>
        <w:ind w:leftChars="405"/>
        <w:rPr>
          <w:rFonts w:hint="eastAsia" w:eastAsia="宋体"/>
          <w:lang w:val="en-US" w:eastAsia="zh-CN"/>
        </w:rPr>
      </w:pPr>
    </w:p>
    <w:p>
      <w:pPr>
        <w:pStyle w:val="2"/>
      </w:pPr>
      <w:bookmarkStart w:id="27" w:name="_Toc20361_WPSOffice_Level1"/>
      <w:r>
        <w:t>Recommendations</w:t>
      </w:r>
      <w:bookmarkEnd w:id="27"/>
    </w:p>
    <w:p>
      <w:pPr>
        <w:pStyle w:val="6"/>
        <w:spacing w:line="480" w:lineRule="auto"/>
        <w:rPr>
          <w:b/>
          <w:color w:val="FF0000"/>
        </w:rPr>
      </w:pPr>
    </w:p>
    <w:p>
      <w:pPr>
        <w:pStyle w:val="6"/>
        <w:numPr>
          <w:ilvl w:val="0"/>
          <w:numId w:val="0"/>
        </w:numPr>
        <w:spacing w:line="480" w:lineRule="auto"/>
        <w:ind w:leftChars="405"/>
        <w:rPr>
          <w:rFonts w:hint="eastAsia" w:eastAsia="宋体"/>
          <w:lang w:val="en-US" w:eastAsia="zh-CN"/>
        </w:rPr>
      </w:pPr>
      <w:r>
        <w:rPr>
          <w:rFonts w:hint="eastAsia" w:eastAsia="宋体"/>
          <w:lang w:val="en-US" w:eastAsia="zh-CN"/>
        </w:rPr>
        <w:t>Adidas should cut the redundant business lines. For example, the product of perfume is not as competitive as traditional brands of fragrance. And the redundant business lines requires a considerable amount of R&amp;D expenditures, thus reducing the profit margin. Moreover, even though Adidas</w:t>
      </w:r>
      <w:r>
        <w:rPr>
          <w:rFonts w:hint="default" w:eastAsia="宋体"/>
          <w:lang w:val="en-US" w:eastAsia="zh-CN"/>
        </w:rPr>
        <w:t>’</w:t>
      </w:r>
      <w:r>
        <w:rPr>
          <w:rFonts w:hint="eastAsia" w:eastAsia="宋体"/>
          <w:lang w:val="en-US" w:eastAsia="zh-CN"/>
        </w:rPr>
        <w:t xml:space="preserve"> high-quality image makes the relatively high price of products reasonable; however, it is advisable to cut down the price in the emerging markets. </w:t>
      </w:r>
    </w:p>
    <w:p>
      <w:pPr>
        <w:pStyle w:val="6"/>
        <w:numPr>
          <w:ilvl w:val="0"/>
          <w:numId w:val="0"/>
        </w:numPr>
        <w:spacing w:line="480" w:lineRule="auto"/>
        <w:ind w:leftChars="405"/>
        <w:rPr>
          <w:rFonts w:hint="eastAsia" w:eastAsia="宋体"/>
          <w:lang w:val="en-US" w:eastAsia="zh-CN"/>
        </w:rPr>
      </w:pPr>
    </w:p>
    <w:p/>
    <w:p/>
    <w:p/>
    <w:p/>
    <w:p/>
    <w:p/>
    <w:p/>
    <w:p/>
    <w:p>
      <w:pPr>
        <w:pStyle w:val="2"/>
        <w:numPr>
          <w:ilvl w:val="0"/>
          <w:numId w:val="0"/>
        </w:numPr>
        <w:tabs>
          <w:tab w:val="clear" w:pos="851"/>
        </w:tabs>
        <w:ind w:leftChars="0"/>
        <w:rPr>
          <w:rFonts w:hint="eastAsia"/>
          <w:lang w:val="en-US" w:eastAsia="zh-CN"/>
        </w:rPr>
      </w:pPr>
      <w:bookmarkStart w:id="28" w:name="_Toc24750_WPSOffice_Level1"/>
      <w:r>
        <w:rPr>
          <w:rFonts w:hint="eastAsia"/>
          <w:lang w:val="en-US" w:eastAsia="zh-CN"/>
        </w:rPr>
        <w:t>Reference</w:t>
      </w:r>
      <w:bookmarkEnd w:id="28"/>
    </w:p>
    <w:p>
      <w:pPr>
        <w:keepNext w:val="0"/>
        <w:keepLines w:val="0"/>
        <w:pageBreakBefore w:val="0"/>
        <w:widowControl/>
        <w:kinsoku/>
        <w:wordWrap/>
        <w:overflowPunct/>
        <w:topLinePunct w:val="0"/>
        <w:autoSpaceDE w:val="0"/>
        <w:autoSpaceDN w:val="0"/>
        <w:bidi w:val="0"/>
        <w:adjustRightInd w:val="0"/>
        <w:snapToGrid/>
        <w:spacing w:line="240" w:lineRule="auto"/>
        <w:textAlignment w:val="auto"/>
        <w:outlineLvl w:val="9"/>
        <w:rPr>
          <w:rFonts w:hint="eastAsia" w:ascii="Arial" w:hAnsi="Arial" w:eastAsia="宋体" w:cs="Arial"/>
          <w:i w:val="0"/>
          <w:caps w:val="0"/>
          <w:color w:val="222222"/>
          <w:spacing w:val="0"/>
          <w:sz w:val="19"/>
          <w:szCs w:val="19"/>
          <w:shd w:val="clear" w:fill="FFFFFF"/>
          <w:lang w:val="en-US" w:eastAsia="zh-CN"/>
        </w:rPr>
      </w:pPr>
      <w:r>
        <w:rPr>
          <w:rFonts w:hint="eastAsia" w:ascii="Arial" w:hAnsi="Arial" w:eastAsia="宋体" w:cs="Arial"/>
          <w:i w:val="0"/>
          <w:caps w:val="0"/>
          <w:color w:val="222222"/>
          <w:spacing w:val="0"/>
          <w:sz w:val="19"/>
          <w:szCs w:val="19"/>
          <w:shd w:val="clear" w:fill="FFFFFF"/>
          <w:lang w:val="en-US" w:eastAsia="zh-CN"/>
        </w:rPr>
        <w:t>Adidas.com.,2018. Facts and Figures</w:t>
      </w:r>
    </w:p>
    <w:p>
      <w:pPr>
        <w:keepNext w:val="0"/>
        <w:keepLines w:val="0"/>
        <w:pageBreakBefore w:val="0"/>
        <w:widowControl/>
        <w:kinsoku/>
        <w:wordWrap/>
        <w:overflowPunct/>
        <w:topLinePunct w:val="0"/>
        <w:autoSpaceDE w:val="0"/>
        <w:autoSpaceDN w:val="0"/>
        <w:bidi w:val="0"/>
        <w:adjustRightInd w:val="0"/>
        <w:snapToGrid/>
        <w:spacing w:line="240" w:lineRule="auto"/>
        <w:ind w:firstLine="570" w:firstLineChars="300"/>
        <w:textAlignment w:val="auto"/>
        <w:outlineLvl w:val="9"/>
        <w:rPr>
          <w:rFonts w:hint="eastAsia" w:ascii="Arial" w:hAnsi="Arial" w:eastAsia="宋体" w:cs="Arial"/>
          <w:i w:val="0"/>
          <w:caps w:val="0"/>
          <w:color w:val="222222"/>
          <w:spacing w:val="0"/>
          <w:sz w:val="19"/>
          <w:szCs w:val="19"/>
          <w:shd w:val="clear" w:fill="FFFFFF"/>
          <w:lang w:val="en-US" w:eastAsia="zh-CN"/>
        </w:rPr>
      </w:pPr>
      <w:r>
        <w:rPr>
          <w:rFonts w:hint="eastAsia" w:ascii="Arial" w:hAnsi="Arial" w:eastAsia="宋体" w:cs="Arial"/>
          <w:i w:val="0"/>
          <w:caps w:val="0"/>
          <w:color w:val="222222"/>
          <w:spacing w:val="0"/>
          <w:sz w:val="19"/>
          <w:szCs w:val="19"/>
          <w:shd w:val="clear" w:fill="FFFFFF"/>
          <w:lang w:val="en-US" w:eastAsia="zh-CN"/>
        </w:rPr>
        <w:fldChar w:fldCharType="begin"/>
      </w:r>
      <w:r>
        <w:rPr>
          <w:rFonts w:hint="eastAsia" w:ascii="Arial" w:hAnsi="Arial" w:eastAsia="宋体" w:cs="Arial"/>
          <w:i w:val="0"/>
          <w:caps w:val="0"/>
          <w:color w:val="222222"/>
          <w:spacing w:val="0"/>
          <w:sz w:val="19"/>
          <w:szCs w:val="19"/>
          <w:shd w:val="clear" w:fill="FFFFFF"/>
          <w:lang w:val="en-US" w:eastAsia="zh-CN"/>
        </w:rPr>
        <w:instrText xml:space="preserve"> HYPERLINK "https://www.adidas-group.com/en/group/profile/" </w:instrText>
      </w:r>
      <w:r>
        <w:rPr>
          <w:rFonts w:hint="eastAsia" w:ascii="Arial" w:hAnsi="Arial" w:eastAsia="宋体" w:cs="Arial"/>
          <w:i w:val="0"/>
          <w:caps w:val="0"/>
          <w:color w:val="222222"/>
          <w:spacing w:val="0"/>
          <w:sz w:val="19"/>
          <w:szCs w:val="19"/>
          <w:shd w:val="clear" w:fill="FFFFFF"/>
          <w:lang w:val="en-US" w:eastAsia="zh-CN"/>
        </w:rPr>
        <w:fldChar w:fldCharType="separate"/>
      </w:r>
      <w:r>
        <w:rPr>
          <w:rFonts w:hint="eastAsia" w:ascii="Arial" w:hAnsi="Arial" w:eastAsia="宋体" w:cs="Arial"/>
          <w:i w:val="0"/>
          <w:caps w:val="0"/>
          <w:color w:val="222222"/>
          <w:spacing w:val="0"/>
          <w:sz w:val="19"/>
          <w:szCs w:val="19"/>
          <w:shd w:val="clear" w:fill="FFFFFF"/>
          <w:lang w:val="en-US" w:eastAsia="zh-CN"/>
        </w:rPr>
        <w:t>https://www.adidas-group.com/en/group/profile/</w:t>
      </w:r>
      <w:r>
        <w:rPr>
          <w:rFonts w:hint="eastAsia" w:ascii="Arial" w:hAnsi="Arial" w:eastAsia="宋体" w:cs="Arial"/>
          <w:i w:val="0"/>
          <w:caps w:val="0"/>
          <w:color w:val="222222"/>
          <w:spacing w:val="0"/>
          <w:sz w:val="19"/>
          <w:szCs w:val="19"/>
          <w:shd w:val="clear" w:fill="FFFFFF"/>
          <w:lang w:val="en-US" w:eastAsia="zh-CN"/>
        </w:rPr>
        <w:fldChar w:fldCharType="end"/>
      </w:r>
    </w:p>
    <w:p>
      <w:pPr>
        <w:keepNext w:val="0"/>
        <w:keepLines w:val="0"/>
        <w:pageBreakBefore w:val="0"/>
        <w:widowControl/>
        <w:kinsoku/>
        <w:wordWrap/>
        <w:overflowPunct/>
        <w:topLinePunct w:val="0"/>
        <w:autoSpaceDE w:val="0"/>
        <w:autoSpaceDN w:val="0"/>
        <w:bidi w:val="0"/>
        <w:adjustRightInd w:val="0"/>
        <w:snapToGrid/>
        <w:spacing w:line="240" w:lineRule="auto"/>
        <w:textAlignment w:val="auto"/>
        <w:outlineLvl w:val="9"/>
        <w:rPr>
          <w:rFonts w:hint="eastAsia" w:ascii="Arial" w:hAnsi="Arial" w:eastAsia="宋体" w:cs="Arial"/>
          <w:i w:val="0"/>
          <w:caps w:val="0"/>
          <w:color w:val="222222"/>
          <w:spacing w:val="0"/>
          <w:sz w:val="19"/>
          <w:szCs w:val="19"/>
          <w:shd w:val="clear" w:fill="FFFFFF"/>
          <w:lang w:val="en-US" w:eastAsia="zh-CN"/>
        </w:rPr>
      </w:pPr>
    </w:p>
    <w:p>
      <w:pPr>
        <w:keepNext w:val="0"/>
        <w:keepLines w:val="0"/>
        <w:pageBreakBefore w:val="0"/>
        <w:widowControl/>
        <w:kinsoku/>
        <w:wordWrap/>
        <w:overflowPunct/>
        <w:topLinePunct w:val="0"/>
        <w:autoSpaceDE w:val="0"/>
        <w:autoSpaceDN w:val="0"/>
        <w:bidi w:val="0"/>
        <w:adjustRightInd w:val="0"/>
        <w:snapToGrid/>
        <w:spacing w:line="240" w:lineRule="auto"/>
        <w:ind w:left="585" w:hanging="570" w:hangingChars="300"/>
        <w:textAlignment w:val="auto"/>
        <w:outlineLvl w:val="9"/>
        <w:rPr>
          <w:rFonts w:hint="eastAsia" w:ascii="Arial" w:hAnsi="Arial" w:eastAsia="宋体" w:cs="Arial"/>
          <w:i w:val="0"/>
          <w:caps w:val="0"/>
          <w:color w:val="222222"/>
          <w:spacing w:val="0"/>
          <w:sz w:val="19"/>
          <w:szCs w:val="19"/>
          <w:shd w:val="clear" w:fill="FFFFFF"/>
          <w:lang w:val="en-US" w:eastAsia="zh-CN"/>
        </w:rPr>
      </w:pPr>
      <w:r>
        <w:rPr>
          <w:rFonts w:hint="eastAsia" w:ascii="Arial" w:hAnsi="Arial" w:eastAsia="宋体" w:cs="Arial"/>
          <w:i w:val="0"/>
          <w:caps w:val="0"/>
          <w:color w:val="222222"/>
          <w:spacing w:val="0"/>
          <w:sz w:val="19"/>
          <w:szCs w:val="19"/>
          <w:shd w:val="clear" w:fill="FFFFFF"/>
          <w:lang w:val="en-US" w:eastAsia="zh-CN"/>
        </w:rPr>
        <w:t>Adidas.com.,2018. Financial Publications</w:t>
      </w:r>
    </w:p>
    <w:p>
      <w:pPr>
        <w:keepNext w:val="0"/>
        <w:keepLines w:val="0"/>
        <w:pageBreakBefore w:val="0"/>
        <w:widowControl/>
        <w:kinsoku/>
        <w:wordWrap/>
        <w:overflowPunct/>
        <w:topLinePunct w:val="0"/>
        <w:autoSpaceDE w:val="0"/>
        <w:autoSpaceDN w:val="0"/>
        <w:bidi w:val="0"/>
        <w:adjustRightInd w:val="0"/>
        <w:snapToGrid/>
        <w:spacing w:line="240" w:lineRule="auto"/>
        <w:ind w:left="585" w:hanging="570" w:hangingChars="300"/>
        <w:textAlignment w:val="auto"/>
        <w:outlineLvl w:val="9"/>
        <w:rPr>
          <w:rFonts w:hint="eastAsia" w:ascii="Arial" w:hAnsi="Arial" w:eastAsia="宋体" w:cs="Arial"/>
          <w:i w:val="0"/>
          <w:caps w:val="0"/>
          <w:color w:val="222222"/>
          <w:spacing w:val="0"/>
          <w:sz w:val="19"/>
          <w:szCs w:val="19"/>
          <w:shd w:val="clear" w:fill="FFFFFF"/>
          <w:lang w:val="en-US" w:eastAsia="zh-CN"/>
        </w:rPr>
      </w:pPr>
      <w:r>
        <w:rPr>
          <w:rFonts w:hint="eastAsia" w:ascii="Arial" w:hAnsi="Arial" w:eastAsia="宋体" w:cs="Arial"/>
          <w:i w:val="0"/>
          <w:caps w:val="0"/>
          <w:color w:val="222222"/>
          <w:spacing w:val="0"/>
          <w:sz w:val="19"/>
          <w:szCs w:val="19"/>
          <w:shd w:val="clear" w:fill="FFFFFF"/>
          <w:lang w:val="en-US" w:eastAsia="zh-CN"/>
        </w:rPr>
        <w:t xml:space="preserve">      </w:t>
      </w:r>
      <w:r>
        <w:rPr>
          <w:rFonts w:hint="eastAsia" w:ascii="Arial" w:hAnsi="Arial" w:eastAsia="宋体" w:cs="Arial"/>
          <w:i w:val="0"/>
          <w:caps w:val="0"/>
          <w:color w:val="222222"/>
          <w:spacing w:val="0"/>
          <w:sz w:val="19"/>
          <w:szCs w:val="19"/>
          <w:shd w:val="clear" w:fill="FFFFFF"/>
          <w:lang w:val="en-US" w:eastAsia="zh-CN"/>
        </w:rPr>
        <w:fldChar w:fldCharType="begin"/>
      </w:r>
      <w:r>
        <w:rPr>
          <w:rFonts w:hint="eastAsia" w:ascii="Arial" w:hAnsi="Arial" w:eastAsia="宋体" w:cs="Arial"/>
          <w:i w:val="0"/>
          <w:caps w:val="0"/>
          <w:color w:val="222222"/>
          <w:spacing w:val="0"/>
          <w:sz w:val="19"/>
          <w:szCs w:val="19"/>
          <w:shd w:val="clear" w:fill="FFFFFF"/>
          <w:lang w:val="en-US" w:eastAsia="zh-CN"/>
        </w:rPr>
        <w:instrText xml:space="preserve"> HYPERLINK "https://www.adidas-group.com/en/investors/financial-reports/" </w:instrText>
      </w:r>
      <w:r>
        <w:rPr>
          <w:rFonts w:hint="eastAsia" w:ascii="Arial" w:hAnsi="Arial" w:eastAsia="宋体" w:cs="Arial"/>
          <w:i w:val="0"/>
          <w:caps w:val="0"/>
          <w:color w:val="222222"/>
          <w:spacing w:val="0"/>
          <w:sz w:val="19"/>
          <w:szCs w:val="19"/>
          <w:shd w:val="clear" w:fill="FFFFFF"/>
          <w:lang w:val="en-US" w:eastAsia="zh-CN"/>
        </w:rPr>
        <w:fldChar w:fldCharType="separate"/>
      </w:r>
      <w:r>
        <w:rPr>
          <w:rFonts w:hint="eastAsia" w:ascii="Arial" w:hAnsi="Arial" w:eastAsia="宋体" w:cs="Arial"/>
          <w:i w:val="0"/>
          <w:caps w:val="0"/>
          <w:color w:val="222222"/>
          <w:spacing w:val="0"/>
          <w:sz w:val="19"/>
          <w:szCs w:val="19"/>
          <w:shd w:val="clear" w:fill="FFFFFF"/>
          <w:lang w:val="en-US" w:eastAsia="zh-CN"/>
        </w:rPr>
        <w:t>https://www.adidas-group.com/en/investors/financial-reports/</w:t>
      </w:r>
      <w:r>
        <w:rPr>
          <w:rFonts w:hint="eastAsia" w:ascii="Arial" w:hAnsi="Arial" w:eastAsia="宋体" w:cs="Arial"/>
          <w:i w:val="0"/>
          <w:caps w:val="0"/>
          <w:color w:val="222222"/>
          <w:spacing w:val="0"/>
          <w:sz w:val="19"/>
          <w:szCs w:val="19"/>
          <w:shd w:val="clear" w:fill="FFFFFF"/>
          <w:lang w:val="en-US" w:eastAsia="zh-CN"/>
        </w:rPr>
        <w:fldChar w:fldCharType="end"/>
      </w:r>
    </w:p>
    <w:p>
      <w:pPr>
        <w:keepNext w:val="0"/>
        <w:keepLines w:val="0"/>
        <w:pageBreakBefore w:val="0"/>
        <w:widowControl/>
        <w:kinsoku/>
        <w:wordWrap/>
        <w:overflowPunct/>
        <w:topLinePunct w:val="0"/>
        <w:autoSpaceDE w:val="0"/>
        <w:autoSpaceDN w:val="0"/>
        <w:bidi w:val="0"/>
        <w:adjustRightInd w:val="0"/>
        <w:snapToGrid/>
        <w:spacing w:line="240" w:lineRule="auto"/>
        <w:ind w:left="585" w:hanging="570" w:hangingChars="300"/>
        <w:textAlignment w:val="auto"/>
        <w:outlineLvl w:val="9"/>
        <w:rPr>
          <w:rFonts w:hint="eastAsia" w:ascii="Arial" w:hAnsi="Arial" w:eastAsia="宋体" w:cs="Arial"/>
          <w:i w:val="0"/>
          <w:caps w:val="0"/>
          <w:color w:val="222222"/>
          <w:spacing w:val="0"/>
          <w:sz w:val="19"/>
          <w:szCs w:val="19"/>
          <w:shd w:val="clear" w:fill="FFFFFF"/>
          <w:lang w:val="en-US" w:eastAsia="zh-CN"/>
        </w:rPr>
      </w:pPr>
    </w:p>
    <w:p>
      <w:pPr>
        <w:ind w:left="585" w:hanging="570" w:hangingChars="300"/>
        <w:rPr>
          <w:rFonts w:hint="default" w:ascii="Arial" w:hAnsi="Arial" w:eastAsia="宋体" w:cs="Arial"/>
          <w:i w:val="0"/>
          <w:caps w:val="0"/>
          <w:color w:val="222222"/>
          <w:spacing w:val="0"/>
          <w:sz w:val="19"/>
          <w:szCs w:val="19"/>
          <w:shd w:val="clear" w:fill="FFFFFF"/>
        </w:rPr>
      </w:pPr>
      <w:r>
        <w:rPr>
          <w:rFonts w:ascii="Arial" w:hAnsi="Arial" w:eastAsia="宋体" w:cs="Arial"/>
          <w:i w:val="0"/>
          <w:caps w:val="0"/>
          <w:color w:val="222222"/>
          <w:spacing w:val="0"/>
          <w:sz w:val="19"/>
          <w:szCs w:val="19"/>
          <w:shd w:val="clear" w:fill="FFFFFF"/>
        </w:rPr>
        <w:t>Akdeniz Ar, A. and Kara, A., 2014. Emerging market consumers’ country of production image, trust and quality perceptions of global brands made-in China.</w:t>
      </w:r>
      <w:r>
        <w:rPr>
          <w:rFonts w:hint="default" w:ascii="Arial" w:hAnsi="Arial" w:eastAsia="宋体" w:cs="Arial"/>
          <w:i w:val="0"/>
          <w:caps w:val="0"/>
          <w:color w:val="222222"/>
          <w:spacing w:val="0"/>
          <w:sz w:val="19"/>
          <w:szCs w:val="19"/>
          <w:shd w:val="clear" w:fill="FFFFFF"/>
        </w:rPr>
        <w:t> </w:t>
      </w:r>
      <w:r>
        <w:rPr>
          <w:rFonts w:hint="default" w:ascii="Arial" w:hAnsi="Arial" w:eastAsia="宋体" w:cs="Arial"/>
          <w:i/>
          <w:caps w:val="0"/>
          <w:color w:val="222222"/>
          <w:spacing w:val="0"/>
          <w:sz w:val="19"/>
          <w:szCs w:val="19"/>
          <w:shd w:val="clear" w:fill="FFFFFF"/>
        </w:rPr>
        <w:t>Journal of Product &amp; Brand Management</w:t>
      </w:r>
      <w:r>
        <w:rPr>
          <w:rFonts w:hint="default" w:ascii="Arial" w:hAnsi="Arial" w:eastAsia="宋体" w:cs="Arial"/>
          <w:i w:val="0"/>
          <w:caps w:val="0"/>
          <w:color w:val="222222"/>
          <w:spacing w:val="0"/>
          <w:sz w:val="19"/>
          <w:szCs w:val="19"/>
          <w:shd w:val="clear" w:fill="FFFFFF"/>
        </w:rPr>
        <w:t>, </w:t>
      </w:r>
      <w:r>
        <w:rPr>
          <w:rFonts w:hint="default" w:ascii="Arial" w:hAnsi="Arial" w:eastAsia="宋体" w:cs="Arial"/>
          <w:i/>
          <w:caps w:val="0"/>
          <w:color w:val="222222"/>
          <w:spacing w:val="0"/>
          <w:sz w:val="19"/>
          <w:szCs w:val="19"/>
          <w:shd w:val="clear" w:fill="FFFFFF"/>
        </w:rPr>
        <w:t>23</w:t>
      </w:r>
      <w:r>
        <w:rPr>
          <w:rFonts w:hint="default" w:ascii="Arial" w:hAnsi="Arial" w:eastAsia="宋体" w:cs="Arial"/>
          <w:i w:val="0"/>
          <w:caps w:val="0"/>
          <w:color w:val="222222"/>
          <w:spacing w:val="0"/>
          <w:sz w:val="19"/>
          <w:szCs w:val="19"/>
          <w:shd w:val="clear" w:fill="FFFFFF"/>
        </w:rPr>
        <w:t>(7), pp.491-503.</w:t>
      </w:r>
    </w:p>
    <w:p>
      <w:pPr>
        <w:ind w:left="585" w:hanging="570" w:hangingChars="300"/>
        <w:rPr>
          <w:rFonts w:hint="default" w:ascii="Arial" w:hAnsi="Arial" w:eastAsia="宋体" w:cs="Arial"/>
          <w:i w:val="0"/>
          <w:caps w:val="0"/>
          <w:color w:val="222222"/>
          <w:spacing w:val="0"/>
          <w:sz w:val="19"/>
          <w:szCs w:val="19"/>
          <w:shd w:val="clear" w:fill="FFFFFF"/>
        </w:rPr>
      </w:pPr>
    </w:p>
    <w:p>
      <w:pPr>
        <w:ind w:left="585" w:hanging="570" w:hangingChars="300"/>
        <w:rPr>
          <w:rFonts w:hint="default" w:ascii="Arial" w:hAnsi="Arial" w:eastAsia="宋体" w:cs="Arial"/>
          <w:i w:val="0"/>
          <w:caps w:val="0"/>
          <w:color w:val="222222"/>
          <w:spacing w:val="0"/>
          <w:sz w:val="19"/>
          <w:szCs w:val="19"/>
          <w:shd w:val="clear" w:fill="FFFFFF"/>
        </w:rPr>
      </w:pPr>
      <w:r>
        <w:rPr>
          <w:rFonts w:ascii="Arial" w:hAnsi="Arial" w:eastAsia="宋体" w:cs="Arial"/>
          <w:i w:val="0"/>
          <w:caps w:val="0"/>
          <w:color w:val="222222"/>
          <w:spacing w:val="0"/>
          <w:sz w:val="19"/>
          <w:szCs w:val="19"/>
          <w:shd w:val="clear" w:fill="FFFFFF"/>
        </w:rPr>
        <w:t>Baena, V., 2016. The Next Revolution in Mass Customization: An insight into the sneaker market.</w:t>
      </w:r>
      <w:r>
        <w:rPr>
          <w:rFonts w:hint="default" w:ascii="Arial" w:hAnsi="Arial" w:eastAsia="宋体" w:cs="Arial"/>
          <w:i w:val="0"/>
          <w:caps w:val="0"/>
          <w:color w:val="222222"/>
          <w:spacing w:val="0"/>
          <w:sz w:val="19"/>
          <w:szCs w:val="19"/>
          <w:shd w:val="clear" w:fill="FFFFFF"/>
        </w:rPr>
        <w:t> </w:t>
      </w:r>
      <w:r>
        <w:rPr>
          <w:rFonts w:hint="default" w:ascii="Arial" w:hAnsi="Arial" w:eastAsia="宋体" w:cs="Arial"/>
          <w:i/>
          <w:caps w:val="0"/>
          <w:color w:val="222222"/>
          <w:spacing w:val="0"/>
          <w:sz w:val="19"/>
          <w:szCs w:val="19"/>
          <w:shd w:val="clear" w:fill="FFFFFF"/>
        </w:rPr>
        <w:t>International Journal of Marketing, Communication and New Media</w:t>
      </w:r>
      <w:r>
        <w:rPr>
          <w:rFonts w:hint="default" w:ascii="Arial" w:hAnsi="Arial" w:eastAsia="宋体" w:cs="Arial"/>
          <w:i w:val="0"/>
          <w:caps w:val="0"/>
          <w:color w:val="222222"/>
          <w:spacing w:val="0"/>
          <w:sz w:val="19"/>
          <w:szCs w:val="19"/>
          <w:shd w:val="clear" w:fill="FFFFFF"/>
        </w:rPr>
        <w:t>, </w:t>
      </w:r>
      <w:r>
        <w:rPr>
          <w:rFonts w:hint="default" w:ascii="Arial" w:hAnsi="Arial" w:eastAsia="宋体" w:cs="Arial"/>
          <w:i/>
          <w:caps w:val="0"/>
          <w:color w:val="222222"/>
          <w:spacing w:val="0"/>
          <w:sz w:val="19"/>
          <w:szCs w:val="19"/>
          <w:shd w:val="clear" w:fill="FFFFFF"/>
        </w:rPr>
        <w:t>4</w:t>
      </w:r>
      <w:r>
        <w:rPr>
          <w:rFonts w:hint="default" w:ascii="Arial" w:hAnsi="Arial" w:eastAsia="宋体" w:cs="Arial"/>
          <w:i w:val="0"/>
          <w:caps w:val="0"/>
          <w:color w:val="222222"/>
          <w:spacing w:val="0"/>
          <w:sz w:val="19"/>
          <w:szCs w:val="19"/>
          <w:shd w:val="clear" w:fill="FFFFFF"/>
        </w:rPr>
        <w:t>(6).</w:t>
      </w:r>
    </w:p>
    <w:p>
      <w:pPr>
        <w:ind w:left="585" w:hanging="570" w:hangingChars="300"/>
        <w:rPr>
          <w:rFonts w:hint="default" w:ascii="Arial" w:hAnsi="Arial" w:eastAsia="宋体" w:cs="Arial"/>
          <w:i w:val="0"/>
          <w:caps w:val="0"/>
          <w:color w:val="222222"/>
          <w:spacing w:val="0"/>
          <w:sz w:val="19"/>
          <w:szCs w:val="19"/>
          <w:shd w:val="clear" w:fill="FFFFFF"/>
        </w:rPr>
      </w:pPr>
    </w:p>
    <w:p>
      <w:pPr>
        <w:ind w:left="585" w:hanging="570" w:hangingChars="300"/>
        <w:rPr>
          <w:rFonts w:hint="default" w:ascii="Arial" w:hAnsi="Arial" w:eastAsia="宋体" w:cs="Arial"/>
          <w:i w:val="0"/>
          <w:caps w:val="0"/>
          <w:color w:val="222222"/>
          <w:spacing w:val="0"/>
          <w:sz w:val="19"/>
          <w:szCs w:val="19"/>
          <w:shd w:val="clear" w:fill="FFFFFF"/>
        </w:rPr>
      </w:pPr>
      <w:r>
        <w:rPr>
          <w:rFonts w:ascii="Arial" w:hAnsi="Arial" w:eastAsia="宋体" w:cs="Arial"/>
          <w:i w:val="0"/>
          <w:caps w:val="0"/>
          <w:color w:val="222222"/>
          <w:spacing w:val="0"/>
          <w:sz w:val="19"/>
          <w:szCs w:val="19"/>
          <w:shd w:val="clear" w:fill="FFFFFF"/>
        </w:rPr>
        <w:t>Casadesus‐Masanell, R. and Zhu, F., 2013. Business model innovation and competitive imitation: The case of sponsor‐based business models.</w:t>
      </w:r>
      <w:r>
        <w:rPr>
          <w:rFonts w:hint="default" w:ascii="Arial" w:hAnsi="Arial" w:eastAsia="宋体" w:cs="Arial"/>
          <w:i w:val="0"/>
          <w:caps w:val="0"/>
          <w:color w:val="222222"/>
          <w:spacing w:val="0"/>
          <w:sz w:val="19"/>
          <w:szCs w:val="19"/>
          <w:shd w:val="clear" w:fill="FFFFFF"/>
        </w:rPr>
        <w:t> </w:t>
      </w:r>
      <w:r>
        <w:rPr>
          <w:rFonts w:hint="default" w:ascii="Arial" w:hAnsi="Arial" w:eastAsia="宋体" w:cs="Arial"/>
          <w:i/>
          <w:caps w:val="0"/>
          <w:color w:val="222222"/>
          <w:spacing w:val="0"/>
          <w:sz w:val="19"/>
          <w:szCs w:val="19"/>
          <w:shd w:val="clear" w:fill="FFFFFF"/>
        </w:rPr>
        <w:t>Strategic management journal</w:t>
      </w:r>
      <w:r>
        <w:rPr>
          <w:rFonts w:hint="default" w:ascii="Arial" w:hAnsi="Arial" w:eastAsia="宋体" w:cs="Arial"/>
          <w:i w:val="0"/>
          <w:caps w:val="0"/>
          <w:color w:val="222222"/>
          <w:spacing w:val="0"/>
          <w:sz w:val="19"/>
          <w:szCs w:val="19"/>
          <w:shd w:val="clear" w:fill="FFFFFF"/>
        </w:rPr>
        <w:t>, </w:t>
      </w:r>
      <w:r>
        <w:rPr>
          <w:rFonts w:hint="default" w:ascii="Arial" w:hAnsi="Arial" w:eastAsia="宋体" w:cs="Arial"/>
          <w:i/>
          <w:caps w:val="0"/>
          <w:color w:val="222222"/>
          <w:spacing w:val="0"/>
          <w:sz w:val="19"/>
          <w:szCs w:val="19"/>
          <w:shd w:val="clear" w:fill="FFFFFF"/>
        </w:rPr>
        <w:t>34</w:t>
      </w:r>
      <w:r>
        <w:rPr>
          <w:rFonts w:hint="default" w:ascii="Arial" w:hAnsi="Arial" w:eastAsia="宋体" w:cs="Arial"/>
          <w:i w:val="0"/>
          <w:caps w:val="0"/>
          <w:color w:val="222222"/>
          <w:spacing w:val="0"/>
          <w:sz w:val="19"/>
          <w:szCs w:val="19"/>
          <w:shd w:val="clear" w:fill="FFFFFF"/>
        </w:rPr>
        <w:t>(4), pp.464-482.</w:t>
      </w:r>
    </w:p>
    <w:p>
      <w:pPr>
        <w:ind w:left="585" w:hanging="570" w:hangingChars="300"/>
        <w:rPr>
          <w:rFonts w:hint="default" w:ascii="Arial" w:hAnsi="Arial" w:eastAsia="宋体" w:cs="Arial"/>
          <w:i w:val="0"/>
          <w:caps w:val="0"/>
          <w:color w:val="222222"/>
          <w:spacing w:val="0"/>
          <w:sz w:val="19"/>
          <w:szCs w:val="19"/>
          <w:shd w:val="clear" w:fill="FFFFFF"/>
        </w:rPr>
      </w:pPr>
    </w:p>
    <w:p>
      <w:pPr>
        <w:ind w:left="585" w:hanging="570" w:hangingChars="300"/>
        <w:rPr>
          <w:rFonts w:hint="default" w:ascii="Arial" w:hAnsi="Arial" w:eastAsia="宋体" w:cs="Arial"/>
          <w:i w:val="0"/>
          <w:caps w:val="0"/>
          <w:color w:val="222222"/>
          <w:spacing w:val="0"/>
          <w:sz w:val="19"/>
          <w:szCs w:val="19"/>
          <w:shd w:val="clear" w:fill="FFFFFF"/>
        </w:rPr>
      </w:pPr>
      <w:r>
        <w:rPr>
          <w:rFonts w:ascii="Arial" w:hAnsi="Arial" w:eastAsia="宋体" w:cs="Arial"/>
          <w:i w:val="0"/>
          <w:caps w:val="0"/>
          <w:color w:val="222222"/>
          <w:spacing w:val="0"/>
          <w:sz w:val="19"/>
          <w:szCs w:val="19"/>
          <w:shd w:val="clear" w:fill="FFFFFF"/>
        </w:rPr>
        <w:t>Cleff, T., Dörr, S., Vicknair, A. and Walter, N., 2013. Brand Experience–How It Relates To Brand Personality, Consumer Satisfaction And Consumer Loyalty. An Empirical Analysis of The Adidas Brand.</w:t>
      </w:r>
      <w:r>
        <w:rPr>
          <w:rFonts w:hint="default" w:ascii="Arial" w:hAnsi="Arial" w:eastAsia="宋体" w:cs="Arial"/>
          <w:i w:val="0"/>
          <w:caps w:val="0"/>
          <w:color w:val="222222"/>
          <w:spacing w:val="0"/>
          <w:sz w:val="19"/>
          <w:szCs w:val="19"/>
          <w:shd w:val="clear" w:fill="FFFFFF"/>
        </w:rPr>
        <w:t> </w:t>
      </w:r>
      <w:r>
        <w:rPr>
          <w:rFonts w:hint="default" w:ascii="Arial" w:hAnsi="Arial" w:eastAsia="宋体" w:cs="Arial"/>
          <w:i/>
          <w:caps w:val="0"/>
          <w:color w:val="222222"/>
          <w:spacing w:val="0"/>
          <w:sz w:val="19"/>
          <w:szCs w:val="19"/>
          <w:shd w:val="clear" w:fill="FFFFFF"/>
        </w:rPr>
        <w:t>Interdisciplinary Management Research</w:t>
      </w:r>
      <w:r>
        <w:rPr>
          <w:rFonts w:hint="default" w:ascii="Arial" w:hAnsi="Arial" w:eastAsia="宋体" w:cs="Arial"/>
          <w:i w:val="0"/>
          <w:caps w:val="0"/>
          <w:color w:val="222222"/>
          <w:spacing w:val="0"/>
          <w:sz w:val="19"/>
          <w:szCs w:val="19"/>
          <w:shd w:val="clear" w:fill="FFFFFF"/>
        </w:rPr>
        <w:t>, </w:t>
      </w:r>
      <w:r>
        <w:rPr>
          <w:rFonts w:hint="default" w:ascii="Arial" w:hAnsi="Arial" w:eastAsia="宋体" w:cs="Arial"/>
          <w:i/>
          <w:caps w:val="0"/>
          <w:color w:val="222222"/>
          <w:spacing w:val="0"/>
          <w:sz w:val="19"/>
          <w:szCs w:val="19"/>
          <w:shd w:val="clear" w:fill="FFFFFF"/>
        </w:rPr>
        <w:t>9</w:t>
      </w:r>
      <w:r>
        <w:rPr>
          <w:rFonts w:hint="default" w:ascii="Arial" w:hAnsi="Arial" w:eastAsia="宋体" w:cs="Arial"/>
          <w:i w:val="0"/>
          <w:caps w:val="0"/>
          <w:color w:val="222222"/>
          <w:spacing w:val="0"/>
          <w:sz w:val="19"/>
          <w:szCs w:val="19"/>
          <w:shd w:val="clear" w:fill="FFFFFF"/>
        </w:rPr>
        <w:t>(31), pp.731-754.</w:t>
      </w:r>
    </w:p>
    <w:p>
      <w:pPr>
        <w:ind w:left="585" w:hanging="570" w:hangingChars="300"/>
        <w:rPr>
          <w:rFonts w:hint="default" w:ascii="Arial" w:hAnsi="Arial" w:eastAsia="宋体" w:cs="Arial"/>
          <w:i w:val="0"/>
          <w:caps w:val="0"/>
          <w:color w:val="222222"/>
          <w:spacing w:val="0"/>
          <w:sz w:val="19"/>
          <w:szCs w:val="19"/>
          <w:shd w:val="clear" w:fill="FFFFFF"/>
        </w:rPr>
      </w:pPr>
    </w:p>
    <w:p>
      <w:pPr>
        <w:ind w:left="585" w:hanging="570" w:hangingChars="300"/>
        <w:rPr>
          <w:rFonts w:hint="default" w:ascii="Arial" w:hAnsi="Arial" w:eastAsia="宋体" w:cs="Arial"/>
          <w:i w:val="0"/>
          <w:caps w:val="0"/>
          <w:color w:val="222222"/>
          <w:spacing w:val="0"/>
          <w:sz w:val="19"/>
          <w:szCs w:val="19"/>
          <w:shd w:val="clear" w:fill="FFFFFF"/>
        </w:rPr>
      </w:pPr>
      <w:r>
        <w:rPr>
          <w:rFonts w:ascii="Arial" w:hAnsi="Arial" w:eastAsia="宋体" w:cs="Arial"/>
          <w:i w:val="0"/>
          <w:caps w:val="0"/>
          <w:color w:val="222222"/>
          <w:spacing w:val="0"/>
          <w:sz w:val="19"/>
          <w:szCs w:val="19"/>
          <w:shd w:val="clear" w:fill="FFFFFF"/>
        </w:rPr>
        <w:t>Dhanapala, S., 2015. An Overview of the Sportswear Market. In</w:t>
      </w:r>
      <w:r>
        <w:rPr>
          <w:rFonts w:hint="default" w:ascii="Arial" w:hAnsi="Arial" w:eastAsia="宋体" w:cs="Arial"/>
          <w:i w:val="0"/>
          <w:caps w:val="0"/>
          <w:color w:val="222222"/>
          <w:spacing w:val="0"/>
          <w:sz w:val="19"/>
          <w:szCs w:val="19"/>
          <w:shd w:val="clear" w:fill="FFFFFF"/>
        </w:rPr>
        <w:t> </w:t>
      </w:r>
      <w:r>
        <w:rPr>
          <w:rFonts w:hint="default" w:ascii="Arial" w:hAnsi="Arial" w:eastAsia="宋体" w:cs="Arial"/>
          <w:i/>
          <w:caps w:val="0"/>
          <w:color w:val="222222"/>
          <w:spacing w:val="0"/>
          <w:sz w:val="19"/>
          <w:szCs w:val="19"/>
          <w:shd w:val="clear" w:fill="FFFFFF"/>
        </w:rPr>
        <w:t>Materials and technology for sportswear and performance apparel</w:t>
      </w:r>
      <w:r>
        <w:rPr>
          <w:rFonts w:hint="default" w:ascii="Arial" w:hAnsi="Arial" w:eastAsia="宋体" w:cs="Arial"/>
          <w:i w:val="0"/>
          <w:caps w:val="0"/>
          <w:color w:val="222222"/>
          <w:spacing w:val="0"/>
          <w:sz w:val="19"/>
          <w:szCs w:val="19"/>
          <w:shd w:val="clear" w:fill="FFFFFF"/>
        </w:rPr>
        <w:t> (pp. 12-33). CRC Press.</w:t>
      </w:r>
    </w:p>
    <w:p>
      <w:pPr>
        <w:ind w:left="585" w:hanging="570" w:hangingChars="300"/>
        <w:rPr>
          <w:rFonts w:hint="default" w:ascii="Arial" w:hAnsi="Arial" w:eastAsia="宋体" w:cs="Arial"/>
          <w:i w:val="0"/>
          <w:caps w:val="0"/>
          <w:color w:val="222222"/>
          <w:spacing w:val="0"/>
          <w:sz w:val="19"/>
          <w:szCs w:val="19"/>
          <w:shd w:val="clear" w:fill="FFFFFF"/>
        </w:rPr>
      </w:pPr>
    </w:p>
    <w:p>
      <w:pPr>
        <w:ind w:left="585" w:hanging="570" w:hangingChars="300"/>
        <w:rPr>
          <w:rFonts w:hint="default" w:ascii="Arial" w:hAnsi="Arial" w:eastAsia="宋体" w:cs="Arial"/>
          <w:i w:val="0"/>
          <w:caps w:val="0"/>
          <w:color w:val="222222"/>
          <w:spacing w:val="0"/>
          <w:sz w:val="19"/>
          <w:szCs w:val="19"/>
          <w:shd w:val="clear" w:fill="FFFFFF"/>
        </w:rPr>
      </w:pPr>
      <w:r>
        <w:rPr>
          <w:rFonts w:ascii="Arial" w:hAnsi="Arial" w:eastAsia="宋体" w:cs="Arial"/>
          <w:i w:val="0"/>
          <w:caps w:val="0"/>
          <w:color w:val="222222"/>
          <w:spacing w:val="0"/>
          <w:sz w:val="19"/>
          <w:szCs w:val="19"/>
          <w:shd w:val="clear" w:fill="FFFFFF"/>
        </w:rPr>
        <w:t>Dirisu, J.I., Iyiola, O. and Ibidunni, O.S., 2013. Product differentiation: A tool of competitive advantage and optimal organizational performance (A study of Unilever Nigeria</w:t>
      </w:r>
      <w:r>
        <w:rPr>
          <w:rFonts w:hint="eastAsia" w:ascii="Arial" w:hAnsi="Arial" w:eastAsia="宋体" w:cs="Arial"/>
          <w:i w:val="0"/>
          <w:caps w:val="0"/>
          <w:color w:val="222222"/>
          <w:spacing w:val="0"/>
          <w:sz w:val="19"/>
          <w:szCs w:val="19"/>
          <w:shd w:val="clear" w:fill="FFFFFF"/>
          <w:lang w:val="en-US" w:eastAsia="zh-CN"/>
        </w:rPr>
        <w:t xml:space="preserve"> </w:t>
      </w:r>
      <w:r>
        <w:rPr>
          <w:rFonts w:ascii="Arial" w:hAnsi="Arial" w:eastAsia="宋体" w:cs="Arial"/>
          <w:i w:val="0"/>
          <w:caps w:val="0"/>
          <w:color w:val="222222"/>
          <w:spacing w:val="0"/>
          <w:sz w:val="19"/>
          <w:szCs w:val="19"/>
          <w:shd w:val="clear" w:fill="FFFFFF"/>
        </w:rPr>
        <w:t>PLC).</w:t>
      </w:r>
      <w:r>
        <w:rPr>
          <w:rFonts w:hint="default" w:ascii="Arial" w:hAnsi="Arial" w:eastAsia="宋体" w:cs="Arial"/>
          <w:i w:val="0"/>
          <w:caps w:val="0"/>
          <w:color w:val="222222"/>
          <w:spacing w:val="0"/>
          <w:sz w:val="19"/>
          <w:szCs w:val="19"/>
          <w:shd w:val="clear" w:fill="FFFFFF"/>
        </w:rPr>
        <w:t> </w:t>
      </w:r>
      <w:r>
        <w:rPr>
          <w:rFonts w:hint="default" w:ascii="Arial" w:hAnsi="Arial" w:eastAsia="宋体" w:cs="Arial"/>
          <w:i/>
          <w:caps w:val="0"/>
          <w:color w:val="222222"/>
          <w:spacing w:val="0"/>
          <w:sz w:val="19"/>
          <w:szCs w:val="19"/>
          <w:shd w:val="clear" w:fill="FFFFFF"/>
        </w:rPr>
        <w:t>European Scientific Journal, ESJ</w:t>
      </w:r>
      <w:r>
        <w:rPr>
          <w:rFonts w:hint="default" w:ascii="Arial" w:hAnsi="Arial" w:eastAsia="宋体" w:cs="Arial"/>
          <w:i w:val="0"/>
          <w:caps w:val="0"/>
          <w:color w:val="222222"/>
          <w:spacing w:val="0"/>
          <w:sz w:val="19"/>
          <w:szCs w:val="19"/>
          <w:shd w:val="clear" w:fill="FFFFFF"/>
        </w:rPr>
        <w:t>, </w:t>
      </w:r>
      <w:r>
        <w:rPr>
          <w:rFonts w:hint="default" w:ascii="Arial" w:hAnsi="Arial" w:eastAsia="宋体" w:cs="Arial"/>
          <w:i/>
          <w:caps w:val="0"/>
          <w:color w:val="222222"/>
          <w:spacing w:val="0"/>
          <w:sz w:val="19"/>
          <w:szCs w:val="19"/>
          <w:shd w:val="clear" w:fill="FFFFFF"/>
        </w:rPr>
        <w:t>9</w:t>
      </w:r>
      <w:r>
        <w:rPr>
          <w:rFonts w:hint="default" w:ascii="Arial" w:hAnsi="Arial" w:eastAsia="宋体" w:cs="Arial"/>
          <w:i w:val="0"/>
          <w:caps w:val="0"/>
          <w:color w:val="222222"/>
          <w:spacing w:val="0"/>
          <w:sz w:val="19"/>
          <w:szCs w:val="19"/>
          <w:shd w:val="clear" w:fill="FFFFFF"/>
        </w:rPr>
        <w:t>(34).</w:t>
      </w:r>
    </w:p>
    <w:p>
      <w:pPr>
        <w:ind w:left="585" w:hanging="570" w:hangingChars="300"/>
        <w:rPr>
          <w:rFonts w:hint="default" w:ascii="Arial" w:hAnsi="Arial" w:eastAsia="宋体" w:cs="Arial"/>
          <w:i w:val="0"/>
          <w:caps w:val="0"/>
          <w:color w:val="222222"/>
          <w:spacing w:val="0"/>
          <w:sz w:val="19"/>
          <w:szCs w:val="19"/>
          <w:shd w:val="clear" w:fill="FFFFFF"/>
        </w:rPr>
      </w:pPr>
    </w:p>
    <w:p>
      <w:pPr>
        <w:ind w:left="585" w:hanging="570" w:hangingChars="300"/>
        <w:rPr>
          <w:rFonts w:hint="default" w:ascii="Arial" w:hAnsi="Arial" w:eastAsia="宋体" w:cs="Arial"/>
          <w:i w:val="0"/>
          <w:caps w:val="0"/>
          <w:color w:val="222222"/>
          <w:spacing w:val="0"/>
          <w:sz w:val="19"/>
          <w:szCs w:val="19"/>
          <w:shd w:val="clear" w:fill="FFFFFF"/>
        </w:rPr>
      </w:pPr>
      <w:r>
        <w:rPr>
          <w:rFonts w:ascii="Arial" w:hAnsi="Arial" w:eastAsia="宋体" w:cs="Arial"/>
          <w:i w:val="0"/>
          <w:caps w:val="0"/>
          <w:color w:val="222222"/>
          <w:spacing w:val="0"/>
          <w:sz w:val="19"/>
          <w:szCs w:val="19"/>
          <w:shd w:val="clear" w:fill="FFFFFF"/>
        </w:rPr>
        <w:t>Drnevich, P.L. and Croson, D.C., 2013. Information technology and business-level strategy: Toward an integrated theoretical perspective.</w:t>
      </w:r>
      <w:r>
        <w:rPr>
          <w:rFonts w:hint="default" w:ascii="Arial" w:hAnsi="Arial" w:eastAsia="宋体" w:cs="Arial"/>
          <w:i w:val="0"/>
          <w:caps w:val="0"/>
          <w:color w:val="222222"/>
          <w:spacing w:val="0"/>
          <w:sz w:val="19"/>
          <w:szCs w:val="19"/>
          <w:shd w:val="clear" w:fill="FFFFFF"/>
        </w:rPr>
        <w:t> </w:t>
      </w:r>
      <w:r>
        <w:rPr>
          <w:rFonts w:hint="default" w:ascii="Arial" w:hAnsi="Arial" w:eastAsia="宋体" w:cs="Arial"/>
          <w:i/>
          <w:caps w:val="0"/>
          <w:color w:val="222222"/>
          <w:spacing w:val="0"/>
          <w:sz w:val="19"/>
          <w:szCs w:val="19"/>
          <w:shd w:val="clear" w:fill="FFFFFF"/>
        </w:rPr>
        <w:t>Mis Quarterly</w:t>
      </w:r>
      <w:r>
        <w:rPr>
          <w:rFonts w:hint="default" w:ascii="Arial" w:hAnsi="Arial" w:eastAsia="宋体" w:cs="Arial"/>
          <w:i w:val="0"/>
          <w:caps w:val="0"/>
          <w:color w:val="222222"/>
          <w:spacing w:val="0"/>
          <w:sz w:val="19"/>
          <w:szCs w:val="19"/>
          <w:shd w:val="clear" w:fill="FFFFFF"/>
        </w:rPr>
        <w:t>, </w:t>
      </w:r>
      <w:r>
        <w:rPr>
          <w:rFonts w:hint="default" w:ascii="Arial" w:hAnsi="Arial" w:eastAsia="宋体" w:cs="Arial"/>
          <w:i/>
          <w:caps w:val="0"/>
          <w:color w:val="222222"/>
          <w:spacing w:val="0"/>
          <w:sz w:val="19"/>
          <w:szCs w:val="19"/>
          <w:shd w:val="clear" w:fill="FFFFFF"/>
        </w:rPr>
        <w:t>37</w:t>
      </w:r>
      <w:r>
        <w:rPr>
          <w:rFonts w:hint="default" w:ascii="Arial" w:hAnsi="Arial" w:eastAsia="宋体" w:cs="Arial"/>
          <w:i w:val="0"/>
          <w:caps w:val="0"/>
          <w:color w:val="222222"/>
          <w:spacing w:val="0"/>
          <w:sz w:val="19"/>
          <w:szCs w:val="19"/>
          <w:shd w:val="clear" w:fill="FFFFFF"/>
        </w:rPr>
        <w:t>(2).</w:t>
      </w:r>
    </w:p>
    <w:p>
      <w:pPr>
        <w:ind w:left="585" w:hanging="570" w:hangingChars="300"/>
        <w:rPr>
          <w:rFonts w:hint="default" w:ascii="Arial" w:hAnsi="Arial" w:eastAsia="宋体" w:cs="Arial"/>
          <w:i w:val="0"/>
          <w:caps w:val="0"/>
          <w:color w:val="222222"/>
          <w:spacing w:val="0"/>
          <w:sz w:val="19"/>
          <w:szCs w:val="19"/>
          <w:shd w:val="clear" w:fill="FFFFFF"/>
        </w:rPr>
      </w:pPr>
    </w:p>
    <w:p>
      <w:pPr>
        <w:ind w:left="585" w:hanging="570" w:hangingChars="300"/>
        <w:rPr>
          <w:rFonts w:hint="default" w:ascii="Arial" w:hAnsi="Arial" w:eastAsia="宋体" w:cs="Arial"/>
          <w:i w:val="0"/>
          <w:caps w:val="0"/>
          <w:color w:val="222222"/>
          <w:spacing w:val="0"/>
          <w:sz w:val="19"/>
          <w:szCs w:val="19"/>
          <w:shd w:val="clear" w:fill="FFFFFF"/>
        </w:rPr>
      </w:pPr>
      <w:r>
        <w:rPr>
          <w:rFonts w:ascii="Arial" w:hAnsi="Arial" w:eastAsia="宋体" w:cs="Arial"/>
          <w:i w:val="0"/>
          <w:caps w:val="0"/>
          <w:color w:val="222222"/>
          <w:spacing w:val="0"/>
          <w:sz w:val="19"/>
          <w:szCs w:val="19"/>
          <w:shd w:val="clear" w:fill="FFFFFF"/>
        </w:rPr>
        <w:t>Goswami, S. and Ha-Brookshire, J., 2015. From compliance to a growth strategy: Exploring historical transformation of corporate sustainability.</w:t>
      </w:r>
      <w:r>
        <w:rPr>
          <w:rFonts w:hint="default" w:ascii="Arial" w:hAnsi="Arial" w:eastAsia="宋体" w:cs="Arial"/>
          <w:i w:val="0"/>
          <w:caps w:val="0"/>
          <w:color w:val="222222"/>
          <w:spacing w:val="0"/>
          <w:sz w:val="19"/>
          <w:szCs w:val="19"/>
          <w:shd w:val="clear" w:fill="FFFFFF"/>
        </w:rPr>
        <w:t> </w:t>
      </w:r>
      <w:r>
        <w:rPr>
          <w:rFonts w:hint="default" w:ascii="Arial" w:hAnsi="Arial" w:eastAsia="宋体" w:cs="Arial"/>
          <w:i/>
          <w:caps w:val="0"/>
          <w:color w:val="222222"/>
          <w:spacing w:val="0"/>
          <w:sz w:val="19"/>
          <w:szCs w:val="19"/>
          <w:shd w:val="clear" w:fill="FFFFFF"/>
        </w:rPr>
        <w:t>Journal of Global Responsibility</w:t>
      </w:r>
      <w:r>
        <w:rPr>
          <w:rFonts w:hint="default" w:ascii="Arial" w:hAnsi="Arial" w:eastAsia="宋体" w:cs="Arial"/>
          <w:i w:val="0"/>
          <w:caps w:val="0"/>
          <w:color w:val="222222"/>
          <w:spacing w:val="0"/>
          <w:sz w:val="19"/>
          <w:szCs w:val="19"/>
          <w:shd w:val="clear" w:fill="FFFFFF"/>
        </w:rPr>
        <w:t>, </w:t>
      </w:r>
      <w:r>
        <w:rPr>
          <w:rFonts w:hint="default" w:ascii="Arial" w:hAnsi="Arial" w:eastAsia="宋体" w:cs="Arial"/>
          <w:i/>
          <w:caps w:val="0"/>
          <w:color w:val="222222"/>
          <w:spacing w:val="0"/>
          <w:sz w:val="19"/>
          <w:szCs w:val="19"/>
          <w:shd w:val="clear" w:fill="FFFFFF"/>
        </w:rPr>
        <w:t>6</w:t>
      </w:r>
      <w:r>
        <w:rPr>
          <w:rFonts w:hint="default" w:ascii="Arial" w:hAnsi="Arial" w:eastAsia="宋体" w:cs="Arial"/>
          <w:i w:val="0"/>
          <w:caps w:val="0"/>
          <w:color w:val="222222"/>
          <w:spacing w:val="0"/>
          <w:sz w:val="19"/>
          <w:szCs w:val="19"/>
          <w:shd w:val="clear" w:fill="FFFFFF"/>
        </w:rPr>
        <w:t>(2), pp.246-261.</w:t>
      </w:r>
    </w:p>
    <w:p>
      <w:pPr>
        <w:ind w:left="585" w:hanging="570" w:hangingChars="300"/>
        <w:rPr>
          <w:rFonts w:hint="default" w:ascii="Arial" w:hAnsi="Arial" w:eastAsia="宋体" w:cs="Arial"/>
          <w:i w:val="0"/>
          <w:caps w:val="0"/>
          <w:color w:val="222222"/>
          <w:spacing w:val="0"/>
          <w:sz w:val="19"/>
          <w:szCs w:val="19"/>
          <w:shd w:val="clear" w:fill="FFFFFF"/>
        </w:rPr>
      </w:pPr>
    </w:p>
    <w:p>
      <w:pPr>
        <w:ind w:left="585" w:hanging="570" w:hangingChars="300"/>
        <w:rPr>
          <w:rFonts w:hint="default" w:ascii="Arial" w:hAnsi="Arial" w:eastAsia="宋体" w:cs="Arial"/>
          <w:i w:val="0"/>
          <w:caps w:val="0"/>
          <w:color w:val="222222"/>
          <w:spacing w:val="0"/>
          <w:sz w:val="19"/>
          <w:szCs w:val="19"/>
          <w:shd w:val="clear" w:fill="FFFFFF"/>
        </w:rPr>
      </w:pPr>
      <w:r>
        <w:rPr>
          <w:rFonts w:ascii="Arial" w:hAnsi="Arial" w:eastAsia="宋体" w:cs="Arial"/>
          <w:i w:val="0"/>
          <w:caps w:val="0"/>
          <w:color w:val="222222"/>
          <w:spacing w:val="0"/>
          <w:sz w:val="19"/>
          <w:szCs w:val="19"/>
          <w:shd w:val="clear" w:fill="FFFFFF"/>
        </w:rPr>
        <w:t>Hertrich, S. and Mayrhofer, U., 2015.</w:t>
      </w:r>
      <w:r>
        <w:rPr>
          <w:rFonts w:hint="default" w:ascii="Arial" w:hAnsi="Arial" w:eastAsia="宋体" w:cs="Arial"/>
          <w:i w:val="0"/>
          <w:caps w:val="0"/>
          <w:color w:val="222222"/>
          <w:spacing w:val="0"/>
          <w:sz w:val="19"/>
          <w:szCs w:val="19"/>
          <w:shd w:val="clear" w:fill="FFFFFF"/>
        </w:rPr>
        <w:t> </w:t>
      </w:r>
      <w:r>
        <w:rPr>
          <w:rFonts w:hint="default" w:ascii="Arial" w:hAnsi="Arial" w:eastAsia="宋体" w:cs="Arial"/>
          <w:i/>
          <w:caps w:val="0"/>
          <w:color w:val="222222"/>
          <w:spacing w:val="0"/>
          <w:sz w:val="19"/>
          <w:szCs w:val="19"/>
          <w:shd w:val="clear" w:fill="FFFFFF"/>
        </w:rPr>
        <w:t>Adidas, the running shoes market</w:t>
      </w:r>
      <w:r>
        <w:rPr>
          <w:rFonts w:hint="default" w:ascii="Arial" w:hAnsi="Arial" w:eastAsia="宋体" w:cs="Arial"/>
          <w:i w:val="0"/>
          <w:caps w:val="0"/>
          <w:color w:val="222222"/>
          <w:spacing w:val="0"/>
          <w:sz w:val="19"/>
          <w:szCs w:val="19"/>
          <w:shd w:val="clear" w:fill="FFFFFF"/>
        </w:rPr>
        <w:t>. HAL.</w:t>
      </w:r>
    </w:p>
    <w:p>
      <w:pPr>
        <w:ind w:left="585" w:hanging="570" w:hangingChars="300"/>
        <w:rPr>
          <w:rFonts w:hint="default" w:ascii="Arial" w:hAnsi="Arial" w:eastAsia="宋体" w:cs="Arial"/>
          <w:i w:val="0"/>
          <w:caps w:val="0"/>
          <w:color w:val="222222"/>
          <w:spacing w:val="0"/>
          <w:sz w:val="19"/>
          <w:szCs w:val="19"/>
          <w:shd w:val="clear" w:fill="FFFFFF"/>
        </w:rPr>
      </w:pPr>
    </w:p>
    <w:p>
      <w:pPr>
        <w:ind w:left="585" w:hanging="570" w:hangingChars="300"/>
        <w:rPr>
          <w:rFonts w:hint="default" w:ascii="Arial" w:hAnsi="Arial" w:eastAsia="宋体" w:cs="Arial"/>
          <w:i w:val="0"/>
          <w:caps w:val="0"/>
          <w:color w:val="222222"/>
          <w:spacing w:val="0"/>
          <w:sz w:val="19"/>
          <w:szCs w:val="19"/>
          <w:shd w:val="clear" w:fill="FFFFFF"/>
        </w:rPr>
      </w:pPr>
      <w:r>
        <w:rPr>
          <w:rFonts w:ascii="Arial" w:hAnsi="Arial" w:eastAsia="宋体" w:cs="Arial"/>
          <w:i w:val="0"/>
          <w:caps w:val="0"/>
          <w:color w:val="222222"/>
          <w:spacing w:val="0"/>
          <w:sz w:val="19"/>
          <w:szCs w:val="19"/>
          <w:shd w:val="clear" w:fill="FFFFFF"/>
        </w:rPr>
        <w:t>Ind, N.I.C.H.O.L.A.S., Iglesias, O. and Schultz, M., 2015. How Adidas Found Its Second Wind.</w:t>
      </w:r>
      <w:r>
        <w:rPr>
          <w:rFonts w:hint="default" w:ascii="Arial" w:hAnsi="Arial" w:eastAsia="宋体" w:cs="Arial"/>
          <w:i w:val="0"/>
          <w:caps w:val="0"/>
          <w:color w:val="222222"/>
          <w:spacing w:val="0"/>
          <w:sz w:val="19"/>
          <w:szCs w:val="19"/>
          <w:shd w:val="clear" w:fill="FFFFFF"/>
        </w:rPr>
        <w:t> </w:t>
      </w:r>
      <w:r>
        <w:rPr>
          <w:rFonts w:hint="default" w:ascii="Arial" w:hAnsi="Arial" w:eastAsia="宋体" w:cs="Arial"/>
          <w:i/>
          <w:caps w:val="0"/>
          <w:color w:val="222222"/>
          <w:spacing w:val="0"/>
          <w:sz w:val="19"/>
          <w:szCs w:val="19"/>
          <w:shd w:val="clear" w:fill="FFFFFF"/>
        </w:rPr>
        <w:t>Strategy+ Business</w:t>
      </w:r>
      <w:r>
        <w:rPr>
          <w:rFonts w:hint="default" w:ascii="Arial" w:hAnsi="Arial" w:eastAsia="宋体" w:cs="Arial"/>
          <w:i w:val="0"/>
          <w:caps w:val="0"/>
          <w:color w:val="222222"/>
          <w:spacing w:val="0"/>
          <w:sz w:val="19"/>
          <w:szCs w:val="19"/>
          <w:shd w:val="clear" w:fill="FFFFFF"/>
        </w:rPr>
        <w:t>, </w:t>
      </w:r>
      <w:r>
        <w:rPr>
          <w:rFonts w:hint="default" w:ascii="Arial" w:hAnsi="Arial" w:eastAsia="宋体" w:cs="Arial"/>
          <w:i/>
          <w:caps w:val="0"/>
          <w:color w:val="222222"/>
          <w:spacing w:val="0"/>
          <w:sz w:val="19"/>
          <w:szCs w:val="19"/>
          <w:shd w:val="clear" w:fill="FFFFFF"/>
        </w:rPr>
        <w:t>80</w:t>
      </w:r>
      <w:r>
        <w:rPr>
          <w:rFonts w:hint="default" w:ascii="Arial" w:hAnsi="Arial" w:eastAsia="宋体" w:cs="Arial"/>
          <w:i w:val="0"/>
          <w:caps w:val="0"/>
          <w:color w:val="222222"/>
          <w:spacing w:val="0"/>
          <w:sz w:val="19"/>
          <w:szCs w:val="19"/>
          <w:shd w:val="clear" w:fill="FFFFFF"/>
        </w:rPr>
        <w:t>, pp.1-5.</w:t>
      </w:r>
    </w:p>
    <w:p>
      <w:pPr>
        <w:ind w:left="585" w:hanging="570" w:hangingChars="300"/>
        <w:rPr>
          <w:rFonts w:hint="default" w:ascii="Arial" w:hAnsi="Arial" w:eastAsia="宋体" w:cs="Arial"/>
          <w:i w:val="0"/>
          <w:caps w:val="0"/>
          <w:color w:val="222222"/>
          <w:spacing w:val="0"/>
          <w:sz w:val="19"/>
          <w:szCs w:val="19"/>
          <w:shd w:val="clear" w:fill="FFFFFF"/>
        </w:rPr>
      </w:pPr>
    </w:p>
    <w:p>
      <w:pPr>
        <w:ind w:left="585" w:hanging="570" w:hangingChars="300"/>
        <w:rPr>
          <w:rFonts w:hint="default" w:ascii="Arial" w:hAnsi="Arial" w:eastAsia="宋体" w:cs="Arial"/>
          <w:i w:val="0"/>
          <w:caps w:val="0"/>
          <w:color w:val="222222"/>
          <w:spacing w:val="0"/>
          <w:sz w:val="19"/>
          <w:szCs w:val="19"/>
          <w:shd w:val="clear" w:fill="FFFFFF"/>
        </w:rPr>
      </w:pPr>
      <w:r>
        <w:rPr>
          <w:rFonts w:ascii="Arial" w:hAnsi="Arial" w:eastAsia="宋体" w:cs="Arial"/>
          <w:i w:val="0"/>
          <w:caps w:val="0"/>
          <w:color w:val="222222"/>
          <w:spacing w:val="0"/>
          <w:sz w:val="19"/>
          <w:szCs w:val="19"/>
          <w:shd w:val="clear" w:fill="FFFFFF"/>
        </w:rPr>
        <w:t>Lebrun, A.M., Souchet, L. and Bouchet, P., 2013. Social representations and brand positioning in the sporting goods market.</w:t>
      </w:r>
      <w:r>
        <w:rPr>
          <w:rFonts w:hint="default" w:ascii="Arial" w:hAnsi="Arial" w:eastAsia="宋体" w:cs="Arial"/>
          <w:i w:val="0"/>
          <w:caps w:val="0"/>
          <w:color w:val="222222"/>
          <w:spacing w:val="0"/>
          <w:sz w:val="19"/>
          <w:szCs w:val="19"/>
          <w:shd w:val="clear" w:fill="FFFFFF"/>
        </w:rPr>
        <w:t> </w:t>
      </w:r>
      <w:r>
        <w:rPr>
          <w:rFonts w:hint="default" w:ascii="Arial" w:hAnsi="Arial" w:eastAsia="宋体" w:cs="Arial"/>
          <w:i/>
          <w:caps w:val="0"/>
          <w:color w:val="222222"/>
          <w:spacing w:val="0"/>
          <w:sz w:val="19"/>
          <w:szCs w:val="19"/>
          <w:shd w:val="clear" w:fill="FFFFFF"/>
        </w:rPr>
        <w:t>European Sport Management Quarterly</w:t>
      </w:r>
      <w:r>
        <w:rPr>
          <w:rFonts w:hint="default" w:ascii="Arial" w:hAnsi="Arial" w:eastAsia="宋体" w:cs="Arial"/>
          <w:i w:val="0"/>
          <w:caps w:val="0"/>
          <w:color w:val="222222"/>
          <w:spacing w:val="0"/>
          <w:sz w:val="19"/>
          <w:szCs w:val="19"/>
          <w:shd w:val="clear" w:fill="FFFFFF"/>
        </w:rPr>
        <w:t>, </w:t>
      </w:r>
      <w:r>
        <w:rPr>
          <w:rFonts w:hint="default" w:ascii="Arial" w:hAnsi="Arial" w:eastAsia="宋体" w:cs="Arial"/>
          <w:i/>
          <w:caps w:val="0"/>
          <w:color w:val="222222"/>
          <w:spacing w:val="0"/>
          <w:sz w:val="19"/>
          <w:szCs w:val="19"/>
          <w:shd w:val="clear" w:fill="FFFFFF"/>
        </w:rPr>
        <w:t>13</w:t>
      </w:r>
      <w:r>
        <w:rPr>
          <w:rFonts w:hint="default" w:ascii="Arial" w:hAnsi="Arial" w:eastAsia="宋体" w:cs="Arial"/>
          <w:i w:val="0"/>
          <w:caps w:val="0"/>
          <w:color w:val="222222"/>
          <w:spacing w:val="0"/>
          <w:sz w:val="19"/>
          <w:szCs w:val="19"/>
          <w:shd w:val="clear" w:fill="FFFFFF"/>
        </w:rPr>
        <w:t>(3), pp.358-379.</w:t>
      </w:r>
    </w:p>
    <w:p>
      <w:pPr>
        <w:ind w:left="585" w:hanging="570" w:hangingChars="300"/>
        <w:rPr>
          <w:rFonts w:hint="default" w:ascii="Arial" w:hAnsi="Arial" w:eastAsia="宋体" w:cs="Arial"/>
          <w:i w:val="0"/>
          <w:caps w:val="0"/>
          <w:color w:val="222222"/>
          <w:spacing w:val="0"/>
          <w:sz w:val="19"/>
          <w:szCs w:val="19"/>
          <w:shd w:val="clear" w:fill="FFFFFF"/>
        </w:rPr>
      </w:pPr>
    </w:p>
    <w:p>
      <w:pPr>
        <w:ind w:left="585" w:hanging="570" w:hangingChars="300"/>
        <w:rPr>
          <w:rFonts w:hint="default" w:ascii="Arial" w:hAnsi="Arial" w:eastAsia="宋体" w:cs="Arial"/>
          <w:i w:val="0"/>
          <w:caps w:val="0"/>
          <w:color w:val="222222"/>
          <w:spacing w:val="0"/>
          <w:sz w:val="19"/>
          <w:szCs w:val="19"/>
          <w:shd w:val="clear" w:fill="FFFFFF"/>
        </w:rPr>
      </w:pPr>
      <w:r>
        <w:rPr>
          <w:rFonts w:ascii="Arial" w:hAnsi="Arial" w:eastAsia="宋体" w:cs="Arial"/>
          <w:i w:val="0"/>
          <w:caps w:val="0"/>
          <w:color w:val="222222"/>
          <w:spacing w:val="0"/>
          <w:sz w:val="19"/>
          <w:szCs w:val="19"/>
          <w:shd w:val="clear" w:fill="FFFFFF"/>
        </w:rPr>
        <w:t>Liu, H., Kim, K.H., Choi, Y.K., Kim, S.J. and Peng, S., 2015. Sports sponsorship effects on customer equity: an Asian market application.</w:t>
      </w:r>
      <w:r>
        <w:rPr>
          <w:rFonts w:hint="default" w:ascii="Arial" w:hAnsi="Arial" w:eastAsia="宋体" w:cs="Arial"/>
          <w:i w:val="0"/>
          <w:caps w:val="0"/>
          <w:color w:val="222222"/>
          <w:spacing w:val="0"/>
          <w:sz w:val="19"/>
          <w:szCs w:val="19"/>
          <w:shd w:val="clear" w:fill="FFFFFF"/>
        </w:rPr>
        <w:t> </w:t>
      </w:r>
      <w:r>
        <w:rPr>
          <w:rFonts w:hint="default" w:ascii="Arial" w:hAnsi="Arial" w:eastAsia="宋体" w:cs="Arial"/>
          <w:i/>
          <w:caps w:val="0"/>
          <w:color w:val="222222"/>
          <w:spacing w:val="0"/>
          <w:sz w:val="19"/>
          <w:szCs w:val="19"/>
          <w:shd w:val="clear" w:fill="FFFFFF"/>
        </w:rPr>
        <w:t>International Journal of Advertising</w:t>
      </w:r>
      <w:r>
        <w:rPr>
          <w:rFonts w:hint="default" w:ascii="Arial" w:hAnsi="Arial" w:eastAsia="宋体" w:cs="Arial"/>
          <w:i w:val="0"/>
          <w:caps w:val="0"/>
          <w:color w:val="222222"/>
          <w:spacing w:val="0"/>
          <w:sz w:val="19"/>
          <w:szCs w:val="19"/>
          <w:shd w:val="clear" w:fill="FFFFFF"/>
        </w:rPr>
        <w:t>, </w:t>
      </w:r>
      <w:r>
        <w:rPr>
          <w:rFonts w:hint="default" w:ascii="Arial" w:hAnsi="Arial" w:eastAsia="宋体" w:cs="Arial"/>
          <w:i/>
          <w:caps w:val="0"/>
          <w:color w:val="222222"/>
          <w:spacing w:val="0"/>
          <w:sz w:val="19"/>
          <w:szCs w:val="19"/>
          <w:shd w:val="clear" w:fill="FFFFFF"/>
        </w:rPr>
        <w:t>34</w:t>
      </w:r>
      <w:r>
        <w:rPr>
          <w:rFonts w:hint="default" w:ascii="Arial" w:hAnsi="Arial" w:eastAsia="宋体" w:cs="Arial"/>
          <w:i w:val="0"/>
          <w:caps w:val="0"/>
          <w:color w:val="222222"/>
          <w:spacing w:val="0"/>
          <w:sz w:val="19"/>
          <w:szCs w:val="19"/>
          <w:shd w:val="clear" w:fill="FFFFFF"/>
        </w:rPr>
        <w:t>(2), pp.307-326.</w:t>
      </w:r>
    </w:p>
    <w:p>
      <w:pPr>
        <w:ind w:left="585" w:hanging="570" w:hangingChars="300"/>
        <w:rPr>
          <w:rFonts w:hint="default" w:ascii="Arial" w:hAnsi="Arial" w:eastAsia="宋体" w:cs="Arial"/>
          <w:i w:val="0"/>
          <w:caps w:val="0"/>
          <w:color w:val="222222"/>
          <w:spacing w:val="0"/>
          <w:sz w:val="19"/>
          <w:szCs w:val="19"/>
          <w:shd w:val="clear" w:fill="FFFFFF"/>
        </w:rPr>
      </w:pPr>
    </w:p>
    <w:p>
      <w:pPr>
        <w:ind w:left="585" w:hanging="570" w:hangingChars="300"/>
        <w:rPr>
          <w:rFonts w:hint="default" w:ascii="Arial" w:hAnsi="Arial" w:eastAsia="宋体" w:cs="Arial"/>
          <w:i w:val="0"/>
          <w:caps w:val="0"/>
          <w:color w:val="222222"/>
          <w:spacing w:val="0"/>
          <w:sz w:val="19"/>
          <w:szCs w:val="19"/>
          <w:shd w:val="clear" w:fill="FFFFFF"/>
        </w:rPr>
      </w:pPr>
      <w:r>
        <w:rPr>
          <w:rFonts w:ascii="Arial" w:hAnsi="Arial" w:eastAsia="宋体" w:cs="Arial"/>
          <w:i w:val="0"/>
          <w:caps w:val="0"/>
          <w:color w:val="222222"/>
          <w:spacing w:val="0"/>
          <w:sz w:val="19"/>
          <w:szCs w:val="19"/>
          <w:shd w:val="clear" w:fill="FFFFFF"/>
        </w:rPr>
        <w:t>Lu, J. and Xu, Y., 2015. Chinese young consumers’ brand loyalty toward sportswear products: a perspective of self-congruity.</w:t>
      </w:r>
      <w:r>
        <w:rPr>
          <w:rFonts w:hint="default" w:ascii="Arial" w:hAnsi="Arial" w:eastAsia="宋体" w:cs="Arial"/>
          <w:i w:val="0"/>
          <w:caps w:val="0"/>
          <w:color w:val="222222"/>
          <w:spacing w:val="0"/>
          <w:sz w:val="19"/>
          <w:szCs w:val="19"/>
          <w:shd w:val="clear" w:fill="FFFFFF"/>
        </w:rPr>
        <w:t> </w:t>
      </w:r>
      <w:r>
        <w:rPr>
          <w:rFonts w:hint="default" w:ascii="Arial" w:hAnsi="Arial" w:eastAsia="宋体" w:cs="Arial"/>
          <w:i/>
          <w:caps w:val="0"/>
          <w:color w:val="222222"/>
          <w:spacing w:val="0"/>
          <w:sz w:val="19"/>
          <w:szCs w:val="19"/>
          <w:shd w:val="clear" w:fill="FFFFFF"/>
        </w:rPr>
        <w:t>Journal of Product &amp; Brand Management</w:t>
      </w:r>
      <w:r>
        <w:rPr>
          <w:rFonts w:hint="default" w:ascii="Arial" w:hAnsi="Arial" w:eastAsia="宋体" w:cs="Arial"/>
          <w:i w:val="0"/>
          <w:caps w:val="0"/>
          <w:color w:val="222222"/>
          <w:spacing w:val="0"/>
          <w:sz w:val="19"/>
          <w:szCs w:val="19"/>
          <w:shd w:val="clear" w:fill="FFFFFF"/>
        </w:rPr>
        <w:t>, </w:t>
      </w:r>
      <w:r>
        <w:rPr>
          <w:rFonts w:hint="default" w:ascii="Arial" w:hAnsi="Arial" w:eastAsia="宋体" w:cs="Arial"/>
          <w:i/>
          <w:caps w:val="0"/>
          <w:color w:val="222222"/>
          <w:spacing w:val="0"/>
          <w:sz w:val="19"/>
          <w:szCs w:val="19"/>
          <w:shd w:val="clear" w:fill="FFFFFF"/>
        </w:rPr>
        <w:t>24</w:t>
      </w:r>
      <w:r>
        <w:rPr>
          <w:rFonts w:hint="default" w:ascii="Arial" w:hAnsi="Arial" w:eastAsia="宋体" w:cs="Arial"/>
          <w:i w:val="0"/>
          <w:caps w:val="0"/>
          <w:color w:val="222222"/>
          <w:spacing w:val="0"/>
          <w:sz w:val="19"/>
          <w:szCs w:val="19"/>
          <w:shd w:val="clear" w:fill="FFFFFF"/>
        </w:rPr>
        <w:t>(4), pp.365-376.</w:t>
      </w:r>
    </w:p>
    <w:p>
      <w:pPr>
        <w:ind w:left="585" w:hanging="570" w:hangingChars="300"/>
        <w:rPr>
          <w:rFonts w:hint="default" w:ascii="Arial" w:hAnsi="Arial" w:eastAsia="宋体" w:cs="Arial"/>
          <w:i w:val="0"/>
          <w:caps w:val="0"/>
          <w:color w:val="222222"/>
          <w:spacing w:val="0"/>
          <w:sz w:val="19"/>
          <w:szCs w:val="19"/>
          <w:shd w:val="clear" w:fill="FFFFFF"/>
        </w:rPr>
      </w:pPr>
    </w:p>
    <w:p>
      <w:pPr>
        <w:ind w:left="585" w:hanging="570" w:hangingChars="300"/>
        <w:rPr>
          <w:rFonts w:ascii="Arial" w:hAnsi="Arial" w:eastAsia="宋体" w:cs="Arial"/>
          <w:i w:val="0"/>
          <w:caps w:val="0"/>
          <w:color w:val="222222"/>
          <w:spacing w:val="0"/>
          <w:sz w:val="19"/>
          <w:szCs w:val="19"/>
          <w:shd w:val="clear" w:fill="FFFFFF"/>
        </w:rPr>
      </w:pPr>
      <w:r>
        <w:rPr>
          <w:rFonts w:ascii="Arial" w:hAnsi="Arial" w:eastAsia="宋体" w:cs="Arial"/>
          <w:i w:val="0"/>
          <w:caps w:val="0"/>
          <w:color w:val="222222"/>
          <w:spacing w:val="0"/>
          <w:sz w:val="19"/>
          <w:szCs w:val="19"/>
          <w:shd w:val="clear" w:fill="FFFFFF"/>
        </w:rPr>
        <w:t>Lundgren-Henriksson, E.L., 2017. Making Sense and Giving Sense of Coopetition: From Strategic Position to Processes and Practices.</w:t>
      </w:r>
    </w:p>
    <w:p>
      <w:pPr>
        <w:ind w:left="585" w:hanging="570" w:hangingChars="300"/>
        <w:rPr>
          <w:rFonts w:hint="default" w:ascii="Arial" w:hAnsi="Arial" w:eastAsia="宋体" w:cs="Arial"/>
          <w:i w:val="0"/>
          <w:caps w:val="0"/>
          <w:color w:val="222222"/>
          <w:spacing w:val="0"/>
          <w:sz w:val="19"/>
          <w:szCs w:val="19"/>
          <w:shd w:val="clear" w:fill="FFFFFF"/>
        </w:rPr>
      </w:pPr>
    </w:p>
    <w:p>
      <w:pPr>
        <w:ind w:left="585" w:hanging="570" w:hangingChars="300"/>
        <w:rPr>
          <w:rFonts w:hint="default" w:ascii="Arial" w:hAnsi="Arial" w:eastAsia="宋体" w:cs="Arial"/>
          <w:i w:val="0"/>
          <w:caps w:val="0"/>
          <w:color w:val="222222"/>
          <w:spacing w:val="0"/>
          <w:sz w:val="19"/>
          <w:szCs w:val="19"/>
          <w:shd w:val="clear" w:fill="FFFFFF"/>
        </w:rPr>
      </w:pPr>
      <w:r>
        <w:rPr>
          <w:rFonts w:ascii="Arial" w:hAnsi="Arial" w:eastAsia="宋体" w:cs="Arial"/>
          <w:i w:val="0"/>
          <w:caps w:val="0"/>
          <w:color w:val="222222"/>
          <w:spacing w:val="0"/>
          <w:sz w:val="19"/>
          <w:szCs w:val="19"/>
          <w:shd w:val="clear" w:fill="FFFFFF"/>
        </w:rPr>
        <w:t>Ray Gehani, R., 2013. Innovative strategic leader transforming from a low-cost strategy to product differentiation strategy.</w:t>
      </w:r>
      <w:r>
        <w:rPr>
          <w:rFonts w:hint="default" w:ascii="Arial" w:hAnsi="Arial" w:eastAsia="宋体" w:cs="Arial"/>
          <w:i w:val="0"/>
          <w:caps w:val="0"/>
          <w:color w:val="222222"/>
          <w:spacing w:val="0"/>
          <w:sz w:val="19"/>
          <w:szCs w:val="19"/>
          <w:shd w:val="clear" w:fill="FFFFFF"/>
        </w:rPr>
        <w:t> </w:t>
      </w:r>
      <w:r>
        <w:rPr>
          <w:rFonts w:hint="default" w:ascii="Arial" w:hAnsi="Arial" w:eastAsia="宋体" w:cs="Arial"/>
          <w:i/>
          <w:caps w:val="0"/>
          <w:color w:val="222222"/>
          <w:spacing w:val="0"/>
          <w:sz w:val="19"/>
          <w:szCs w:val="19"/>
          <w:shd w:val="clear" w:fill="FFFFFF"/>
        </w:rPr>
        <w:t>Journal of technology management &amp; innovation</w:t>
      </w:r>
      <w:r>
        <w:rPr>
          <w:rFonts w:hint="default" w:ascii="Arial" w:hAnsi="Arial" w:eastAsia="宋体" w:cs="Arial"/>
          <w:i w:val="0"/>
          <w:caps w:val="0"/>
          <w:color w:val="222222"/>
          <w:spacing w:val="0"/>
          <w:sz w:val="19"/>
          <w:szCs w:val="19"/>
          <w:shd w:val="clear" w:fill="FFFFFF"/>
        </w:rPr>
        <w:t>, </w:t>
      </w:r>
      <w:r>
        <w:rPr>
          <w:rFonts w:hint="default" w:ascii="Arial" w:hAnsi="Arial" w:eastAsia="宋体" w:cs="Arial"/>
          <w:i/>
          <w:caps w:val="0"/>
          <w:color w:val="222222"/>
          <w:spacing w:val="0"/>
          <w:sz w:val="19"/>
          <w:szCs w:val="19"/>
          <w:shd w:val="clear" w:fill="FFFFFF"/>
        </w:rPr>
        <w:t>8</w:t>
      </w:r>
      <w:r>
        <w:rPr>
          <w:rFonts w:hint="default" w:ascii="Arial" w:hAnsi="Arial" w:eastAsia="宋体" w:cs="Arial"/>
          <w:i w:val="0"/>
          <w:caps w:val="0"/>
          <w:color w:val="222222"/>
          <w:spacing w:val="0"/>
          <w:sz w:val="19"/>
          <w:szCs w:val="19"/>
          <w:shd w:val="clear" w:fill="FFFFFF"/>
        </w:rPr>
        <w:t>(2), pp.144-155.</w:t>
      </w:r>
    </w:p>
    <w:p>
      <w:pPr>
        <w:rPr>
          <w:rFonts w:ascii="Arial" w:hAnsi="Arial" w:eastAsia="宋体" w:cs="Arial"/>
          <w:i w:val="0"/>
          <w:caps w:val="0"/>
          <w:color w:val="222222"/>
          <w:spacing w:val="0"/>
          <w:sz w:val="19"/>
          <w:szCs w:val="19"/>
          <w:shd w:val="clear" w:fill="FFFFFF"/>
        </w:rPr>
      </w:pPr>
    </w:p>
    <w:p>
      <w:pPr>
        <w:rPr>
          <w:rFonts w:hint="default" w:ascii="Arial" w:hAnsi="Arial" w:eastAsia="宋体" w:cs="Arial"/>
          <w:i w:val="0"/>
          <w:caps w:val="0"/>
          <w:color w:val="222222"/>
          <w:spacing w:val="0"/>
          <w:sz w:val="19"/>
          <w:szCs w:val="19"/>
          <w:shd w:val="clear" w:fill="FFFFFF"/>
        </w:rPr>
      </w:pPr>
      <w:r>
        <w:rPr>
          <w:rFonts w:ascii="Arial" w:hAnsi="Arial" w:eastAsia="宋体" w:cs="Arial"/>
          <w:i w:val="0"/>
          <w:caps w:val="0"/>
          <w:color w:val="222222"/>
          <w:spacing w:val="0"/>
          <w:sz w:val="19"/>
          <w:szCs w:val="19"/>
          <w:shd w:val="clear" w:fill="FFFFFF"/>
        </w:rPr>
        <w:t>Scholes, M.S., 2015.</w:t>
      </w:r>
      <w:r>
        <w:rPr>
          <w:rFonts w:hint="default" w:ascii="Arial" w:hAnsi="Arial" w:eastAsia="宋体" w:cs="Arial"/>
          <w:i w:val="0"/>
          <w:caps w:val="0"/>
          <w:color w:val="222222"/>
          <w:spacing w:val="0"/>
          <w:sz w:val="19"/>
          <w:szCs w:val="19"/>
          <w:shd w:val="clear" w:fill="FFFFFF"/>
        </w:rPr>
        <w:t> </w:t>
      </w:r>
      <w:r>
        <w:rPr>
          <w:rFonts w:hint="default" w:ascii="Arial" w:hAnsi="Arial" w:eastAsia="宋体" w:cs="Arial"/>
          <w:i/>
          <w:caps w:val="0"/>
          <w:color w:val="222222"/>
          <w:spacing w:val="0"/>
          <w:sz w:val="19"/>
          <w:szCs w:val="19"/>
          <w:shd w:val="clear" w:fill="FFFFFF"/>
        </w:rPr>
        <w:t>Taxes and business strategy</w:t>
      </w:r>
      <w:r>
        <w:rPr>
          <w:rFonts w:hint="default" w:ascii="Arial" w:hAnsi="Arial" w:eastAsia="宋体" w:cs="Arial"/>
          <w:i w:val="0"/>
          <w:caps w:val="0"/>
          <w:color w:val="222222"/>
          <w:spacing w:val="0"/>
          <w:sz w:val="19"/>
          <w:szCs w:val="19"/>
          <w:shd w:val="clear" w:fill="FFFFFF"/>
        </w:rPr>
        <w:t>. Prentice Hall.</w:t>
      </w:r>
    </w:p>
    <w:p>
      <w:pPr>
        <w:rPr>
          <w:rFonts w:hint="default" w:ascii="Arial" w:hAnsi="Arial" w:eastAsia="宋体" w:cs="Arial"/>
          <w:i w:val="0"/>
          <w:caps w:val="0"/>
          <w:color w:val="222222"/>
          <w:spacing w:val="0"/>
          <w:sz w:val="19"/>
          <w:szCs w:val="19"/>
          <w:shd w:val="clear" w:fill="FFFFFF"/>
        </w:rPr>
      </w:pPr>
    </w:p>
    <w:p>
      <w:pPr>
        <w:ind w:left="585" w:hanging="570" w:hangingChars="300"/>
        <w:rPr>
          <w:rFonts w:hint="default" w:ascii="Arial" w:hAnsi="Arial" w:eastAsia="宋体" w:cs="Arial"/>
          <w:i w:val="0"/>
          <w:caps w:val="0"/>
          <w:color w:val="222222"/>
          <w:spacing w:val="0"/>
          <w:sz w:val="19"/>
          <w:szCs w:val="19"/>
          <w:shd w:val="clear" w:fill="FFFFFF"/>
        </w:rPr>
      </w:pPr>
      <w:r>
        <w:rPr>
          <w:rFonts w:ascii="Arial" w:hAnsi="Arial" w:eastAsia="宋体" w:cs="Arial"/>
          <w:i w:val="0"/>
          <w:caps w:val="0"/>
          <w:color w:val="222222"/>
          <w:spacing w:val="0"/>
          <w:sz w:val="19"/>
          <w:szCs w:val="19"/>
          <w:shd w:val="clear" w:fill="FFFFFF"/>
        </w:rPr>
        <w:t>Salavou, H.E., 2015. Competitive strategies and their shift to the future.</w:t>
      </w:r>
      <w:r>
        <w:rPr>
          <w:rFonts w:hint="default" w:ascii="Arial" w:hAnsi="Arial" w:eastAsia="宋体" w:cs="Arial"/>
          <w:i w:val="0"/>
          <w:caps w:val="0"/>
          <w:color w:val="222222"/>
          <w:spacing w:val="0"/>
          <w:sz w:val="19"/>
          <w:szCs w:val="19"/>
          <w:shd w:val="clear" w:fill="FFFFFF"/>
        </w:rPr>
        <w:t> </w:t>
      </w:r>
      <w:r>
        <w:rPr>
          <w:rFonts w:hint="default" w:ascii="Arial" w:hAnsi="Arial" w:eastAsia="宋体" w:cs="Arial"/>
          <w:i/>
          <w:caps w:val="0"/>
          <w:color w:val="222222"/>
          <w:spacing w:val="0"/>
          <w:sz w:val="19"/>
          <w:szCs w:val="19"/>
          <w:shd w:val="clear" w:fill="FFFFFF"/>
        </w:rPr>
        <w:t>European Business Review</w:t>
      </w:r>
      <w:r>
        <w:rPr>
          <w:rFonts w:hint="default" w:ascii="Arial" w:hAnsi="Arial" w:eastAsia="宋体" w:cs="Arial"/>
          <w:i w:val="0"/>
          <w:caps w:val="0"/>
          <w:color w:val="222222"/>
          <w:spacing w:val="0"/>
          <w:sz w:val="19"/>
          <w:szCs w:val="19"/>
          <w:shd w:val="clear" w:fill="FFFFFF"/>
        </w:rPr>
        <w:t>, </w:t>
      </w:r>
      <w:r>
        <w:rPr>
          <w:rFonts w:hint="default" w:ascii="Arial" w:hAnsi="Arial" w:eastAsia="宋体" w:cs="Arial"/>
          <w:i/>
          <w:caps w:val="0"/>
          <w:color w:val="222222"/>
          <w:spacing w:val="0"/>
          <w:sz w:val="19"/>
          <w:szCs w:val="19"/>
          <w:shd w:val="clear" w:fill="FFFFFF"/>
        </w:rPr>
        <w:t>27</w:t>
      </w:r>
      <w:r>
        <w:rPr>
          <w:rFonts w:hint="default" w:ascii="Arial" w:hAnsi="Arial" w:eastAsia="宋体" w:cs="Arial"/>
          <w:i w:val="0"/>
          <w:caps w:val="0"/>
          <w:color w:val="222222"/>
          <w:spacing w:val="0"/>
          <w:sz w:val="19"/>
          <w:szCs w:val="19"/>
          <w:shd w:val="clear" w:fill="FFFFFF"/>
        </w:rPr>
        <w:t>(1), pp.80-99.</w:t>
      </w:r>
    </w:p>
    <w:p>
      <w:pPr>
        <w:ind w:left="585" w:hanging="570" w:hangingChars="300"/>
        <w:rPr>
          <w:rFonts w:hint="default" w:ascii="Arial" w:hAnsi="Arial" w:eastAsia="宋体" w:cs="Arial"/>
          <w:i w:val="0"/>
          <w:caps w:val="0"/>
          <w:color w:val="222222"/>
          <w:spacing w:val="0"/>
          <w:sz w:val="19"/>
          <w:szCs w:val="19"/>
          <w:shd w:val="clear" w:fill="FFFFFF"/>
        </w:rPr>
      </w:pPr>
    </w:p>
    <w:p>
      <w:pPr>
        <w:ind w:left="585" w:hanging="570" w:hangingChars="300"/>
        <w:rPr>
          <w:rFonts w:hint="default" w:ascii="Arial" w:hAnsi="Arial" w:eastAsia="宋体" w:cs="Arial"/>
          <w:i w:val="0"/>
          <w:caps w:val="0"/>
          <w:color w:val="222222"/>
          <w:spacing w:val="0"/>
          <w:sz w:val="19"/>
          <w:szCs w:val="19"/>
          <w:shd w:val="clear" w:fill="FFFFFF"/>
        </w:rPr>
      </w:pPr>
      <w:r>
        <w:rPr>
          <w:rFonts w:ascii="Arial" w:hAnsi="Arial" w:eastAsia="宋体" w:cs="Arial"/>
          <w:i w:val="0"/>
          <w:caps w:val="0"/>
          <w:color w:val="222222"/>
          <w:spacing w:val="0"/>
          <w:sz w:val="19"/>
          <w:szCs w:val="19"/>
          <w:shd w:val="clear" w:fill="FFFFFF"/>
        </w:rPr>
        <w:t>Turner, T., 2015. German Sports Shoes, Basketball, and Hip Hop: The Consumption and Cultural Significance of the adidas ‘Superstar’, 1966–1988.</w:t>
      </w:r>
      <w:r>
        <w:rPr>
          <w:rFonts w:hint="default" w:ascii="Arial" w:hAnsi="Arial" w:eastAsia="宋体" w:cs="Arial"/>
          <w:i w:val="0"/>
          <w:caps w:val="0"/>
          <w:color w:val="222222"/>
          <w:spacing w:val="0"/>
          <w:sz w:val="19"/>
          <w:szCs w:val="19"/>
          <w:shd w:val="clear" w:fill="FFFFFF"/>
        </w:rPr>
        <w:t> </w:t>
      </w:r>
      <w:r>
        <w:rPr>
          <w:rFonts w:hint="default" w:ascii="Arial" w:hAnsi="Arial" w:eastAsia="宋体" w:cs="Arial"/>
          <w:i/>
          <w:caps w:val="0"/>
          <w:color w:val="222222"/>
          <w:spacing w:val="0"/>
          <w:sz w:val="19"/>
          <w:szCs w:val="19"/>
          <w:shd w:val="clear" w:fill="FFFFFF"/>
        </w:rPr>
        <w:t>Sport in History</w:t>
      </w:r>
      <w:r>
        <w:rPr>
          <w:rFonts w:hint="default" w:ascii="Arial" w:hAnsi="Arial" w:eastAsia="宋体" w:cs="Arial"/>
          <w:i w:val="0"/>
          <w:caps w:val="0"/>
          <w:color w:val="222222"/>
          <w:spacing w:val="0"/>
          <w:sz w:val="19"/>
          <w:szCs w:val="19"/>
          <w:shd w:val="clear" w:fill="FFFFFF"/>
        </w:rPr>
        <w:t>, </w:t>
      </w:r>
      <w:r>
        <w:rPr>
          <w:rFonts w:hint="default" w:ascii="Arial" w:hAnsi="Arial" w:eastAsia="宋体" w:cs="Arial"/>
          <w:i/>
          <w:caps w:val="0"/>
          <w:color w:val="222222"/>
          <w:spacing w:val="0"/>
          <w:sz w:val="19"/>
          <w:szCs w:val="19"/>
          <w:shd w:val="clear" w:fill="FFFFFF"/>
        </w:rPr>
        <w:t>35</w:t>
      </w:r>
      <w:r>
        <w:rPr>
          <w:rFonts w:hint="default" w:ascii="Arial" w:hAnsi="Arial" w:eastAsia="宋体" w:cs="Arial"/>
          <w:i w:val="0"/>
          <w:caps w:val="0"/>
          <w:color w:val="222222"/>
          <w:spacing w:val="0"/>
          <w:sz w:val="19"/>
          <w:szCs w:val="19"/>
          <w:shd w:val="clear" w:fill="FFFFFF"/>
        </w:rPr>
        <w:t>(1), pp.127-155.</w:t>
      </w:r>
    </w:p>
    <w:p>
      <w:pPr>
        <w:ind w:left="585" w:hanging="570" w:hangingChars="300"/>
        <w:rPr>
          <w:rFonts w:hint="default" w:ascii="Arial" w:hAnsi="Arial" w:eastAsia="宋体" w:cs="Arial"/>
          <w:i w:val="0"/>
          <w:caps w:val="0"/>
          <w:color w:val="222222"/>
          <w:spacing w:val="0"/>
          <w:sz w:val="19"/>
          <w:szCs w:val="19"/>
          <w:shd w:val="clear" w:fill="FFFFFF"/>
        </w:rPr>
      </w:pPr>
    </w:p>
    <w:p>
      <w:pPr>
        <w:ind w:left="585" w:hanging="570" w:hangingChars="300"/>
        <w:rPr>
          <w:rFonts w:hint="default" w:ascii="Arial" w:hAnsi="Arial" w:eastAsia="宋体" w:cs="Arial"/>
          <w:i w:val="0"/>
          <w:caps w:val="0"/>
          <w:color w:val="222222"/>
          <w:spacing w:val="0"/>
          <w:sz w:val="19"/>
          <w:szCs w:val="19"/>
          <w:shd w:val="clear" w:fill="FFFFFF"/>
        </w:rPr>
      </w:pPr>
    </w:p>
    <w:p>
      <w:pPr>
        <w:ind w:left="585" w:hanging="570" w:hangingChars="300"/>
        <w:rPr>
          <w:rFonts w:hint="default" w:ascii="Arial" w:hAnsi="Arial" w:eastAsia="宋体" w:cs="Arial"/>
          <w:i w:val="0"/>
          <w:caps w:val="0"/>
          <w:color w:val="222222"/>
          <w:spacing w:val="0"/>
          <w:sz w:val="19"/>
          <w:szCs w:val="19"/>
          <w:shd w:val="clear" w:fill="FFFFFF"/>
        </w:rPr>
      </w:pPr>
    </w:p>
    <w:p>
      <w:pPr>
        <w:ind w:left="585" w:hanging="570" w:hangingChars="300"/>
        <w:rPr>
          <w:rFonts w:hint="default" w:ascii="Arial" w:hAnsi="Arial" w:eastAsia="宋体" w:cs="Arial"/>
          <w:i w:val="0"/>
          <w:caps w:val="0"/>
          <w:color w:val="222222"/>
          <w:spacing w:val="0"/>
          <w:sz w:val="19"/>
          <w:szCs w:val="19"/>
          <w:shd w:val="clear" w:fill="FFFFFF"/>
        </w:rPr>
      </w:pPr>
    </w:p>
    <w:p>
      <w:pPr>
        <w:ind w:left="585" w:hanging="570" w:hangingChars="300"/>
        <w:rPr>
          <w:rFonts w:hint="default" w:ascii="Arial" w:hAnsi="Arial" w:eastAsia="宋体" w:cs="Arial"/>
          <w:i w:val="0"/>
          <w:caps w:val="0"/>
          <w:color w:val="222222"/>
          <w:spacing w:val="0"/>
          <w:sz w:val="19"/>
          <w:szCs w:val="19"/>
          <w:shd w:val="clear" w:fill="FFFFFF"/>
        </w:rPr>
      </w:pPr>
    </w:p>
    <w:p>
      <w:pPr>
        <w:ind w:left="585" w:hanging="570" w:hangingChars="300"/>
        <w:rPr>
          <w:rFonts w:hint="default" w:ascii="Arial" w:hAnsi="Arial" w:eastAsia="宋体" w:cs="Arial"/>
          <w:i w:val="0"/>
          <w:caps w:val="0"/>
          <w:color w:val="222222"/>
          <w:spacing w:val="0"/>
          <w:sz w:val="19"/>
          <w:szCs w:val="19"/>
          <w:shd w:val="clear" w:fill="FFFFFF"/>
        </w:rPr>
      </w:pPr>
    </w:p>
    <w:p>
      <w:pPr>
        <w:keepNext w:val="0"/>
        <w:keepLines w:val="0"/>
        <w:pageBreakBefore w:val="0"/>
        <w:widowControl/>
        <w:kinsoku/>
        <w:wordWrap/>
        <w:overflowPunct/>
        <w:topLinePunct w:val="0"/>
        <w:autoSpaceDE w:val="0"/>
        <w:autoSpaceDN w:val="0"/>
        <w:bidi w:val="0"/>
        <w:adjustRightInd w:val="0"/>
        <w:snapToGrid/>
        <w:spacing w:line="240" w:lineRule="auto"/>
        <w:textAlignment w:val="auto"/>
        <w:outlineLvl w:val="9"/>
        <w:rPr>
          <w:rFonts w:hint="eastAsia" w:ascii="Arial" w:hAnsi="Arial" w:eastAsia="宋体" w:cs="Arial"/>
          <w:i w:val="0"/>
          <w:caps w:val="0"/>
          <w:color w:val="222222"/>
          <w:spacing w:val="0"/>
          <w:sz w:val="19"/>
          <w:szCs w:val="19"/>
          <w:shd w:val="clear" w:fill="FFFFFF"/>
          <w:lang w:val="en-US" w:eastAsia="zh-CN"/>
        </w:rPr>
      </w:pPr>
    </w:p>
    <w:p>
      <w:pPr>
        <w:keepNext w:val="0"/>
        <w:keepLines w:val="0"/>
        <w:pageBreakBefore w:val="0"/>
        <w:widowControl/>
        <w:kinsoku/>
        <w:wordWrap/>
        <w:overflowPunct/>
        <w:topLinePunct w:val="0"/>
        <w:autoSpaceDE w:val="0"/>
        <w:autoSpaceDN w:val="0"/>
        <w:bidi w:val="0"/>
        <w:adjustRightInd w:val="0"/>
        <w:snapToGrid/>
        <w:spacing w:line="240" w:lineRule="auto"/>
        <w:textAlignment w:val="auto"/>
        <w:outlineLvl w:val="9"/>
        <w:rPr>
          <w:rFonts w:hint="eastAsia" w:ascii="Arial" w:hAnsi="Arial" w:eastAsia="宋体" w:cs="Arial"/>
          <w:i w:val="0"/>
          <w:caps w:val="0"/>
          <w:color w:val="222222"/>
          <w:spacing w:val="0"/>
          <w:sz w:val="19"/>
          <w:szCs w:val="19"/>
          <w:shd w:val="clear" w:fill="FFFFFF"/>
          <w:lang w:val="en-US" w:eastAsia="zh-CN"/>
        </w:rPr>
      </w:pPr>
    </w:p>
    <w:p>
      <w:pPr>
        <w:keepNext w:val="0"/>
        <w:keepLines w:val="0"/>
        <w:pageBreakBefore w:val="0"/>
        <w:widowControl/>
        <w:kinsoku/>
        <w:wordWrap/>
        <w:overflowPunct/>
        <w:topLinePunct w:val="0"/>
        <w:autoSpaceDE w:val="0"/>
        <w:autoSpaceDN w:val="0"/>
        <w:bidi w:val="0"/>
        <w:adjustRightInd w:val="0"/>
        <w:snapToGrid/>
        <w:spacing w:line="240" w:lineRule="auto"/>
        <w:ind w:firstLine="570" w:firstLineChars="300"/>
        <w:textAlignment w:val="auto"/>
        <w:outlineLvl w:val="9"/>
        <w:rPr>
          <w:rFonts w:hint="eastAsia" w:ascii="Arial" w:hAnsi="Arial" w:eastAsia="宋体" w:cs="Arial"/>
          <w:i w:val="0"/>
          <w:caps w:val="0"/>
          <w:color w:val="222222"/>
          <w:spacing w:val="0"/>
          <w:sz w:val="19"/>
          <w:szCs w:val="19"/>
          <w:shd w:val="clear" w:fill="FFFFFF"/>
          <w:lang w:val="en-US" w:eastAsia="zh-CN"/>
        </w:rPr>
      </w:pPr>
    </w:p>
    <w:p>
      <w:pPr>
        <w:rPr>
          <w:rFonts w:hint="eastAsia" w:ascii="Arial" w:hAnsi="Arial" w:eastAsia="宋体" w:cs="Arial"/>
          <w:i w:val="0"/>
          <w:caps w:val="0"/>
          <w:color w:val="222222"/>
          <w:spacing w:val="0"/>
          <w:sz w:val="19"/>
          <w:szCs w:val="19"/>
          <w:shd w:val="clear" w:fill="FFFFFF"/>
          <w:lang w:val="en-US" w:eastAsia="zh-CN"/>
        </w:rPr>
      </w:pPr>
      <w:r>
        <w:rPr>
          <w:rFonts w:hint="eastAsia" w:ascii="Arial" w:hAnsi="Arial" w:eastAsia="宋体" w:cs="Arial"/>
          <w:i w:val="0"/>
          <w:caps w:val="0"/>
          <w:color w:val="222222"/>
          <w:spacing w:val="0"/>
          <w:sz w:val="19"/>
          <w:szCs w:val="19"/>
          <w:shd w:val="clear" w:fill="FFFFFF"/>
          <w:lang w:val="en-US" w:eastAsia="zh-CN"/>
        </w:rPr>
        <w:t xml:space="preserve"> </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Verdana">
    <w:panose1 w:val="020B0604030504040204"/>
    <w:charset w:val="00"/>
    <w:family w:val="swiss"/>
    <w:pitch w:val="default"/>
    <w:sig w:usb0="A00006FF" w:usb1="4000205B" w:usb2="00000010" w:usb3="00000000" w:csb0="2000019F" w:csb1="00000000"/>
  </w:font>
  <w:font w:name="CG Times (WN)">
    <w:altName w:val="Segoe Print"/>
    <w:panose1 w:val="00000000000000000000"/>
    <w:charset w:val="00"/>
    <w:family w:val="roman"/>
    <w:pitch w:val="default"/>
    <w:sig w:usb0="00000000" w:usb1="00000000" w:usb2="00000000" w:usb3="00000000" w:csb0="00000001" w:csb1="00000000"/>
  </w:font>
  <w:font w:name="Calibri Light">
    <w:panose1 w:val="020F0302020204030204"/>
    <w:charset w:val="00"/>
    <w:family w:val="auto"/>
    <w:pitch w:val="default"/>
    <w:sig w:usb0="E0002AFF" w:usb1="C000247B" w:usb2="00000009" w:usb3="00000000" w:csb0="200001FF"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73693746"/>
      <w:docPartObj>
        <w:docPartGallery w:val="autotext"/>
      </w:docPartObj>
    </w:sdtPr>
    <w:sdtContent>
      <w:p>
        <w:pPr>
          <w:pStyle w:val="7"/>
          <w:jc w:val="center"/>
        </w:pPr>
        <w:r>
          <w:fldChar w:fldCharType="begin"/>
        </w:r>
        <w:r>
          <w:instrText xml:space="preserve"> PAGE   \* MERGEFORMAT </w:instrText>
        </w:r>
        <w:r>
          <w:fldChar w:fldCharType="separate"/>
        </w:r>
        <w:r>
          <w:t>3</w:t>
        </w:r>
        <w:r>
          <w:fldChar w:fldCharType="end"/>
        </w:r>
      </w:p>
    </w:sdtContent>
  </w:sdt>
  <w:p>
    <w:pPr>
      <w:pStyle w:val="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903977953"/>
      <w:docPartObj>
        <w:docPartGallery w:val="autotext"/>
      </w:docPartObj>
    </w:sdtPr>
    <w:sdtContent>
      <w:p>
        <w:pPr>
          <w:pStyle w:val="7"/>
          <w:jc w:val="center"/>
        </w:pPr>
        <w:r>
          <w:fldChar w:fldCharType="begin"/>
        </w:r>
        <w:r>
          <w:instrText xml:space="preserve"> PAGE   \* MERGEFORMAT </w:instrText>
        </w:r>
        <w:r>
          <w:fldChar w:fldCharType="separate"/>
        </w:r>
        <w:r>
          <w:t>2</w:t>
        </w:r>
        <w:r>
          <w:fldChar w:fldCharType="end"/>
        </w:r>
      </w:p>
    </w:sdtContent>
  </w:sdt>
  <w:p>
    <w:pPr>
      <w:pStyle w:val="7"/>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Bdr>
        <w:bottom w:val="single" w:color="auto" w:sz="4" w:space="1"/>
      </w:pBdr>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D0582EB"/>
    <w:multiLevelType w:val="singleLevel"/>
    <w:tmpl w:val="8D0582EB"/>
    <w:lvl w:ilvl="0" w:tentative="0">
      <w:start w:val="2"/>
      <w:numFmt w:val="decimal"/>
      <w:suff w:val="space"/>
      <w:lvlText w:val="%1."/>
      <w:lvlJc w:val="left"/>
    </w:lvl>
  </w:abstractNum>
  <w:abstractNum w:abstractNumId="1">
    <w:nsid w:val="C0CB6371"/>
    <w:multiLevelType w:val="singleLevel"/>
    <w:tmpl w:val="C0CB6371"/>
    <w:lvl w:ilvl="0" w:tentative="0">
      <w:start w:val="1"/>
      <w:numFmt w:val="upperLetter"/>
      <w:suff w:val="space"/>
      <w:lvlText w:val="%1."/>
      <w:lvlJc w:val="left"/>
      <w:pPr>
        <w:ind w:left="1221" w:leftChars="0" w:firstLine="0" w:firstLineChars="0"/>
      </w:pPr>
    </w:lvl>
  </w:abstractNum>
  <w:abstractNum w:abstractNumId="2">
    <w:nsid w:val="DB235E9E"/>
    <w:multiLevelType w:val="singleLevel"/>
    <w:tmpl w:val="DB235E9E"/>
    <w:lvl w:ilvl="0" w:tentative="0">
      <w:start w:val="1"/>
      <w:numFmt w:val="decimal"/>
      <w:suff w:val="space"/>
      <w:lvlText w:val="(%1)"/>
      <w:lvlJc w:val="left"/>
      <w:pPr>
        <w:ind w:left="954" w:leftChars="0" w:firstLine="0" w:firstLineChars="0"/>
      </w:pPr>
    </w:lvl>
  </w:abstractNum>
  <w:abstractNum w:abstractNumId="3">
    <w:nsid w:val="2EB3EE0D"/>
    <w:multiLevelType w:val="singleLevel"/>
    <w:tmpl w:val="2EB3EE0D"/>
    <w:lvl w:ilvl="0" w:tentative="0">
      <w:start w:val="1"/>
      <w:numFmt w:val="upperLetter"/>
      <w:suff w:val="space"/>
      <w:lvlText w:val="%1."/>
      <w:lvlJc w:val="left"/>
    </w:lvl>
  </w:abstractNum>
  <w:abstractNum w:abstractNumId="4">
    <w:nsid w:val="352A5D6D"/>
    <w:multiLevelType w:val="multilevel"/>
    <w:tmpl w:val="352A5D6D"/>
    <w:lvl w:ilvl="0" w:tentative="0">
      <w:start w:val="1"/>
      <w:numFmt w:val="decimal"/>
      <w:pStyle w:val="2"/>
      <w:lvlText w:val="%1"/>
      <w:lvlJc w:val="left"/>
      <w:pPr>
        <w:tabs>
          <w:tab w:val="left" w:pos="851"/>
        </w:tabs>
        <w:ind w:left="851" w:hanging="851"/>
      </w:pPr>
      <w:rPr>
        <w:rFonts w:hint="default"/>
        <w:b/>
        <w:i w:val="0"/>
        <w:caps/>
        <w:sz w:val="18"/>
      </w:rPr>
    </w:lvl>
    <w:lvl w:ilvl="1" w:tentative="0">
      <w:start w:val="1"/>
      <w:numFmt w:val="decimal"/>
      <w:pStyle w:val="4"/>
      <w:lvlText w:val="%1.%2"/>
      <w:lvlJc w:val="left"/>
      <w:pPr>
        <w:tabs>
          <w:tab w:val="left" w:pos="851"/>
        </w:tabs>
        <w:ind w:left="851" w:hanging="851"/>
      </w:pPr>
      <w:rPr>
        <w:rFonts w:hint="default"/>
        <w:b/>
        <w:i w:val="0"/>
        <w:caps/>
        <w:strike w:val="0"/>
        <w:dstrike w:val="0"/>
        <w:vanish w:val="0"/>
        <w:color w:val="auto"/>
        <w:sz w:val="18"/>
        <w:u w:val="none"/>
        <w:vertAlign w:val="baseline"/>
      </w:rPr>
    </w:lvl>
    <w:lvl w:ilvl="2" w:tentative="0">
      <w:start w:val="1"/>
      <w:numFmt w:val="decimal"/>
      <w:lvlText w:val="%1.%2.%3"/>
      <w:lvlJc w:val="left"/>
      <w:pPr>
        <w:tabs>
          <w:tab w:val="left" w:pos="851"/>
        </w:tabs>
        <w:ind w:left="851" w:hanging="851"/>
      </w:pPr>
      <w:rPr>
        <w:rFonts w:hint="default"/>
        <w:b/>
        <w:i w:val="0"/>
        <w:caps w:val="0"/>
        <w:sz w:val="18"/>
      </w:rPr>
    </w:lvl>
    <w:lvl w:ilvl="3" w:tentative="0">
      <w:start w:val="1"/>
      <w:numFmt w:val="decimal"/>
      <w:lvlText w:val="%1.%2.%3.%4"/>
      <w:lvlJc w:val="left"/>
      <w:pPr>
        <w:tabs>
          <w:tab w:val="left" w:pos="864"/>
        </w:tabs>
        <w:ind w:left="864" w:hanging="864"/>
      </w:pPr>
      <w:rPr>
        <w:rFonts w:hint="default"/>
      </w:rPr>
    </w:lvl>
    <w:lvl w:ilvl="4" w:tentative="0">
      <w:start w:val="1"/>
      <w:numFmt w:val="decimal"/>
      <w:lvlText w:val="%1.%2.%3.%4.%5"/>
      <w:lvlJc w:val="left"/>
      <w:pPr>
        <w:tabs>
          <w:tab w:val="left" w:pos="1008"/>
        </w:tabs>
        <w:ind w:left="1008" w:hanging="1008"/>
      </w:pPr>
      <w:rPr>
        <w:rFonts w:hint="default"/>
      </w:rPr>
    </w:lvl>
    <w:lvl w:ilvl="5" w:tentative="0">
      <w:start w:val="1"/>
      <w:numFmt w:val="decimal"/>
      <w:lvlText w:val="%1.%2.%3.%4.%5.%6"/>
      <w:lvlJc w:val="left"/>
      <w:pPr>
        <w:tabs>
          <w:tab w:val="left" w:pos="1152"/>
        </w:tabs>
        <w:ind w:left="1152" w:hanging="1152"/>
      </w:pPr>
      <w:rPr>
        <w:rFonts w:hint="default"/>
      </w:rPr>
    </w:lvl>
    <w:lvl w:ilvl="6" w:tentative="0">
      <w:start w:val="1"/>
      <w:numFmt w:val="decimal"/>
      <w:lvlText w:val="%1.%2.%3.%4.%5.%6.%7"/>
      <w:lvlJc w:val="left"/>
      <w:pPr>
        <w:tabs>
          <w:tab w:val="left" w:pos="1296"/>
        </w:tabs>
        <w:ind w:left="1296" w:hanging="1296"/>
      </w:pPr>
      <w:rPr>
        <w:rFonts w:hint="default"/>
      </w:rPr>
    </w:lvl>
    <w:lvl w:ilvl="7" w:tentative="0">
      <w:start w:val="1"/>
      <w:numFmt w:val="decimal"/>
      <w:lvlText w:val="%1.%2.%3.%4.%5.%6.%7.%8"/>
      <w:lvlJc w:val="left"/>
      <w:pPr>
        <w:tabs>
          <w:tab w:val="left" w:pos="1440"/>
        </w:tabs>
        <w:ind w:left="1440" w:hanging="1440"/>
      </w:pPr>
      <w:rPr>
        <w:rFonts w:hint="default"/>
      </w:rPr>
    </w:lvl>
    <w:lvl w:ilvl="8" w:tentative="0">
      <w:start w:val="1"/>
      <w:numFmt w:val="decimal"/>
      <w:lvlText w:val="%1.%2.%3.%4.%5.%6.%7.%8.%9"/>
      <w:lvlJc w:val="left"/>
      <w:pPr>
        <w:tabs>
          <w:tab w:val="left" w:pos="1584"/>
        </w:tabs>
        <w:ind w:left="1584" w:hanging="1584"/>
      </w:pPr>
      <w:rPr>
        <w:rFonts w:hint="default"/>
      </w:rPr>
    </w:lvl>
  </w:abstractNum>
  <w:abstractNum w:abstractNumId="5">
    <w:nsid w:val="53360897"/>
    <w:multiLevelType w:val="multilevel"/>
    <w:tmpl w:val="53360897"/>
    <w:lvl w:ilvl="0" w:tentative="0">
      <w:start w:val="1"/>
      <w:numFmt w:val="decimal"/>
      <w:lvlText w:val="%1."/>
      <w:lvlJc w:val="left"/>
      <w:pPr>
        <w:ind w:left="720" w:hanging="360"/>
      </w:pPr>
      <w:rPr>
        <w:rFonts w:hint="default" w:ascii="Verdana" w:hAnsi="Verdana"/>
        <w:caps/>
      </w:rPr>
    </w:lvl>
    <w:lvl w:ilvl="1" w:tentative="0">
      <w:start w:val="1"/>
      <w:numFmt w:val="decimal"/>
      <w:isLgl/>
      <w:lvlText w:val="%1.%2"/>
      <w:lvlJc w:val="left"/>
      <w:pPr>
        <w:ind w:left="720" w:hanging="360"/>
      </w:pPr>
      <w:rPr>
        <w:rFonts w:hint="default"/>
      </w:rPr>
    </w:lvl>
    <w:lvl w:ilvl="2" w:tentative="0">
      <w:start w:val="1"/>
      <w:numFmt w:val="decimal"/>
      <w:isLgl/>
      <w:lvlText w:val="%1.%2.%3"/>
      <w:lvlJc w:val="left"/>
      <w:pPr>
        <w:ind w:left="720" w:hanging="720"/>
      </w:pPr>
      <w:rPr>
        <w:rFonts w:hint="default"/>
        <w:b/>
        <w:sz w:val="18"/>
      </w:rPr>
    </w:lvl>
    <w:lvl w:ilvl="3" w:tentative="0">
      <w:start w:val="1"/>
      <w:numFmt w:val="decimal"/>
      <w:isLgl/>
      <w:lvlText w:val="%1.%2.%3.%4"/>
      <w:lvlJc w:val="left"/>
      <w:pPr>
        <w:ind w:left="1080" w:hanging="720"/>
      </w:pPr>
      <w:rPr>
        <w:rFonts w:hint="default"/>
      </w:rPr>
    </w:lvl>
    <w:lvl w:ilvl="4" w:tentative="0">
      <w:start w:val="1"/>
      <w:numFmt w:val="decimal"/>
      <w:isLgl/>
      <w:lvlText w:val="%1.%2.%3.%4.%5"/>
      <w:lvlJc w:val="left"/>
      <w:pPr>
        <w:ind w:left="1440" w:hanging="1080"/>
      </w:pPr>
      <w:rPr>
        <w:rFonts w:hint="default"/>
      </w:rPr>
    </w:lvl>
    <w:lvl w:ilvl="5" w:tentative="0">
      <w:start w:val="1"/>
      <w:numFmt w:val="decimal"/>
      <w:isLgl/>
      <w:lvlText w:val="%1.%2.%3.%4.%5.%6"/>
      <w:lvlJc w:val="left"/>
      <w:pPr>
        <w:ind w:left="1440" w:hanging="1080"/>
      </w:pPr>
      <w:rPr>
        <w:rFonts w:hint="default"/>
      </w:rPr>
    </w:lvl>
    <w:lvl w:ilvl="6" w:tentative="0">
      <w:start w:val="1"/>
      <w:numFmt w:val="decimal"/>
      <w:isLgl/>
      <w:lvlText w:val="%1.%2.%3.%4.%5.%6.%7"/>
      <w:lvlJc w:val="left"/>
      <w:pPr>
        <w:ind w:left="1800" w:hanging="1440"/>
      </w:pPr>
      <w:rPr>
        <w:rFonts w:hint="default"/>
      </w:rPr>
    </w:lvl>
    <w:lvl w:ilvl="7" w:tentative="0">
      <w:start w:val="1"/>
      <w:numFmt w:val="decimal"/>
      <w:isLgl/>
      <w:lvlText w:val="%1.%2.%3.%4.%5.%6.%7.%8"/>
      <w:lvlJc w:val="left"/>
      <w:pPr>
        <w:ind w:left="1800" w:hanging="1440"/>
      </w:pPr>
      <w:rPr>
        <w:rFonts w:hint="default"/>
      </w:rPr>
    </w:lvl>
    <w:lvl w:ilvl="8" w:tentative="0">
      <w:start w:val="1"/>
      <w:numFmt w:val="decimal"/>
      <w:isLgl/>
      <w:lvlText w:val="%1.%2.%3.%4.%5.%6.%7.%8.%9"/>
      <w:lvlJc w:val="left"/>
      <w:pPr>
        <w:ind w:left="1800" w:hanging="1440"/>
      </w:pPr>
      <w:rPr>
        <w:rFonts w:hint="default"/>
      </w:rPr>
    </w:lvl>
  </w:abstractNum>
  <w:abstractNum w:abstractNumId="6">
    <w:nsid w:val="6B60FDFB"/>
    <w:multiLevelType w:val="singleLevel"/>
    <w:tmpl w:val="6B60FDFB"/>
    <w:lvl w:ilvl="0" w:tentative="0">
      <w:start w:val="3"/>
      <w:numFmt w:val="decimal"/>
      <w:suff w:val="space"/>
      <w:lvlText w:val="(%1)"/>
      <w:lvlJc w:val="left"/>
    </w:lvl>
  </w:abstractNum>
  <w:abstractNum w:abstractNumId="7">
    <w:nsid w:val="74812E53"/>
    <w:multiLevelType w:val="singleLevel"/>
    <w:tmpl w:val="74812E53"/>
    <w:lvl w:ilvl="0" w:tentative="0">
      <w:start w:val="1"/>
      <w:numFmt w:val="upperLetter"/>
      <w:suff w:val="space"/>
      <w:lvlText w:val="%1."/>
      <w:lvlJc w:val="left"/>
    </w:lvl>
  </w:abstractNum>
  <w:num w:numId="1">
    <w:abstractNumId w:val="4"/>
  </w:num>
  <w:num w:numId="2">
    <w:abstractNumId w:val="0"/>
  </w:num>
  <w:num w:numId="3">
    <w:abstractNumId w:val="3"/>
  </w:num>
  <w:num w:numId="4">
    <w:abstractNumId w:val="1"/>
  </w:num>
  <w:num w:numId="5">
    <w:abstractNumId w:val="7"/>
  </w:num>
  <w:num w:numId="6">
    <w:abstractNumId w:val="5"/>
  </w:num>
  <w:num w:numId="7">
    <w:abstractNumId w:val="2"/>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bordersDoNotSurroundHeader w:val="0"/>
  <w:bordersDoNotSurroundFooter w:val="0"/>
  <w:attachedTemplate r:id="rId1"/>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3717CDF"/>
    <w:rsid w:val="2B636A37"/>
    <w:rsid w:val="348E3787"/>
    <w:rsid w:val="3A2922F4"/>
    <w:rsid w:val="46C85461"/>
    <w:rsid w:val="53717CDF"/>
    <w:rsid w:val="55E77689"/>
    <w:rsid w:val="612058D4"/>
    <w:rsid w:val="669D29C8"/>
    <w:rsid w:val="6B99226D"/>
    <w:rsid w:val="6D535020"/>
    <w:rsid w:val="72C52CF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autoSpaceDE w:val="0"/>
      <w:autoSpaceDN w:val="0"/>
      <w:adjustRightInd w:val="0"/>
      <w:spacing w:after="200" w:line="276" w:lineRule="auto"/>
    </w:pPr>
    <w:rPr>
      <w:rFonts w:ascii="Calibri" w:hAnsi="Calibri" w:cs="Calibri" w:eastAsiaTheme="minorHAnsi"/>
      <w:sz w:val="22"/>
      <w:szCs w:val="22"/>
      <w:lang w:val="en-GB" w:eastAsia="en-US" w:bidi="ar-SA"/>
    </w:rPr>
  </w:style>
  <w:style w:type="paragraph" w:styleId="2">
    <w:name w:val="heading 1"/>
    <w:basedOn w:val="3"/>
    <w:next w:val="1"/>
    <w:qFormat/>
    <w:uiPriority w:val="0"/>
    <w:pPr>
      <w:numPr>
        <w:ilvl w:val="0"/>
        <w:numId w:val="1"/>
      </w:numPr>
      <w:outlineLvl w:val="0"/>
    </w:pPr>
    <w:rPr>
      <w:rFonts w:ascii="Verdana" w:hAnsi="Verdana"/>
      <w:b/>
      <w:caps/>
      <w:sz w:val="18"/>
      <w:szCs w:val="18"/>
    </w:rPr>
  </w:style>
  <w:style w:type="paragraph" w:styleId="4">
    <w:name w:val="heading 2"/>
    <w:basedOn w:val="3"/>
    <w:next w:val="1"/>
    <w:unhideWhenUsed/>
    <w:qFormat/>
    <w:uiPriority w:val="9"/>
    <w:pPr>
      <w:numPr>
        <w:ilvl w:val="1"/>
        <w:numId w:val="1"/>
      </w:numPr>
      <w:outlineLvl w:val="1"/>
    </w:pPr>
    <w:rPr>
      <w:rFonts w:ascii="Verdana" w:hAnsi="Verdana"/>
      <w:b/>
      <w:caps/>
      <w:sz w:val="18"/>
      <w:szCs w:val="18"/>
    </w:rPr>
  </w:style>
  <w:style w:type="paragraph" w:styleId="5">
    <w:name w:val="heading 3"/>
    <w:basedOn w:val="1"/>
    <w:next w:val="1"/>
    <w:link w:val="13"/>
    <w:unhideWhenUsed/>
    <w:qFormat/>
    <w:uiPriority w:val="0"/>
    <w:pPr>
      <w:keepNext/>
      <w:keepLines/>
      <w:spacing w:before="260" w:beforeLines="0" w:beforeAutospacing="0" w:after="260" w:afterLines="0" w:afterAutospacing="0" w:line="413" w:lineRule="auto"/>
      <w:outlineLvl w:val="2"/>
    </w:pPr>
    <w:rPr>
      <w:b/>
      <w:sz w:val="32"/>
    </w:rPr>
  </w:style>
  <w:style w:type="character" w:default="1" w:styleId="9">
    <w:name w:val="Default Paragraph Font"/>
    <w:semiHidden/>
    <w:qFormat/>
    <w:uiPriority w:val="0"/>
  </w:style>
  <w:style w:type="table" w:default="1" w:styleId="11">
    <w:name w:val="Normal Table"/>
    <w:semiHidden/>
    <w:qFormat/>
    <w:uiPriority w:val="0"/>
    <w:tblPr>
      <w:tblLayout w:type="fixed"/>
      <w:tblCellMar>
        <w:top w:w="0" w:type="dxa"/>
        <w:left w:w="108" w:type="dxa"/>
        <w:bottom w:w="0" w:type="dxa"/>
        <w:right w:w="108" w:type="dxa"/>
      </w:tblCellMar>
    </w:tblPr>
  </w:style>
  <w:style w:type="paragraph" w:styleId="3">
    <w:name w:val="List Paragraph"/>
    <w:basedOn w:val="1"/>
    <w:qFormat/>
    <w:uiPriority w:val="34"/>
    <w:pPr>
      <w:ind w:left="720"/>
      <w:contextualSpacing/>
    </w:pPr>
  </w:style>
  <w:style w:type="paragraph" w:styleId="6">
    <w:name w:val="Normal Indent"/>
    <w:basedOn w:val="1"/>
    <w:qFormat/>
    <w:uiPriority w:val="0"/>
    <w:pPr>
      <w:spacing w:after="0" w:line="360" w:lineRule="auto"/>
      <w:ind w:left="851"/>
      <w:jc w:val="both"/>
    </w:pPr>
    <w:rPr>
      <w:rFonts w:ascii="Verdana" w:hAnsi="Verdana" w:eastAsia="Times New Roman" w:cs="Times New Roman"/>
      <w:sz w:val="18"/>
      <w:szCs w:val="24"/>
    </w:rPr>
  </w:style>
  <w:style w:type="paragraph" w:styleId="7">
    <w:name w:val="footer"/>
    <w:basedOn w:val="1"/>
    <w:unhideWhenUsed/>
    <w:qFormat/>
    <w:uiPriority w:val="99"/>
    <w:pPr>
      <w:tabs>
        <w:tab w:val="center" w:pos="4513"/>
        <w:tab w:val="right" w:pos="9026"/>
      </w:tabs>
      <w:spacing w:after="0" w:line="240" w:lineRule="auto"/>
    </w:pPr>
  </w:style>
  <w:style w:type="paragraph" w:styleId="8">
    <w:name w:val="header"/>
    <w:basedOn w:val="1"/>
    <w:unhideWhenUsed/>
    <w:qFormat/>
    <w:uiPriority w:val="0"/>
    <w:pPr>
      <w:tabs>
        <w:tab w:val="center" w:pos="4513"/>
        <w:tab w:val="right" w:pos="9026"/>
      </w:tabs>
      <w:spacing w:after="0" w:line="240" w:lineRule="auto"/>
    </w:pPr>
  </w:style>
  <w:style w:type="character" w:styleId="10">
    <w:name w:val="Hyperlink"/>
    <w:basedOn w:val="9"/>
    <w:qFormat/>
    <w:uiPriority w:val="0"/>
    <w:rPr>
      <w:color w:val="0000FF"/>
      <w:u w:val="single"/>
    </w:rPr>
  </w:style>
  <w:style w:type="paragraph" w:customStyle="1" w:styleId="12">
    <w:name w:val="Body Text2"/>
    <w:basedOn w:val="1"/>
    <w:qFormat/>
    <w:uiPriority w:val="0"/>
    <w:pPr>
      <w:tabs>
        <w:tab w:val="left" w:pos="720"/>
        <w:tab w:val="left" w:pos="1440"/>
      </w:tabs>
    </w:pPr>
    <w:rPr>
      <w:rFonts w:ascii="CG Times (WN)" w:hAnsi="CG Times (WN)"/>
      <w:sz w:val="24"/>
      <w:lang w:eastAsia="en-US"/>
    </w:rPr>
  </w:style>
  <w:style w:type="character" w:customStyle="1" w:styleId="13">
    <w:name w:val="标题 3 Char"/>
    <w:link w:val="5"/>
    <w:uiPriority w:val="0"/>
    <w:rPr>
      <w:b/>
      <w:sz w:val="32"/>
    </w:rPr>
  </w:style>
  <w:style w:type="paragraph" w:customStyle="1" w:styleId="14">
    <w:name w:val="WPSOffice手动目录 1"/>
    <w:qFormat/>
    <w:uiPriority w:val="0"/>
    <w:pPr>
      <w:ind w:leftChars="0"/>
    </w:pPr>
    <w:rPr>
      <w:rFonts w:ascii="Times New Roman" w:hAnsi="Times New Roman" w:eastAsia="宋体" w:cs="Times New Roman"/>
      <w:sz w:val="20"/>
      <w:szCs w:val="20"/>
    </w:rPr>
  </w:style>
  <w:style w:type="paragraph" w:customStyle="1" w:styleId="15">
    <w:name w:val="WPSOffice手动目录 2"/>
    <w:qFormat/>
    <w:uiPriority w:val="0"/>
    <w:pPr>
      <w:ind w:leftChars="200"/>
    </w:pPr>
    <w:rPr>
      <w:rFonts w:ascii="Times New Roman" w:hAnsi="Times New Roman" w:eastAsia="宋体" w:cs="Times New Roman"/>
      <w:sz w:val="20"/>
      <w:szCs w:val="20"/>
    </w:rPr>
  </w:style>
  <w:style w:type="paragraph" w:customStyle="1" w:styleId="16">
    <w:name w:val="WPSOffice手动目录 3"/>
    <w:qFormat/>
    <w:uiPriority w:val="0"/>
    <w:pPr>
      <w:ind w:leftChars="400"/>
    </w:pPr>
    <w:rPr>
      <w:rFonts w:ascii="Times New Roman" w:hAnsi="Times New Roman" w:eastAsia="宋体" w:cs="Times New Roman"/>
      <w:sz w:val="20"/>
      <w:szCs w:val="20"/>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glossaryDocument" Target="glossary/document.xml"/><Relationship Id="rId10" Type="http://schemas.openxmlformats.org/officeDocument/2006/relationships/fontTable" Target="fontTable.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lue\AppData\Roaming\Kingsoft\wps\addons\pool\win-i386\knewfileruby_1.0.0.11\template\wps\0.docx" TargetMode="Externa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c28f5c2e-e75d-46f0-9b67-ef5afe535c0a}"/>
        <w:style w:val=""/>
        <w:category>
          <w:name w:val="常规"/>
          <w:gallery w:val="placeholder"/>
        </w:category>
        <w:types>
          <w:type w:val="bbPlcHdr"/>
        </w:types>
        <w:behaviors>
          <w:behavior w:val="content"/>
        </w:behaviors>
        <w:description w:val=""/>
        <w:guid w:val="{c28f5c2e-e75d-46f0-9b67-ef5afe535c0a}"/>
      </w:docPartPr>
      <w:docPartBody>
        <w:p>
          <w:r>
            <w:rPr>
              <w:color w:val="808080"/>
            </w:rPr>
            <w:t>单击此处输入文字。</w:t>
          </w:r>
        </w:p>
      </w:docPartBody>
    </w:docPart>
    <w:docPart>
      <w:docPartPr>
        <w:name w:val="{afced3c0-5407-471b-8d9a-ba95c0655722}"/>
        <w:style w:val=""/>
        <w:category>
          <w:name w:val="常规"/>
          <w:gallery w:val="placeholder"/>
        </w:category>
        <w:types>
          <w:type w:val="bbPlcHdr"/>
        </w:types>
        <w:behaviors>
          <w:behavior w:val="content"/>
        </w:behaviors>
        <w:description w:val=""/>
        <w:guid w:val="{afced3c0-5407-471b-8d9a-ba95c0655722}"/>
      </w:docPartPr>
      <w:docPartBody>
        <w:p>
          <w:r>
            <w:rPr>
              <w:color w:val="808080"/>
            </w:rPr>
            <w:t>单击此处输入文字。</w:t>
          </w:r>
        </w:p>
      </w:docPartBody>
    </w:docPart>
    <w:docPart>
      <w:docPartPr>
        <w:name w:val="{51dca589-2389-4e11-b829-0aabdd96b9a8}"/>
        <w:style w:val=""/>
        <w:category>
          <w:name w:val="常规"/>
          <w:gallery w:val="placeholder"/>
        </w:category>
        <w:types>
          <w:type w:val="bbPlcHdr"/>
        </w:types>
        <w:behaviors>
          <w:behavior w:val="content"/>
        </w:behaviors>
        <w:description w:val=""/>
        <w:guid w:val="{51dca589-2389-4e11-b829-0aabdd96b9a8}"/>
      </w:docPartPr>
      <w:docPartBody>
        <w:p>
          <w:r>
            <w:rPr>
              <w:color w:val="808080"/>
            </w:rPr>
            <w:t>单击此处输入文字。</w:t>
          </w:r>
        </w:p>
      </w:docPartBody>
    </w:docPart>
    <w:docPart>
      <w:docPartPr>
        <w:name w:val="{2b22704c-a36a-43e8-8d05-11dcf0713d62}"/>
        <w:style w:val=""/>
        <w:category>
          <w:name w:val="常规"/>
          <w:gallery w:val="placeholder"/>
        </w:category>
        <w:types>
          <w:type w:val="bbPlcHdr"/>
        </w:types>
        <w:behaviors>
          <w:behavior w:val="content"/>
        </w:behaviors>
        <w:description w:val=""/>
        <w:guid w:val="{2b22704c-a36a-43e8-8d05-11dcf0713d62}"/>
      </w:docPartPr>
      <w:docPartBody>
        <w:p>
          <w:r>
            <w:rPr>
              <w:color w:val="808080"/>
            </w:rPr>
            <w:t>单击此处输入文字。</w:t>
          </w:r>
        </w:p>
      </w:docPartBody>
    </w:docPart>
    <w:docPart>
      <w:docPartPr>
        <w:name w:val="{5728551e-3672-4681-ad6b-cf24417aa359}"/>
        <w:style w:val=""/>
        <w:category>
          <w:name w:val="常规"/>
          <w:gallery w:val="placeholder"/>
        </w:category>
        <w:types>
          <w:type w:val="bbPlcHdr"/>
        </w:types>
        <w:behaviors>
          <w:behavior w:val="content"/>
        </w:behaviors>
        <w:description w:val=""/>
        <w:guid w:val="{5728551e-3672-4681-ad6b-cf24417aa359}"/>
      </w:docPartPr>
      <w:docPartBody>
        <w:p>
          <w:r>
            <w:rPr>
              <w:color w:val="808080"/>
            </w:rPr>
            <w:t>单击此处输入文字。</w:t>
          </w:r>
        </w:p>
      </w:docPartBody>
    </w:docPart>
    <w:docPart>
      <w:docPartPr>
        <w:name w:val="{bd54b7ae-7778-490e-b72c-f76de28042db}"/>
        <w:style w:val=""/>
        <w:category>
          <w:name w:val="常规"/>
          <w:gallery w:val="placeholder"/>
        </w:category>
        <w:types>
          <w:type w:val="bbPlcHdr"/>
        </w:types>
        <w:behaviors>
          <w:behavior w:val="content"/>
        </w:behaviors>
        <w:description w:val=""/>
        <w:guid w:val="{bd54b7ae-7778-490e-b72c-f76de28042db}"/>
      </w:docPartPr>
      <w:docPartBody>
        <w:p>
          <w:r>
            <w:rPr>
              <w:color w:val="808080"/>
            </w:rPr>
            <w:t>单击此处输入文字。</w:t>
          </w:r>
        </w:p>
      </w:docPartBody>
    </w:docPart>
    <w:docPart>
      <w:docPartPr>
        <w:name w:val="{c15da311-ec38-4192-b8bb-f5f6da90e1fe}"/>
        <w:style w:val=""/>
        <w:category>
          <w:name w:val="常规"/>
          <w:gallery w:val="placeholder"/>
        </w:category>
        <w:types>
          <w:type w:val="bbPlcHdr"/>
        </w:types>
        <w:behaviors>
          <w:behavior w:val="content"/>
        </w:behaviors>
        <w:description w:val=""/>
        <w:guid w:val="{c15da311-ec38-4192-b8bb-f5f6da90e1fe}"/>
      </w:docPartPr>
      <w:docPartBody>
        <w:p>
          <w:r>
            <w:rPr>
              <w:color w:val="808080"/>
            </w:rPr>
            <w:t>单击此处输入文字。</w:t>
          </w:r>
        </w:p>
      </w:docPartBody>
    </w:docPart>
    <w:docPart>
      <w:docPartPr>
        <w:name w:val="{492ece1b-dec0-4c78-b856-3374335ef9d9}"/>
        <w:style w:val=""/>
        <w:category>
          <w:name w:val="常规"/>
          <w:gallery w:val="placeholder"/>
        </w:category>
        <w:types>
          <w:type w:val="bbPlcHdr"/>
        </w:types>
        <w:behaviors>
          <w:behavior w:val="content"/>
        </w:behaviors>
        <w:description w:val=""/>
        <w:guid w:val="{492ece1b-dec0-4c78-b856-3374335ef9d9}"/>
      </w:docPartPr>
      <w:docPartBody>
        <w:p>
          <w:r>
            <w:rPr>
              <w:color w:val="808080"/>
            </w:rPr>
            <w:t>单击此处输入文字。</w:t>
          </w:r>
        </w:p>
      </w:docPartBody>
    </w:docPart>
    <w:docPart>
      <w:docPartPr>
        <w:name w:val="{4ba7e6a6-a621-43b6-bd34-753c754df349}"/>
        <w:style w:val=""/>
        <w:category>
          <w:name w:val="常规"/>
          <w:gallery w:val="placeholder"/>
        </w:category>
        <w:types>
          <w:type w:val="bbPlcHdr"/>
        </w:types>
        <w:behaviors>
          <w:behavior w:val="content"/>
        </w:behaviors>
        <w:description w:val=""/>
        <w:guid w:val="{4ba7e6a6-a621-43b6-bd34-753c754df349}"/>
      </w:docPartPr>
      <w:docPartBody>
        <w:p>
          <w:r>
            <w:rPr>
              <w:color w:val="808080"/>
            </w:rPr>
            <w:t>单击此处输入文字。</w:t>
          </w:r>
        </w:p>
      </w:docPartBody>
    </w:docPart>
    <w:docPart>
      <w:docPartPr>
        <w:name w:val="{47165fed-7ce0-4ac0-b9e8-c15f87fbf363}"/>
        <w:style w:val=""/>
        <w:category>
          <w:name w:val="常规"/>
          <w:gallery w:val="placeholder"/>
        </w:category>
        <w:types>
          <w:type w:val="bbPlcHdr"/>
        </w:types>
        <w:behaviors>
          <w:behavior w:val="content"/>
        </w:behaviors>
        <w:description w:val=""/>
        <w:guid w:val="{47165fed-7ce0-4ac0-b9e8-c15f87fbf363}"/>
      </w:docPartPr>
      <w:docPartBody>
        <w:p>
          <w:r>
            <w:rPr>
              <w:color w:val="808080"/>
            </w:rPr>
            <w:t>单击此处输入文字。</w:t>
          </w:r>
        </w:p>
      </w:docPartBody>
    </w:docPart>
    <w:docPart>
      <w:docPartPr>
        <w:name w:val="{b86d33aa-1564-4b3f-803c-8526c1ddf893}"/>
        <w:style w:val=""/>
        <w:category>
          <w:name w:val="常规"/>
          <w:gallery w:val="placeholder"/>
        </w:category>
        <w:types>
          <w:type w:val="bbPlcHdr"/>
        </w:types>
        <w:behaviors>
          <w:behavior w:val="content"/>
        </w:behaviors>
        <w:description w:val=""/>
        <w:guid w:val="{b86d33aa-1564-4b3f-803c-8526c1ddf893}"/>
      </w:docPartPr>
      <w:docPartBody>
        <w:p>
          <w:r>
            <w:rPr>
              <w:color w:val="808080"/>
            </w:rPr>
            <w:t>单击此处输入文字。</w:t>
          </w:r>
        </w:p>
      </w:docPartBody>
    </w:docPart>
    <w:docPart>
      <w:docPartPr>
        <w:name w:val="{0b5f47f9-a2d1-41c0-8908-e665f786949d}"/>
        <w:style w:val=""/>
        <w:category>
          <w:name w:val="常规"/>
          <w:gallery w:val="placeholder"/>
        </w:category>
        <w:types>
          <w:type w:val="bbPlcHdr"/>
        </w:types>
        <w:behaviors>
          <w:behavior w:val="content"/>
        </w:behaviors>
        <w:description w:val=""/>
        <w:guid w:val="{0b5f47f9-a2d1-41c0-8908-e665f786949d}"/>
      </w:docPartPr>
      <w:docPartBody>
        <w:p>
          <w:r>
            <w:rPr>
              <w:color w:val="808080"/>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compat>
    <w:useFELayout/>
    <w:splitPgBreakAndParaMark/>
    <w:compatSetting w:name="compatibilityMode" w:uri="http://schemas.microsoft.com/office/word" w:val="14"/>
  </w:compat>
  <w:rsids>
    <w:rsidRoot w:val="0000000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0.docx</Template>
  <Pages>1</Pages>
  <Words>0</Words>
  <Characters>0</Characters>
  <Lines>0</Lines>
  <Paragraphs>0</Paragraphs>
  <TotalTime>145</TotalTime>
  <ScaleCrop>false</ScaleCrop>
  <LinksUpToDate>false</LinksUpToDate>
  <CharactersWithSpaces>0</CharactersWithSpaces>
  <Application>WPS Office_10.1.0.7668_F1E327BC-269C-435d-A152-05C5408002CA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2018-11-18T08:46:00Z</dcterms:created>
  <dc:creator>buenos mundo</dc:creator>
  <cp:lastModifiedBy>richard Shi</cp:lastModifiedBy>
  <dcterms:modified xsi:type="dcterms:W3CDTF">2018-11-26T13:35:56Z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2052-10.1.0.7668</vt:lpwstr>
  </property>
</Properties>
</file>