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A68B2C" w14:textId="143B8F96" w:rsidR="00EF3219" w:rsidRDefault="00EF3219" w:rsidP="002D5B73">
      <w:pPr>
        <w:spacing w:line="360" w:lineRule="auto"/>
      </w:pPr>
    </w:p>
    <w:p w14:paraId="6B35CD88" w14:textId="77777777" w:rsidR="002D5B73" w:rsidRDefault="002D5B73" w:rsidP="002D5B73">
      <w:pPr>
        <w:spacing w:line="360" w:lineRule="auto"/>
      </w:pPr>
    </w:p>
    <w:p w14:paraId="0A1ABD3E" w14:textId="13AC39B6" w:rsidR="002D5B73" w:rsidRDefault="00EC6149" w:rsidP="002D5B73">
      <w:pPr>
        <w:spacing w:line="360" w:lineRule="auto"/>
        <w:jc w:val="center"/>
      </w:pPr>
      <w:r>
        <w:rPr>
          <w:noProof/>
        </w:rPr>
      </w:r>
      <w:r w:rsidR="00EC6149">
        <w:rPr>
          <w:noProof/>
        </w:rPr>
        <w:object w:dxaOrig="9600" w:dyaOrig="5401" w14:anchorId="5B0C2D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2.2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0588356" r:id="rId5"/>
        </w:object>
      </w:r>
    </w:p>
    <w:p w14:paraId="512EA91F" w14:textId="061AF856" w:rsidR="002D5B73" w:rsidRDefault="002D5B73" w:rsidP="002D5B73">
      <w:pPr>
        <w:spacing w:line="360" w:lineRule="auto"/>
        <w:jc w:val="center"/>
      </w:pPr>
    </w:p>
    <w:p w14:paraId="53B5A833" w14:textId="7B0285C3" w:rsidR="002D5B73" w:rsidRDefault="002D5B73" w:rsidP="002D5B73">
      <w:pPr>
        <w:spacing w:line="360" w:lineRule="auto"/>
      </w:pPr>
    </w:p>
    <w:p w14:paraId="4350898E" w14:textId="4FFC1BB1" w:rsidR="002D5B73" w:rsidRDefault="002D5B73" w:rsidP="002D5B73"/>
    <w:p w14:paraId="043D08B6" w14:textId="3483F3F4" w:rsidR="002D5B73" w:rsidRDefault="002D5B73" w:rsidP="002D5B73">
      <w:pPr>
        <w:spacing w:line="360" w:lineRule="auto"/>
      </w:pPr>
    </w:p>
    <w:p w14:paraId="45329635" w14:textId="4AE37344" w:rsidR="002D5B73" w:rsidRDefault="00EC6149" w:rsidP="002D5B73">
      <w:pPr>
        <w:spacing w:line="360" w:lineRule="auto"/>
        <w:jc w:val="center"/>
      </w:pPr>
      <w:r>
        <w:rPr>
          <w:noProof/>
        </w:rPr>
      </w:r>
      <w:r w:rsidR="00EC6149">
        <w:rPr>
          <w:noProof/>
        </w:rPr>
        <w:object w:dxaOrig="9600" w:dyaOrig="5401" w14:anchorId="344248B0">
          <v:shape id="_x0000_i1026" type="#_x0000_t75" alt="" style="width:5in;height:202.2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00588357" r:id="rId7"/>
        </w:object>
      </w:r>
    </w:p>
    <w:p w14:paraId="12C9C901" w14:textId="6230E1E9" w:rsidR="002D5B73" w:rsidRDefault="002D5B73" w:rsidP="002D5B73">
      <w:pPr>
        <w:spacing w:line="360" w:lineRule="auto"/>
        <w:jc w:val="center"/>
      </w:pPr>
    </w:p>
    <w:p w14:paraId="693DDCD0"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research by Duckworth on Grit suggests that grain may be as important as intelligence when it comes to high performance. This is an important finding because intelligence was the key to success for a long time. </w:t>
      </w:r>
    </w:p>
    <w:p w14:paraId="054CF753"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Intelligence "is probably the best measured feature in human beings </w:t>
      </w:r>
    </w:p>
    <w:p w14:paraId="74B8E3DF"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Psychics," </w:t>
      </w:r>
    </w:p>
    <w:p w14:paraId="740ACF1B" w14:textId="66040145"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Duckworth says. "But intelligence leaves a lot unexplained. There </w:t>
      </w:r>
      <w:proofErr w:type="gramStart"/>
      <w:r>
        <w:rPr>
          <w:rFonts w:ascii="Calibri" w:hAnsi="Calibri" w:cs="Calibri"/>
          <w:kern w:val="24"/>
          <w:sz w:val="24"/>
          <w:szCs w:val="24"/>
        </w:rPr>
        <w:t>is</w:t>
      </w:r>
      <w:proofErr w:type="gramEnd"/>
      <w:r>
        <w:rPr>
          <w:rFonts w:ascii="Calibri" w:hAnsi="Calibri" w:cs="Calibri"/>
          <w:kern w:val="24"/>
          <w:sz w:val="24"/>
          <w:szCs w:val="24"/>
        </w:rPr>
        <w:t xml:space="preserve"> clever people that are not high achievers, and there are people who achieve a lot without the highest test scores.</w:t>
      </w:r>
    </w:p>
    <w:p w14:paraId="5DB82AA1"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Duckworth, in one study found that cleverer students were less fed up. </w:t>
      </w:r>
    </w:p>
    <w:p w14:paraId="7D484B03"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Intelligence test scored less than their peers. This finding shows that all students at the School of the Ivy League who are not so luminous as their students "compensate by working harder and with more determination." among study participants and their efforts are worthwhile: the most gritty students - not the most smart students - had the highest GPAs.</w:t>
      </w:r>
    </w:p>
    <w:p w14:paraId="59729AD7" w14:textId="77777777" w:rsidR="002D5B73" w:rsidRDefault="002D5B73" w:rsidP="002D5B73">
      <w:pPr>
        <w:autoSpaceDE w:val="0"/>
        <w:autoSpaceDN w:val="0"/>
        <w:adjustRightInd w:val="0"/>
        <w:spacing w:after="0" w:line="240" w:lineRule="auto"/>
        <w:rPr>
          <w:rFonts w:ascii="Arial" w:hAnsi="Arial" w:cs="Arial"/>
          <w:sz w:val="24"/>
          <w:szCs w:val="24"/>
        </w:rPr>
      </w:pPr>
    </w:p>
    <w:p w14:paraId="08578A7B" w14:textId="1CAB018D" w:rsidR="002D5B73" w:rsidRDefault="002D5B73" w:rsidP="002D5B73">
      <w:pPr>
        <w:spacing w:line="360" w:lineRule="auto"/>
      </w:pPr>
    </w:p>
    <w:p w14:paraId="2F8558D7" w14:textId="68F49F99" w:rsidR="002D5B73" w:rsidRDefault="002D5B73" w:rsidP="002D5B73"/>
    <w:p w14:paraId="6DDD05EF" w14:textId="533990B8" w:rsidR="002D5B73" w:rsidRDefault="002D5B73" w:rsidP="002D5B73">
      <w:pPr>
        <w:spacing w:line="360" w:lineRule="auto"/>
      </w:pPr>
    </w:p>
    <w:p w14:paraId="6271B616" w14:textId="533846C4" w:rsidR="002D5B73" w:rsidRDefault="00EC6149" w:rsidP="002D5B73">
      <w:pPr>
        <w:spacing w:line="360" w:lineRule="auto"/>
        <w:jc w:val="center"/>
      </w:pPr>
      <w:r>
        <w:rPr>
          <w:noProof/>
        </w:rPr>
      </w:r>
      <w:r w:rsidR="00EC6149">
        <w:rPr>
          <w:noProof/>
        </w:rPr>
        <w:object w:dxaOrig="9600" w:dyaOrig="5401" w14:anchorId="09E6144B">
          <v:shape id="_x0000_i1027" type="#_x0000_t75" alt="" style="width:5in;height:202.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00588358" r:id="rId9"/>
        </w:object>
      </w:r>
    </w:p>
    <w:p w14:paraId="30FFA013" w14:textId="59ACCEB2" w:rsidR="002D5B73" w:rsidRDefault="002D5B73" w:rsidP="002D5B73">
      <w:pPr>
        <w:spacing w:line="360" w:lineRule="auto"/>
        <w:jc w:val="center"/>
      </w:pPr>
    </w:p>
    <w:p w14:paraId="7BED92FF" w14:textId="5E3A8D3A"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objective of this lab study was to analyse, by means of the shear bond test, the effect of different stiffening pressures on resin adhesion to silica-coated, silanized TI. </w:t>
      </w:r>
    </w:p>
    <w:p w14:paraId="642D3EAA" w14:textId="018AC232"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 total of 24 commercially clean Grade 2 TI coupons have been developed and assigned randomly, with Rocatec TM Soft (Gruppe 1) for 10 s, to 4 groups based on surface treatment: 150 kPa grit-blasting pressures. Groups 2, 3 and 4 were treated with the following grit-blasting pressures, each at a control rate of 280 kPa, 330 kPa and 380 kPa, respectively, and silanisation was followed. A total of 10 resin stubs were attached with the photopolymerization to each surface treated. The strength of the shear binding measured in a desiccator after 24 hours of dry storage, 2 months H2O and 4 months in H2O. Descriptive statistical statistics and double-way ANOVA (p&lt;0.05) have been used for the analysis of the data. Researchers have found that excellent performance not only involves innate talent, but also focused time-long practise and effort. We tested 253 students in order to study the effects of grit and deliberate practise in academic performance and career attitudes in a Korean context, because college students must simultaneously strive for academic achievement. The results showed that the grades in grit were related to superior grades and that deliberate practise mediated this relationship. When the academic year and the Big five personality characteristics were monitored, Grit played a leading role in career preparation and main career relationships. With this study, we contribute to the expert literature by clarifying how academic achievement and career-related attitudes are influenced by gravity.</w:t>
      </w:r>
    </w:p>
    <w:p w14:paraId="36C9EDAE" w14:textId="77777777" w:rsidR="002D5B73" w:rsidRDefault="002D5B73" w:rsidP="002D5B73">
      <w:pPr>
        <w:autoSpaceDE w:val="0"/>
        <w:autoSpaceDN w:val="0"/>
        <w:adjustRightInd w:val="0"/>
        <w:spacing w:after="0" w:line="240" w:lineRule="auto"/>
        <w:rPr>
          <w:rFonts w:ascii="Arial" w:hAnsi="Arial" w:cs="Arial"/>
          <w:sz w:val="24"/>
          <w:szCs w:val="24"/>
        </w:rPr>
      </w:pPr>
    </w:p>
    <w:p w14:paraId="55825BAE" w14:textId="7BAFF197" w:rsidR="002D5B73" w:rsidRDefault="002D5B73" w:rsidP="002D5B73">
      <w:pPr>
        <w:spacing w:line="360" w:lineRule="auto"/>
      </w:pPr>
    </w:p>
    <w:p w14:paraId="0B2F1CB9" w14:textId="7FCEFE3F" w:rsidR="002D5B73" w:rsidRDefault="002D5B73" w:rsidP="002D5B73"/>
    <w:p w14:paraId="6A623BF2" w14:textId="127E7099" w:rsidR="002D5B73" w:rsidRDefault="00EC6149" w:rsidP="002D5B73">
      <w:pPr>
        <w:spacing w:line="360" w:lineRule="auto"/>
        <w:jc w:val="center"/>
      </w:pPr>
      <w:r>
        <w:rPr>
          <w:noProof/>
        </w:rPr>
      </w:r>
      <w:r w:rsidR="00EC6149">
        <w:rPr>
          <w:noProof/>
        </w:rPr>
        <w:object w:dxaOrig="9600" w:dyaOrig="5401" w14:anchorId="6AC156C1">
          <v:shape id="_x0000_i1028" type="#_x0000_t75" alt="" style="width:5in;height:202.2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00588359" r:id="rId11"/>
        </w:object>
      </w:r>
    </w:p>
    <w:p w14:paraId="17B24A78" w14:textId="2DDF8981" w:rsidR="002D5B73" w:rsidRDefault="002D5B73" w:rsidP="002D5B73">
      <w:pPr>
        <w:spacing w:line="360" w:lineRule="auto"/>
        <w:jc w:val="center"/>
      </w:pPr>
    </w:p>
    <w:p w14:paraId="4B744CCC" w14:textId="0781F983"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the entire health care profession, there has been great interest in grit and resilience, but little has been published in pharmaceutical terms. Although the defining and measuring of grain and resilience are methodologically problematic, several studies have showed that the buildings are related to personal and academic welfare. Mixed results have been produced by educational interventions to boost grain and resilience. The most common approach to helping students to become more resilient seems to be the development of protective factors. </w:t>
      </w:r>
    </w:p>
    <w:p w14:paraId="47B3197B" w14:textId="75BDAB71"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literature on grit and resilience shows that the terms are nuanced, complex and hard to understand. Nevertheless, educators are interesting about the general characteristics linked to graft and resilience and require further study. </w:t>
      </w:r>
    </w:p>
    <w:p w14:paraId="717D82A0" w14:textId="05DD3A48" w:rsidR="002D5B73" w:rsidRP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Grit was presented as a personality trait of greater order that is highly predictive of achievement and achievement and distinguishes itself from others such as awareness. This offers a meta-analytical analysis of the literature with a particular emphasis on grain structure and the relation between grain and performance, retention, awareness, cognitive ability and demographic variables. </w:t>
      </w:r>
    </w:p>
    <w:p w14:paraId="34520D0F" w14:textId="3D083B55" w:rsidR="002D5B73" w:rsidRDefault="00EC6149" w:rsidP="002D5B73">
      <w:pPr>
        <w:spacing w:line="360" w:lineRule="auto"/>
        <w:jc w:val="center"/>
      </w:pPr>
      <w:r>
        <w:rPr>
          <w:noProof/>
        </w:rPr>
      </w:r>
      <w:r w:rsidR="00EC6149">
        <w:rPr>
          <w:noProof/>
        </w:rPr>
        <w:object w:dxaOrig="9600" w:dyaOrig="5401" w14:anchorId="2C4B057C">
          <v:shape id="_x0000_i1029" type="#_x0000_t75" alt="" style="width:5in;height:202.2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00588360" r:id="rId13"/>
        </w:object>
      </w:r>
    </w:p>
    <w:p w14:paraId="7FD8F468" w14:textId="41253364" w:rsidR="002D5B73" w:rsidRDefault="002D5B73" w:rsidP="002D5B73">
      <w:pPr>
        <w:spacing w:line="360" w:lineRule="auto"/>
        <w:jc w:val="center"/>
      </w:pPr>
    </w:p>
    <w:p w14:paraId="6D626E7D" w14:textId="24BFE004"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concept of "motivation" comes from the English and Latin languages of "motivation" and is used for "moving" purposes (Stipek, 1996). 'Motivation' is a driving force for action, thought and behaviour' (Hidi &amp; Harackiewicz, 2000). When the subject is handled about academic achievement, there has been considerable importance in the materialisation of that state in the existence of motivational concerns. For example, while some students perform their duties despite extreme difficulty, others fail in using small problems as excuses to fulfil their responsibilities (Broussard &amp; Garrison, 2004). The concept of motivation" can be more easily understood by looking at the concept based on typical behaviours, such as examinations. In the explanation of motivation, psychologists who study motivation see certain human behaviour concerns as factors that lead them to behaviour in ways that they consider them (Ames, 1992, Stipek, 1996) will benefit. </w:t>
      </w:r>
    </w:p>
    <w:p w14:paraId="7FE948E3" w14:textId="4633C735"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Research was carried out with 334 under-graduate university students attending the Faculty of Education in Agrı İbrahim Cecen University, and Dumlupınar University in Turkey. The study group was made up through convenient sampling. Ages of the students were between 19 and 25 and average of age was calculated as 21.2. Besides, 41 (12.27%) students are sophomores, 148 (44.31%) students are juniors, and 145 (43.41%) students are seniors. On the other hand, 183 (54.79%) participants are women 151 (45.21%) participants are men.</w:t>
      </w:r>
    </w:p>
    <w:p w14:paraId="28F268DD" w14:textId="76ADB8A1" w:rsidR="002D5B73" w:rsidRDefault="002D5B73" w:rsidP="002D5B73">
      <w:pPr>
        <w:autoSpaceDE w:val="0"/>
        <w:autoSpaceDN w:val="0"/>
        <w:adjustRightInd w:val="0"/>
        <w:spacing w:after="0" w:line="240" w:lineRule="auto"/>
        <w:rPr>
          <w:rFonts w:ascii="Calibri" w:hAnsi="Calibri" w:cs="Calibri"/>
          <w:kern w:val="24"/>
          <w:sz w:val="24"/>
          <w:szCs w:val="24"/>
        </w:rPr>
      </w:pPr>
    </w:p>
    <w:p w14:paraId="0190EA3C" w14:textId="77777777" w:rsidR="002D5B73" w:rsidRDefault="002D5B73" w:rsidP="002D5B73">
      <w:pPr>
        <w:autoSpaceDE w:val="0"/>
        <w:autoSpaceDN w:val="0"/>
        <w:adjustRightInd w:val="0"/>
        <w:spacing w:after="0" w:line="240" w:lineRule="auto"/>
        <w:rPr>
          <w:rFonts w:ascii="Calibri" w:hAnsi="Calibri" w:cs="Calibri"/>
          <w:kern w:val="24"/>
          <w:sz w:val="24"/>
          <w:szCs w:val="24"/>
        </w:rPr>
      </w:pPr>
    </w:p>
    <w:p w14:paraId="339E2939" w14:textId="77777777" w:rsidR="002D5B73" w:rsidRDefault="002D5B73" w:rsidP="002D5B73">
      <w:pPr>
        <w:autoSpaceDE w:val="0"/>
        <w:autoSpaceDN w:val="0"/>
        <w:adjustRightInd w:val="0"/>
        <w:spacing w:after="0" w:line="240" w:lineRule="auto"/>
        <w:rPr>
          <w:rFonts w:ascii="Calibri" w:hAnsi="Calibri" w:cs="Calibri"/>
          <w:kern w:val="24"/>
          <w:sz w:val="24"/>
          <w:szCs w:val="24"/>
        </w:rPr>
      </w:pPr>
    </w:p>
    <w:p w14:paraId="07A75D90" w14:textId="57E838AF" w:rsidR="002D5B73" w:rsidRDefault="002D5B73" w:rsidP="002D5B73"/>
    <w:p w14:paraId="03287C53" w14:textId="3A0BC650" w:rsidR="002D5B73" w:rsidRDefault="00EC6149" w:rsidP="002D5B73">
      <w:pPr>
        <w:spacing w:line="360" w:lineRule="auto"/>
        <w:jc w:val="center"/>
      </w:pPr>
      <w:r>
        <w:rPr>
          <w:noProof/>
        </w:rPr>
      </w:r>
      <w:r w:rsidR="00EC6149">
        <w:rPr>
          <w:noProof/>
        </w:rPr>
        <w:object w:dxaOrig="9600" w:dyaOrig="5401" w14:anchorId="1897369E">
          <v:shape id="_x0000_i1030" type="#_x0000_t75" alt="" style="width:5in;height:202.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00588361" r:id="rId15"/>
        </w:object>
      </w:r>
    </w:p>
    <w:p w14:paraId="70C3C81F" w14:textId="21E13E08" w:rsidR="002D5B73" w:rsidRDefault="002D5B73" w:rsidP="002D5B73">
      <w:pPr>
        <w:spacing w:line="360" w:lineRule="auto"/>
        <w:jc w:val="center"/>
      </w:pPr>
    </w:p>
    <w:p w14:paraId="3C99D433" w14:textId="77777777" w:rsid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a sample of 609 academic talented students aged between 10 and 18 years, the contribution of grit, hope and academic self-efficacy to academic achievement was examined. They assumed that these variables would predict academic performance above and beyond demographic and perceived capabilities contributions. Regression analysis showed that hope and academic self-efficacy are predictors to perceived skills after the assessment of reliability and structural validity for the three constructs in this sample and that academic auto efficacy is the strongest predictor of academic performance. Grit was not an important predictor of perceived skill or academic performance. We have concluded that psycho-social variables can help talented students perform, but there is a need to look at which psychosocial variables are most useful.</w:t>
      </w:r>
    </w:p>
    <w:p w14:paraId="472A1007" w14:textId="053A396B" w:rsidR="002D5B73" w:rsidRPr="002D5B73" w:rsidRDefault="002D5B73" w:rsidP="002D5B7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appears that many researchers are convinced that psychosocial variables are important for performance and distinguish more from less excellent performers. This study is a first step on the links between academic achievement and a variety of psychosocial buildings. Academic efficacy, hope and gratitude were the three psycho-sycho-social variables examined in this study. There are many psychosocial variables available in the literature, so why have these three structures been chosen? Every variable includes, as detailed below, a unique constellation of psychosocial variables involved in education.</w:t>
      </w:r>
    </w:p>
    <w:p w14:paraId="5EA6ADD0" w14:textId="1F48EBA5" w:rsidR="002D5B73" w:rsidRDefault="00EC6149" w:rsidP="002D5B73">
      <w:pPr>
        <w:spacing w:line="360" w:lineRule="auto"/>
        <w:jc w:val="center"/>
      </w:pPr>
      <w:r>
        <w:rPr>
          <w:noProof/>
        </w:rPr>
      </w:r>
      <w:r w:rsidR="00EC6149">
        <w:rPr>
          <w:noProof/>
        </w:rPr>
        <w:object w:dxaOrig="9600" w:dyaOrig="5401" w14:anchorId="235A94C0">
          <v:shape id="_x0000_i1031" type="#_x0000_t75" alt="" style="width:5in;height:202.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00588362" r:id="rId17"/>
        </w:object>
      </w:r>
    </w:p>
    <w:p w14:paraId="4B84D7BB" w14:textId="42550304" w:rsidR="002D5B73" w:rsidRDefault="002D5B73" w:rsidP="002D5B73">
      <w:pPr>
        <w:spacing w:line="360" w:lineRule="auto"/>
        <w:jc w:val="center"/>
      </w:pPr>
    </w:p>
    <w:p w14:paraId="52618160" w14:textId="01AD2050" w:rsidR="002D5B73" w:rsidRDefault="002D5B73" w:rsidP="002D5B73">
      <w:pPr>
        <w:spacing w:line="360" w:lineRule="auto"/>
      </w:pPr>
    </w:p>
    <w:p w14:paraId="69BD47C5" w14:textId="68CF907A" w:rsidR="002D5B73" w:rsidRPr="002D5B73" w:rsidRDefault="002D5B73" w:rsidP="002D5B73">
      <w:pPr>
        <w:spacing w:line="360" w:lineRule="auto"/>
        <w:rPr>
          <w:color w:val="FFFFFF" w:themeColor="background1"/>
        </w:rPr>
      </w:pPr>
    </w:p>
    <w:sectPr w:rsidR="002D5B73" w:rsidRPr="002D5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73"/>
    <w:rsid w:val="00093CD3"/>
    <w:rsid w:val="002D5B73"/>
    <w:rsid w:val="009A3807"/>
    <w:rsid w:val="00EC6149"/>
    <w:rsid w:val="00EF3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54B78"/>
  <w15:chartTrackingRefBased/>
  <w15:docId w15:val="{17B61D89-EE04-44CB-91EE-2D0F486EC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1038</Words>
  <Characters>5920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Bungeanu</dc:creator>
  <cp:keywords/>
  <dc:description/>
  <cp:lastModifiedBy>Alexandra Ștefania Bungeanu (2009786)</cp:lastModifiedBy>
  <cp:revision>2</cp:revision>
  <dcterms:created xsi:type="dcterms:W3CDTF">2021-12-09T20:05:00Z</dcterms:created>
  <dcterms:modified xsi:type="dcterms:W3CDTF">2021-12-09T20:05:00Z</dcterms:modified>
</cp:coreProperties>
</file>