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right" w:tblpY="696"/>
        <w:tblW w:w="9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3"/>
        <w:gridCol w:w="3183"/>
        <w:gridCol w:w="2192"/>
        <w:gridCol w:w="2193"/>
      </w:tblGrid>
      <w:tr w:rsidR="00AD31BB" w:rsidRPr="00A24D2A" w14:paraId="479F5FF0" w14:textId="77777777" w:rsidTr="00475BA2">
        <w:trPr>
          <w:trHeight w:val="484"/>
        </w:trPr>
        <w:tc>
          <w:tcPr>
            <w:tcW w:w="2023" w:type="dxa"/>
            <w:shd w:val="pct15" w:color="auto" w:fill="auto"/>
          </w:tcPr>
          <w:p w14:paraId="2A9DDC05" w14:textId="09E332F9"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Student name:</w:t>
            </w:r>
          </w:p>
        </w:tc>
        <w:tc>
          <w:tcPr>
            <w:tcW w:w="3183" w:type="dxa"/>
          </w:tcPr>
          <w:p w14:paraId="050E76E6" w14:textId="5ADFF2A6"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fldChar w:fldCharType="begin">
                <w:ffData>
                  <w:name w:val="Text2"/>
                  <w:enabled/>
                  <w:calcOnExit w:val="0"/>
                  <w:textInput/>
                </w:ffData>
              </w:fldChar>
            </w:r>
            <w:r w:rsidRPr="00A24D2A">
              <w:rPr>
                <w:rFonts w:ascii="Arial" w:hAnsi="Arial" w:cs="Arial"/>
                <w:b/>
                <w:sz w:val="24"/>
                <w:szCs w:val="24"/>
              </w:rPr>
              <w:instrText xml:space="preserve"> FORMTEXT </w:instrText>
            </w:r>
            <w:r w:rsidRPr="00A24D2A">
              <w:rPr>
                <w:rFonts w:ascii="Arial" w:hAnsi="Arial" w:cs="Arial"/>
                <w:b/>
                <w:sz w:val="24"/>
                <w:szCs w:val="24"/>
              </w:rPr>
            </w:r>
            <w:r w:rsidRPr="00A24D2A">
              <w:rPr>
                <w:rFonts w:ascii="Arial" w:hAnsi="Arial" w:cs="Arial"/>
                <w:b/>
                <w:sz w:val="24"/>
                <w:szCs w:val="24"/>
              </w:rPr>
              <w:fldChar w:fldCharType="separate"/>
            </w:r>
            <w:r w:rsidRPr="00A24D2A">
              <w:rPr>
                <w:rFonts w:ascii="Arial" w:hAnsi="Arial" w:cs="Arial"/>
                <w:b/>
                <w:noProof/>
                <w:sz w:val="24"/>
                <w:szCs w:val="24"/>
              </w:rPr>
              <w:t> </w:t>
            </w:r>
            <w:r w:rsidRPr="00A24D2A">
              <w:rPr>
                <w:rFonts w:ascii="Arial" w:hAnsi="Arial" w:cs="Arial"/>
                <w:b/>
                <w:noProof/>
                <w:sz w:val="24"/>
                <w:szCs w:val="24"/>
              </w:rPr>
              <w:t> </w:t>
            </w:r>
            <w:r w:rsidRPr="00A24D2A">
              <w:rPr>
                <w:rFonts w:ascii="Arial" w:hAnsi="Arial" w:cs="Arial"/>
                <w:b/>
                <w:noProof/>
                <w:sz w:val="24"/>
                <w:szCs w:val="24"/>
              </w:rPr>
              <w:t> </w:t>
            </w:r>
            <w:r w:rsidRPr="00A24D2A">
              <w:rPr>
                <w:rFonts w:ascii="Arial" w:hAnsi="Arial" w:cs="Arial"/>
                <w:b/>
                <w:noProof/>
                <w:sz w:val="24"/>
                <w:szCs w:val="24"/>
              </w:rPr>
              <w:t> </w:t>
            </w:r>
            <w:r w:rsidRPr="00A24D2A">
              <w:rPr>
                <w:rFonts w:ascii="Arial" w:hAnsi="Arial" w:cs="Arial"/>
                <w:b/>
                <w:noProof/>
                <w:sz w:val="24"/>
                <w:szCs w:val="24"/>
              </w:rPr>
              <w:t> </w:t>
            </w:r>
            <w:r w:rsidRPr="00A24D2A">
              <w:rPr>
                <w:rFonts w:ascii="Arial" w:hAnsi="Arial" w:cs="Arial"/>
                <w:b/>
                <w:sz w:val="24"/>
                <w:szCs w:val="24"/>
              </w:rPr>
              <w:fldChar w:fldCharType="end"/>
            </w:r>
          </w:p>
        </w:tc>
        <w:tc>
          <w:tcPr>
            <w:tcW w:w="2192" w:type="dxa"/>
            <w:shd w:val="clear" w:color="auto" w:fill="D9D9D9"/>
          </w:tcPr>
          <w:p w14:paraId="16F4092F"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Student ID number:</w:t>
            </w:r>
          </w:p>
        </w:tc>
        <w:tc>
          <w:tcPr>
            <w:tcW w:w="2193" w:type="dxa"/>
          </w:tcPr>
          <w:p w14:paraId="2B110952" w14:textId="77777777" w:rsidR="00AD31BB" w:rsidRPr="00A24D2A" w:rsidRDefault="00AD31BB" w:rsidP="00475BA2">
            <w:pPr>
              <w:spacing w:before="120" w:after="120" w:line="276" w:lineRule="auto"/>
              <w:rPr>
                <w:rFonts w:ascii="Arial" w:hAnsi="Arial" w:cs="Arial"/>
                <w:b/>
                <w:sz w:val="24"/>
                <w:szCs w:val="24"/>
              </w:rPr>
            </w:pPr>
          </w:p>
        </w:tc>
      </w:tr>
      <w:tr w:rsidR="00AD31BB" w:rsidRPr="00A24D2A" w14:paraId="1026B73A" w14:textId="77777777" w:rsidTr="00475BA2">
        <w:trPr>
          <w:trHeight w:val="469"/>
        </w:trPr>
        <w:tc>
          <w:tcPr>
            <w:tcW w:w="2023" w:type="dxa"/>
            <w:shd w:val="pct15" w:color="auto" w:fill="auto"/>
          </w:tcPr>
          <w:p w14:paraId="48304929"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Programme:</w:t>
            </w:r>
          </w:p>
        </w:tc>
        <w:tc>
          <w:tcPr>
            <w:tcW w:w="7568" w:type="dxa"/>
            <w:gridSpan w:val="3"/>
          </w:tcPr>
          <w:p w14:paraId="7F7394F7"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Certificate of Higher Education in Employability Skills</w:t>
            </w:r>
          </w:p>
        </w:tc>
      </w:tr>
      <w:tr w:rsidR="00AD31BB" w:rsidRPr="00A24D2A" w14:paraId="11A4FE0E" w14:textId="77777777" w:rsidTr="00475BA2">
        <w:trPr>
          <w:trHeight w:val="484"/>
        </w:trPr>
        <w:tc>
          <w:tcPr>
            <w:tcW w:w="2023" w:type="dxa"/>
            <w:shd w:val="pct15" w:color="auto" w:fill="auto"/>
          </w:tcPr>
          <w:p w14:paraId="384FEA56"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Module:</w:t>
            </w:r>
          </w:p>
        </w:tc>
        <w:tc>
          <w:tcPr>
            <w:tcW w:w="7568" w:type="dxa"/>
            <w:gridSpan w:val="3"/>
            <w:shd w:val="clear" w:color="auto" w:fill="auto"/>
          </w:tcPr>
          <w:p w14:paraId="6CDDBCE8"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Problem Solving and Innovation</w:t>
            </w:r>
          </w:p>
        </w:tc>
      </w:tr>
      <w:tr w:rsidR="00AD31BB" w:rsidRPr="00A24D2A" w14:paraId="135E4C7C" w14:textId="77777777" w:rsidTr="00475BA2">
        <w:trPr>
          <w:trHeight w:val="1071"/>
        </w:trPr>
        <w:tc>
          <w:tcPr>
            <w:tcW w:w="2023" w:type="dxa"/>
            <w:shd w:val="pct15" w:color="auto" w:fill="auto"/>
          </w:tcPr>
          <w:p w14:paraId="01B3169D"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Module code:</w:t>
            </w:r>
          </w:p>
        </w:tc>
        <w:tc>
          <w:tcPr>
            <w:tcW w:w="3183" w:type="dxa"/>
          </w:tcPr>
          <w:p w14:paraId="4E772900"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BMSW4014</w:t>
            </w:r>
          </w:p>
        </w:tc>
        <w:tc>
          <w:tcPr>
            <w:tcW w:w="2192" w:type="dxa"/>
            <w:shd w:val="clear" w:color="auto" w:fill="D9D9D9"/>
          </w:tcPr>
          <w:p w14:paraId="4C6CC609" w14:textId="77777777" w:rsidR="00AD31BB" w:rsidRPr="00A24D2A" w:rsidRDefault="00AD31BB" w:rsidP="00475BA2">
            <w:pPr>
              <w:spacing w:line="276" w:lineRule="auto"/>
              <w:rPr>
                <w:rFonts w:ascii="Arial" w:hAnsi="Arial" w:cs="Arial"/>
                <w:b/>
                <w:bCs/>
                <w:sz w:val="24"/>
                <w:szCs w:val="24"/>
              </w:rPr>
            </w:pPr>
            <w:r w:rsidRPr="00A24D2A">
              <w:rPr>
                <w:rFonts w:ascii="Arial" w:hAnsi="Arial" w:cs="Arial"/>
                <w:b/>
                <w:bCs/>
                <w:sz w:val="24"/>
                <w:szCs w:val="24"/>
              </w:rPr>
              <w:t>Contribution to Overall Module Assessment (%):</w:t>
            </w:r>
          </w:p>
        </w:tc>
        <w:tc>
          <w:tcPr>
            <w:tcW w:w="2193" w:type="dxa"/>
          </w:tcPr>
          <w:p w14:paraId="03F61A5E"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50%</w:t>
            </w:r>
          </w:p>
        </w:tc>
      </w:tr>
      <w:tr w:rsidR="00AD31BB" w:rsidRPr="00A24D2A" w14:paraId="48037614" w14:textId="77777777" w:rsidTr="00475BA2">
        <w:trPr>
          <w:trHeight w:val="734"/>
        </w:trPr>
        <w:tc>
          <w:tcPr>
            <w:tcW w:w="2023" w:type="dxa"/>
            <w:shd w:val="pct15" w:color="auto" w:fill="auto"/>
          </w:tcPr>
          <w:p w14:paraId="23A8FDB3"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Lecturer:</w:t>
            </w:r>
          </w:p>
        </w:tc>
        <w:tc>
          <w:tcPr>
            <w:tcW w:w="3183" w:type="dxa"/>
          </w:tcPr>
          <w:p w14:paraId="25198EE6"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Rhiannon Akers and Chris Rogers</w:t>
            </w:r>
          </w:p>
        </w:tc>
        <w:tc>
          <w:tcPr>
            <w:tcW w:w="2192" w:type="dxa"/>
            <w:shd w:val="clear" w:color="auto" w:fill="D9D9D9"/>
          </w:tcPr>
          <w:p w14:paraId="608BE359"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Internal Verifier:</w:t>
            </w:r>
          </w:p>
        </w:tc>
        <w:tc>
          <w:tcPr>
            <w:tcW w:w="2193" w:type="dxa"/>
          </w:tcPr>
          <w:p w14:paraId="719DA658"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Melanie Squire</w:t>
            </w:r>
          </w:p>
        </w:tc>
      </w:tr>
      <w:tr w:rsidR="00AD31BB" w:rsidRPr="00A24D2A" w14:paraId="02A79116" w14:textId="77777777" w:rsidTr="00475BA2">
        <w:trPr>
          <w:trHeight w:val="763"/>
        </w:trPr>
        <w:tc>
          <w:tcPr>
            <w:tcW w:w="2023" w:type="dxa"/>
            <w:shd w:val="pct15" w:color="auto" w:fill="auto"/>
          </w:tcPr>
          <w:p w14:paraId="47D5BDB3" w14:textId="77777777"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Assignment Title:</w:t>
            </w:r>
          </w:p>
        </w:tc>
        <w:tc>
          <w:tcPr>
            <w:tcW w:w="3183" w:type="dxa"/>
          </w:tcPr>
          <w:p w14:paraId="6DDB4D19" w14:textId="77777777" w:rsidR="00AD31BB" w:rsidRPr="00A24D2A" w:rsidRDefault="00AD31BB" w:rsidP="00475BA2">
            <w:pPr>
              <w:spacing w:before="120" w:after="120" w:line="276" w:lineRule="auto"/>
              <w:rPr>
                <w:rFonts w:ascii="Arial" w:hAnsi="Arial" w:cs="Arial"/>
                <w:b/>
                <w:bCs/>
                <w:sz w:val="24"/>
                <w:szCs w:val="24"/>
              </w:rPr>
            </w:pPr>
            <w:r w:rsidRPr="00A24D2A">
              <w:rPr>
                <w:rFonts w:ascii="Arial" w:hAnsi="Arial" w:cs="Arial"/>
                <w:b/>
                <w:bCs/>
                <w:sz w:val="24"/>
                <w:szCs w:val="24"/>
              </w:rPr>
              <w:t>An analysis of the factors impacting The Body Shop.</w:t>
            </w:r>
          </w:p>
        </w:tc>
        <w:tc>
          <w:tcPr>
            <w:tcW w:w="2192" w:type="dxa"/>
            <w:shd w:val="pct15" w:color="auto" w:fill="auto"/>
          </w:tcPr>
          <w:p w14:paraId="1129A674" w14:textId="56F4352C" w:rsidR="00AD31BB" w:rsidRPr="00A24D2A" w:rsidRDefault="00AD31BB" w:rsidP="00475BA2">
            <w:pPr>
              <w:spacing w:before="120" w:after="120" w:line="276" w:lineRule="auto"/>
              <w:rPr>
                <w:rFonts w:ascii="Arial" w:hAnsi="Arial" w:cs="Arial"/>
                <w:b/>
                <w:sz w:val="24"/>
                <w:szCs w:val="24"/>
              </w:rPr>
            </w:pPr>
            <w:r w:rsidRPr="00A24D2A">
              <w:rPr>
                <w:rFonts w:ascii="Arial" w:hAnsi="Arial" w:cs="Arial"/>
                <w:b/>
                <w:sz w:val="24"/>
                <w:szCs w:val="24"/>
              </w:rPr>
              <w:t xml:space="preserve">Word count </w:t>
            </w:r>
          </w:p>
        </w:tc>
        <w:tc>
          <w:tcPr>
            <w:tcW w:w="2193" w:type="dxa"/>
          </w:tcPr>
          <w:p w14:paraId="05E3790D" w14:textId="3F05AA88" w:rsidR="00AD31BB" w:rsidRPr="00A24D2A" w:rsidRDefault="005A4D6C" w:rsidP="00475BA2">
            <w:pPr>
              <w:spacing w:before="120" w:after="120" w:line="276" w:lineRule="auto"/>
              <w:rPr>
                <w:rFonts w:ascii="Arial" w:hAnsi="Arial" w:cs="Arial"/>
                <w:b/>
                <w:sz w:val="24"/>
                <w:szCs w:val="24"/>
              </w:rPr>
            </w:pPr>
            <w:r>
              <w:rPr>
                <w:rFonts w:ascii="Arial" w:hAnsi="Arial" w:cs="Arial"/>
                <w:b/>
                <w:sz w:val="24"/>
                <w:szCs w:val="24"/>
              </w:rPr>
              <w:t>16</w:t>
            </w:r>
            <w:r w:rsidR="00AC2C5F">
              <w:rPr>
                <w:rFonts w:ascii="Arial" w:hAnsi="Arial" w:cs="Arial"/>
                <w:b/>
                <w:sz w:val="24"/>
                <w:szCs w:val="24"/>
              </w:rPr>
              <w:t>2</w:t>
            </w:r>
            <w:r w:rsidR="002B130D">
              <w:rPr>
                <w:rFonts w:ascii="Arial" w:hAnsi="Arial" w:cs="Arial"/>
                <w:b/>
                <w:sz w:val="24"/>
                <w:szCs w:val="24"/>
              </w:rPr>
              <w:t>9</w:t>
            </w:r>
          </w:p>
        </w:tc>
      </w:tr>
    </w:tbl>
    <w:p w14:paraId="4218A3C6" w14:textId="4C7657C2" w:rsidR="00AD31BB" w:rsidRPr="00A24D2A" w:rsidRDefault="00475BA2" w:rsidP="00475BA2">
      <w:pPr>
        <w:spacing w:line="360" w:lineRule="auto"/>
        <w:jc w:val="both"/>
        <w:rPr>
          <w:rFonts w:ascii="Arial" w:hAnsi="Arial" w:cs="Arial"/>
        </w:rPr>
      </w:pPr>
      <w:r w:rsidRPr="00A24D2A">
        <w:rPr>
          <w:rFonts w:ascii="Arial" w:hAnsi="Arial" w:cs="Arial"/>
          <w:noProof/>
        </w:rPr>
        <w:drawing>
          <wp:anchor distT="0" distB="0" distL="114300" distR="114300" simplePos="0" relativeHeight="251659264" behindDoc="0" locked="0" layoutInCell="1" allowOverlap="1" wp14:anchorId="6A1D03DD" wp14:editId="4300C797">
            <wp:simplePos x="0" y="0"/>
            <wp:positionH relativeFrom="column">
              <wp:posOffset>1878965</wp:posOffset>
            </wp:positionH>
            <wp:positionV relativeFrom="paragraph">
              <wp:posOffset>-382270</wp:posOffset>
            </wp:positionV>
            <wp:extent cx="1757680" cy="66294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57680" cy="662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1E2A27" w14:textId="6943F9C6" w:rsidR="00F31EDF" w:rsidRPr="00F31EDF" w:rsidRDefault="00AD31BB" w:rsidP="00F31EDF">
      <w:pPr>
        <w:spacing w:line="360" w:lineRule="auto"/>
        <w:ind w:firstLine="720"/>
        <w:jc w:val="both"/>
        <w:rPr>
          <w:rFonts w:ascii="Arial" w:hAnsi="Arial" w:cs="Arial"/>
        </w:rPr>
      </w:pPr>
      <w:r w:rsidRPr="00A24D2A">
        <w:rPr>
          <w:rFonts w:ascii="Arial" w:hAnsi="Arial" w:cs="Arial"/>
        </w:rPr>
        <w:br w:type="page"/>
      </w:r>
    </w:p>
    <w:sdt>
      <w:sdtPr>
        <w:rPr>
          <w:rFonts w:eastAsia="Times New Roman"/>
          <w:sz w:val="20"/>
          <w:szCs w:val="20"/>
          <w:lang w:val="en-GB" w:eastAsia="en-GB"/>
        </w:rPr>
        <w:id w:val="-716891443"/>
        <w:docPartObj>
          <w:docPartGallery w:val="Table of Contents"/>
          <w:docPartUnique/>
        </w:docPartObj>
      </w:sdtPr>
      <w:sdtEndPr>
        <w:rPr>
          <w:rFonts w:ascii="Arial" w:hAnsi="Arial" w:cs="Arial"/>
          <w:b/>
          <w:bCs/>
          <w:noProof/>
          <w:color w:val="auto"/>
        </w:rPr>
      </w:sdtEndPr>
      <w:sdtContent>
        <w:p w14:paraId="6E54B996" w14:textId="4F44B4F1" w:rsidR="00475BA2" w:rsidRPr="00A24D2A" w:rsidRDefault="00475BA2" w:rsidP="00F31EDF">
          <w:pPr>
            <w:pStyle w:val="TOCHeading"/>
          </w:pPr>
          <w:r w:rsidRPr="00A24D2A">
            <w:t>Table of Contents</w:t>
          </w:r>
        </w:p>
        <w:p w14:paraId="6FC2526F" w14:textId="2FF83F1B" w:rsidR="00475BA2" w:rsidRPr="00A24D2A" w:rsidRDefault="00475BA2" w:rsidP="00475BA2">
          <w:pPr>
            <w:pStyle w:val="TOC1"/>
            <w:tabs>
              <w:tab w:val="left" w:pos="720"/>
              <w:tab w:val="right" w:leader="dot" w:pos="9350"/>
            </w:tabs>
            <w:spacing w:line="360" w:lineRule="auto"/>
            <w:rPr>
              <w:rFonts w:ascii="Arial" w:eastAsiaTheme="minorEastAsia" w:hAnsi="Arial" w:cs="Arial"/>
              <w:noProof/>
              <w:kern w:val="2"/>
              <w:sz w:val="24"/>
              <w:szCs w:val="24"/>
              <w:lang w:val="en-US" w:eastAsia="en-US"/>
            </w:rPr>
          </w:pPr>
          <w:r w:rsidRPr="00A24D2A">
            <w:rPr>
              <w:rFonts w:ascii="Arial" w:hAnsi="Arial" w:cs="Arial"/>
            </w:rPr>
            <w:fldChar w:fldCharType="begin"/>
          </w:r>
          <w:r w:rsidRPr="00A24D2A">
            <w:rPr>
              <w:rFonts w:ascii="Arial" w:hAnsi="Arial" w:cs="Arial"/>
            </w:rPr>
            <w:instrText xml:space="preserve"> TOC \o "1-3" \h \z \u </w:instrText>
          </w:r>
          <w:r w:rsidRPr="00A24D2A">
            <w:rPr>
              <w:rFonts w:ascii="Arial" w:hAnsi="Arial" w:cs="Arial"/>
            </w:rPr>
            <w:fldChar w:fldCharType="separate"/>
          </w:r>
          <w:hyperlink w:anchor="_Toc171049427" w:history="1">
            <w:r w:rsidRPr="00A24D2A">
              <w:rPr>
                <w:rStyle w:val="Hyperlink"/>
                <w:rFonts w:ascii="Arial" w:eastAsiaTheme="majorEastAsia" w:hAnsi="Arial" w:cs="Arial"/>
                <w:noProof/>
                <w:sz w:val="24"/>
                <w:szCs w:val="24"/>
              </w:rPr>
              <w:t>1.</w:t>
            </w:r>
            <w:r w:rsidRPr="00A24D2A">
              <w:rPr>
                <w:rFonts w:ascii="Arial" w:eastAsiaTheme="minorEastAsia" w:hAnsi="Arial" w:cs="Arial"/>
                <w:noProof/>
                <w:kern w:val="2"/>
                <w:sz w:val="24"/>
                <w:szCs w:val="24"/>
                <w:lang w:val="en-US" w:eastAsia="en-US"/>
              </w:rPr>
              <w:tab/>
            </w:r>
            <w:r w:rsidRPr="00A24D2A">
              <w:rPr>
                <w:rStyle w:val="Hyperlink"/>
                <w:rFonts w:ascii="Arial" w:eastAsiaTheme="majorEastAsia" w:hAnsi="Arial" w:cs="Arial"/>
                <w:noProof/>
                <w:sz w:val="24"/>
                <w:szCs w:val="24"/>
              </w:rPr>
              <w:t>Introduction</w:t>
            </w:r>
            <w:r w:rsidRPr="00A24D2A">
              <w:rPr>
                <w:rFonts w:ascii="Arial" w:hAnsi="Arial" w:cs="Arial"/>
                <w:noProof/>
                <w:webHidden/>
                <w:sz w:val="24"/>
                <w:szCs w:val="24"/>
              </w:rPr>
              <w:tab/>
            </w:r>
            <w:r w:rsidRPr="00A24D2A">
              <w:rPr>
                <w:rFonts w:ascii="Arial" w:hAnsi="Arial" w:cs="Arial"/>
                <w:noProof/>
                <w:webHidden/>
                <w:sz w:val="24"/>
                <w:szCs w:val="24"/>
              </w:rPr>
              <w:fldChar w:fldCharType="begin"/>
            </w:r>
            <w:r w:rsidRPr="00A24D2A">
              <w:rPr>
                <w:rFonts w:ascii="Arial" w:hAnsi="Arial" w:cs="Arial"/>
                <w:noProof/>
                <w:webHidden/>
                <w:sz w:val="24"/>
                <w:szCs w:val="24"/>
              </w:rPr>
              <w:instrText xml:space="preserve"> PAGEREF _Toc171049427 \h </w:instrText>
            </w:r>
            <w:r w:rsidRPr="00A24D2A">
              <w:rPr>
                <w:rFonts w:ascii="Arial" w:hAnsi="Arial" w:cs="Arial"/>
                <w:noProof/>
                <w:webHidden/>
                <w:sz w:val="24"/>
                <w:szCs w:val="24"/>
              </w:rPr>
            </w:r>
            <w:r w:rsidRPr="00A24D2A">
              <w:rPr>
                <w:rFonts w:ascii="Arial" w:hAnsi="Arial" w:cs="Arial"/>
                <w:noProof/>
                <w:webHidden/>
                <w:sz w:val="24"/>
                <w:szCs w:val="24"/>
              </w:rPr>
              <w:fldChar w:fldCharType="separate"/>
            </w:r>
            <w:r w:rsidRPr="00A24D2A">
              <w:rPr>
                <w:rFonts w:ascii="Arial" w:hAnsi="Arial" w:cs="Arial"/>
                <w:noProof/>
                <w:webHidden/>
                <w:sz w:val="24"/>
                <w:szCs w:val="24"/>
              </w:rPr>
              <w:t>3</w:t>
            </w:r>
            <w:r w:rsidRPr="00A24D2A">
              <w:rPr>
                <w:rFonts w:ascii="Arial" w:hAnsi="Arial" w:cs="Arial"/>
                <w:noProof/>
                <w:webHidden/>
                <w:sz w:val="24"/>
                <w:szCs w:val="24"/>
              </w:rPr>
              <w:fldChar w:fldCharType="end"/>
            </w:r>
          </w:hyperlink>
        </w:p>
        <w:p w14:paraId="0CE15215" w14:textId="223666F9" w:rsidR="00475BA2" w:rsidRPr="00A24D2A" w:rsidRDefault="00EB6C5A" w:rsidP="00475BA2">
          <w:pPr>
            <w:pStyle w:val="TOC2"/>
            <w:tabs>
              <w:tab w:val="left" w:pos="720"/>
              <w:tab w:val="right" w:leader="dot" w:pos="9350"/>
            </w:tabs>
            <w:spacing w:line="360" w:lineRule="auto"/>
            <w:ind w:left="0"/>
            <w:rPr>
              <w:rFonts w:ascii="Arial" w:eastAsiaTheme="minorEastAsia" w:hAnsi="Arial" w:cs="Arial"/>
              <w:noProof/>
              <w:kern w:val="2"/>
              <w:sz w:val="24"/>
              <w:szCs w:val="24"/>
              <w:lang w:val="en-US" w:eastAsia="en-US"/>
            </w:rPr>
          </w:pPr>
          <w:hyperlink w:anchor="_Toc171049428" w:history="1">
            <w:r w:rsidR="00475BA2" w:rsidRPr="00A24D2A">
              <w:rPr>
                <w:rStyle w:val="Hyperlink"/>
                <w:rFonts w:ascii="Arial" w:eastAsiaTheme="majorEastAsia" w:hAnsi="Arial" w:cs="Arial"/>
                <w:noProof/>
                <w:sz w:val="24"/>
                <w:szCs w:val="24"/>
              </w:rPr>
              <w:t>2.</w:t>
            </w:r>
            <w:r w:rsidR="00475BA2" w:rsidRPr="00A24D2A">
              <w:rPr>
                <w:rFonts w:ascii="Arial" w:eastAsiaTheme="minorEastAsia" w:hAnsi="Arial" w:cs="Arial"/>
                <w:noProof/>
                <w:kern w:val="2"/>
                <w:sz w:val="24"/>
                <w:szCs w:val="24"/>
                <w:lang w:val="en-US" w:eastAsia="en-US"/>
              </w:rPr>
              <w:tab/>
            </w:r>
            <w:r w:rsidR="00475BA2" w:rsidRPr="00A24D2A">
              <w:rPr>
                <w:rStyle w:val="Hyperlink"/>
                <w:rFonts w:ascii="Arial" w:eastAsiaTheme="majorEastAsia" w:hAnsi="Arial" w:cs="Arial"/>
                <w:noProof/>
                <w:sz w:val="24"/>
                <w:szCs w:val="24"/>
              </w:rPr>
              <w:t>Findings</w:t>
            </w:r>
            <w:r w:rsidR="00475BA2" w:rsidRPr="00A24D2A">
              <w:rPr>
                <w:rFonts w:ascii="Arial" w:hAnsi="Arial" w:cs="Arial"/>
                <w:noProof/>
                <w:webHidden/>
                <w:sz w:val="24"/>
                <w:szCs w:val="24"/>
              </w:rPr>
              <w:tab/>
            </w:r>
            <w:r w:rsidR="00475BA2" w:rsidRPr="00A24D2A">
              <w:rPr>
                <w:rFonts w:ascii="Arial" w:hAnsi="Arial" w:cs="Arial"/>
                <w:noProof/>
                <w:webHidden/>
                <w:sz w:val="24"/>
                <w:szCs w:val="24"/>
              </w:rPr>
              <w:fldChar w:fldCharType="begin"/>
            </w:r>
            <w:r w:rsidR="00475BA2" w:rsidRPr="00A24D2A">
              <w:rPr>
                <w:rFonts w:ascii="Arial" w:hAnsi="Arial" w:cs="Arial"/>
                <w:noProof/>
                <w:webHidden/>
                <w:sz w:val="24"/>
                <w:szCs w:val="24"/>
              </w:rPr>
              <w:instrText xml:space="preserve"> PAGEREF _Toc171049428 \h </w:instrText>
            </w:r>
            <w:r w:rsidR="00475BA2" w:rsidRPr="00A24D2A">
              <w:rPr>
                <w:rFonts w:ascii="Arial" w:hAnsi="Arial" w:cs="Arial"/>
                <w:noProof/>
                <w:webHidden/>
                <w:sz w:val="24"/>
                <w:szCs w:val="24"/>
              </w:rPr>
            </w:r>
            <w:r w:rsidR="00475BA2" w:rsidRPr="00A24D2A">
              <w:rPr>
                <w:rFonts w:ascii="Arial" w:hAnsi="Arial" w:cs="Arial"/>
                <w:noProof/>
                <w:webHidden/>
                <w:sz w:val="24"/>
                <w:szCs w:val="24"/>
              </w:rPr>
              <w:fldChar w:fldCharType="separate"/>
            </w:r>
            <w:r w:rsidR="00475BA2" w:rsidRPr="00A24D2A">
              <w:rPr>
                <w:rFonts w:ascii="Arial" w:hAnsi="Arial" w:cs="Arial"/>
                <w:noProof/>
                <w:webHidden/>
                <w:sz w:val="24"/>
                <w:szCs w:val="24"/>
              </w:rPr>
              <w:t>3</w:t>
            </w:r>
            <w:r w:rsidR="00475BA2" w:rsidRPr="00A24D2A">
              <w:rPr>
                <w:rFonts w:ascii="Arial" w:hAnsi="Arial" w:cs="Arial"/>
                <w:noProof/>
                <w:webHidden/>
                <w:sz w:val="24"/>
                <w:szCs w:val="24"/>
              </w:rPr>
              <w:fldChar w:fldCharType="end"/>
            </w:r>
          </w:hyperlink>
        </w:p>
        <w:p w14:paraId="3B169684" w14:textId="75F8F896" w:rsidR="00475BA2" w:rsidRPr="00A24D2A" w:rsidRDefault="00EB6C5A" w:rsidP="00475BA2">
          <w:pPr>
            <w:pStyle w:val="TOC3"/>
            <w:rPr>
              <w:rFonts w:ascii="Arial" w:eastAsiaTheme="minorEastAsia" w:hAnsi="Arial" w:cs="Arial"/>
              <w:noProof/>
              <w:kern w:val="2"/>
              <w:sz w:val="24"/>
              <w:szCs w:val="24"/>
              <w:lang w:val="en-US" w:eastAsia="en-US"/>
            </w:rPr>
          </w:pPr>
          <w:hyperlink w:anchor="_Toc171049429" w:history="1">
            <w:r w:rsidR="00475BA2" w:rsidRPr="00A24D2A">
              <w:rPr>
                <w:rStyle w:val="Hyperlink"/>
                <w:rFonts w:ascii="Arial" w:eastAsiaTheme="majorEastAsia" w:hAnsi="Arial" w:cs="Arial"/>
                <w:noProof/>
                <w:sz w:val="24"/>
                <w:szCs w:val="24"/>
              </w:rPr>
              <w:t>2.1</w:t>
            </w:r>
            <w:r w:rsidR="00475BA2" w:rsidRPr="00A24D2A">
              <w:rPr>
                <w:rFonts w:ascii="Arial" w:eastAsiaTheme="minorEastAsia" w:hAnsi="Arial" w:cs="Arial"/>
                <w:noProof/>
                <w:kern w:val="2"/>
                <w:sz w:val="24"/>
                <w:szCs w:val="24"/>
                <w:lang w:val="en-US" w:eastAsia="en-US"/>
              </w:rPr>
              <w:tab/>
            </w:r>
            <w:r w:rsidR="00475BA2" w:rsidRPr="00A24D2A">
              <w:rPr>
                <w:rStyle w:val="Hyperlink"/>
                <w:rFonts w:ascii="Arial" w:eastAsiaTheme="majorEastAsia" w:hAnsi="Arial" w:cs="Arial"/>
                <w:noProof/>
                <w:sz w:val="24"/>
                <w:szCs w:val="24"/>
              </w:rPr>
              <w:t>PESTLE Analysis: Overview, Advantages, and Disadvantages</w:t>
            </w:r>
            <w:r w:rsidR="00475BA2" w:rsidRPr="00A24D2A">
              <w:rPr>
                <w:rFonts w:ascii="Arial" w:hAnsi="Arial" w:cs="Arial"/>
                <w:noProof/>
                <w:webHidden/>
                <w:sz w:val="24"/>
                <w:szCs w:val="24"/>
              </w:rPr>
              <w:tab/>
            </w:r>
            <w:r w:rsidR="00475BA2" w:rsidRPr="00A24D2A">
              <w:rPr>
                <w:rFonts w:ascii="Arial" w:hAnsi="Arial" w:cs="Arial"/>
                <w:noProof/>
                <w:webHidden/>
                <w:sz w:val="24"/>
                <w:szCs w:val="24"/>
              </w:rPr>
              <w:fldChar w:fldCharType="begin"/>
            </w:r>
            <w:r w:rsidR="00475BA2" w:rsidRPr="00A24D2A">
              <w:rPr>
                <w:rFonts w:ascii="Arial" w:hAnsi="Arial" w:cs="Arial"/>
                <w:noProof/>
                <w:webHidden/>
                <w:sz w:val="24"/>
                <w:szCs w:val="24"/>
              </w:rPr>
              <w:instrText xml:space="preserve"> PAGEREF _Toc171049429 \h </w:instrText>
            </w:r>
            <w:r w:rsidR="00475BA2" w:rsidRPr="00A24D2A">
              <w:rPr>
                <w:rFonts w:ascii="Arial" w:hAnsi="Arial" w:cs="Arial"/>
                <w:noProof/>
                <w:webHidden/>
                <w:sz w:val="24"/>
                <w:szCs w:val="24"/>
              </w:rPr>
            </w:r>
            <w:r w:rsidR="00475BA2" w:rsidRPr="00A24D2A">
              <w:rPr>
                <w:rFonts w:ascii="Arial" w:hAnsi="Arial" w:cs="Arial"/>
                <w:noProof/>
                <w:webHidden/>
                <w:sz w:val="24"/>
                <w:szCs w:val="24"/>
              </w:rPr>
              <w:fldChar w:fldCharType="separate"/>
            </w:r>
            <w:r w:rsidR="00475BA2" w:rsidRPr="00A24D2A">
              <w:rPr>
                <w:rFonts w:ascii="Arial" w:hAnsi="Arial" w:cs="Arial"/>
                <w:noProof/>
                <w:webHidden/>
                <w:sz w:val="24"/>
                <w:szCs w:val="24"/>
              </w:rPr>
              <w:t>3</w:t>
            </w:r>
            <w:r w:rsidR="00475BA2" w:rsidRPr="00A24D2A">
              <w:rPr>
                <w:rFonts w:ascii="Arial" w:hAnsi="Arial" w:cs="Arial"/>
                <w:noProof/>
                <w:webHidden/>
                <w:sz w:val="24"/>
                <w:szCs w:val="24"/>
              </w:rPr>
              <w:fldChar w:fldCharType="end"/>
            </w:r>
          </w:hyperlink>
        </w:p>
        <w:p w14:paraId="6C992A34" w14:textId="57907BF9" w:rsidR="00475BA2" w:rsidRPr="00A24D2A" w:rsidRDefault="00EB6C5A" w:rsidP="00475BA2">
          <w:pPr>
            <w:pStyle w:val="TOC3"/>
            <w:rPr>
              <w:rFonts w:ascii="Arial" w:eastAsiaTheme="minorEastAsia" w:hAnsi="Arial" w:cs="Arial"/>
              <w:noProof/>
              <w:kern w:val="2"/>
              <w:sz w:val="24"/>
              <w:szCs w:val="24"/>
              <w:lang w:val="en-US" w:eastAsia="en-US"/>
            </w:rPr>
          </w:pPr>
          <w:hyperlink w:anchor="_Toc171049430" w:history="1">
            <w:r w:rsidR="00475BA2" w:rsidRPr="00A24D2A">
              <w:rPr>
                <w:rStyle w:val="Hyperlink"/>
                <w:rFonts w:ascii="Arial" w:eastAsiaTheme="majorEastAsia" w:hAnsi="Arial" w:cs="Arial"/>
                <w:noProof/>
                <w:sz w:val="24"/>
                <w:szCs w:val="24"/>
              </w:rPr>
              <w:t>2.2</w:t>
            </w:r>
            <w:r w:rsidR="00475BA2" w:rsidRPr="00A24D2A">
              <w:rPr>
                <w:rFonts w:ascii="Arial" w:eastAsiaTheme="minorEastAsia" w:hAnsi="Arial" w:cs="Arial"/>
                <w:noProof/>
                <w:kern w:val="2"/>
                <w:sz w:val="24"/>
                <w:szCs w:val="24"/>
                <w:lang w:val="en-US" w:eastAsia="en-US"/>
              </w:rPr>
              <w:tab/>
            </w:r>
            <w:r w:rsidR="00475BA2" w:rsidRPr="00A24D2A">
              <w:rPr>
                <w:rStyle w:val="Hyperlink"/>
                <w:rFonts w:ascii="Arial" w:eastAsiaTheme="majorEastAsia" w:hAnsi="Arial" w:cs="Arial"/>
                <w:noProof/>
                <w:sz w:val="24"/>
                <w:szCs w:val="24"/>
              </w:rPr>
              <w:t>PESTLE Analysis</w:t>
            </w:r>
            <w:r w:rsidR="00475BA2" w:rsidRPr="00A24D2A">
              <w:rPr>
                <w:rFonts w:ascii="Arial" w:hAnsi="Arial" w:cs="Arial"/>
                <w:noProof/>
                <w:webHidden/>
                <w:sz w:val="24"/>
                <w:szCs w:val="24"/>
              </w:rPr>
              <w:tab/>
            </w:r>
            <w:r w:rsidR="00475BA2" w:rsidRPr="00A24D2A">
              <w:rPr>
                <w:rFonts w:ascii="Arial" w:hAnsi="Arial" w:cs="Arial"/>
                <w:noProof/>
                <w:webHidden/>
                <w:sz w:val="24"/>
                <w:szCs w:val="24"/>
              </w:rPr>
              <w:fldChar w:fldCharType="begin"/>
            </w:r>
            <w:r w:rsidR="00475BA2" w:rsidRPr="00A24D2A">
              <w:rPr>
                <w:rFonts w:ascii="Arial" w:hAnsi="Arial" w:cs="Arial"/>
                <w:noProof/>
                <w:webHidden/>
                <w:sz w:val="24"/>
                <w:szCs w:val="24"/>
              </w:rPr>
              <w:instrText xml:space="preserve"> PAGEREF _Toc171049430 \h </w:instrText>
            </w:r>
            <w:r w:rsidR="00475BA2" w:rsidRPr="00A24D2A">
              <w:rPr>
                <w:rFonts w:ascii="Arial" w:hAnsi="Arial" w:cs="Arial"/>
                <w:noProof/>
                <w:webHidden/>
                <w:sz w:val="24"/>
                <w:szCs w:val="24"/>
              </w:rPr>
            </w:r>
            <w:r w:rsidR="00475BA2" w:rsidRPr="00A24D2A">
              <w:rPr>
                <w:rFonts w:ascii="Arial" w:hAnsi="Arial" w:cs="Arial"/>
                <w:noProof/>
                <w:webHidden/>
                <w:sz w:val="24"/>
                <w:szCs w:val="24"/>
              </w:rPr>
              <w:fldChar w:fldCharType="separate"/>
            </w:r>
            <w:r w:rsidR="00475BA2" w:rsidRPr="00A24D2A">
              <w:rPr>
                <w:rFonts w:ascii="Arial" w:hAnsi="Arial" w:cs="Arial"/>
                <w:noProof/>
                <w:webHidden/>
                <w:sz w:val="24"/>
                <w:szCs w:val="24"/>
              </w:rPr>
              <w:t>4</w:t>
            </w:r>
            <w:r w:rsidR="00475BA2" w:rsidRPr="00A24D2A">
              <w:rPr>
                <w:rFonts w:ascii="Arial" w:hAnsi="Arial" w:cs="Arial"/>
                <w:noProof/>
                <w:webHidden/>
                <w:sz w:val="24"/>
                <w:szCs w:val="24"/>
              </w:rPr>
              <w:fldChar w:fldCharType="end"/>
            </w:r>
          </w:hyperlink>
        </w:p>
        <w:p w14:paraId="4AF50E71" w14:textId="5E6454A8" w:rsidR="00475BA2" w:rsidRPr="00A24D2A" w:rsidRDefault="00EB6C5A" w:rsidP="00475BA2">
          <w:pPr>
            <w:pStyle w:val="TOC3"/>
            <w:rPr>
              <w:rFonts w:ascii="Arial" w:eastAsiaTheme="minorEastAsia" w:hAnsi="Arial" w:cs="Arial"/>
              <w:noProof/>
              <w:kern w:val="2"/>
              <w:sz w:val="24"/>
              <w:szCs w:val="24"/>
              <w:lang w:val="en-US" w:eastAsia="en-US"/>
            </w:rPr>
          </w:pPr>
          <w:hyperlink w:anchor="_Toc171049431" w:history="1">
            <w:r w:rsidR="00475BA2" w:rsidRPr="00A24D2A">
              <w:rPr>
                <w:rStyle w:val="Hyperlink"/>
                <w:rFonts w:ascii="Arial" w:eastAsiaTheme="majorEastAsia" w:hAnsi="Arial" w:cs="Arial"/>
                <w:noProof/>
                <w:sz w:val="24"/>
                <w:szCs w:val="24"/>
              </w:rPr>
              <w:t>2.3</w:t>
            </w:r>
            <w:r w:rsidR="00475BA2" w:rsidRPr="00A24D2A">
              <w:rPr>
                <w:rFonts w:ascii="Arial" w:eastAsiaTheme="minorEastAsia" w:hAnsi="Arial" w:cs="Arial"/>
                <w:noProof/>
                <w:kern w:val="2"/>
                <w:sz w:val="24"/>
                <w:szCs w:val="24"/>
                <w:lang w:val="en-US" w:eastAsia="en-US"/>
              </w:rPr>
              <w:tab/>
            </w:r>
            <w:r w:rsidR="00475BA2" w:rsidRPr="00A24D2A">
              <w:rPr>
                <w:rStyle w:val="Hyperlink"/>
                <w:rFonts w:ascii="Arial" w:eastAsiaTheme="majorEastAsia" w:hAnsi="Arial" w:cs="Arial"/>
                <w:noProof/>
                <w:sz w:val="24"/>
                <w:szCs w:val="24"/>
              </w:rPr>
              <w:t>Stakeholder Analysis Overview, Advantages and Disadvantages</w:t>
            </w:r>
            <w:r w:rsidR="00475BA2" w:rsidRPr="00A24D2A">
              <w:rPr>
                <w:rFonts w:ascii="Arial" w:hAnsi="Arial" w:cs="Arial"/>
                <w:noProof/>
                <w:webHidden/>
                <w:sz w:val="24"/>
                <w:szCs w:val="24"/>
              </w:rPr>
              <w:tab/>
            </w:r>
            <w:r w:rsidR="00475BA2" w:rsidRPr="00A24D2A">
              <w:rPr>
                <w:rFonts w:ascii="Arial" w:hAnsi="Arial" w:cs="Arial"/>
                <w:noProof/>
                <w:webHidden/>
                <w:sz w:val="24"/>
                <w:szCs w:val="24"/>
              </w:rPr>
              <w:fldChar w:fldCharType="begin"/>
            </w:r>
            <w:r w:rsidR="00475BA2" w:rsidRPr="00A24D2A">
              <w:rPr>
                <w:rFonts w:ascii="Arial" w:hAnsi="Arial" w:cs="Arial"/>
                <w:noProof/>
                <w:webHidden/>
                <w:sz w:val="24"/>
                <w:szCs w:val="24"/>
              </w:rPr>
              <w:instrText xml:space="preserve"> PAGEREF _Toc171049431 \h </w:instrText>
            </w:r>
            <w:r w:rsidR="00475BA2" w:rsidRPr="00A24D2A">
              <w:rPr>
                <w:rFonts w:ascii="Arial" w:hAnsi="Arial" w:cs="Arial"/>
                <w:noProof/>
                <w:webHidden/>
                <w:sz w:val="24"/>
                <w:szCs w:val="24"/>
              </w:rPr>
            </w:r>
            <w:r w:rsidR="00475BA2" w:rsidRPr="00A24D2A">
              <w:rPr>
                <w:rFonts w:ascii="Arial" w:hAnsi="Arial" w:cs="Arial"/>
                <w:noProof/>
                <w:webHidden/>
                <w:sz w:val="24"/>
                <w:szCs w:val="24"/>
              </w:rPr>
              <w:fldChar w:fldCharType="separate"/>
            </w:r>
            <w:r w:rsidR="00475BA2" w:rsidRPr="00A24D2A">
              <w:rPr>
                <w:rFonts w:ascii="Arial" w:hAnsi="Arial" w:cs="Arial"/>
                <w:noProof/>
                <w:webHidden/>
                <w:sz w:val="24"/>
                <w:szCs w:val="24"/>
              </w:rPr>
              <w:t>6</w:t>
            </w:r>
            <w:r w:rsidR="00475BA2" w:rsidRPr="00A24D2A">
              <w:rPr>
                <w:rFonts w:ascii="Arial" w:hAnsi="Arial" w:cs="Arial"/>
                <w:noProof/>
                <w:webHidden/>
                <w:sz w:val="24"/>
                <w:szCs w:val="24"/>
              </w:rPr>
              <w:fldChar w:fldCharType="end"/>
            </w:r>
          </w:hyperlink>
        </w:p>
        <w:p w14:paraId="3637E123" w14:textId="16BB6779" w:rsidR="00475BA2" w:rsidRPr="00A24D2A" w:rsidRDefault="00EB6C5A" w:rsidP="00475BA2">
          <w:pPr>
            <w:pStyle w:val="TOC3"/>
            <w:rPr>
              <w:rFonts w:ascii="Arial" w:eastAsiaTheme="minorEastAsia" w:hAnsi="Arial" w:cs="Arial"/>
              <w:noProof/>
              <w:kern w:val="2"/>
              <w:sz w:val="24"/>
              <w:szCs w:val="24"/>
              <w:lang w:val="en-US" w:eastAsia="en-US"/>
            </w:rPr>
          </w:pPr>
          <w:hyperlink w:anchor="_Toc171049432" w:history="1">
            <w:r w:rsidR="00475BA2" w:rsidRPr="00A24D2A">
              <w:rPr>
                <w:rStyle w:val="Hyperlink"/>
                <w:rFonts w:ascii="Arial" w:eastAsiaTheme="majorEastAsia" w:hAnsi="Arial" w:cs="Arial"/>
                <w:noProof/>
                <w:sz w:val="24"/>
                <w:szCs w:val="24"/>
                <w:lang w:val="en-US" w:eastAsia="en-US"/>
              </w:rPr>
              <w:t>2.4</w:t>
            </w:r>
            <w:r w:rsidR="00475BA2" w:rsidRPr="00A24D2A">
              <w:rPr>
                <w:rFonts w:ascii="Arial" w:eastAsiaTheme="minorEastAsia" w:hAnsi="Arial" w:cs="Arial"/>
                <w:noProof/>
                <w:kern w:val="2"/>
                <w:sz w:val="24"/>
                <w:szCs w:val="24"/>
                <w:lang w:val="en-US" w:eastAsia="en-US"/>
              </w:rPr>
              <w:tab/>
            </w:r>
            <w:r w:rsidR="00475BA2" w:rsidRPr="00A24D2A">
              <w:rPr>
                <w:rStyle w:val="Hyperlink"/>
                <w:rFonts w:ascii="Arial" w:eastAsiaTheme="majorEastAsia" w:hAnsi="Arial" w:cs="Arial"/>
                <w:noProof/>
                <w:sz w:val="24"/>
                <w:szCs w:val="24"/>
              </w:rPr>
              <w:t>The Body Shop's Stakeholder Analysis</w:t>
            </w:r>
            <w:r w:rsidR="00475BA2" w:rsidRPr="00A24D2A">
              <w:rPr>
                <w:rFonts w:ascii="Arial" w:hAnsi="Arial" w:cs="Arial"/>
                <w:noProof/>
                <w:webHidden/>
                <w:sz w:val="24"/>
                <w:szCs w:val="24"/>
              </w:rPr>
              <w:tab/>
            </w:r>
            <w:r w:rsidR="00475BA2" w:rsidRPr="00A24D2A">
              <w:rPr>
                <w:rFonts w:ascii="Arial" w:hAnsi="Arial" w:cs="Arial"/>
                <w:noProof/>
                <w:webHidden/>
                <w:sz w:val="24"/>
                <w:szCs w:val="24"/>
              </w:rPr>
              <w:fldChar w:fldCharType="begin"/>
            </w:r>
            <w:r w:rsidR="00475BA2" w:rsidRPr="00A24D2A">
              <w:rPr>
                <w:rFonts w:ascii="Arial" w:hAnsi="Arial" w:cs="Arial"/>
                <w:noProof/>
                <w:webHidden/>
                <w:sz w:val="24"/>
                <w:szCs w:val="24"/>
              </w:rPr>
              <w:instrText xml:space="preserve"> PAGEREF _Toc171049432 \h </w:instrText>
            </w:r>
            <w:r w:rsidR="00475BA2" w:rsidRPr="00A24D2A">
              <w:rPr>
                <w:rFonts w:ascii="Arial" w:hAnsi="Arial" w:cs="Arial"/>
                <w:noProof/>
                <w:webHidden/>
                <w:sz w:val="24"/>
                <w:szCs w:val="24"/>
              </w:rPr>
            </w:r>
            <w:r w:rsidR="00475BA2" w:rsidRPr="00A24D2A">
              <w:rPr>
                <w:rFonts w:ascii="Arial" w:hAnsi="Arial" w:cs="Arial"/>
                <w:noProof/>
                <w:webHidden/>
                <w:sz w:val="24"/>
                <w:szCs w:val="24"/>
              </w:rPr>
              <w:fldChar w:fldCharType="separate"/>
            </w:r>
            <w:r w:rsidR="00475BA2" w:rsidRPr="00A24D2A">
              <w:rPr>
                <w:rFonts w:ascii="Arial" w:hAnsi="Arial" w:cs="Arial"/>
                <w:noProof/>
                <w:webHidden/>
                <w:sz w:val="24"/>
                <w:szCs w:val="24"/>
              </w:rPr>
              <w:t>7</w:t>
            </w:r>
            <w:r w:rsidR="00475BA2" w:rsidRPr="00A24D2A">
              <w:rPr>
                <w:rFonts w:ascii="Arial" w:hAnsi="Arial" w:cs="Arial"/>
                <w:noProof/>
                <w:webHidden/>
                <w:sz w:val="24"/>
                <w:szCs w:val="24"/>
              </w:rPr>
              <w:fldChar w:fldCharType="end"/>
            </w:r>
          </w:hyperlink>
        </w:p>
        <w:p w14:paraId="18C4DE9F" w14:textId="456A8460" w:rsidR="00475BA2" w:rsidRPr="00A24D2A" w:rsidRDefault="00EB6C5A" w:rsidP="00475BA2">
          <w:pPr>
            <w:pStyle w:val="TOC2"/>
            <w:tabs>
              <w:tab w:val="left" w:pos="720"/>
              <w:tab w:val="right" w:leader="dot" w:pos="9350"/>
            </w:tabs>
            <w:spacing w:line="360" w:lineRule="auto"/>
            <w:ind w:left="0"/>
            <w:rPr>
              <w:rFonts w:ascii="Arial" w:eastAsiaTheme="minorEastAsia" w:hAnsi="Arial" w:cs="Arial"/>
              <w:noProof/>
              <w:kern w:val="2"/>
              <w:sz w:val="24"/>
              <w:szCs w:val="24"/>
              <w:lang w:val="en-US" w:eastAsia="en-US"/>
            </w:rPr>
          </w:pPr>
          <w:hyperlink w:anchor="_Toc171049433" w:history="1">
            <w:r w:rsidR="00475BA2" w:rsidRPr="00A24D2A">
              <w:rPr>
                <w:rStyle w:val="Hyperlink"/>
                <w:rFonts w:ascii="Arial" w:eastAsiaTheme="majorEastAsia" w:hAnsi="Arial" w:cs="Arial"/>
                <w:noProof/>
                <w:sz w:val="24"/>
                <w:szCs w:val="24"/>
              </w:rPr>
              <w:t>3.</w:t>
            </w:r>
            <w:r w:rsidR="00475BA2" w:rsidRPr="00A24D2A">
              <w:rPr>
                <w:rFonts w:ascii="Arial" w:eastAsiaTheme="minorEastAsia" w:hAnsi="Arial" w:cs="Arial"/>
                <w:noProof/>
                <w:kern w:val="2"/>
                <w:sz w:val="24"/>
                <w:szCs w:val="24"/>
                <w:lang w:val="en-US" w:eastAsia="en-US"/>
              </w:rPr>
              <w:tab/>
            </w:r>
            <w:r w:rsidR="00475BA2" w:rsidRPr="00A24D2A">
              <w:rPr>
                <w:rStyle w:val="Hyperlink"/>
                <w:rFonts w:ascii="Arial" w:eastAsiaTheme="majorEastAsia" w:hAnsi="Arial" w:cs="Arial"/>
                <w:noProof/>
                <w:sz w:val="24"/>
                <w:szCs w:val="24"/>
              </w:rPr>
              <w:t>Conclusion</w:t>
            </w:r>
            <w:r w:rsidR="00475BA2" w:rsidRPr="00A24D2A">
              <w:rPr>
                <w:rFonts w:ascii="Arial" w:hAnsi="Arial" w:cs="Arial"/>
                <w:noProof/>
                <w:webHidden/>
                <w:sz w:val="24"/>
                <w:szCs w:val="24"/>
              </w:rPr>
              <w:tab/>
            </w:r>
            <w:r w:rsidR="00475BA2" w:rsidRPr="00A24D2A">
              <w:rPr>
                <w:rFonts w:ascii="Arial" w:hAnsi="Arial" w:cs="Arial"/>
                <w:noProof/>
                <w:webHidden/>
                <w:sz w:val="24"/>
                <w:szCs w:val="24"/>
              </w:rPr>
              <w:fldChar w:fldCharType="begin"/>
            </w:r>
            <w:r w:rsidR="00475BA2" w:rsidRPr="00A24D2A">
              <w:rPr>
                <w:rFonts w:ascii="Arial" w:hAnsi="Arial" w:cs="Arial"/>
                <w:noProof/>
                <w:webHidden/>
                <w:sz w:val="24"/>
                <w:szCs w:val="24"/>
              </w:rPr>
              <w:instrText xml:space="preserve"> PAGEREF _Toc171049433 \h </w:instrText>
            </w:r>
            <w:r w:rsidR="00475BA2" w:rsidRPr="00A24D2A">
              <w:rPr>
                <w:rFonts w:ascii="Arial" w:hAnsi="Arial" w:cs="Arial"/>
                <w:noProof/>
                <w:webHidden/>
                <w:sz w:val="24"/>
                <w:szCs w:val="24"/>
              </w:rPr>
            </w:r>
            <w:r w:rsidR="00475BA2" w:rsidRPr="00A24D2A">
              <w:rPr>
                <w:rFonts w:ascii="Arial" w:hAnsi="Arial" w:cs="Arial"/>
                <w:noProof/>
                <w:webHidden/>
                <w:sz w:val="24"/>
                <w:szCs w:val="24"/>
              </w:rPr>
              <w:fldChar w:fldCharType="separate"/>
            </w:r>
            <w:r w:rsidR="00475BA2" w:rsidRPr="00A24D2A">
              <w:rPr>
                <w:rFonts w:ascii="Arial" w:hAnsi="Arial" w:cs="Arial"/>
                <w:noProof/>
                <w:webHidden/>
                <w:sz w:val="24"/>
                <w:szCs w:val="24"/>
              </w:rPr>
              <w:t>8</w:t>
            </w:r>
            <w:r w:rsidR="00475BA2" w:rsidRPr="00A24D2A">
              <w:rPr>
                <w:rFonts w:ascii="Arial" w:hAnsi="Arial" w:cs="Arial"/>
                <w:noProof/>
                <w:webHidden/>
                <w:sz w:val="24"/>
                <w:szCs w:val="24"/>
              </w:rPr>
              <w:fldChar w:fldCharType="end"/>
            </w:r>
          </w:hyperlink>
        </w:p>
        <w:p w14:paraId="539D4A9C" w14:textId="429B253B" w:rsidR="00475BA2" w:rsidRPr="00A24D2A" w:rsidRDefault="00EB6C5A" w:rsidP="00475BA2">
          <w:pPr>
            <w:pStyle w:val="TOC1"/>
            <w:tabs>
              <w:tab w:val="left" w:pos="720"/>
              <w:tab w:val="right" w:leader="dot" w:pos="9350"/>
            </w:tabs>
            <w:spacing w:line="360" w:lineRule="auto"/>
            <w:rPr>
              <w:rFonts w:ascii="Arial" w:eastAsiaTheme="minorEastAsia" w:hAnsi="Arial" w:cs="Arial"/>
              <w:noProof/>
              <w:kern w:val="2"/>
              <w:sz w:val="24"/>
              <w:szCs w:val="24"/>
              <w:lang w:val="en-US" w:eastAsia="en-US"/>
            </w:rPr>
          </w:pPr>
          <w:hyperlink w:anchor="_Toc171049434" w:history="1">
            <w:r w:rsidR="00475BA2" w:rsidRPr="00A24D2A">
              <w:rPr>
                <w:rStyle w:val="Hyperlink"/>
                <w:rFonts w:ascii="Arial" w:eastAsiaTheme="majorEastAsia" w:hAnsi="Arial" w:cs="Arial"/>
                <w:noProof/>
                <w:sz w:val="24"/>
                <w:szCs w:val="24"/>
              </w:rPr>
              <w:t>4.</w:t>
            </w:r>
            <w:r w:rsidR="00475BA2" w:rsidRPr="00A24D2A">
              <w:rPr>
                <w:rFonts w:ascii="Arial" w:eastAsiaTheme="minorEastAsia" w:hAnsi="Arial" w:cs="Arial"/>
                <w:noProof/>
                <w:kern w:val="2"/>
                <w:sz w:val="24"/>
                <w:szCs w:val="24"/>
                <w:lang w:val="en-US" w:eastAsia="en-US"/>
              </w:rPr>
              <w:tab/>
            </w:r>
            <w:r w:rsidR="00475BA2" w:rsidRPr="00A24D2A">
              <w:rPr>
                <w:rStyle w:val="Hyperlink"/>
                <w:rFonts w:ascii="Arial" w:eastAsiaTheme="majorEastAsia" w:hAnsi="Arial" w:cs="Arial"/>
                <w:noProof/>
                <w:sz w:val="24"/>
                <w:szCs w:val="24"/>
              </w:rPr>
              <w:t>Recommendations</w:t>
            </w:r>
            <w:r w:rsidR="00475BA2" w:rsidRPr="00A24D2A">
              <w:rPr>
                <w:rFonts w:ascii="Arial" w:hAnsi="Arial" w:cs="Arial"/>
                <w:noProof/>
                <w:webHidden/>
                <w:sz w:val="24"/>
                <w:szCs w:val="24"/>
              </w:rPr>
              <w:tab/>
            </w:r>
            <w:r w:rsidR="00475BA2" w:rsidRPr="00A24D2A">
              <w:rPr>
                <w:rFonts w:ascii="Arial" w:hAnsi="Arial" w:cs="Arial"/>
                <w:noProof/>
                <w:webHidden/>
                <w:sz w:val="24"/>
                <w:szCs w:val="24"/>
              </w:rPr>
              <w:fldChar w:fldCharType="begin"/>
            </w:r>
            <w:r w:rsidR="00475BA2" w:rsidRPr="00A24D2A">
              <w:rPr>
                <w:rFonts w:ascii="Arial" w:hAnsi="Arial" w:cs="Arial"/>
                <w:noProof/>
                <w:webHidden/>
                <w:sz w:val="24"/>
                <w:szCs w:val="24"/>
              </w:rPr>
              <w:instrText xml:space="preserve"> PAGEREF _Toc171049434 \h </w:instrText>
            </w:r>
            <w:r w:rsidR="00475BA2" w:rsidRPr="00A24D2A">
              <w:rPr>
                <w:rFonts w:ascii="Arial" w:hAnsi="Arial" w:cs="Arial"/>
                <w:noProof/>
                <w:webHidden/>
                <w:sz w:val="24"/>
                <w:szCs w:val="24"/>
              </w:rPr>
            </w:r>
            <w:r w:rsidR="00475BA2" w:rsidRPr="00A24D2A">
              <w:rPr>
                <w:rFonts w:ascii="Arial" w:hAnsi="Arial" w:cs="Arial"/>
                <w:noProof/>
                <w:webHidden/>
                <w:sz w:val="24"/>
                <w:szCs w:val="24"/>
              </w:rPr>
              <w:fldChar w:fldCharType="separate"/>
            </w:r>
            <w:r w:rsidR="00475BA2" w:rsidRPr="00A24D2A">
              <w:rPr>
                <w:rFonts w:ascii="Arial" w:hAnsi="Arial" w:cs="Arial"/>
                <w:noProof/>
                <w:webHidden/>
                <w:sz w:val="24"/>
                <w:szCs w:val="24"/>
              </w:rPr>
              <w:t>9</w:t>
            </w:r>
            <w:r w:rsidR="00475BA2" w:rsidRPr="00A24D2A">
              <w:rPr>
                <w:rFonts w:ascii="Arial" w:hAnsi="Arial" w:cs="Arial"/>
                <w:noProof/>
                <w:webHidden/>
                <w:sz w:val="24"/>
                <w:szCs w:val="24"/>
              </w:rPr>
              <w:fldChar w:fldCharType="end"/>
            </w:r>
          </w:hyperlink>
        </w:p>
        <w:p w14:paraId="54441C23" w14:textId="71653B24" w:rsidR="00475BA2" w:rsidRPr="00A24D2A" w:rsidRDefault="00EB6C5A" w:rsidP="00475BA2">
          <w:pPr>
            <w:pStyle w:val="TOC1"/>
            <w:tabs>
              <w:tab w:val="left" w:pos="720"/>
              <w:tab w:val="right" w:leader="dot" w:pos="9350"/>
            </w:tabs>
            <w:spacing w:line="360" w:lineRule="auto"/>
            <w:rPr>
              <w:rFonts w:ascii="Arial" w:eastAsiaTheme="minorEastAsia" w:hAnsi="Arial" w:cs="Arial"/>
              <w:noProof/>
              <w:kern w:val="2"/>
              <w:sz w:val="24"/>
              <w:szCs w:val="24"/>
              <w:lang w:val="en-US" w:eastAsia="en-US"/>
            </w:rPr>
          </w:pPr>
          <w:hyperlink w:anchor="_Toc171049435" w:history="1">
            <w:r w:rsidR="00475BA2" w:rsidRPr="00A24D2A">
              <w:rPr>
                <w:rStyle w:val="Hyperlink"/>
                <w:rFonts w:ascii="Arial" w:eastAsiaTheme="majorEastAsia" w:hAnsi="Arial" w:cs="Arial"/>
                <w:noProof/>
                <w:sz w:val="24"/>
                <w:szCs w:val="24"/>
              </w:rPr>
              <w:t>5.</w:t>
            </w:r>
            <w:r w:rsidR="00475BA2" w:rsidRPr="00A24D2A">
              <w:rPr>
                <w:rFonts w:ascii="Arial" w:eastAsiaTheme="minorEastAsia" w:hAnsi="Arial" w:cs="Arial"/>
                <w:noProof/>
                <w:kern w:val="2"/>
                <w:sz w:val="24"/>
                <w:szCs w:val="24"/>
                <w:lang w:val="en-US" w:eastAsia="en-US"/>
              </w:rPr>
              <w:tab/>
            </w:r>
            <w:r w:rsidR="00475BA2" w:rsidRPr="00A24D2A">
              <w:rPr>
                <w:rStyle w:val="Hyperlink"/>
                <w:rFonts w:ascii="Arial" w:eastAsiaTheme="majorEastAsia" w:hAnsi="Arial" w:cs="Arial"/>
                <w:noProof/>
                <w:sz w:val="24"/>
                <w:szCs w:val="24"/>
              </w:rPr>
              <w:t>References</w:t>
            </w:r>
            <w:r w:rsidR="00475BA2" w:rsidRPr="00A24D2A">
              <w:rPr>
                <w:rFonts w:ascii="Arial" w:hAnsi="Arial" w:cs="Arial"/>
                <w:noProof/>
                <w:webHidden/>
                <w:sz w:val="24"/>
                <w:szCs w:val="24"/>
              </w:rPr>
              <w:tab/>
            </w:r>
            <w:r w:rsidR="00475BA2" w:rsidRPr="00A24D2A">
              <w:rPr>
                <w:rFonts w:ascii="Arial" w:hAnsi="Arial" w:cs="Arial"/>
                <w:noProof/>
                <w:webHidden/>
                <w:sz w:val="24"/>
                <w:szCs w:val="24"/>
              </w:rPr>
              <w:fldChar w:fldCharType="begin"/>
            </w:r>
            <w:r w:rsidR="00475BA2" w:rsidRPr="00A24D2A">
              <w:rPr>
                <w:rFonts w:ascii="Arial" w:hAnsi="Arial" w:cs="Arial"/>
                <w:noProof/>
                <w:webHidden/>
                <w:sz w:val="24"/>
                <w:szCs w:val="24"/>
              </w:rPr>
              <w:instrText xml:space="preserve"> PAGEREF _Toc171049435 \h </w:instrText>
            </w:r>
            <w:r w:rsidR="00475BA2" w:rsidRPr="00A24D2A">
              <w:rPr>
                <w:rFonts w:ascii="Arial" w:hAnsi="Arial" w:cs="Arial"/>
                <w:noProof/>
                <w:webHidden/>
                <w:sz w:val="24"/>
                <w:szCs w:val="24"/>
              </w:rPr>
            </w:r>
            <w:r w:rsidR="00475BA2" w:rsidRPr="00A24D2A">
              <w:rPr>
                <w:rFonts w:ascii="Arial" w:hAnsi="Arial" w:cs="Arial"/>
                <w:noProof/>
                <w:webHidden/>
                <w:sz w:val="24"/>
                <w:szCs w:val="24"/>
              </w:rPr>
              <w:fldChar w:fldCharType="separate"/>
            </w:r>
            <w:r w:rsidR="00475BA2" w:rsidRPr="00A24D2A">
              <w:rPr>
                <w:rFonts w:ascii="Arial" w:hAnsi="Arial" w:cs="Arial"/>
                <w:noProof/>
                <w:webHidden/>
                <w:sz w:val="24"/>
                <w:szCs w:val="24"/>
              </w:rPr>
              <w:t>10</w:t>
            </w:r>
            <w:r w:rsidR="00475BA2" w:rsidRPr="00A24D2A">
              <w:rPr>
                <w:rFonts w:ascii="Arial" w:hAnsi="Arial" w:cs="Arial"/>
                <w:noProof/>
                <w:webHidden/>
                <w:sz w:val="24"/>
                <w:szCs w:val="24"/>
              </w:rPr>
              <w:fldChar w:fldCharType="end"/>
            </w:r>
          </w:hyperlink>
        </w:p>
        <w:p w14:paraId="43609F23" w14:textId="53F83FE8" w:rsidR="00475BA2" w:rsidRPr="00A24D2A" w:rsidRDefault="00475BA2" w:rsidP="00475BA2">
          <w:pPr>
            <w:spacing w:line="360" w:lineRule="auto"/>
            <w:rPr>
              <w:rFonts w:ascii="Arial" w:hAnsi="Arial" w:cs="Arial"/>
            </w:rPr>
          </w:pPr>
          <w:r w:rsidRPr="00A24D2A">
            <w:rPr>
              <w:rFonts w:ascii="Arial" w:hAnsi="Arial" w:cs="Arial"/>
              <w:b/>
              <w:bCs/>
              <w:noProof/>
            </w:rPr>
            <w:fldChar w:fldCharType="end"/>
          </w:r>
        </w:p>
      </w:sdtContent>
    </w:sdt>
    <w:p w14:paraId="225A1D77" w14:textId="77777777" w:rsidR="00475BA2" w:rsidRPr="00A24D2A" w:rsidRDefault="00475BA2" w:rsidP="00475BA2">
      <w:pPr>
        <w:spacing w:line="360" w:lineRule="auto"/>
        <w:ind w:firstLine="720"/>
        <w:jc w:val="both"/>
        <w:rPr>
          <w:rFonts w:ascii="Arial" w:eastAsia="Play" w:hAnsi="Arial" w:cs="Arial"/>
          <w:color w:val="000000" w:themeColor="text1"/>
          <w:sz w:val="32"/>
          <w:szCs w:val="32"/>
        </w:rPr>
      </w:pPr>
      <w:r w:rsidRPr="00A24D2A">
        <w:rPr>
          <w:rFonts w:ascii="Arial" w:hAnsi="Arial" w:cs="Arial"/>
        </w:rPr>
        <w:br w:type="page"/>
      </w:r>
    </w:p>
    <w:p w14:paraId="76BBE5AC" w14:textId="32EF5344" w:rsidR="00774EB9" w:rsidRPr="00A24D2A" w:rsidRDefault="00AD31BB" w:rsidP="00F31EDF">
      <w:pPr>
        <w:pStyle w:val="Heading1"/>
      </w:pPr>
      <w:bookmarkStart w:id="0" w:name="_Toc171049427"/>
      <w:r w:rsidRPr="00A24D2A">
        <w:lastRenderedPageBreak/>
        <w:t>Introduction</w:t>
      </w:r>
      <w:bookmarkEnd w:id="0"/>
    </w:p>
    <w:p w14:paraId="49A4C135" w14:textId="07DCFEA1" w:rsidR="00774EB9" w:rsidRPr="00A24D2A" w:rsidRDefault="00E9372C" w:rsidP="00475BA2">
      <w:pPr>
        <w:spacing w:line="360" w:lineRule="auto"/>
        <w:ind w:firstLine="720"/>
        <w:jc w:val="both"/>
        <w:rPr>
          <w:rFonts w:ascii="Arial" w:hAnsi="Arial" w:cs="Arial"/>
          <w:b/>
          <w:bCs/>
          <w:sz w:val="24"/>
          <w:szCs w:val="24"/>
        </w:rPr>
      </w:pPr>
      <w:r w:rsidRPr="00A24D2A">
        <w:rPr>
          <w:rFonts w:ascii="Arial" w:hAnsi="Arial" w:cs="Arial"/>
          <w:sz w:val="24"/>
          <w:szCs w:val="24"/>
          <w:shd w:val="clear" w:color="auto" w:fill="FFFFFF"/>
          <w:lang w:val="en-US" w:eastAsia="en-US"/>
          <w14:ligatures w14:val="none"/>
        </w:rPr>
        <w:t xml:space="preserve">The Body Shop is one of the most popular companies that offer ethical and sustainable beauty products. </w:t>
      </w:r>
      <w:r w:rsidR="00475BA2" w:rsidRPr="00A24D2A">
        <w:rPr>
          <w:rFonts w:ascii="Arial" w:hAnsi="Arial" w:cs="Arial"/>
          <w:sz w:val="24"/>
          <w:szCs w:val="24"/>
          <w:shd w:val="clear" w:color="auto" w:fill="FFFFFF"/>
          <w:lang w:val="en-US" w:eastAsia="en-US"/>
          <w14:ligatures w14:val="none"/>
        </w:rPr>
        <w:t xml:space="preserve">The Body Shop was established in 1976 by Anita Roddick and the company is now operating internationally with unique values of being socially and environmentally responsible (Body Shop, 2024). The Body Shop currently has </w:t>
      </w:r>
      <w:r w:rsidR="00A25A85" w:rsidRPr="00A24D2A">
        <w:rPr>
          <w:rFonts w:ascii="Arial" w:hAnsi="Arial" w:cs="Arial"/>
          <w:sz w:val="24"/>
          <w:szCs w:val="24"/>
          <w:shd w:val="clear" w:color="auto" w:fill="FFFFFF"/>
          <w:lang w:val="en-US" w:eastAsia="en-US"/>
          <w14:ligatures w14:val="none"/>
        </w:rPr>
        <w:t xml:space="preserve">a </w:t>
      </w:r>
      <w:r w:rsidR="00475BA2" w:rsidRPr="00A24D2A">
        <w:rPr>
          <w:rFonts w:ascii="Arial" w:hAnsi="Arial" w:cs="Arial"/>
          <w:sz w:val="24"/>
          <w:szCs w:val="24"/>
          <w:shd w:val="clear" w:color="auto" w:fill="FFFFFF"/>
          <w:lang w:val="en-US" w:eastAsia="en-US"/>
          <w14:ligatures w14:val="none"/>
        </w:rPr>
        <w:t>network of more than 3,000 outlets across over 65 countries consisting of individual store</w:t>
      </w:r>
      <w:r w:rsidR="00A25A85" w:rsidRPr="00A24D2A">
        <w:rPr>
          <w:rFonts w:ascii="Arial" w:hAnsi="Arial" w:cs="Arial"/>
          <w:sz w:val="24"/>
          <w:szCs w:val="24"/>
          <w:shd w:val="clear" w:color="auto" w:fill="FFFFFF"/>
          <w:lang w:val="en-US" w:eastAsia="en-US"/>
          <w14:ligatures w14:val="none"/>
        </w:rPr>
        <w:t>s</w:t>
      </w:r>
      <w:r w:rsidR="00475BA2" w:rsidRPr="00A24D2A">
        <w:rPr>
          <w:rFonts w:ascii="Arial" w:hAnsi="Arial" w:cs="Arial"/>
          <w:sz w:val="24"/>
          <w:szCs w:val="24"/>
          <w:shd w:val="clear" w:color="auto" w:fill="FFFFFF"/>
          <w:lang w:val="en-US" w:eastAsia="en-US"/>
          <w14:ligatures w14:val="none"/>
        </w:rPr>
        <w:t>.</w:t>
      </w:r>
      <w:r w:rsidR="00533517">
        <w:rPr>
          <w:rFonts w:ascii="Arial" w:hAnsi="Arial" w:cs="Arial"/>
          <w:sz w:val="24"/>
          <w:szCs w:val="24"/>
          <w:shd w:val="clear" w:color="auto" w:fill="FFFFFF"/>
          <w:lang w:val="en-US" w:eastAsia="en-US"/>
          <w14:ligatures w14:val="none"/>
        </w:rPr>
        <w:t xml:space="preserve"> </w:t>
      </w:r>
      <w:r w:rsidR="00475BA2" w:rsidRPr="00A24D2A">
        <w:rPr>
          <w:rFonts w:ascii="Arial" w:hAnsi="Arial" w:cs="Arial"/>
          <w:sz w:val="24"/>
          <w:szCs w:val="24"/>
          <w:shd w:val="clear" w:color="auto" w:fill="FFFFFF"/>
          <w:lang w:val="en-US" w:eastAsia="en-US"/>
          <w14:ligatures w14:val="none"/>
        </w:rPr>
        <w:t xml:space="preserve">NBC News (2024) reported the current situation of The Body Shop, its operating status is distinguished by the company’s decision to cease operations in the United States and file for Chapter 7 bankruptcy to liquidate in New York. The report aims to evaluate the factors affecting the company, with particular attention to its recent strategic choices. Through an extensive PESTLE analysis and stakeholder analysis, this report will identify the company’s current standing in </w:t>
      </w:r>
      <w:r w:rsidR="00A25A85" w:rsidRPr="00A24D2A">
        <w:rPr>
          <w:rFonts w:ascii="Arial" w:hAnsi="Arial" w:cs="Arial"/>
          <w:sz w:val="24"/>
          <w:szCs w:val="24"/>
          <w:shd w:val="clear" w:color="auto" w:fill="FFFFFF"/>
          <w:lang w:val="en-US" w:eastAsia="en-US"/>
          <w14:ligatures w14:val="none"/>
        </w:rPr>
        <w:t>its</w:t>
      </w:r>
      <w:r w:rsidR="00475BA2" w:rsidRPr="00A24D2A">
        <w:rPr>
          <w:rFonts w:ascii="Arial" w:hAnsi="Arial" w:cs="Arial"/>
          <w:sz w:val="24"/>
          <w:szCs w:val="24"/>
          <w:shd w:val="clear" w:color="auto" w:fill="FFFFFF"/>
          <w:lang w:val="en-US" w:eastAsia="en-US"/>
          <w14:ligatures w14:val="none"/>
        </w:rPr>
        <w:t xml:space="preserve"> industry, its current problems, and opportunities</w:t>
      </w:r>
      <w:r w:rsidR="00B23A3A" w:rsidRPr="00A24D2A">
        <w:rPr>
          <w:rFonts w:ascii="Arial" w:hAnsi="Arial" w:cs="Arial"/>
          <w:sz w:val="24"/>
          <w:szCs w:val="24"/>
          <w:shd w:val="clear" w:color="auto" w:fill="FFFFFF"/>
          <w:lang w:val="en-US" w:eastAsia="en-US"/>
          <w14:ligatures w14:val="none"/>
        </w:rPr>
        <w:t xml:space="preserve">. </w:t>
      </w:r>
    </w:p>
    <w:p w14:paraId="339F4E8C" w14:textId="045FD493" w:rsidR="00AD31BB" w:rsidRPr="00A24D2A" w:rsidRDefault="00AD31BB" w:rsidP="00475BA2">
      <w:pPr>
        <w:pStyle w:val="Heading2"/>
        <w:numPr>
          <w:ilvl w:val="0"/>
          <w:numId w:val="6"/>
        </w:numPr>
        <w:rPr>
          <w:rFonts w:cs="Arial"/>
        </w:rPr>
      </w:pPr>
      <w:bookmarkStart w:id="1" w:name="_Toc171049428"/>
      <w:r w:rsidRPr="00A24D2A">
        <w:rPr>
          <w:rFonts w:cs="Arial"/>
        </w:rPr>
        <w:t>Findings</w:t>
      </w:r>
      <w:bookmarkEnd w:id="1"/>
      <w:r w:rsidRPr="00A24D2A">
        <w:rPr>
          <w:rFonts w:cs="Arial"/>
        </w:rPr>
        <w:t xml:space="preserve"> </w:t>
      </w:r>
    </w:p>
    <w:p w14:paraId="40346A17" w14:textId="41F3E95C" w:rsidR="00E9372C" w:rsidRPr="00A24D2A" w:rsidRDefault="00F31EDF" w:rsidP="00E9372C">
      <w:pPr>
        <w:pStyle w:val="Heading3"/>
        <w:numPr>
          <w:ilvl w:val="1"/>
          <w:numId w:val="6"/>
        </w:numPr>
        <w:rPr>
          <w:color w:val="auto"/>
        </w:rPr>
      </w:pPr>
      <w:bookmarkStart w:id="2" w:name="_Toc171049429"/>
      <w:r>
        <w:rPr>
          <w:color w:val="auto"/>
        </w:rPr>
        <w:t xml:space="preserve"> </w:t>
      </w:r>
      <w:r w:rsidR="00774EB9" w:rsidRPr="00A24D2A">
        <w:rPr>
          <w:color w:val="auto"/>
        </w:rPr>
        <w:t>PESTLE Analysis: Overview, Advantages, and Disadvantages</w:t>
      </w:r>
      <w:bookmarkEnd w:id="2"/>
    </w:p>
    <w:p w14:paraId="37101854" w14:textId="1C2C309E" w:rsidR="00774EB9" w:rsidRPr="00A24D2A" w:rsidRDefault="00E9372C" w:rsidP="00E9372C">
      <w:pPr>
        <w:spacing w:line="360" w:lineRule="auto"/>
        <w:ind w:firstLine="720"/>
        <w:jc w:val="both"/>
        <w:rPr>
          <w:rFonts w:ascii="Arial" w:hAnsi="Arial" w:cs="Arial"/>
          <w:sz w:val="24"/>
          <w:szCs w:val="24"/>
        </w:rPr>
      </w:pPr>
      <w:r w:rsidRPr="00A24D2A">
        <w:rPr>
          <w:rFonts w:ascii="Arial" w:hAnsi="Arial" w:cs="Arial"/>
          <w:sz w:val="24"/>
          <w:szCs w:val="24"/>
        </w:rPr>
        <w:t>PESTEL analysis is a strategic framework applied for the purpose of Political, Economic, Social, Technological, Environmental, and Legal analysis of a particular organi</w:t>
      </w:r>
      <w:r w:rsidR="00480594">
        <w:rPr>
          <w:rFonts w:ascii="Arial" w:hAnsi="Arial" w:cs="Arial"/>
          <w:sz w:val="24"/>
          <w:szCs w:val="24"/>
        </w:rPr>
        <w:t>s</w:t>
      </w:r>
      <w:r w:rsidRPr="00A24D2A">
        <w:rPr>
          <w:rFonts w:ascii="Arial" w:hAnsi="Arial" w:cs="Arial"/>
          <w:sz w:val="24"/>
          <w:szCs w:val="24"/>
        </w:rPr>
        <w:t>ation or industry</w:t>
      </w:r>
      <w:r w:rsidR="00480594">
        <w:rPr>
          <w:rFonts w:ascii="Arial" w:hAnsi="Arial" w:cs="Arial"/>
          <w:sz w:val="24"/>
          <w:szCs w:val="24"/>
        </w:rPr>
        <w:t xml:space="preserve"> </w:t>
      </w:r>
      <w:r w:rsidR="00480594" w:rsidRPr="00A24D2A">
        <w:rPr>
          <w:rFonts w:ascii="Arial" w:hAnsi="Arial" w:cs="Arial"/>
          <w:sz w:val="24"/>
          <w:szCs w:val="24"/>
        </w:rPr>
        <w:t>(Waqar et al., 2024).</w:t>
      </w:r>
      <w:r w:rsidRPr="00A24D2A">
        <w:rPr>
          <w:rFonts w:ascii="Arial" w:hAnsi="Arial" w:cs="Arial"/>
          <w:sz w:val="24"/>
          <w:szCs w:val="24"/>
        </w:rPr>
        <w:t xml:space="preserve"> </w:t>
      </w:r>
      <w:r w:rsidR="00475BA2" w:rsidRPr="00A24D2A">
        <w:rPr>
          <w:rFonts w:ascii="Arial" w:hAnsi="Arial" w:cs="Arial"/>
          <w:sz w:val="24"/>
          <w:szCs w:val="24"/>
        </w:rPr>
        <w:t xml:space="preserve">It helps </w:t>
      </w:r>
      <w:r w:rsidR="00A25A85" w:rsidRPr="00A24D2A">
        <w:rPr>
          <w:rFonts w:ascii="Arial" w:hAnsi="Arial" w:cs="Arial"/>
          <w:sz w:val="24"/>
          <w:szCs w:val="24"/>
        </w:rPr>
        <w:t>to</w:t>
      </w:r>
      <w:r w:rsidR="00475BA2" w:rsidRPr="00A24D2A">
        <w:rPr>
          <w:rFonts w:ascii="Arial" w:hAnsi="Arial" w:cs="Arial"/>
          <w:sz w:val="24"/>
          <w:szCs w:val="24"/>
        </w:rPr>
        <w:t xml:space="preserve"> recognis</w:t>
      </w:r>
      <w:r w:rsidR="00F31EDF">
        <w:rPr>
          <w:rFonts w:ascii="Arial" w:hAnsi="Arial" w:cs="Arial"/>
          <w:sz w:val="24"/>
          <w:szCs w:val="24"/>
        </w:rPr>
        <w:t>e</w:t>
      </w:r>
      <w:r w:rsidR="00475BA2" w:rsidRPr="00A24D2A">
        <w:rPr>
          <w:rFonts w:ascii="Arial" w:hAnsi="Arial" w:cs="Arial"/>
          <w:sz w:val="24"/>
          <w:szCs w:val="24"/>
        </w:rPr>
        <w:t xml:space="preserve"> events that impact operations and </w:t>
      </w:r>
      <w:r w:rsidR="00A25A85" w:rsidRPr="00A24D2A">
        <w:rPr>
          <w:rFonts w:ascii="Arial" w:hAnsi="Arial" w:cs="Arial"/>
          <w:sz w:val="24"/>
          <w:szCs w:val="24"/>
        </w:rPr>
        <w:t xml:space="preserve">the </w:t>
      </w:r>
      <w:r w:rsidR="00475BA2" w:rsidRPr="00A24D2A">
        <w:rPr>
          <w:rFonts w:ascii="Arial" w:hAnsi="Arial" w:cs="Arial"/>
          <w:sz w:val="24"/>
          <w:szCs w:val="24"/>
        </w:rPr>
        <w:t>business environment; thus, decision</w:t>
      </w:r>
      <w:r w:rsidR="00A25A85" w:rsidRPr="00A24D2A">
        <w:rPr>
          <w:rFonts w:ascii="Arial" w:hAnsi="Arial" w:cs="Arial"/>
          <w:sz w:val="24"/>
          <w:szCs w:val="24"/>
        </w:rPr>
        <w:t>-</w:t>
      </w:r>
      <w:r w:rsidR="00475BA2" w:rsidRPr="00A24D2A">
        <w:rPr>
          <w:rFonts w:ascii="Arial" w:hAnsi="Arial" w:cs="Arial"/>
          <w:sz w:val="24"/>
          <w:szCs w:val="24"/>
        </w:rPr>
        <w:t>makers can respond proactively to surrounding pressures</w:t>
      </w:r>
      <w:r w:rsidR="00480594">
        <w:rPr>
          <w:rFonts w:ascii="Arial" w:hAnsi="Arial" w:cs="Arial"/>
          <w:sz w:val="24"/>
          <w:szCs w:val="24"/>
        </w:rPr>
        <w:t>.</w:t>
      </w:r>
    </w:p>
    <w:p w14:paraId="5FFF973E" w14:textId="27C62A3B" w:rsidR="00475BA2" w:rsidRPr="00A24D2A" w:rsidRDefault="00475BA2" w:rsidP="00475BA2">
      <w:pPr>
        <w:spacing w:line="360" w:lineRule="auto"/>
        <w:jc w:val="center"/>
        <w:rPr>
          <w:rFonts w:ascii="Arial" w:hAnsi="Arial" w:cs="Arial"/>
          <w:sz w:val="24"/>
          <w:szCs w:val="24"/>
        </w:rPr>
      </w:pPr>
      <w:r w:rsidRPr="00A24D2A">
        <w:rPr>
          <w:rFonts w:ascii="Arial" w:hAnsi="Arial" w:cs="Arial"/>
          <w:noProof/>
        </w:rPr>
        <w:drawing>
          <wp:inline distT="0" distB="0" distL="0" distR="0" wp14:anchorId="6FE8D79A" wp14:editId="1244BBC7">
            <wp:extent cx="5287062" cy="2009775"/>
            <wp:effectExtent l="0" t="0" r="0" b="0"/>
            <wp:docPr id="1923660989" name="Picture 1" descr="PESTLE Analysis. How to Conduct a PESTLE Analysis for… | by Anirban  Mukherjee ✍️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How to Conduct a PESTLE Analysis for… | by Anirban  Mukherjee ✍️ | Mediu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1086" cy="2022709"/>
                    </a:xfrm>
                    <a:prstGeom prst="rect">
                      <a:avLst/>
                    </a:prstGeom>
                    <a:noFill/>
                    <a:ln>
                      <a:noFill/>
                    </a:ln>
                  </pic:spPr>
                </pic:pic>
              </a:graphicData>
            </a:graphic>
          </wp:inline>
        </w:drawing>
      </w:r>
    </w:p>
    <w:p w14:paraId="1C488848" w14:textId="321EDE6B" w:rsidR="00475BA2" w:rsidRPr="00A24D2A" w:rsidRDefault="00475BA2" w:rsidP="00475BA2">
      <w:pPr>
        <w:spacing w:line="360" w:lineRule="auto"/>
        <w:jc w:val="center"/>
        <w:rPr>
          <w:rFonts w:ascii="Arial" w:hAnsi="Arial" w:cs="Arial"/>
          <w:i/>
          <w:iCs/>
        </w:rPr>
      </w:pPr>
      <w:r w:rsidRPr="00A24D2A">
        <w:rPr>
          <w:rFonts w:ascii="Arial" w:hAnsi="Arial" w:cs="Arial"/>
          <w:i/>
          <w:iCs/>
        </w:rPr>
        <w:t>Figure 1: PESTLE Analysis</w:t>
      </w:r>
    </w:p>
    <w:p w14:paraId="06080DBF" w14:textId="50334EC5" w:rsidR="00774EB9" w:rsidRPr="00AC2C5F" w:rsidRDefault="00475BA2" w:rsidP="00AC2C5F">
      <w:pPr>
        <w:spacing w:line="360" w:lineRule="auto"/>
        <w:jc w:val="center"/>
        <w:rPr>
          <w:rFonts w:ascii="Arial" w:hAnsi="Arial" w:cs="Arial"/>
          <w:i/>
          <w:iCs/>
        </w:rPr>
      </w:pPr>
      <w:r w:rsidRPr="00A24D2A">
        <w:rPr>
          <w:rFonts w:ascii="Arial" w:hAnsi="Arial" w:cs="Arial"/>
          <w:i/>
          <w:iCs/>
        </w:rPr>
        <w:t>Source: Medium (Ortega et al., 2019)</w:t>
      </w:r>
    </w:p>
    <w:p w14:paraId="59F3F1F9" w14:textId="459E6558" w:rsidR="00774EB9" w:rsidRPr="00A24D2A" w:rsidRDefault="00774EB9" w:rsidP="00475BA2">
      <w:pPr>
        <w:pStyle w:val="NormalWeb"/>
        <w:spacing w:line="360" w:lineRule="auto"/>
        <w:ind w:firstLine="720"/>
        <w:jc w:val="both"/>
        <w:rPr>
          <w:rFonts w:ascii="Arial" w:hAnsi="Arial" w:cs="Arial"/>
        </w:rPr>
      </w:pPr>
      <w:r w:rsidRPr="00A24D2A">
        <w:rPr>
          <w:rFonts w:ascii="Arial" w:hAnsi="Arial" w:cs="Arial"/>
        </w:rPr>
        <w:lastRenderedPageBreak/>
        <w:t xml:space="preserve">One of the primary advantages of conducting a </w:t>
      </w:r>
      <w:r w:rsidR="00E9372C" w:rsidRPr="00A24D2A">
        <w:rPr>
          <w:rFonts w:ascii="Arial" w:hAnsi="Arial" w:cs="Arial"/>
        </w:rPr>
        <w:t>PESTLE analysis is that the organisation can gain an all-encompassing view of the environment in question. Through</w:t>
      </w:r>
      <w:r w:rsidR="00475BA2" w:rsidRPr="00A24D2A">
        <w:rPr>
          <w:rFonts w:ascii="Arial" w:hAnsi="Arial" w:cs="Arial"/>
        </w:rPr>
        <w:t xml:space="preserve"> the analytical approach of each factor, organisations can identify the factors contributing to political risks, economic conditions, social factors, technologies, legal factors</w:t>
      </w:r>
      <w:r w:rsidR="00A25A85" w:rsidRPr="00A24D2A">
        <w:rPr>
          <w:rFonts w:ascii="Arial" w:hAnsi="Arial" w:cs="Arial"/>
        </w:rPr>
        <w:t>,</w:t>
      </w:r>
      <w:r w:rsidR="00475BA2" w:rsidRPr="00A24D2A">
        <w:rPr>
          <w:rFonts w:ascii="Arial" w:hAnsi="Arial" w:cs="Arial"/>
        </w:rPr>
        <w:t xml:space="preserve"> and environment</w:t>
      </w:r>
      <w:r w:rsidR="00A25A85" w:rsidRPr="00A24D2A">
        <w:rPr>
          <w:rFonts w:ascii="Arial" w:hAnsi="Arial" w:cs="Arial"/>
        </w:rPr>
        <w:t>al</w:t>
      </w:r>
      <w:r w:rsidR="00475BA2" w:rsidRPr="00A24D2A">
        <w:rPr>
          <w:rFonts w:ascii="Arial" w:hAnsi="Arial" w:cs="Arial"/>
        </w:rPr>
        <w:t xml:space="preserve"> implications facing industries and markets (Christodoulou, 2019). In addition, a PESTLE analysis is especially useful in determining opportunities that potentially lead to </w:t>
      </w:r>
      <w:r w:rsidR="00A25A85" w:rsidRPr="00A24D2A">
        <w:rPr>
          <w:rFonts w:ascii="Arial" w:hAnsi="Arial" w:cs="Arial"/>
        </w:rPr>
        <w:t xml:space="preserve">an </w:t>
      </w:r>
      <w:r w:rsidR="00475BA2" w:rsidRPr="00A24D2A">
        <w:rPr>
          <w:rFonts w:ascii="Arial" w:hAnsi="Arial" w:cs="Arial"/>
        </w:rPr>
        <w:t>organisation’s development, or threats that exist that threaten the organisation.</w:t>
      </w:r>
    </w:p>
    <w:p w14:paraId="7E96C095" w14:textId="2FF596C0" w:rsidR="00475BA2" w:rsidRPr="00A24D2A" w:rsidRDefault="00774EB9" w:rsidP="00475BA2">
      <w:pPr>
        <w:pStyle w:val="NormalWeb"/>
        <w:spacing w:line="360" w:lineRule="auto"/>
        <w:ind w:firstLine="720"/>
        <w:jc w:val="both"/>
        <w:rPr>
          <w:rFonts w:ascii="Arial" w:hAnsi="Arial" w:cs="Arial"/>
        </w:rPr>
      </w:pPr>
      <w:r w:rsidRPr="00A24D2A">
        <w:rPr>
          <w:rFonts w:ascii="Arial" w:hAnsi="Arial" w:cs="Arial"/>
        </w:rPr>
        <w:t xml:space="preserve">However, there are several disadvantages to consider when using a PESTLE analysis. </w:t>
      </w:r>
      <w:r w:rsidR="00475BA2" w:rsidRPr="00A24D2A">
        <w:rPr>
          <w:rFonts w:ascii="Arial" w:hAnsi="Arial" w:cs="Arial"/>
        </w:rPr>
        <w:t>Collecting and analysing data on each element consumes time and encourages extensive use of resources, especially in fast-paced and globalised environments, where the external conditions</w:t>
      </w:r>
      <w:r w:rsidR="00396AD7">
        <w:rPr>
          <w:rFonts w:ascii="Arial" w:hAnsi="Arial" w:cs="Arial"/>
        </w:rPr>
        <w:t xml:space="preserve"> can</w:t>
      </w:r>
      <w:r w:rsidR="00475BA2" w:rsidRPr="00A24D2A">
        <w:rPr>
          <w:rFonts w:ascii="Arial" w:hAnsi="Arial" w:cs="Arial"/>
        </w:rPr>
        <w:t xml:space="preserve"> shift quickly (Buye, 2021). However, PESTLE analysis is mainly used to study the external environment and can equally ignore such in-depth organisational issues as organisational culture, leadership, or internal inefficiency (Huq and Stevenson, 2020). Moreover, the views that analysts give to these external factors cannot be the same, providing questionable conclusions and strategies.</w:t>
      </w:r>
    </w:p>
    <w:p w14:paraId="0BF80C8E" w14:textId="6651CC14" w:rsidR="00774EB9" w:rsidRPr="00A24D2A" w:rsidRDefault="00F31EDF" w:rsidP="00475BA2">
      <w:pPr>
        <w:pStyle w:val="Heading3"/>
        <w:numPr>
          <w:ilvl w:val="1"/>
          <w:numId w:val="6"/>
        </w:numPr>
        <w:rPr>
          <w:color w:val="auto"/>
        </w:rPr>
      </w:pPr>
      <w:bookmarkStart w:id="3" w:name="_Toc171049430"/>
      <w:r>
        <w:rPr>
          <w:color w:val="auto"/>
        </w:rPr>
        <w:t xml:space="preserve"> </w:t>
      </w:r>
      <w:r w:rsidR="00774EB9" w:rsidRPr="00A24D2A">
        <w:rPr>
          <w:color w:val="auto"/>
        </w:rPr>
        <w:t>PESTLE Analysis</w:t>
      </w:r>
      <w:bookmarkEnd w:id="3"/>
    </w:p>
    <w:p w14:paraId="19BA9389" w14:textId="6B0EFB52" w:rsidR="00D574CC" w:rsidRPr="00A24D2A" w:rsidRDefault="00D574CC" w:rsidP="00475BA2">
      <w:pPr>
        <w:pStyle w:val="NormalWeb"/>
        <w:spacing w:line="360" w:lineRule="auto"/>
        <w:jc w:val="both"/>
        <w:rPr>
          <w:rFonts w:ascii="Arial" w:hAnsi="Arial" w:cs="Arial"/>
        </w:rPr>
      </w:pPr>
      <w:r w:rsidRPr="00A24D2A">
        <w:rPr>
          <w:rStyle w:val="Strong"/>
          <w:rFonts w:ascii="Arial" w:eastAsiaTheme="majorEastAsia" w:hAnsi="Arial" w:cs="Arial"/>
        </w:rPr>
        <w:t>Political Factors:</w:t>
      </w:r>
      <w:r w:rsidR="00475BA2" w:rsidRPr="00A24D2A">
        <w:rPr>
          <w:rFonts w:ascii="Arial" w:hAnsi="Arial" w:cs="Arial"/>
        </w:rPr>
        <w:t xml:space="preserve"> </w:t>
      </w:r>
      <w:r w:rsidRPr="00A24D2A">
        <w:rPr>
          <w:rFonts w:ascii="Arial" w:hAnsi="Arial" w:cs="Arial"/>
        </w:rPr>
        <w:t xml:space="preserve">The Body Shop operates in a global market where political stability, government regulations, and trade policies significantly impact its operations. </w:t>
      </w:r>
      <w:r w:rsidR="00475BA2" w:rsidRPr="00A24D2A">
        <w:rPr>
          <w:rFonts w:ascii="Arial" w:hAnsi="Arial" w:cs="Arial"/>
        </w:rPr>
        <w:t>Environmental legislation, product safety</w:t>
      </w:r>
      <w:r w:rsidR="00A25A85" w:rsidRPr="00A24D2A">
        <w:rPr>
          <w:rFonts w:ascii="Arial" w:hAnsi="Arial" w:cs="Arial"/>
        </w:rPr>
        <w:t>,</w:t>
      </w:r>
      <w:r w:rsidR="00475BA2" w:rsidRPr="00A24D2A">
        <w:rPr>
          <w:rFonts w:ascii="Arial" w:hAnsi="Arial" w:cs="Arial"/>
        </w:rPr>
        <w:t xml:space="preserve"> and social responsibility policies are vital regulatory policies that are considered (Lysons and Farrington, 2020). Tariffs and trade agreement policies in the global market have a pull on international sourcing and supply chain costs. Stable political structures in the sourcing locations also guarantee a stable source of natural raw materials.</w:t>
      </w:r>
    </w:p>
    <w:p w14:paraId="25BAA58B" w14:textId="08DD167D" w:rsidR="00D574CC" w:rsidRPr="00A24D2A" w:rsidRDefault="00D574CC" w:rsidP="00475BA2">
      <w:pPr>
        <w:pStyle w:val="NormalWeb"/>
        <w:spacing w:line="360" w:lineRule="auto"/>
        <w:jc w:val="both"/>
        <w:rPr>
          <w:rFonts w:ascii="Arial" w:hAnsi="Arial" w:cs="Arial"/>
        </w:rPr>
      </w:pPr>
      <w:r w:rsidRPr="00A24D2A">
        <w:rPr>
          <w:rStyle w:val="Strong"/>
          <w:rFonts w:ascii="Arial" w:eastAsiaTheme="majorEastAsia" w:hAnsi="Arial" w:cs="Arial"/>
        </w:rPr>
        <w:t>Economic Factors:</w:t>
      </w:r>
      <w:r w:rsidRPr="00A24D2A">
        <w:rPr>
          <w:rFonts w:ascii="Arial" w:hAnsi="Arial" w:cs="Arial"/>
        </w:rPr>
        <w:t xml:space="preserve"> Economic factors such as economic growth rates, inflation rates, and consumer spending directly influence The Body Shop’s sales and profitability. </w:t>
      </w:r>
      <w:r w:rsidR="00475BA2" w:rsidRPr="00A24D2A">
        <w:rPr>
          <w:rFonts w:ascii="Arial" w:hAnsi="Arial" w:cs="Arial"/>
        </w:rPr>
        <w:t xml:space="preserve">Fluctuations in consumer purchasing power affect </w:t>
      </w:r>
      <w:r w:rsidR="00A25A85" w:rsidRPr="00A24D2A">
        <w:rPr>
          <w:rFonts w:ascii="Arial" w:hAnsi="Arial" w:cs="Arial"/>
        </w:rPr>
        <w:t xml:space="preserve">the </w:t>
      </w:r>
      <w:r w:rsidR="00475BA2" w:rsidRPr="00A24D2A">
        <w:rPr>
          <w:rFonts w:ascii="Arial" w:hAnsi="Arial" w:cs="Arial"/>
        </w:rPr>
        <w:t xml:space="preserve">purchasing of cosmetics by </w:t>
      </w:r>
      <w:r w:rsidR="00475BA2" w:rsidRPr="00A24D2A">
        <w:rPr>
          <w:rFonts w:ascii="Arial" w:hAnsi="Arial" w:cs="Arial"/>
        </w:rPr>
        <w:lastRenderedPageBreak/>
        <w:t xml:space="preserve">increasing the volumes of some products that experience a lower demand in the face of an economic downturn. Exchange rates’ volatility impacts the price of raw materials which are sometimes imported and international sales revenues (Haslam et al., 2018). Interest rates have the effect of determining costs of capital and borrowing for </w:t>
      </w:r>
      <w:r w:rsidR="00A25A85" w:rsidRPr="00A24D2A">
        <w:rPr>
          <w:rFonts w:ascii="Arial" w:hAnsi="Arial" w:cs="Arial"/>
        </w:rPr>
        <w:t xml:space="preserve">the </w:t>
      </w:r>
      <w:r w:rsidR="00475BA2" w:rsidRPr="00A24D2A">
        <w:rPr>
          <w:rFonts w:ascii="Arial" w:hAnsi="Arial" w:cs="Arial"/>
        </w:rPr>
        <w:t>expansion of business and investment in new markets for products.</w:t>
      </w:r>
    </w:p>
    <w:p w14:paraId="046D96DF" w14:textId="38CC73BF" w:rsidR="00D574CC" w:rsidRPr="00A24D2A" w:rsidRDefault="00D574CC" w:rsidP="00475BA2">
      <w:pPr>
        <w:pStyle w:val="NormalWeb"/>
        <w:spacing w:line="360" w:lineRule="auto"/>
        <w:jc w:val="both"/>
        <w:rPr>
          <w:rFonts w:ascii="Arial" w:hAnsi="Arial" w:cs="Arial"/>
        </w:rPr>
      </w:pPr>
      <w:r w:rsidRPr="00A24D2A">
        <w:rPr>
          <w:rStyle w:val="Strong"/>
          <w:rFonts w:ascii="Arial" w:eastAsiaTheme="majorEastAsia" w:hAnsi="Arial" w:cs="Arial"/>
        </w:rPr>
        <w:t>Sociocultural Factors:</w:t>
      </w:r>
      <w:r w:rsidRPr="00A24D2A">
        <w:rPr>
          <w:rFonts w:ascii="Arial" w:hAnsi="Arial" w:cs="Arial"/>
        </w:rPr>
        <w:t xml:space="preserve"> Sociocultural factors encompass societal attitudes, values, lifestyles, and demographic trends that impact consumer behavio</w:t>
      </w:r>
      <w:r w:rsidR="00475BA2" w:rsidRPr="00A24D2A">
        <w:rPr>
          <w:rFonts w:ascii="Arial" w:hAnsi="Arial" w:cs="Arial"/>
        </w:rPr>
        <w:t>u</w:t>
      </w:r>
      <w:r w:rsidRPr="00A24D2A">
        <w:rPr>
          <w:rFonts w:ascii="Arial" w:hAnsi="Arial" w:cs="Arial"/>
        </w:rPr>
        <w:t xml:space="preserve">r. </w:t>
      </w:r>
      <w:r w:rsidR="00475BA2" w:rsidRPr="00A24D2A">
        <w:rPr>
          <w:rFonts w:ascii="Arial" w:hAnsi="Arial" w:cs="Arial"/>
        </w:rPr>
        <w:t xml:space="preserve">Organisational commitment to the development and implementation of ethical and sustainable values is highly valued by consumers striving for environmental sustainability and ethical purchasing. Population trends such as </w:t>
      </w:r>
      <w:r w:rsidR="00A25A85" w:rsidRPr="00A24D2A">
        <w:rPr>
          <w:rFonts w:ascii="Arial" w:hAnsi="Arial" w:cs="Arial"/>
        </w:rPr>
        <w:t xml:space="preserve">the </w:t>
      </w:r>
      <w:r w:rsidR="00475BA2" w:rsidRPr="00A24D2A">
        <w:rPr>
          <w:rFonts w:ascii="Arial" w:hAnsi="Arial" w:cs="Arial"/>
        </w:rPr>
        <w:t>elder</w:t>
      </w:r>
      <w:r w:rsidR="00A25A85" w:rsidRPr="00A24D2A">
        <w:rPr>
          <w:rFonts w:ascii="Arial" w:hAnsi="Arial" w:cs="Arial"/>
        </w:rPr>
        <w:t>ly</w:t>
      </w:r>
      <w:r w:rsidR="00475BA2" w:rsidRPr="00A24D2A">
        <w:rPr>
          <w:rFonts w:ascii="Arial" w:hAnsi="Arial" w:cs="Arial"/>
        </w:rPr>
        <w:t xml:space="preserve"> population in need of anti-ag</w:t>
      </w:r>
      <w:r w:rsidR="00F31EDF">
        <w:rPr>
          <w:rFonts w:ascii="Arial" w:hAnsi="Arial" w:cs="Arial"/>
        </w:rPr>
        <w:t>e</w:t>
      </w:r>
      <w:r w:rsidR="00475BA2" w:rsidRPr="00A24D2A">
        <w:rPr>
          <w:rFonts w:ascii="Arial" w:hAnsi="Arial" w:cs="Arial"/>
        </w:rPr>
        <w:t>ing creams or youths advocating for vegan products inform the formulation and promotion of skincare merchandise (Ahmad et al., 2020).</w:t>
      </w:r>
    </w:p>
    <w:p w14:paraId="7B41A686" w14:textId="77F6FDD3" w:rsidR="00D574CC" w:rsidRPr="00A24D2A" w:rsidRDefault="00D574CC" w:rsidP="00475BA2">
      <w:pPr>
        <w:pStyle w:val="NormalWeb"/>
        <w:spacing w:line="360" w:lineRule="auto"/>
        <w:jc w:val="both"/>
        <w:rPr>
          <w:rFonts w:ascii="Arial" w:hAnsi="Arial" w:cs="Arial"/>
        </w:rPr>
      </w:pPr>
      <w:r w:rsidRPr="00A24D2A">
        <w:rPr>
          <w:rStyle w:val="Strong"/>
          <w:rFonts w:ascii="Arial" w:eastAsiaTheme="majorEastAsia" w:hAnsi="Arial" w:cs="Arial"/>
        </w:rPr>
        <w:t>Technological Factors:</w:t>
      </w:r>
      <w:r w:rsidRPr="00A24D2A">
        <w:rPr>
          <w:rFonts w:ascii="Arial" w:hAnsi="Arial" w:cs="Arial"/>
        </w:rPr>
        <w:t xml:space="preserve"> Technological advancements significantly impact The Body Shop’s operations and customer engagement strategies. </w:t>
      </w:r>
      <w:r w:rsidR="00475BA2" w:rsidRPr="00A24D2A">
        <w:rPr>
          <w:rFonts w:ascii="Arial" w:hAnsi="Arial" w:cs="Arial"/>
        </w:rPr>
        <w:t>E-commerce has replaced the conventional shopping inclinations of consumers and thus require</w:t>
      </w:r>
      <w:r w:rsidR="00A25A85" w:rsidRPr="00A24D2A">
        <w:rPr>
          <w:rFonts w:ascii="Arial" w:hAnsi="Arial" w:cs="Arial"/>
        </w:rPr>
        <w:t>s</w:t>
      </w:r>
      <w:r w:rsidR="00475BA2" w:rsidRPr="00A24D2A">
        <w:rPr>
          <w:rFonts w:ascii="Arial" w:hAnsi="Arial" w:cs="Arial"/>
        </w:rPr>
        <w:t xml:space="preserve"> strong Search Engine Optimisation (SEO) strategies and Strategic E-Commerce Marketing Plans (Alam and Murad, 2020). The analytical processing of data in real-time, and the application of AI during operations facilitate targeted marketing communications </w:t>
      </w:r>
      <w:r w:rsidR="00B23A3A" w:rsidRPr="00A24D2A">
        <w:rPr>
          <w:rFonts w:ascii="Arial" w:hAnsi="Arial" w:cs="Arial"/>
        </w:rPr>
        <w:t>and</w:t>
      </w:r>
      <w:r w:rsidR="00475BA2" w:rsidRPr="00A24D2A">
        <w:rPr>
          <w:rFonts w:ascii="Arial" w:hAnsi="Arial" w:cs="Arial"/>
        </w:rPr>
        <w:t xml:space="preserve"> optimise operations in managing inventory and supply chain. </w:t>
      </w:r>
    </w:p>
    <w:p w14:paraId="209E67C1" w14:textId="591EF959" w:rsidR="00D574CC" w:rsidRPr="00A24D2A" w:rsidRDefault="00D574CC" w:rsidP="00475BA2">
      <w:pPr>
        <w:pStyle w:val="NormalWeb"/>
        <w:spacing w:line="360" w:lineRule="auto"/>
        <w:jc w:val="both"/>
        <w:rPr>
          <w:rFonts w:ascii="Arial" w:hAnsi="Arial" w:cs="Arial"/>
        </w:rPr>
      </w:pPr>
      <w:r w:rsidRPr="00A24D2A">
        <w:rPr>
          <w:rStyle w:val="Strong"/>
          <w:rFonts w:ascii="Arial" w:eastAsiaTheme="majorEastAsia" w:hAnsi="Arial" w:cs="Arial"/>
        </w:rPr>
        <w:t>Environmental Factors:</w:t>
      </w:r>
      <w:r w:rsidRPr="00A24D2A">
        <w:rPr>
          <w:rFonts w:ascii="Arial" w:hAnsi="Arial" w:cs="Arial"/>
        </w:rPr>
        <w:t xml:space="preserve"> Environmental factors are crucial for The Body Shop, which prides itself on ethical and sustainable business practices. </w:t>
      </w:r>
      <w:r w:rsidR="00475BA2" w:rsidRPr="00A24D2A">
        <w:rPr>
          <w:rFonts w:ascii="Arial" w:hAnsi="Arial" w:cs="Arial"/>
        </w:rPr>
        <w:t>Global climate change affects the normal weather conditions, and productivity of crops hence the availability and cost of natural ingredients (Xie et al., 2019). The need for sustainable consum</w:t>
      </w:r>
      <w:r w:rsidR="00A25A85" w:rsidRPr="00A24D2A">
        <w:rPr>
          <w:rFonts w:ascii="Arial" w:hAnsi="Arial" w:cs="Arial"/>
        </w:rPr>
        <w:t>ption</w:t>
      </w:r>
      <w:r w:rsidR="00475BA2" w:rsidRPr="00A24D2A">
        <w:rPr>
          <w:rFonts w:ascii="Arial" w:hAnsi="Arial" w:cs="Arial"/>
        </w:rPr>
        <w:t xml:space="preserve"> and packaging fuels advances in processes of green procurement and sustainable waste practices.</w:t>
      </w:r>
    </w:p>
    <w:p w14:paraId="0DFFC0EA" w14:textId="59748442" w:rsidR="00D574CC" w:rsidRPr="00A24D2A" w:rsidRDefault="00D574CC" w:rsidP="00B23A3A">
      <w:pPr>
        <w:pStyle w:val="NormalWeb"/>
        <w:spacing w:line="360" w:lineRule="auto"/>
        <w:jc w:val="both"/>
        <w:rPr>
          <w:rFonts w:ascii="Arial" w:hAnsi="Arial" w:cs="Arial"/>
        </w:rPr>
      </w:pPr>
      <w:r w:rsidRPr="00A24D2A">
        <w:rPr>
          <w:rStyle w:val="Strong"/>
          <w:rFonts w:ascii="Arial" w:eastAsiaTheme="majorEastAsia" w:hAnsi="Arial" w:cs="Arial"/>
        </w:rPr>
        <w:t>Legal Factors:</w:t>
      </w:r>
      <w:r w:rsidRPr="00A24D2A">
        <w:rPr>
          <w:rFonts w:ascii="Arial" w:hAnsi="Arial" w:cs="Arial"/>
        </w:rPr>
        <w:t xml:space="preserve"> Legal factors encompass regulations and laws governing cosmetics safety, product labe</w:t>
      </w:r>
      <w:r w:rsidR="00F31EDF">
        <w:rPr>
          <w:rFonts w:ascii="Arial" w:hAnsi="Arial" w:cs="Arial"/>
        </w:rPr>
        <w:t>l</w:t>
      </w:r>
      <w:r w:rsidRPr="00A24D2A">
        <w:rPr>
          <w:rFonts w:ascii="Arial" w:hAnsi="Arial" w:cs="Arial"/>
        </w:rPr>
        <w:t xml:space="preserve">ling, intellectual property rights, and ethical sourcing standards. </w:t>
      </w:r>
      <w:r w:rsidR="00475BA2" w:rsidRPr="00A24D2A">
        <w:rPr>
          <w:rFonts w:ascii="Arial" w:hAnsi="Arial" w:cs="Arial"/>
        </w:rPr>
        <w:t xml:space="preserve">Adherence to these regulations provides safety to users and strengthens customer </w:t>
      </w:r>
      <w:r w:rsidR="00475BA2" w:rsidRPr="00A24D2A">
        <w:rPr>
          <w:rFonts w:ascii="Arial" w:hAnsi="Arial" w:cs="Arial"/>
        </w:rPr>
        <w:lastRenderedPageBreak/>
        <w:t xml:space="preserve">confidence in the product. Business laws and regulations in various countries influence </w:t>
      </w:r>
      <w:r w:rsidR="00A25A85" w:rsidRPr="00A24D2A">
        <w:rPr>
          <w:rFonts w:ascii="Arial" w:hAnsi="Arial" w:cs="Arial"/>
        </w:rPr>
        <w:t xml:space="preserve">the </w:t>
      </w:r>
      <w:r w:rsidR="00475BA2" w:rsidRPr="00A24D2A">
        <w:rPr>
          <w:rFonts w:ascii="Arial" w:hAnsi="Arial" w:cs="Arial"/>
        </w:rPr>
        <w:t xml:space="preserve">costs of running the operations of a business </w:t>
      </w:r>
      <w:r w:rsidR="00B23A3A" w:rsidRPr="00A24D2A">
        <w:rPr>
          <w:rFonts w:ascii="Arial" w:hAnsi="Arial" w:cs="Arial"/>
        </w:rPr>
        <w:t>and</w:t>
      </w:r>
      <w:r w:rsidR="00475BA2" w:rsidRPr="00A24D2A">
        <w:rPr>
          <w:rFonts w:ascii="Arial" w:hAnsi="Arial" w:cs="Arial"/>
        </w:rPr>
        <w:t xml:space="preserve"> the relation</w:t>
      </w:r>
      <w:r w:rsidR="00A25A85" w:rsidRPr="00A24D2A">
        <w:rPr>
          <w:rFonts w:ascii="Arial" w:hAnsi="Arial" w:cs="Arial"/>
        </w:rPr>
        <w:t>ship</w:t>
      </w:r>
      <w:r w:rsidR="00475BA2" w:rsidRPr="00A24D2A">
        <w:rPr>
          <w:rFonts w:ascii="Arial" w:hAnsi="Arial" w:cs="Arial"/>
        </w:rPr>
        <w:t xml:space="preserve"> between employers and employees (Breyer et al., 2022). </w:t>
      </w:r>
    </w:p>
    <w:p w14:paraId="6D789180" w14:textId="10D3EBF2" w:rsidR="00D574CC" w:rsidRPr="00AC2C5F" w:rsidRDefault="00F31EDF" w:rsidP="00475BA2">
      <w:pPr>
        <w:pStyle w:val="Heading3"/>
        <w:numPr>
          <w:ilvl w:val="1"/>
          <w:numId w:val="6"/>
        </w:numPr>
        <w:rPr>
          <w:color w:val="auto"/>
        </w:rPr>
      </w:pPr>
      <w:bookmarkStart w:id="4" w:name="_Toc171049431"/>
      <w:r>
        <w:rPr>
          <w:color w:val="auto"/>
        </w:rPr>
        <w:t xml:space="preserve"> </w:t>
      </w:r>
      <w:r w:rsidR="00AD31BB" w:rsidRPr="00A24D2A">
        <w:rPr>
          <w:color w:val="auto"/>
        </w:rPr>
        <w:t xml:space="preserve">Stakeholder </w:t>
      </w:r>
      <w:r w:rsidR="00D574CC" w:rsidRPr="00A24D2A">
        <w:rPr>
          <w:color w:val="auto"/>
        </w:rPr>
        <w:t>A</w:t>
      </w:r>
      <w:r w:rsidR="00AD31BB" w:rsidRPr="00A24D2A">
        <w:rPr>
          <w:color w:val="auto"/>
        </w:rPr>
        <w:t>nalysis</w:t>
      </w:r>
      <w:r w:rsidR="00D574CC" w:rsidRPr="00A24D2A">
        <w:rPr>
          <w:color w:val="auto"/>
        </w:rPr>
        <w:t xml:space="preserve"> Overview, Advantages and Disadvantages</w:t>
      </w:r>
      <w:bookmarkEnd w:id="4"/>
      <w:r w:rsidR="00D574CC" w:rsidRPr="00A24D2A">
        <w:rPr>
          <w:color w:val="auto"/>
        </w:rPr>
        <w:t xml:space="preserve"> </w:t>
      </w:r>
    </w:p>
    <w:p w14:paraId="66A0D8DF" w14:textId="6602B483" w:rsidR="00D574CC" w:rsidRPr="00A24D2A" w:rsidRDefault="00475BA2" w:rsidP="00475BA2">
      <w:pPr>
        <w:spacing w:line="360" w:lineRule="auto"/>
        <w:ind w:firstLine="720"/>
        <w:jc w:val="both"/>
        <w:rPr>
          <w:rFonts w:ascii="Arial" w:hAnsi="Arial" w:cs="Arial"/>
          <w:sz w:val="24"/>
          <w:szCs w:val="24"/>
        </w:rPr>
      </w:pPr>
      <w:r w:rsidRPr="00A24D2A">
        <w:rPr>
          <w:rFonts w:ascii="Arial" w:hAnsi="Arial" w:cs="Arial"/>
          <w:sz w:val="24"/>
          <w:szCs w:val="24"/>
        </w:rPr>
        <w:t>Stakeholder analysis is one of the key components of the strategic management toolkit, helping to identify the interests, powers, and significance of stakeholders connected with a particular project or company</w:t>
      </w:r>
      <w:r w:rsidR="00B23A3A" w:rsidRPr="00A24D2A">
        <w:rPr>
          <w:rFonts w:ascii="Arial" w:hAnsi="Arial" w:cs="Arial"/>
          <w:sz w:val="24"/>
          <w:szCs w:val="24"/>
        </w:rPr>
        <w:t xml:space="preserve"> </w:t>
      </w:r>
      <w:r w:rsidRPr="00A24D2A">
        <w:rPr>
          <w:rFonts w:ascii="Arial" w:hAnsi="Arial" w:cs="Arial"/>
          <w:sz w:val="24"/>
          <w:szCs w:val="24"/>
        </w:rPr>
        <w:t xml:space="preserve">(Raum, 2018). Such </w:t>
      </w:r>
      <w:r w:rsidR="00F31EDF">
        <w:rPr>
          <w:rFonts w:ascii="Arial" w:hAnsi="Arial" w:cs="Arial"/>
          <w:sz w:val="24"/>
          <w:szCs w:val="24"/>
        </w:rPr>
        <w:t xml:space="preserve">an </w:t>
      </w:r>
      <w:r w:rsidRPr="00A24D2A">
        <w:rPr>
          <w:rFonts w:ascii="Arial" w:hAnsi="Arial" w:cs="Arial"/>
          <w:sz w:val="24"/>
          <w:szCs w:val="24"/>
        </w:rPr>
        <w:t xml:space="preserve">approach benefits both the goals and objectives set for a project, </w:t>
      </w:r>
      <w:r w:rsidR="00B23A3A" w:rsidRPr="00A24D2A">
        <w:rPr>
          <w:rFonts w:ascii="Arial" w:hAnsi="Arial" w:cs="Arial"/>
          <w:sz w:val="24"/>
          <w:szCs w:val="24"/>
        </w:rPr>
        <w:t xml:space="preserve">and </w:t>
      </w:r>
      <w:r w:rsidRPr="00A24D2A">
        <w:rPr>
          <w:rFonts w:ascii="Arial" w:hAnsi="Arial" w:cs="Arial"/>
          <w:sz w:val="24"/>
          <w:szCs w:val="24"/>
        </w:rPr>
        <w:t xml:space="preserve">the satisfaction of the stakeholders involved, thus boosting project success. </w:t>
      </w:r>
      <w:r w:rsidR="00D574CC" w:rsidRPr="00A24D2A">
        <w:rPr>
          <w:rFonts w:ascii="Arial" w:hAnsi="Arial" w:cs="Arial"/>
          <w:sz w:val="24"/>
          <w:szCs w:val="24"/>
        </w:rPr>
        <w:t xml:space="preserve">One of the key advantages of stakeholder analysis lies in its ability to improve communication strategies. </w:t>
      </w:r>
      <w:r w:rsidRPr="00A24D2A">
        <w:rPr>
          <w:rFonts w:ascii="Arial" w:hAnsi="Arial" w:cs="Arial"/>
          <w:sz w:val="24"/>
          <w:szCs w:val="24"/>
        </w:rPr>
        <w:t>Attempting to deliver messages relevant to various stakeholders through categories of stakeholders based on their level of interest and power strengthens trust and credibility (Nguyen et al., 2018). Stakeholders’ engagement promotes understanding and involvement hence the enhancement of the flow of information. Consequently, this promotes the image of a good organisation and improves the results of projects in general.</w:t>
      </w:r>
    </w:p>
    <w:p w14:paraId="2A6EAA1A" w14:textId="0C2143A1" w:rsidR="00D574CC" w:rsidRPr="00A24D2A" w:rsidRDefault="00D574CC" w:rsidP="000F3478">
      <w:pPr>
        <w:spacing w:line="360" w:lineRule="auto"/>
        <w:ind w:firstLine="720"/>
        <w:jc w:val="both"/>
        <w:rPr>
          <w:rFonts w:ascii="Arial" w:hAnsi="Arial" w:cs="Arial"/>
          <w:sz w:val="24"/>
          <w:szCs w:val="24"/>
        </w:rPr>
      </w:pPr>
      <w:r w:rsidRPr="00A24D2A">
        <w:rPr>
          <w:rFonts w:ascii="Arial" w:hAnsi="Arial" w:cs="Arial"/>
          <w:sz w:val="24"/>
          <w:szCs w:val="24"/>
        </w:rPr>
        <w:t xml:space="preserve">Despite its benefits, stakeholder analysis poses </w:t>
      </w:r>
      <w:r w:rsidR="00475BA2" w:rsidRPr="00A24D2A">
        <w:rPr>
          <w:rFonts w:ascii="Arial" w:hAnsi="Arial" w:cs="Arial"/>
          <w:sz w:val="24"/>
          <w:szCs w:val="24"/>
        </w:rPr>
        <w:t>several disadvantages</w:t>
      </w:r>
      <w:r w:rsidRPr="00A24D2A">
        <w:rPr>
          <w:rFonts w:ascii="Arial" w:hAnsi="Arial" w:cs="Arial"/>
          <w:sz w:val="24"/>
          <w:szCs w:val="24"/>
        </w:rPr>
        <w:t xml:space="preserve">. </w:t>
      </w:r>
      <w:r w:rsidR="00475BA2" w:rsidRPr="00A24D2A">
        <w:rPr>
          <w:rFonts w:ascii="Arial" w:hAnsi="Arial" w:cs="Arial"/>
          <w:sz w:val="24"/>
          <w:szCs w:val="24"/>
        </w:rPr>
        <w:t xml:space="preserve">It tends to take considerable attention to make and often includes the prediction, which brings bias into the decision-making process. Furthermore, as highlighted by Dimitrovski et al. (2021), action dynamics involved in pursuing stakeholder engagements </w:t>
      </w:r>
      <w:r w:rsidR="00396AD7">
        <w:rPr>
          <w:rFonts w:ascii="Arial" w:hAnsi="Arial" w:cs="Arial"/>
          <w:sz w:val="24"/>
          <w:szCs w:val="24"/>
        </w:rPr>
        <w:t xml:space="preserve">can </w:t>
      </w:r>
      <w:r w:rsidR="00475BA2" w:rsidRPr="00A24D2A">
        <w:rPr>
          <w:rFonts w:ascii="Arial" w:hAnsi="Arial" w:cs="Arial"/>
          <w:sz w:val="24"/>
          <w:szCs w:val="24"/>
        </w:rPr>
        <w:t>shift over time, which calls for constant monitoring and recalibration of strategies. However, those organisations that include stakeholder analysis are in a better position to manage the complexities and leverage challenges as they seek sustainable organisational success and stakeholder satisfaction.</w:t>
      </w:r>
    </w:p>
    <w:p w14:paraId="60A70AD9" w14:textId="09A4D0BD" w:rsidR="00D574CC" w:rsidRPr="00A24D2A" w:rsidRDefault="00D574CC" w:rsidP="00475BA2">
      <w:pPr>
        <w:pStyle w:val="Heading3"/>
        <w:numPr>
          <w:ilvl w:val="1"/>
          <w:numId w:val="6"/>
        </w:numPr>
        <w:rPr>
          <w:color w:val="auto"/>
          <w:lang w:val="en-US" w:eastAsia="en-US"/>
        </w:rPr>
      </w:pPr>
      <w:bookmarkStart w:id="5" w:name="_Toc171049432"/>
      <w:r w:rsidRPr="00A24D2A">
        <w:rPr>
          <w:color w:val="auto"/>
        </w:rPr>
        <w:t>The Body Shop's Stakeholder Analysis</w:t>
      </w:r>
      <w:bookmarkEnd w:id="5"/>
    </w:p>
    <w:p w14:paraId="63356B9C" w14:textId="60866BB9" w:rsidR="00D574CC" w:rsidRPr="00A24D2A" w:rsidRDefault="00D574CC" w:rsidP="00475BA2">
      <w:pPr>
        <w:pStyle w:val="Heading4"/>
        <w:numPr>
          <w:ilvl w:val="2"/>
          <w:numId w:val="6"/>
        </w:numPr>
        <w:spacing w:line="360" w:lineRule="auto"/>
        <w:rPr>
          <w:rFonts w:ascii="Arial" w:hAnsi="Arial" w:cs="Arial"/>
          <w:color w:val="auto"/>
          <w:sz w:val="24"/>
          <w:szCs w:val="24"/>
        </w:rPr>
      </w:pPr>
      <w:r w:rsidRPr="00A24D2A">
        <w:rPr>
          <w:rFonts w:ascii="Arial" w:hAnsi="Arial" w:cs="Arial"/>
          <w:color w:val="auto"/>
          <w:sz w:val="24"/>
          <w:szCs w:val="24"/>
        </w:rPr>
        <w:t>Internal Stakeholders</w:t>
      </w:r>
    </w:p>
    <w:p w14:paraId="136E2F51" w14:textId="2BED177B" w:rsidR="00D574CC" w:rsidRPr="00A24D2A" w:rsidRDefault="00D574CC" w:rsidP="00475BA2">
      <w:pPr>
        <w:pStyle w:val="NormalWeb"/>
        <w:spacing w:line="360" w:lineRule="auto"/>
        <w:jc w:val="both"/>
        <w:rPr>
          <w:rFonts w:ascii="Arial" w:hAnsi="Arial" w:cs="Arial"/>
        </w:rPr>
      </w:pPr>
      <w:r w:rsidRPr="00A24D2A">
        <w:rPr>
          <w:rStyle w:val="Strong"/>
          <w:rFonts w:ascii="Arial" w:eastAsia="Play" w:hAnsi="Arial" w:cs="Arial"/>
        </w:rPr>
        <w:t>Employees</w:t>
      </w:r>
      <w:r w:rsidRPr="00A24D2A">
        <w:rPr>
          <w:rFonts w:ascii="Arial" w:hAnsi="Arial" w:cs="Arial"/>
        </w:rPr>
        <w:t xml:space="preserve">: </w:t>
      </w:r>
      <w:r w:rsidR="00475BA2" w:rsidRPr="00A24D2A">
        <w:rPr>
          <w:rFonts w:ascii="Arial" w:hAnsi="Arial" w:cs="Arial"/>
        </w:rPr>
        <w:t>Employees are the main internal stakeholder group at The Body Shop company. Their major concern is to be safeguarded from employment insecurity, wages that are reasonable and commensurate with their experience, freedom from health risks at workplaces</w:t>
      </w:r>
      <w:r w:rsidR="00A25A85" w:rsidRPr="00A24D2A">
        <w:rPr>
          <w:rFonts w:ascii="Arial" w:hAnsi="Arial" w:cs="Arial"/>
        </w:rPr>
        <w:t>,</w:t>
      </w:r>
      <w:r w:rsidR="00475BA2" w:rsidRPr="00A24D2A">
        <w:rPr>
          <w:rFonts w:ascii="Arial" w:hAnsi="Arial" w:cs="Arial"/>
        </w:rPr>
        <w:t xml:space="preserve"> and challenges that enhance their promotion</w:t>
      </w:r>
      <w:r w:rsidR="00B23A3A" w:rsidRPr="00A24D2A">
        <w:rPr>
          <w:rFonts w:ascii="Arial" w:hAnsi="Arial" w:cs="Arial"/>
        </w:rPr>
        <w:t xml:space="preserve"> </w:t>
      </w:r>
      <w:r w:rsidR="00475BA2" w:rsidRPr="00A24D2A">
        <w:rPr>
          <w:rFonts w:ascii="Arial" w:hAnsi="Arial" w:cs="Arial"/>
        </w:rPr>
        <w:t xml:space="preserve">(Ferrero et al., 2018). To </w:t>
      </w:r>
      <w:r w:rsidR="00475BA2" w:rsidRPr="00A24D2A">
        <w:rPr>
          <w:rFonts w:ascii="Arial" w:hAnsi="Arial" w:cs="Arial"/>
        </w:rPr>
        <w:lastRenderedPageBreak/>
        <w:t>maintain and enhance its employees’ interest, The Body Shop utilises different approaches including communication, training needs assessment, benefit</w:t>
      </w:r>
      <w:r w:rsidR="00A25A85" w:rsidRPr="00A24D2A">
        <w:rPr>
          <w:rFonts w:ascii="Arial" w:hAnsi="Arial" w:cs="Arial"/>
        </w:rPr>
        <w:t>s,</w:t>
      </w:r>
      <w:r w:rsidR="00475BA2" w:rsidRPr="00A24D2A">
        <w:rPr>
          <w:rFonts w:ascii="Arial" w:hAnsi="Arial" w:cs="Arial"/>
        </w:rPr>
        <w:t xml:space="preserve"> and employees’ involvement in decision</w:t>
      </w:r>
      <w:r w:rsidR="00A25A85" w:rsidRPr="00A24D2A">
        <w:rPr>
          <w:rFonts w:ascii="Arial" w:hAnsi="Arial" w:cs="Arial"/>
        </w:rPr>
        <w:t>-</w:t>
      </w:r>
      <w:r w:rsidR="00475BA2" w:rsidRPr="00A24D2A">
        <w:rPr>
          <w:rFonts w:ascii="Arial" w:hAnsi="Arial" w:cs="Arial"/>
        </w:rPr>
        <w:t>making.</w:t>
      </w:r>
    </w:p>
    <w:p w14:paraId="051A02A2" w14:textId="2750DA9D" w:rsidR="00D574CC" w:rsidRPr="00A24D2A" w:rsidRDefault="00D574CC" w:rsidP="00475BA2">
      <w:pPr>
        <w:pStyle w:val="NormalWeb"/>
        <w:spacing w:line="360" w:lineRule="auto"/>
        <w:jc w:val="both"/>
        <w:rPr>
          <w:rFonts w:ascii="Arial" w:hAnsi="Arial" w:cs="Arial"/>
        </w:rPr>
      </w:pPr>
      <w:r w:rsidRPr="00A24D2A">
        <w:rPr>
          <w:rStyle w:val="Strong"/>
          <w:rFonts w:ascii="Arial" w:eastAsia="Play" w:hAnsi="Arial" w:cs="Arial"/>
        </w:rPr>
        <w:t>Franchises</w:t>
      </w:r>
      <w:r w:rsidRPr="00A24D2A">
        <w:rPr>
          <w:rFonts w:ascii="Arial" w:hAnsi="Arial" w:cs="Arial"/>
        </w:rPr>
        <w:t xml:space="preserve">: Franchises are another vital internal stakeholder </w:t>
      </w:r>
      <w:r w:rsidR="00475BA2" w:rsidRPr="00A24D2A">
        <w:rPr>
          <w:rFonts w:ascii="Arial" w:hAnsi="Arial" w:cs="Arial"/>
        </w:rPr>
        <w:t>group, and their</w:t>
      </w:r>
      <w:r w:rsidRPr="00A24D2A">
        <w:rPr>
          <w:rFonts w:ascii="Arial" w:hAnsi="Arial" w:cs="Arial"/>
        </w:rPr>
        <w:t xml:space="preserve"> main interests lie in business growth, profitability, and receiving support from the parent company. </w:t>
      </w:r>
      <w:r w:rsidR="00686D8A" w:rsidRPr="00686D8A">
        <w:rPr>
          <w:rFonts w:ascii="Arial" w:hAnsi="Arial" w:cs="Arial"/>
        </w:rPr>
        <w:t xml:space="preserve">Franchises have a significant impact because they participate in representing the brand in other areas outside of where the company is situated as well as contributing to overall sales (Nyadzayo </w:t>
      </w:r>
      <w:r w:rsidR="00AC2C5F" w:rsidRPr="00686D8A">
        <w:rPr>
          <w:rFonts w:ascii="Arial" w:hAnsi="Arial" w:cs="Arial"/>
        </w:rPr>
        <w:t>et al.,</w:t>
      </w:r>
      <w:r w:rsidR="00686D8A" w:rsidRPr="00686D8A">
        <w:rPr>
          <w:rFonts w:ascii="Arial" w:hAnsi="Arial" w:cs="Arial"/>
        </w:rPr>
        <w:t xml:space="preserve"> 2018). Communication and interaction mainly focus on sharing knowledge and skills on business operations, providing support and assistance to the franchises, and us</w:t>
      </w:r>
      <w:r w:rsidR="00F31EDF">
        <w:rPr>
          <w:rFonts w:ascii="Arial" w:hAnsi="Arial" w:cs="Arial"/>
        </w:rPr>
        <w:t>ing</w:t>
      </w:r>
      <w:r w:rsidR="00686D8A" w:rsidRPr="00686D8A">
        <w:rPr>
          <w:rFonts w:ascii="Arial" w:hAnsi="Arial" w:cs="Arial"/>
        </w:rPr>
        <w:t xml:space="preserve"> them in the formulation and implementation of business strategies.</w:t>
      </w:r>
    </w:p>
    <w:p w14:paraId="51E3A9E9" w14:textId="2B899039" w:rsidR="00D574CC" w:rsidRPr="00A24D2A" w:rsidRDefault="00D574CC" w:rsidP="00475BA2">
      <w:pPr>
        <w:pStyle w:val="Heading4"/>
        <w:numPr>
          <w:ilvl w:val="2"/>
          <w:numId w:val="6"/>
        </w:numPr>
        <w:spacing w:line="360" w:lineRule="auto"/>
        <w:rPr>
          <w:rFonts w:ascii="Arial" w:hAnsi="Arial" w:cs="Arial"/>
          <w:color w:val="auto"/>
          <w:sz w:val="24"/>
          <w:szCs w:val="24"/>
        </w:rPr>
      </w:pPr>
      <w:r w:rsidRPr="00A24D2A">
        <w:rPr>
          <w:rFonts w:ascii="Arial" w:hAnsi="Arial" w:cs="Arial"/>
          <w:color w:val="auto"/>
          <w:sz w:val="24"/>
          <w:szCs w:val="24"/>
        </w:rPr>
        <w:t>External Stakeholders</w:t>
      </w:r>
    </w:p>
    <w:p w14:paraId="25FA3E2A" w14:textId="059F26AA" w:rsidR="00D574CC" w:rsidRPr="00A24D2A" w:rsidRDefault="00D574CC" w:rsidP="00475BA2">
      <w:pPr>
        <w:pStyle w:val="NormalWeb"/>
        <w:spacing w:line="360" w:lineRule="auto"/>
        <w:jc w:val="both"/>
        <w:rPr>
          <w:rFonts w:ascii="Arial" w:hAnsi="Arial" w:cs="Arial"/>
        </w:rPr>
      </w:pPr>
      <w:r w:rsidRPr="00A24D2A">
        <w:rPr>
          <w:rStyle w:val="Strong"/>
          <w:rFonts w:ascii="Arial" w:eastAsia="Play" w:hAnsi="Arial" w:cs="Arial"/>
        </w:rPr>
        <w:t>NGOs and Advocacy Groups</w:t>
      </w:r>
      <w:r w:rsidRPr="00A24D2A">
        <w:rPr>
          <w:rFonts w:ascii="Arial" w:hAnsi="Arial" w:cs="Arial"/>
        </w:rPr>
        <w:t xml:space="preserve">: NGOs and advocacy groups are important external stakeholders for The Body Shop. </w:t>
      </w:r>
      <w:r w:rsidR="00475BA2" w:rsidRPr="00A24D2A">
        <w:rPr>
          <w:rFonts w:ascii="Arial" w:hAnsi="Arial" w:cs="Arial"/>
        </w:rPr>
        <w:t>Some of them are ethical sourcing, environmental</w:t>
      </w:r>
      <w:r w:rsidR="00A25A85" w:rsidRPr="00A24D2A">
        <w:rPr>
          <w:rFonts w:ascii="Arial" w:hAnsi="Arial" w:cs="Arial"/>
        </w:rPr>
        <w:t>ly</w:t>
      </w:r>
      <w:r w:rsidR="00475BA2" w:rsidRPr="00A24D2A">
        <w:rPr>
          <w:rFonts w:ascii="Arial" w:hAnsi="Arial" w:cs="Arial"/>
        </w:rPr>
        <w:t xml:space="preserve"> conscious production, and concern with animal rights. Such groups have moderate to high power, for they can control perception and directly apply pressure by launching campaigns (Goncharenko, 2019). The Body Shop interacts with NGOs and advocacy groups by partnering on sustainability projects, and through annual ethical trading update</w:t>
      </w:r>
      <w:r w:rsidR="00A25A85" w:rsidRPr="00A24D2A">
        <w:rPr>
          <w:rFonts w:ascii="Arial" w:hAnsi="Arial" w:cs="Arial"/>
        </w:rPr>
        <w:t>s</w:t>
      </w:r>
      <w:r w:rsidR="00475BA2" w:rsidRPr="00A24D2A">
        <w:rPr>
          <w:rFonts w:ascii="Arial" w:hAnsi="Arial" w:cs="Arial"/>
        </w:rPr>
        <w:t xml:space="preserve"> and formal communication.</w:t>
      </w:r>
    </w:p>
    <w:p w14:paraId="66D1F80E" w14:textId="65E43B9F" w:rsidR="00AD31BB" w:rsidRPr="00A24D2A" w:rsidRDefault="00D574CC" w:rsidP="00475BA2">
      <w:pPr>
        <w:pStyle w:val="NormalWeb"/>
        <w:spacing w:line="360" w:lineRule="auto"/>
        <w:jc w:val="both"/>
        <w:rPr>
          <w:rFonts w:ascii="Arial" w:hAnsi="Arial" w:cs="Arial"/>
        </w:rPr>
      </w:pPr>
      <w:r w:rsidRPr="00A24D2A">
        <w:rPr>
          <w:rStyle w:val="Strong"/>
          <w:rFonts w:ascii="Arial" w:eastAsia="Play" w:hAnsi="Arial" w:cs="Arial"/>
        </w:rPr>
        <w:t>Suppliers</w:t>
      </w:r>
      <w:r w:rsidRPr="00A24D2A">
        <w:rPr>
          <w:rFonts w:ascii="Arial" w:hAnsi="Arial" w:cs="Arial"/>
        </w:rPr>
        <w:t xml:space="preserve">: Suppliers are a crucial external stakeholder group, as they provide essential raw materials for The Body Shop's products. </w:t>
      </w:r>
      <w:r w:rsidR="00475BA2" w:rsidRPr="00A24D2A">
        <w:rPr>
          <w:rFonts w:ascii="Arial" w:hAnsi="Arial" w:cs="Arial"/>
        </w:rPr>
        <w:t>Some of their impressive values include fair trade, developing sustainable partnerships with suppliers, and timely payment. Suppliers have a moderate-to-high level of power because they are a key part of the supply chain network (Liu et al., 2018). It holds suppliers through fair trade, contract</w:t>
      </w:r>
      <w:r w:rsidR="00A25A85" w:rsidRPr="00A24D2A">
        <w:rPr>
          <w:rFonts w:ascii="Arial" w:hAnsi="Arial" w:cs="Arial"/>
        </w:rPr>
        <w:t>,</w:t>
      </w:r>
      <w:r w:rsidR="00475BA2" w:rsidRPr="00A24D2A">
        <w:rPr>
          <w:rFonts w:ascii="Arial" w:hAnsi="Arial" w:cs="Arial"/>
        </w:rPr>
        <w:t xml:space="preserve"> and procurement relationships, and seek</w:t>
      </w:r>
      <w:r w:rsidR="00A25A85" w:rsidRPr="00A24D2A">
        <w:rPr>
          <w:rFonts w:ascii="Arial" w:hAnsi="Arial" w:cs="Arial"/>
        </w:rPr>
        <w:t>s</w:t>
      </w:r>
      <w:r w:rsidR="00475BA2" w:rsidRPr="00A24D2A">
        <w:rPr>
          <w:rFonts w:ascii="Arial" w:hAnsi="Arial" w:cs="Arial"/>
        </w:rPr>
        <w:t xml:space="preserve"> to monitor suppliers undertake through assurance reviews.</w:t>
      </w:r>
    </w:p>
    <w:p w14:paraId="20263137" w14:textId="1C38BB60" w:rsidR="00AD31BB" w:rsidRPr="00A24D2A" w:rsidRDefault="00AD31BB" w:rsidP="00475BA2">
      <w:pPr>
        <w:pStyle w:val="Heading2"/>
        <w:numPr>
          <w:ilvl w:val="0"/>
          <w:numId w:val="6"/>
        </w:numPr>
        <w:rPr>
          <w:rFonts w:cs="Arial"/>
        </w:rPr>
      </w:pPr>
      <w:bookmarkStart w:id="6" w:name="_Toc171049433"/>
      <w:r w:rsidRPr="00A24D2A">
        <w:rPr>
          <w:rFonts w:cs="Arial"/>
        </w:rPr>
        <w:lastRenderedPageBreak/>
        <w:t>Conclusion</w:t>
      </w:r>
      <w:bookmarkEnd w:id="6"/>
      <w:r w:rsidRPr="00A24D2A">
        <w:rPr>
          <w:rFonts w:cs="Arial"/>
        </w:rPr>
        <w:t xml:space="preserve"> </w:t>
      </w:r>
    </w:p>
    <w:p w14:paraId="621FB1D7" w14:textId="1E8B38E8" w:rsidR="00AD31BB" w:rsidRPr="00A24D2A" w:rsidRDefault="00475BA2" w:rsidP="00B23A3A">
      <w:pPr>
        <w:spacing w:before="100" w:beforeAutospacing="1" w:after="100" w:afterAutospacing="1" w:line="360" w:lineRule="auto"/>
        <w:ind w:firstLine="720"/>
        <w:jc w:val="both"/>
        <w:rPr>
          <w:rFonts w:ascii="Arial" w:hAnsi="Arial" w:cs="Arial"/>
          <w:sz w:val="24"/>
          <w:szCs w:val="24"/>
          <w:lang w:val="en-US" w:eastAsia="en-US"/>
          <w14:ligatures w14:val="none"/>
        </w:rPr>
      </w:pPr>
      <w:r w:rsidRPr="00A24D2A">
        <w:rPr>
          <w:rFonts w:ascii="Arial" w:hAnsi="Arial" w:cs="Arial"/>
          <w:sz w:val="24"/>
          <w:szCs w:val="24"/>
          <w:lang w:val="en-US" w:eastAsia="en-US"/>
          <w14:ligatures w14:val="none"/>
        </w:rPr>
        <w:t xml:space="preserve">In conclusion, The Body Shop's strategic environment is shaped by a multitude of external and internal factors. The political factor is identified as having a major impact on the operations of the company through the PESTLE analysis. Moreover, it is necessary to define other stakeholders like employees, franchises, NGOs, partners, suppliers, and consultants every of them would have sequential interests and power </w:t>
      </w:r>
      <w:r w:rsidR="00A25A85" w:rsidRPr="00A24D2A">
        <w:rPr>
          <w:rFonts w:ascii="Arial" w:hAnsi="Arial" w:cs="Arial"/>
          <w:sz w:val="24"/>
          <w:szCs w:val="24"/>
          <w:lang w:val="en-US" w:eastAsia="en-US"/>
          <w14:ligatures w14:val="none"/>
        </w:rPr>
        <w:t>i</w:t>
      </w:r>
      <w:r w:rsidRPr="00A24D2A">
        <w:rPr>
          <w:rFonts w:ascii="Arial" w:hAnsi="Arial" w:cs="Arial"/>
          <w:sz w:val="24"/>
          <w:szCs w:val="24"/>
          <w:lang w:val="en-US" w:eastAsia="en-US"/>
          <w14:ligatures w14:val="none"/>
        </w:rPr>
        <w:t>n the company. Thus, by concentrating on these areas, The Body Shop can combine its market position, manage strategic issues, and look to the future to begin the company’s development process.</w:t>
      </w:r>
    </w:p>
    <w:p w14:paraId="74F67ABD" w14:textId="2BA700EB" w:rsidR="00AD31BB" w:rsidRPr="00A24D2A" w:rsidRDefault="00F31EDF" w:rsidP="00F31EDF">
      <w:pPr>
        <w:pStyle w:val="Heading2"/>
        <w:ind w:left="0"/>
      </w:pPr>
      <w:bookmarkStart w:id="7" w:name="_Toc171049434"/>
      <w:r>
        <w:t xml:space="preserve">4. </w:t>
      </w:r>
      <w:bookmarkStart w:id="8" w:name="_GoBack"/>
      <w:bookmarkEnd w:id="8"/>
      <w:r w:rsidR="00AD31BB" w:rsidRPr="00A24D2A">
        <w:t>Recommendations</w:t>
      </w:r>
      <w:bookmarkEnd w:id="7"/>
      <w:r w:rsidR="00AD31BB" w:rsidRPr="00A24D2A">
        <w:t xml:space="preserve"> </w:t>
      </w:r>
    </w:p>
    <w:p w14:paraId="2654CC18" w14:textId="204B9E22" w:rsidR="00475BA2" w:rsidRPr="00DB00B5" w:rsidRDefault="00A25A85" w:rsidP="00DB00B5">
      <w:pPr>
        <w:spacing w:line="360" w:lineRule="auto"/>
        <w:ind w:firstLine="720"/>
        <w:jc w:val="both"/>
        <w:rPr>
          <w:rFonts w:ascii="Arial" w:hAnsi="Arial" w:cs="Arial"/>
          <w:sz w:val="24"/>
          <w:szCs w:val="24"/>
        </w:rPr>
      </w:pPr>
      <w:r w:rsidRPr="00A24D2A">
        <w:rPr>
          <w:rFonts w:ascii="Arial" w:hAnsi="Arial" w:cs="Arial"/>
          <w:sz w:val="24"/>
          <w:szCs w:val="24"/>
        </w:rPr>
        <w:t>With t</w:t>
      </w:r>
      <w:r w:rsidR="00475BA2" w:rsidRPr="00A24D2A">
        <w:rPr>
          <w:rFonts w:ascii="Arial" w:hAnsi="Arial" w:cs="Arial"/>
          <w:sz w:val="24"/>
          <w:szCs w:val="24"/>
        </w:rPr>
        <w:t xml:space="preserve">he transformative impact of e-commerce on consumer behaviour, The Body Shop should prioritise enhancing its digital infrastructure and online presence. </w:t>
      </w:r>
      <w:r w:rsidRPr="00A24D2A">
        <w:rPr>
          <w:rFonts w:ascii="Arial" w:hAnsi="Arial" w:cs="Arial"/>
          <w:sz w:val="24"/>
          <w:szCs w:val="24"/>
        </w:rPr>
        <w:t>A</w:t>
      </w:r>
      <w:r w:rsidR="00475BA2" w:rsidRPr="00A24D2A">
        <w:rPr>
          <w:rFonts w:ascii="Arial" w:hAnsi="Arial" w:cs="Arial"/>
          <w:sz w:val="24"/>
          <w:szCs w:val="24"/>
        </w:rPr>
        <w:t xml:space="preserve"> study conducted by (Xie et al., 2019) found that digital marketing strategy and e-commerce platforms can boost customer interaction, sales conversion rates </w:t>
      </w:r>
      <w:r w:rsidR="00B23A3A" w:rsidRPr="00A24D2A">
        <w:rPr>
          <w:rFonts w:ascii="Arial" w:hAnsi="Arial" w:cs="Arial"/>
          <w:sz w:val="24"/>
          <w:szCs w:val="24"/>
        </w:rPr>
        <w:t xml:space="preserve">and </w:t>
      </w:r>
      <w:r w:rsidR="00475BA2" w:rsidRPr="00A24D2A">
        <w:rPr>
          <w:rFonts w:ascii="Arial" w:hAnsi="Arial" w:cs="Arial"/>
          <w:sz w:val="24"/>
          <w:szCs w:val="24"/>
        </w:rPr>
        <w:t>brand loyalty. Predicting consumer behaviour and creating fluidity in existing markets for e-commerce players require investing in better consumer interfaces, better</w:t>
      </w:r>
      <w:r w:rsidRPr="00A24D2A">
        <w:rPr>
          <w:rFonts w:ascii="Arial" w:hAnsi="Arial" w:cs="Arial"/>
          <w:sz w:val="24"/>
          <w:szCs w:val="24"/>
        </w:rPr>
        <w:t>-</w:t>
      </w:r>
      <w:r w:rsidR="00475BA2" w:rsidRPr="00A24D2A">
        <w:rPr>
          <w:rFonts w:ascii="Arial" w:hAnsi="Arial" w:cs="Arial"/>
          <w:sz w:val="24"/>
          <w:szCs w:val="24"/>
        </w:rPr>
        <w:t>targeted digital marketing</w:t>
      </w:r>
      <w:r w:rsidRPr="00A24D2A">
        <w:rPr>
          <w:rFonts w:ascii="Arial" w:hAnsi="Arial" w:cs="Arial"/>
          <w:sz w:val="24"/>
          <w:szCs w:val="24"/>
        </w:rPr>
        <w:t>,</w:t>
      </w:r>
      <w:r w:rsidR="00475BA2" w:rsidRPr="00A24D2A">
        <w:rPr>
          <w:rFonts w:ascii="Arial" w:hAnsi="Arial" w:cs="Arial"/>
          <w:sz w:val="24"/>
          <w:szCs w:val="24"/>
        </w:rPr>
        <w:t xml:space="preserve"> and better analytics. Additionally, building on its legacy of ethical practices, The Body Shop should intensify its commitment to sustainability across its supply chain and product offerings. A study conducted by Iglesias et al. (2019) </w:t>
      </w:r>
      <w:r w:rsidR="00396AD7">
        <w:rPr>
          <w:rFonts w:ascii="Arial" w:hAnsi="Arial" w:cs="Arial"/>
          <w:sz w:val="24"/>
          <w:szCs w:val="24"/>
        </w:rPr>
        <w:t>highlighted</w:t>
      </w:r>
      <w:r w:rsidR="00475BA2" w:rsidRPr="00A24D2A">
        <w:rPr>
          <w:rFonts w:ascii="Arial" w:hAnsi="Arial" w:cs="Arial"/>
          <w:sz w:val="24"/>
          <w:szCs w:val="24"/>
        </w:rPr>
        <w:t xml:space="preserve"> that organisations that engage in sustainable practices tend to deliver services that meet consumers’ expectation</w:t>
      </w:r>
      <w:r w:rsidRPr="00A24D2A">
        <w:rPr>
          <w:rFonts w:ascii="Arial" w:hAnsi="Arial" w:cs="Arial"/>
          <w:sz w:val="24"/>
          <w:szCs w:val="24"/>
        </w:rPr>
        <w:t>s</w:t>
      </w:r>
      <w:r w:rsidR="00475BA2" w:rsidRPr="00A24D2A">
        <w:rPr>
          <w:rFonts w:ascii="Arial" w:hAnsi="Arial" w:cs="Arial"/>
          <w:sz w:val="24"/>
          <w:szCs w:val="24"/>
        </w:rPr>
        <w:t xml:space="preserve"> while realising enhanced brand image and market share. This can be interpreted that by making sustainability even more integrated </w:t>
      </w:r>
      <w:r w:rsidRPr="00A24D2A">
        <w:rPr>
          <w:rFonts w:ascii="Arial" w:hAnsi="Arial" w:cs="Arial"/>
          <w:sz w:val="24"/>
          <w:szCs w:val="24"/>
        </w:rPr>
        <w:t>in</w:t>
      </w:r>
      <w:r w:rsidR="00475BA2" w:rsidRPr="00A24D2A">
        <w:rPr>
          <w:rFonts w:ascii="Arial" w:hAnsi="Arial" w:cs="Arial"/>
          <w:sz w:val="24"/>
          <w:szCs w:val="24"/>
        </w:rPr>
        <w:t>to the business model, The Body Shop can better position itself competitively and collectively advance global sustainability goals.</w:t>
      </w:r>
    </w:p>
    <w:p w14:paraId="798A3A0A" w14:textId="77777777" w:rsidR="00AC2C5F" w:rsidRDefault="00AC2C5F">
      <w:pPr>
        <w:spacing w:line="480" w:lineRule="auto"/>
        <w:ind w:firstLine="720"/>
        <w:jc w:val="both"/>
        <w:rPr>
          <w:rFonts w:ascii="Arial" w:eastAsia="Play" w:hAnsi="Arial" w:cs="Arial"/>
          <w:color w:val="000000" w:themeColor="text1"/>
          <w:sz w:val="32"/>
          <w:szCs w:val="32"/>
        </w:rPr>
      </w:pPr>
      <w:bookmarkStart w:id="9" w:name="_Toc171049435"/>
      <w:r>
        <w:br w:type="page"/>
      </w:r>
    </w:p>
    <w:p w14:paraId="10E3E4F8" w14:textId="421D4FC6" w:rsidR="00475BA2" w:rsidRPr="00A24D2A" w:rsidRDefault="00AD31BB" w:rsidP="00F31EDF">
      <w:pPr>
        <w:pStyle w:val="Heading1"/>
      </w:pPr>
      <w:r w:rsidRPr="00A24D2A">
        <w:lastRenderedPageBreak/>
        <w:t>References</w:t>
      </w:r>
      <w:bookmarkEnd w:id="9"/>
      <w:r w:rsidRPr="00A24D2A">
        <w:t xml:space="preserve"> </w:t>
      </w:r>
    </w:p>
    <w:p w14:paraId="11D3C5CE" w14:textId="0A2C4341"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 xml:space="preserve">Ahmad, M., Jiang, P., Majeed, A., Umar, M., Khan, Z. and Muhammad, S. (2020) ‘The dynamic impact of natural resources, technological innovations and economic growth on ecological footprint: an advanced panel data estimation’, </w:t>
      </w:r>
      <w:r w:rsidRPr="00A24D2A">
        <w:rPr>
          <w:rFonts w:ascii="Arial" w:hAnsi="Arial" w:cs="Arial"/>
          <w:i/>
          <w:iCs/>
          <w:color w:val="222222"/>
          <w:sz w:val="24"/>
          <w:szCs w:val="24"/>
          <w:shd w:val="clear" w:color="auto" w:fill="FFFFFF"/>
        </w:rPr>
        <w:t>Resources Policy</w:t>
      </w:r>
      <w:r w:rsidRPr="00A24D2A">
        <w:rPr>
          <w:rFonts w:ascii="Arial" w:hAnsi="Arial" w:cs="Arial"/>
          <w:color w:val="222222"/>
          <w:sz w:val="24"/>
          <w:szCs w:val="24"/>
          <w:shd w:val="clear" w:color="auto" w:fill="FFFFFF"/>
        </w:rPr>
        <w:t>, 69, p.101817.</w:t>
      </w:r>
    </w:p>
    <w:p w14:paraId="04581CCC" w14:textId="5D6026D1"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Alam, M.M. and Murad, M.W. (2020) ‘The impacts of economic growth, trade openness and technological progress on renewable energy use in organization for economic co-operation and development countries’, </w:t>
      </w:r>
      <w:r w:rsidRPr="00A24D2A">
        <w:rPr>
          <w:rFonts w:ascii="Arial" w:hAnsi="Arial" w:cs="Arial"/>
          <w:i/>
          <w:iCs/>
          <w:color w:val="222222"/>
          <w:sz w:val="24"/>
          <w:szCs w:val="24"/>
          <w:shd w:val="clear" w:color="auto" w:fill="FFFFFF"/>
        </w:rPr>
        <w:t>Renewable Energy</w:t>
      </w:r>
      <w:r w:rsidRPr="00A24D2A">
        <w:rPr>
          <w:rFonts w:ascii="Arial" w:hAnsi="Arial" w:cs="Arial"/>
          <w:color w:val="222222"/>
          <w:sz w:val="24"/>
          <w:szCs w:val="24"/>
          <w:shd w:val="clear" w:color="auto" w:fill="FFFFFF"/>
        </w:rPr>
        <w:t>, 145, pp.382-390.</w:t>
      </w:r>
    </w:p>
    <w:p w14:paraId="435570FC" w14:textId="77777777"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sz w:val="24"/>
          <w:szCs w:val="24"/>
          <w:lang w:val="en-US"/>
        </w:rPr>
        <w:t xml:space="preserve">Body Shop. (2024) [ONLINE] </w:t>
      </w:r>
      <w:hyperlink r:id="rId11" w:history="1">
        <w:r w:rsidRPr="00A24D2A">
          <w:rPr>
            <w:rStyle w:val="Hyperlink"/>
            <w:rFonts w:ascii="Arial" w:hAnsi="Arial" w:cs="Arial"/>
            <w:sz w:val="24"/>
            <w:szCs w:val="24"/>
            <w:lang w:val="en-US"/>
          </w:rPr>
          <w:t>https://www.thebodyshop.com/</w:t>
        </w:r>
      </w:hyperlink>
      <w:r w:rsidRPr="00A24D2A">
        <w:rPr>
          <w:rFonts w:ascii="Arial" w:hAnsi="Arial" w:cs="Arial"/>
          <w:sz w:val="24"/>
          <w:szCs w:val="24"/>
          <w:lang w:val="en-US"/>
        </w:rPr>
        <w:t xml:space="preserve"> [Accessed on 5 July 2024]</w:t>
      </w:r>
    </w:p>
    <w:p w14:paraId="3FDC5A33" w14:textId="3C93E50D"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 xml:space="preserve">Breyer, S.G., Stewart, R.B., Sunstein, C.R., Vermeule, A. and Herz, M. (2022) </w:t>
      </w:r>
      <w:r w:rsidRPr="00A24D2A">
        <w:rPr>
          <w:rFonts w:ascii="Arial" w:hAnsi="Arial" w:cs="Arial"/>
          <w:i/>
          <w:iCs/>
          <w:color w:val="222222"/>
          <w:sz w:val="24"/>
          <w:szCs w:val="24"/>
          <w:shd w:val="clear" w:color="auto" w:fill="FFFFFF"/>
        </w:rPr>
        <w:t>Administrative Law and Regulatory Policy: Problems, Text, and Cases [Connected eBook with Study Center]</w:t>
      </w:r>
      <w:r w:rsidRPr="00A24D2A">
        <w:rPr>
          <w:rFonts w:ascii="Arial" w:hAnsi="Arial" w:cs="Arial"/>
          <w:color w:val="222222"/>
          <w:sz w:val="24"/>
          <w:szCs w:val="24"/>
          <w:shd w:val="clear" w:color="auto" w:fill="FFFFFF"/>
        </w:rPr>
        <w:t>. Aspen Publishing.</w:t>
      </w:r>
    </w:p>
    <w:p w14:paraId="037D2A87" w14:textId="6D9F3D9D"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 xml:space="preserve">Buye, R. (2021) ‘Critical examination of the PESTEL Analysis Model’, </w:t>
      </w:r>
      <w:r w:rsidRPr="00A24D2A">
        <w:rPr>
          <w:rFonts w:ascii="Arial" w:hAnsi="Arial" w:cs="Arial"/>
          <w:i/>
          <w:iCs/>
          <w:color w:val="222222"/>
          <w:sz w:val="24"/>
          <w:szCs w:val="24"/>
          <w:shd w:val="clear" w:color="auto" w:fill="FFFFFF"/>
        </w:rPr>
        <w:t>Project: Action Research for Development</w:t>
      </w:r>
      <w:r w:rsidRPr="00A24D2A">
        <w:rPr>
          <w:rFonts w:ascii="Arial" w:hAnsi="Arial" w:cs="Arial"/>
          <w:color w:val="222222"/>
          <w:sz w:val="24"/>
          <w:szCs w:val="24"/>
          <w:shd w:val="clear" w:color="auto" w:fill="FFFFFF"/>
        </w:rPr>
        <w:t>.</w:t>
      </w:r>
    </w:p>
    <w:p w14:paraId="73D521E8" w14:textId="1EED1D43"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Christodoulou, A. and Cullinane, K. (2019) ‘Identifying the main opportunities and challenges from the implementation of a port energy management system: A SWOT/PESTLE analysis’, </w:t>
      </w:r>
      <w:r w:rsidRPr="00A24D2A">
        <w:rPr>
          <w:rFonts w:ascii="Arial" w:hAnsi="Arial" w:cs="Arial"/>
          <w:i/>
          <w:iCs/>
          <w:color w:val="222222"/>
          <w:sz w:val="24"/>
          <w:szCs w:val="24"/>
          <w:shd w:val="clear" w:color="auto" w:fill="FFFFFF"/>
        </w:rPr>
        <w:t>Sustainability</w:t>
      </w:r>
      <w:r w:rsidRPr="00A24D2A">
        <w:rPr>
          <w:rFonts w:ascii="Arial" w:hAnsi="Arial" w:cs="Arial"/>
          <w:color w:val="222222"/>
          <w:sz w:val="24"/>
          <w:szCs w:val="24"/>
          <w:shd w:val="clear" w:color="auto" w:fill="FFFFFF"/>
        </w:rPr>
        <w:t>, 11(21), p.6046.</w:t>
      </w:r>
    </w:p>
    <w:p w14:paraId="5282A935" w14:textId="3ABC6AEC"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Dimitrovski, D., Lemmetyinen, A., Nieminen, L. and Pohjola, T. (2021) ‘Understanding coastal and marine tourism sustainability-A multi-stakeholder analysis’, </w:t>
      </w:r>
      <w:r w:rsidRPr="00A24D2A">
        <w:rPr>
          <w:rFonts w:ascii="Arial" w:hAnsi="Arial" w:cs="Arial"/>
          <w:i/>
          <w:iCs/>
          <w:color w:val="222222"/>
          <w:sz w:val="24"/>
          <w:szCs w:val="24"/>
          <w:shd w:val="clear" w:color="auto" w:fill="FFFFFF"/>
        </w:rPr>
        <w:t>Journal of Destination Marketing &amp; Management</w:t>
      </w:r>
      <w:r w:rsidRPr="00A24D2A">
        <w:rPr>
          <w:rFonts w:ascii="Arial" w:hAnsi="Arial" w:cs="Arial"/>
          <w:color w:val="222222"/>
          <w:sz w:val="24"/>
          <w:szCs w:val="24"/>
          <w:shd w:val="clear" w:color="auto" w:fill="FFFFFF"/>
        </w:rPr>
        <w:t>, 19, p.100554.</w:t>
      </w:r>
    </w:p>
    <w:p w14:paraId="79A22DB1" w14:textId="4C6ABE88"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Ferrero-Ferrero, I., Fernández-Izquierdo, M.Á., Muñoz-Torres, M.J. and Bellés-Colomer, L. (2018) ‘Stakeholder engagement in sustainability reporting in higher education: An analysis of key internal stakeholders’ expectations’, </w:t>
      </w:r>
      <w:r w:rsidRPr="00A24D2A">
        <w:rPr>
          <w:rFonts w:ascii="Arial" w:hAnsi="Arial" w:cs="Arial"/>
          <w:i/>
          <w:iCs/>
          <w:color w:val="222222"/>
          <w:sz w:val="24"/>
          <w:szCs w:val="24"/>
          <w:shd w:val="clear" w:color="auto" w:fill="FFFFFF"/>
        </w:rPr>
        <w:t>International Journal of Sustainability in Higher Education</w:t>
      </w:r>
      <w:r w:rsidRPr="00A24D2A">
        <w:rPr>
          <w:rFonts w:ascii="Arial" w:hAnsi="Arial" w:cs="Arial"/>
          <w:color w:val="222222"/>
          <w:sz w:val="24"/>
          <w:szCs w:val="24"/>
          <w:shd w:val="clear" w:color="auto" w:fill="FFFFFF"/>
        </w:rPr>
        <w:t>, 19(2), pp.313-336.</w:t>
      </w:r>
    </w:p>
    <w:p w14:paraId="5DBFDE87" w14:textId="559133DD"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Goncharenko, G. (2019) ‘January. The accountability of advocacy NGOs: insights from the online community of practice’, In </w:t>
      </w:r>
      <w:r w:rsidRPr="00A24D2A">
        <w:rPr>
          <w:rFonts w:ascii="Arial" w:hAnsi="Arial" w:cs="Arial"/>
          <w:i/>
          <w:iCs/>
          <w:color w:val="222222"/>
          <w:sz w:val="24"/>
          <w:szCs w:val="24"/>
          <w:shd w:val="clear" w:color="auto" w:fill="FFFFFF"/>
        </w:rPr>
        <w:t>Accounting Forum</w:t>
      </w:r>
      <w:r w:rsidRPr="00A24D2A">
        <w:rPr>
          <w:rFonts w:ascii="Arial" w:hAnsi="Arial" w:cs="Arial"/>
          <w:color w:val="222222"/>
          <w:sz w:val="24"/>
          <w:szCs w:val="24"/>
          <w:shd w:val="clear" w:color="auto" w:fill="FFFFFF"/>
        </w:rPr>
        <w:t> (Vol. 43, No. 1, pp. 135-160). Routledge.</w:t>
      </w:r>
    </w:p>
    <w:p w14:paraId="24C8CB5E" w14:textId="63BEE6D2"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 xml:space="preserve">Haslam, S.A., McMahon, C., Cruwys, T., Haslam, C., Jetten, J. and Steffens, N.K. (2018) ‘Social cure, what social cure? The propensity to underestimate the </w:t>
      </w:r>
      <w:r w:rsidRPr="00A24D2A">
        <w:rPr>
          <w:rFonts w:ascii="Arial" w:hAnsi="Arial" w:cs="Arial"/>
          <w:color w:val="222222"/>
          <w:sz w:val="24"/>
          <w:szCs w:val="24"/>
          <w:shd w:val="clear" w:color="auto" w:fill="FFFFFF"/>
        </w:rPr>
        <w:lastRenderedPageBreak/>
        <w:t xml:space="preserve">importance of social factors for health’, </w:t>
      </w:r>
      <w:r w:rsidRPr="00A24D2A">
        <w:rPr>
          <w:rFonts w:ascii="Arial" w:hAnsi="Arial" w:cs="Arial"/>
          <w:i/>
          <w:iCs/>
          <w:color w:val="222222"/>
          <w:sz w:val="24"/>
          <w:szCs w:val="24"/>
          <w:shd w:val="clear" w:color="auto" w:fill="FFFFFF"/>
        </w:rPr>
        <w:t>Social science &amp; medicine</w:t>
      </w:r>
      <w:r w:rsidRPr="00A24D2A">
        <w:rPr>
          <w:rFonts w:ascii="Arial" w:hAnsi="Arial" w:cs="Arial"/>
          <w:color w:val="222222"/>
          <w:sz w:val="24"/>
          <w:szCs w:val="24"/>
          <w:shd w:val="clear" w:color="auto" w:fill="FFFFFF"/>
        </w:rPr>
        <w:t>, 198, pp.14-21.</w:t>
      </w:r>
    </w:p>
    <w:p w14:paraId="462EA552" w14:textId="7BB28636"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 xml:space="preserve">Huq, F.A. and Stevenson, M. (2020) ‘Implementing socially sustainable practices in challenging institutional contexts: Building theory from seven developing country supplier cases’, </w:t>
      </w:r>
      <w:r w:rsidRPr="00A24D2A">
        <w:rPr>
          <w:rFonts w:ascii="Arial" w:hAnsi="Arial" w:cs="Arial"/>
          <w:i/>
          <w:iCs/>
          <w:color w:val="222222"/>
          <w:sz w:val="24"/>
          <w:szCs w:val="24"/>
          <w:shd w:val="clear" w:color="auto" w:fill="FFFFFF"/>
        </w:rPr>
        <w:t>Journal of Business Ethics</w:t>
      </w:r>
      <w:r w:rsidRPr="00A24D2A">
        <w:rPr>
          <w:rFonts w:ascii="Arial" w:hAnsi="Arial" w:cs="Arial"/>
          <w:color w:val="222222"/>
          <w:sz w:val="24"/>
          <w:szCs w:val="24"/>
          <w:shd w:val="clear" w:color="auto" w:fill="FFFFFF"/>
        </w:rPr>
        <w:t>, 161(2), pp.415-442.</w:t>
      </w:r>
    </w:p>
    <w:p w14:paraId="06892245" w14:textId="6361703B"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Iglesias, O., Markovic, S., Singh, J.J. and Sierra, V. (2019) ‘Do customer perceptions of corporate services brand ethicality improve brand equity? Considering the roles of brand heritage, brand image, and recognition benefits’, </w:t>
      </w:r>
      <w:r w:rsidRPr="00A24D2A">
        <w:rPr>
          <w:rFonts w:ascii="Arial" w:hAnsi="Arial" w:cs="Arial"/>
          <w:i/>
          <w:iCs/>
          <w:color w:val="222222"/>
          <w:sz w:val="24"/>
          <w:szCs w:val="24"/>
          <w:shd w:val="clear" w:color="auto" w:fill="FFFFFF"/>
        </w:rPr>
        <w:t>Journal of business ethics</w:t>
      </w:r>
      <w:r w:rsidRPr="00A24D2A">
        <w:rPr>
          <w:rFonts w:ascii="Arial" w:hAnsi="Arial" w:cs="Arial"/>
          <w:color w:val="222222"/>
          <w:sz w:val="24"/>
          <w:szCs w:val="24"/>
          <w:shd w:val="clear" w:color="auto" w:fill="FFFFFF"/>
        </w:rPr>
        <w:t>, 154, pp.441-459.</w:t>
      </w:r>
    </w:p>
    <w:p w14:paraId="1ADEE463" w14:textId="6CF6284D"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Liu, L., Zhang, M., Hendry, L.C., Bu, M. and Wang, S. (2018) ‘Supplier development practices for sustainability: A multi</w:t>
      </w:r>
      <w:r w:rsidRPr="00A24D2A">
        <w:rPr>
          <w:rFonts w:ascii="Cambria Math" w:hAnsi="Cambria Math" w:cs="Cambria Math"/>
          <w:color w:val="222222"/>
          <w:sz w:val="24"/>
          <w:szCs w:val="24"/>
          <w:shd w:val="clear" w:color="auto" w:fill="FFFFFF"/>
        </w:rPr>
        <w:t>‐</w:t>
      </w:r>
      <w:r w:rsidRPr="00A24D2A">
        <w:rPr>
          <w:rFonts w:ascii="Arial" w:hAnsi="Arial" w:cs="Arial"/>
          <w:color w:val="222222"/>
          <w:sz w:val="24"/>
          <w:szCs w:val="24"/>
          <w:shd w:val="clear" w:color="auto" w:fill="FFFFFF"/>
        </w:rPr>
        <w:t xml:space="preserve">stakeholder perspective’, </w:t>
      </w:r>
      <w:r w:rsidRPr="00A24D2A">
        <w:rPr>
          <w:rFonts w:ascii="Arial" w:hAnsi="Arial" w:cs="Arial"/>
          <w:i/>
          <w:iCs/>
          <w:color w:val="222222"/>
          <w:sz w:val="24"/>
          <w:szCs w:val="24"/>
          <w:shd w:val="clear" w:color="auto" w:fill="FFFFFF"/>
        </w:rPr>
        <w:t>Business Strategy and the Environment</w:t>
      </w:r>
      <w:r w:rsidRPr="00A24D2A">
        <w:rPr>
          <w:rFonts w:ascii="Arial" w:hAnsi="Arial" w:cs="Arial"/>
          <w:color w:val="222222"/>
          <w:sz w:val="24"/>
          <w:szCs w:val="24"/>
          <w:shd w:val="clear" w:color="auto" w:fill="FFFFFF"/>
        </w:rPr>
        <w:t>, 27(1), pp.100-116.</w:t>
      </w:r>
    </w:p>
    <w:p w14:paraId="73EC6FA5" w14:textId="797E4794"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Lysons, K. and Farrington, B. (2020) ‘</w:t>
      </w:r>
      <w:r w:rsidRPr="00A24D2A">
        <w:rPr>
          <w:rFonts w:ascii="Arial" w:hAnsi="Arial" w:cs="Arial"/>
          <w:i/>
          <w:iCs/>
          <w:color w:val="222222"/>
          <w:sz w:val="24"/>
          <w:szCs w:val="24"/>
          <w:shd w:val="clear" w:color="auto" w:fill="FFFFFF"/>
        </w:rPr>
        <w:t>Procurement and supply chain management</w:t>
      </w:r>
      <w:r w:rsidRPr="00A24D2A">
        <w:rPr>
          <w:rFonts w:ascii="Arial" w:hAnsi="Arial" w:cs="Arial"/>
          <w:color w:val="222222"/>
          <w:sz w:val="24"/>
          <w:szCs w:val="24"/>
          <w:shd w:val="clear" w:color="auto" w:fill="FFFFFF"/>
        </w:rPr>
        <w:t>’, Pearson UK.</w:t>
      </w:r>
    </w:p>
    <w:p w14:paraId="50840A4C" w14:textId="77777777"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sz w:val="24"/>
          <w:szCs w:val="24"/>
          <w:lang w:val="en-US"/>
        </w:rPr>
        <w:t xml:space="preserve">NBC News, (20240 [ONLINE] </w:t>
      </w:r>
      <w:hyperlink r:id="rId12" w:history="1">
        <w:r w:rsidRPr="00A24D2A">
          <w:rPr>
            <w:rStyle w:val="Hyperlink"/>
            <w:rFonts w:ascii="Arial" w:hAnsi="Arial" w:cs="Arial"/>
            <w:sz w:val="24"/>
            <w:szCs w:val="24"/>
            <w:lang w:val="en-US"/>
          </w:rPr>
          <w:t>https://www.nbcnews.com/business/business-news/the-body-shop-store-shuts-down-where-why-rcna</w:t>
        </w:r>
      </w:hyperlink>
      <w:r w:rsidRPr="00A24D2A">
        <w:rPr>
          <w:rFonts w:ascii="Arial" w:hAnsi="Arial" w:cs="Arial"/>
          <w:sz w:val="24"/>
          <w:szCs w:val="24"/>
          <w:lang w:val="en-US"/>
        </w:rPr>
        <w:t xml:space="preserve">  [Accessed on 5 July 2024]</w:t>
      </w:r>
    </w:p>
    <w:p w14:paraId="748BDB1A" w14:textId="1450C132"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 xml:space="preserve">Nguyen, T.S., Mohamed, S. and Panuwatwanich, K. (2018) ‘Stakeholder management in </w:t>
      </w:r>
      <w:r w:rsidR="00A25A85" w:rsidRPr="00A24D2A">
        <w:rPr>
          <w:rFonts w:ascii="Arial" w:hAnsi="Arial" w:cs="Arial"/>
          <w:color w:val="222222"/>
          <w:sz w:val="24"/>
          <w:szCs w:val="24"/>
          <w:shd w:val="clear" w:color="auto" w:fill="FFFFFF"/>
        </w:rPr>
        <w:t xml:space="preserve">the </w:t>
      </w:r>
      <w:r w:rsidRPr="00A24D2A">
        <w:rPr>
          <w:rFonts w:ascii="Arial" w:hAnsi="Arial" w:cs="Arial"/>
          <w:color w:val="222222"/>
          <w:sz w:val="24"/>
          <w:szCs w:val="24"/>
          <w:shd w:val="clear" w:color="auto" w:fill="FFFFFF"/>
        </w:rPr>
        <w:t>complex project: Review of contemporary literature’, </w:t>
      </w:r>
      <w:r w:rsidRPr="00A24D2A">
        <w:rPr>
          <w:rFonts w:ascii="Arial" w:hAnsi="Arial" w:cs="Arial"/>
          <w:i/>
          <w:iCs/>
          <w:color w:val="222222"/>
          <w:sz w:val="24"/>
          <w:szCs w:val="24"/>
          <w:shd w:val="clear" w:color="auto" w:fill="FFFFFF"/>
        </w:rPr>
        <w:t>Journal of Engineering, Project &amp; Production Management</w:t>
      </w:r>
      <w:r w:rsidRPr="00A24D2A">
        <w:rPr>
          <w:rFonts w:ascii="Arial" w:hAnsi="Arial" w:cs="Arial"/>
          <w:color w:val="222222"/>
          <w:sz w:val="24"/>
          <w:szCs w:val="24"/>
          <w:shd w:val="clear" w:color="auto" w:fill="FFFFFF"/>
        </w:rPr>
        <w:t>, 8(2).</w:t>
      </w:r>
    </w:p>
    <w:p w14:paraId="346157F3" w14:textId="2908A390"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 xml:space="preserve">Nyadzayo, M.W., Matanda, M.J. and Rajaguru, R. (2018) ‘The determinants of franchise brand loyalty in B2B markets: An emerging market perspective’, </w:t>
      </w:r>
      <w:r w:rsidRPr="00A24D2A">
        <w:rPr>
          <w:rFonts w:ascii="Arial" w:hAnsi="Arial" w:cs="Arial"/>
          <w:i/>
          <w:iCs/>
          <w:color w:val="222222"/>
          <w:sz w:val="24"/>
          <w:szCs w:val="24"/>
          <w:shd w:val="clear" w:color="auto" w:fill="FFFFFF"/>
        </w:rPr>
        <w:t>Journal of Business Research</w:t>
      </w:r>
      <w:r w:rsidRPr="00A24D2A">
        <w:rPr>
          <w:rFonts w:ascii="Arial" w:hAnsi="Arial" w:cs="Arial"/>
          <w:color w:val="222222"/>
          <w:sz w:val="24"/>
          <w:szCs w:val="24"/>
          <w:shd w:val="clear" w:color="auto" w:fill="FFFFFF"/>
        </w:rPr>
        <w:t>, 86, pp.435-445.</w:t>
      </w:r>
    </w:p>
    <w:p w14:paraId="1577E783" w14:textId="4B779C03" w:rsidR="00475BA2" w:rsidRPr="00A24D2A" w:rsidRDefault="00475BA2" w:rsidP="00475BA2">
      <w:pPr>
        <w:spacing w:line="360" w:lineRule="auto"/>
        <w:ind w:left="720" w:hanging="720"/>
        <w:jc w:val="both"/>
        <w:rPr>
          <w:rFonts w:ascii="Arial" w:hAnsi="Arial" w:cs="Arial"/>
          <w:color w:val="222222"/>
          <w:sz w:val="24"/>
          <w:szCs w:val="24"/>
          <w:shd w:val="clear" w:color="auto" w:fill="FFFFFF"/>
        </w:rPr>
      </w:pPr>
      <w:r w:rsidRPr="00A24D2A">
        <w:rPr>
          <w:rFonts w:ascii="Arial" w:hAnsi="Arial" w:cs="Arial"/>
          <w:color w:val="222222"/>
          <w:sz w:val="24"/>
          <w:szCs w:val="24"/>
          <w:shd w:val="clear" w:color="auto" w:fill="FFFFFF"/>
        </w:rPr>
        <w:t>Ortega, R.G., Rodríguez, M.D.O., Vázquez, M.L., Ricardo, J.E., Figueiredo, J.A.S. and Smarandache, F. (2019) </w:t>
      </w:r>
      <w:r w:rsidRPr="00A24D2A">
        <w:rPr>
          <w:rFonts w:ascii="Arial" w:hAnsi="Arial" w:cs="Arial"/>
          <w:i/>
          <w:iCs/>
          <w:color w:val="222222"/>
          <w:sz w:val="24"/>
          <w:szCs w:val="24"/>
          <w:shd w:val="clear" w:color="auto" w:fill="FFFFFF"/>
        </w:rPr>
        <w:t>Pestel analysis based on neutrosophic cognitive maps and neutrosophic numbers for the sinos river basin management</w:t>
      </w:r>
      <w:r w:rsidRPr="00A24D2A">
        <w:rPr>
          <w:rFonts w:ascii="Arial" w:hAnsi="Arial" w:cs="Arial"/>
          <w:color w:val="222222"/>
          <w:sz w:val="24"/>
          <w:szCs w:val="24"/>
          <w:shd w:val="clear" w:color="auto" w:fill="FFFFFF"/>
        </w:rPr>
        <w:t>. Infinite Study.</w:t>
      </w:r>
    </w:p>
    <w:p w14:paraId="33F94516" w14:textId="5845751F"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 xml:space="preserve">Raum, S. (2018) ‘A framework for integrating systematic stakeholder analysis in ecosystem services research: Stakeholder mapping for forest ecosystem services in the UK’, </w:t>
      </w:r>
      <w:r w:rsidRPr="00A24D2A">
        <w:rPr>
          <w:rFonts w:ascii="Arial" w:hAnsi="Arial" w:cs="Arial"/>
          <w:i/>
          <w:iCs/>
          <w:color w:val="222222"/>
          <w:sz w:val="24"/>
          <w:szCs w:val="24"/>
          <w:shd w:val="clear" w:color="auto" w:fill="FFFFFF"/>
        </w:rPr>
        <w:t>Ecosystem services</w:t>
      </w:r>
      <w:r w:rsidRPr="00A24D2A">
        <w:rPr>
          <w:rFonts w:ascii="Arial" w:hAnsi="Arial" w:cs="Arial"/>
          <w:color w:val="222222"/>
          <w:sz w:val="24"/>
          <w:szCs w:val="24"/>
          <w:shd w:val="clear" w:color="auto" w:fill="FFFFFF"/>
        </w:rPr>
        <w:t>, 29, pp.170-184.</w:t>
      </w:r>
    </w:p>
    <w:p w14:paraId="7CDC352E" w14:textId="360CE952" w:rsidR="00475BA2" w:rsidRPr="00A24D2A" w:rsidRDefault="00475BA2" w:rsidP="00475BA2">
      <w:pPr>
        <w:spacing w:line="360" w:lineRule="auto"/>
        <w:ind w:left="720" w:hanging="720"/>
        <w:jc w:val="both"/>
        <w:rPr>
          <w:rFonts w:ascii="Arial" w:hAnsi="Arial" w:cs="Arial"/>
          <w:color w:val="222222"/>
          <w:sz w:val="24"/>
          <w:szCs w:val="24"/>
          <w:shd w:val="clear" w:color="auto" w:fill="FFFFFF"/>
        </w:rPr>
      </w:pPr>
      <w:r w:rsidRPr="00A24D2A">
        <w:rPr>
          <w:rFonts w:ascii="Arial" w:hAnsi="Arial" w:cs="Arial"/>
          <w:color w:val="222222"/>
          <w:sz w:val="24"/>
          <w:szCs w:val="24"/>
          <w:shd w:val="clear" w:color="auto" w:fill="FFFFFF"/>
        </w:rPr>
        <w:t xml:space="preserve">Waqar, A., Shafiq, N., Othman, I., Alqahtani, F.K., Alshehri, A.M., Sherif, M.A. and Almujibah, H.R. (2024) ‘Examining the impact of BIM implementation on external </w:t>
      </w:r>
      <w:r w:rsidRPr="00A24D2A">
        <w:rPr>
          <w:rFonts w:ascii="Arial" w:hAnsi="Arial" w:cs="Arial"/>
          <w:color w:val="222222"/>
          <w:sz w:val="24"/>
          <w:szCs w:val="24"/>
          <w:shd w:val="clear" w:color="auto" w:fill="FFFFFF"/>
        </w:rPr>
        <w:lastRenderedPageBreak/>
        <w:t xml:space="preserve">environment of AEC industry: A PEST analysis perspective’, </w:t>
      </w:r>
      <w:r w:rsidRPr="00A24D2A">
        <w:rPr>
          <w:rFonts w:ascii="Arial" w:hAnsi="Arial" w:cs="Arial"/>
          <w:i/>
          <w:iCs/>
          <w:color w:val="222222"/>
          <w:sz w:val="24"/>
          <w:szCs w:val="24"/>
          <w:shd w:val="clear" w:color="auto" w:fill="FFFFFF"/>
        </w:rPr>
        <w:t>Developments in the Built Environment</w:t>
      </w:r>
      <w:r w:rsidRPr="00A24D2A">
        <w:rPr>
          <w:rFonts w:ascii="Arial" w:hAnsi="Arial" w:cs="Arial"/>
          <w:color w:val="222222"/>
          <w:sz w:val="24"/>
          <w:szCs w:val="24"/>
          <w:shd w:val="clear" w:color="auto" w:fill="FFFFFF"/>
        </w:rPr>
        <w:t>, 17, p.100347.</w:t>
      </w:r>
    </w:p>
    <w:p w14:paraId="26F11DE6" w14:textId="7678A314" w:rsidR="00475BA2" w:rsidRPr="00A24D2A" w:rsidRDefault="00475BA2" w:rsidP="00475BA2">
      <w:pPr>
        <w:spacing w:line="360" w:lineRule="auto"/>
        <w:ind w:left="720" w:hanging="720"/>
        <w:jc w:val="both"/>
        <w:rPr>
          <w:rFonts w:ascii="Arial" w:hAnsi="Arial" w:cs="Arial"/>
          <w:sz w:val="24"/>
          <w:szCs w:val="24"/>
          <w:lang w:val="en-US"/>
        </w:rPr>
      </w:pPr>
      <w:r w:rsidRPr="00A24D2A">
        <w:rPr>
          <w:rFonts w:ascii="Arial" w:hAnsi="Arial" w:cs="Arial"/>
          <w:color w:val="222222"/>
          <w:sz w:val="24"/>
          <w:szCs w:val="24"/>
          <w:shd w:val="clear" w:color="auto" w:fill="FFFFFF"/>
        </w:rPr>
        <w:t>Xie, X., He, Z., Chen, N., Tang, Z., Wang, Q. and Cai, Y. (2019) ‘The roles of environmental factors in regulation of oxidative stress in plant’, </w:t>
      </w:r>
      <w:r w:rsidRPr="00A24D2A">
        <w:rPr>
          <w:rFonts w:ascii="Arial" w:hAnsi="Arial" w:cs="Arial"/>
          <w:i/>
          <w:iCs/>
          <w:color w:val="222222"/>
          <w:sz w:val="24"/>
          <w:szCs w:val="24"/>
          <w:shd w:val="clear" w:color="auto" w:fill="FFFFFF"/>
        </w:rPr>
        <w:t>BioMed research international</w:t>
      </w:r>
      <w:r w:rsidRPr="00A24D2A">
        <w:rPr>
          <w:rFonts w:ascii="Arial" w:hAnsi="Arial" w:cs="Arial"/>
          <w:color w:val="222222"/>
          <w:sz w:val="24"/>
          <w:szCs w:val="24"/>
          <w:shd w:val="clear" w:color="auto" w:fill="FFFFFF"/>
        </w:rPr>
        <w:t>, 2019(1), p.9732325.</w:t>
      </w:r>
    </w:p>
    <w:p w14:paraId="43A02A84" w14:textId="77777777" w:rsidR="00475BA2" w:rsidRPr="00A24D2A" w:rsidRDefault="00475BA2" w:rsidP="00475BA2">
      <w:pPr>
        <w:spacing w:line="360" w:lineRule="auto"/>
        <w:ind w:left="720" w:hanging="720"/>
        <w:rPr>
          <w:rFonts w:ascii="Arial" w:hAnsi="Arial" w:cs="Arial"/>
        </w:rPr>
      </w:pPr>
    </w:p>
    <w:p w14:paraId="7D26D99C" w14:textId="77777777" w:rsidR="00AD31BB" w:rsidRPr="00A24D2A" w:rsidRDefault="00AD31BB" w:rsidP="00475BA2">
      <w:pPr>
        <w:spacing w:line="360" w:lineRule="auto"/>
        <w:ind w:left="720" w:hanging="720"/>
        <w:jc w:val="both"/>
        <w:rPr>
          <w:rFonts w:ascii="Arial" w:hAnsi="Arial" w:cs="Arial"/>
          <w:b/>
          <w:bCs/>
        </w:rPr>
      </w:pPr>
    </w:p>
    <w:p w14:paraId="7353929E" w14:textId="77777777" w:rsidR="00D50FE0" w:rsidRPr="00A24D2A" w:rsidRDefault="00D50FE0" w:rsidP="00475BA2">
      <w:pPr>
        <w:spacing w:line="360" w:lineRule="auto"/>
        <w:ind w:left="720" w:hanging="720"/>
        <w:jc w:val="both"/>
        <w:rPr>
          <w:rFonts w:ascii="Arial" w:hAnsi="Arial" w:cs="Arial"/>
        </w:rPr>
      </w:pPr>
    </w:p>
    <w:sectPr w:rsidR="00D50FE0" w:rsidRPr="00A24D2A">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58F421" w14:textId="77777777" w:rsidR="00EB6C5A" w:rsidRDefault="00EB6C5A" w:rsidP="00A24D2A">
      <w:r>
        <w:separator/>
      </w:r>
    </w:p>
  </w:endnote>
  <w:endnote w:type="continuationSeparator" w:id="0">
    <w:p w14:paraId="32151F7D" w14:textId="77777777" w:rsidR="00EB6C5A" w:rsidRDefault="00EB6C5A" w:rsidP="00A24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ptos Display">
    <w:altName w:val="Arial"/>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4A805" w14:textId="77777777" w:rsidR="00F31EDF" w:rsidRDefault="00F31E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634283"/>
      <w:docPartObj>
        <w:docPartGallery w:val="Page Numbers (Bottom of Page)"/>
        <w:docPartUnique/>
      </w:docPartObj>
    </w:sdtPr>
    <w:sdtEndPr>
      <w:rPr>
        <w:noProof/>
      </w:rPr>
    </w:sdtEndPr>
    <w:sdtContent>
      <w:p w14:paraId="49AAEC8F" w14:textId="2AD9F410" w:rsidR="00F31EDF" w:rsidRDefault="00F31EDF">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5625A83F" w14:textId="77777777" w:rsidR="00F31EDF" w:rsidRDefault="00F31E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F2837B" w14:textId="77777777" w:rsidR="00F31EDF" w:rsidRDefault="00F31E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9078ED" w14:textId="77777777" w:rsidR="00EB6C5A" w:rsidRDefault="00EB6C5A" w:rsidP="00A24D2A">
      <w:r>
        <w:separator/>
      </w:r>
    </w:p>
  </w:footnote>
  <w:footnote w:type="continuationSeparator" w:id="0">
    <w:p w14:paraId="31DF802D" w14:textId="77777777" w:rsidR="00EB6C5A" w:rsidRDefault="00EB6C5A" w:rsidP="00A24D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710FD" w14:textId="77777777" w:rsidR="00F31EDF" w:rsidRDefault="00F31E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2FD47" w14:textId="77777777" w:rsidR="00F31EDF" w:rsidRDefault="00F31E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2F4037" w14:textId="77777777" w:rsidR="00F31EDF" w:rsidRDefault="00F31E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9275B6"/>
    <w:multiLevelType w:val="hybridMultilevel"/>
    <w:tmpl w:val="D8CEF784"/>
    <w:lvl w:ilvl="0" w:tplc="593854BA">
      <w:start w:val="1"/>
      <w:numFmt w:val="decimal"/>
      <w:lvlText w:val="%1."/>
      <w:lvlJc w:val="left"/>
      <w:pPr>
        <w:ind w:left="-180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360" w:hanging="180"/>
      </w:pPr>
    </w:lvl>
    <w:lvl w:ilvl="3" w:tplc="0809000F" w:tentative="1">
      <w:start w:val="1"/>
      <w:numFmt w:val="decimal"/>
      <w:lvlText w:val="%4."/>
      <w:lvlJc w:val="left"/>
      <w:pPr>
        <w:ind w:left="360" w:hanging="360"/>
      </w:pPr>
    </w:lvl>
    <w:lvl w:ilvl="4" w:tplc="08090019" w:tentative="1">
      <w:start w:val="1"/>
      <w:numFmt w:val="lowerLetter"/>
      <w:lvlText w:val="%5."/>
      <w:lvlJc w:val="left"/>
      <w:pPr>
        <w:ind w:left="1080" w:hanging="360"/>
      </w:pPr>
    </w:lvl>
    <w:lvl w:ilvl="5" w:tplc="0809001B" w:tentative="1">
      <w:start w:val="1"/>
      <w:numFmt w:val="lowerRoman"/>
      <w:lvlText w:val="%6."/>
      <w:lvlJc w:val="right"/>
      <w:pPr>
        <w:ind w:left="1800" w:hanging="180"/>
      </w:pPr>
    </w:lvl>
    <w:lvl w:ilvl="6" w:tplc="0809000F" w:tentative="1">
      <w:start w:val="1"/>
      <w:numFmt w:val="decimal"/>
      <w:lvlText w:val="%7."/>
      <w:lvlJc w:val="left"/>
      <w:pPr>
        <w:ind w:left="2520" w:hanging="360"/>
      </w:pPr>
    </w:lvl>
    <w:lvl w:ilvl="7" w:tplc="08090019" w:tentative="1">
      <w:start w:val="1"/>
      <w:numFmt w:val="lowerLetter"/>
      <w:lvlText w:val="%8."/>
      <w:lvlJc w:val="left"/>
      <w:pPr>
        <w:ind w:left="3240" w:hanging="360"/>
      </w:pPr>
    </w:lvl>
    <w:lvl w:ilvl="8" w:tplc="0809001B" w:tentative="1">
      <w:start w:val="1"/>
      <w:numFmt w:val="lowerRoman"/>
      <w:lvlText w:val="%9."/>
      <w:lvlJc w:val="right"/>
      <w:pPr>
        <w:ind w:left="3960" w:hanging="180"/>
      </w:pPr>
    </w:lvl>
  </w:abstractNum>
  <w:abstractNum w:abstractNumId="1">
    <w:nsid w:val="2F951AB7"/>
    <w:multiLevelType w:val="hybridMultilevel"/>
    <w:tmpl w:val="46860F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3A6A4577"/>
    <w:multiLevelType w:val="multilevel"/>
    <w:tmpl w:val="C9A2D7F0"/>
    <w:lvl w:ilvl="0">
      <w:start w:val="1"/>
      <w:numFmt w:val="decimal"/>
      <w:pStyle w:val="Heading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760" w:hanging="1800"/>
      </w:pPr>
      <w:rPr>
        <w:rFonts w:hint="default"/>
      </w:rPr>
    </w:lvl>
    <w:lvl w:ilvl="8">
      <w:start w:val="1"/>
      <w:numFmt w:val="decimal"/>
      <w:isLgl/>
      <w:lvlText w:val="%1.%2.%3.%4.%5.%6.%7.%8.%9"/>
      <w:lvlJc w:val="left"/>
      <w:pPr>
        <w:ind w:left="6120" w:hanging="1800"/>
      </w:pPr>
      <w:rPr>
        <w:rFonts w:hint="default"/>
      </w:rPr>
    </w:lvl>
  </w:abstractNum>
  <w:abstractNum w:abstractNumId="3">
    <w:nsid w:val="49464499"/>
    <w:multiLevelType w:val="hybridMultilevel"/>
    <w:tmpl w:val="90DCAE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59FB3904"/>
    <w:multiLevelType w:val="hybridMultilevel"/>
    <w:tmpl w:val="1FCE8C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6C25191A"/>
    <w:multiLevelType w:val="hybridMultilevel"/>
    <w:tmpl w:val="07D8500A"/>
    <w:lvl w:ilvl="0" w:tplc="0D8C30BA">
      <w:start w:val="1"/>
      <w:numFmt w:val="decimal"/>
      <w:lvlText w:val="%1."/>
      <w:lvlJc w:val="left"/>
      <w:pPr>
        <w:ind w:left="536" w:hanging="360"/>
      </w:pPr>
      <w:rPr>
        <w:rFonts w:hint="default"/>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6">
    <w:nsid w:val="7E991021"/>
    <w:multiLevelType w:val="multilevel"/>
    <w:tmpl w:val="A71E98A6"/>
    <w:lvl w:ilvl="0">
      <w:start w:val="1"/>
      <w:numFmt w:val="decimal"/>
      <w:pStyle w:val="Heading3"/>
      <w:lvlText w:val="%1."/>
      <w:lvlJc w:val="left"/>
      <w:pPr>
        <w:ind w:left="1800" w:hanging="360"/>
      </w:pPr>
      <w:rPr>
        <w:rFonts w:hint="default"/>
      </w:rPr>
    </w:lvl>
    <w:lvl w:ilvl="1">
      <w:start w:val="1"/>
      <w:numFmt w:val="decimal"/>
      <w:isLgl/>
      <w:lvlText w:val="%1.%2"/>
      <w:lvlJc w:val="left"/>
      <w:pPr>
        <w:ind w:left="216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44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760" w:hanging="1800"/>
      </w:pPr>
      <w:rPr>
        <w:rFonts w:hint="default"/>
      </w:rPr>
    </w:lvl>
    <w:lvl w:ilvl="8">
      <w:start w:val="1"/>
      <w:numFmt w:val="decimal"/>
      <w:isLgl/>
      <w:lvlText w:val="%1.%2.%3.%4.%5.%6.%7.%8.%9"/>
      <w:lvlJc w:val="left"/>
      <w:pPr>
        <w:ind w:left="6120" w:hanging="1800"/>
      </w:pPr>
      <w:rPr>
        <w:rFonts w:hint="default"/>
      </w:rPr>
    </w:lvl>
  </w:abstractNum>
  <w:num w:numId="1">
    <w:abstractNumId w:val="3"/>
  </w:num>
  <w:num w:numId="2">
    <w:abstractNumId w:val="1"/>
  </w:num>
  <w:num w:numId="3">
    <w:abstractNumId w:val="4"/>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2MzEzMTKztDQxMzIwsDRX0lEKTi0uzszPAykwrgUApqtcPiwAAAA="/>
  </w:docVars>
  <w:rsids>
    <w:rsidRoot w:val="00D20414"/>
    <w:rsid w:val="00032DDA"/>
    <w:rsid w:val="000578CB"/>
    <w:rsid w:val="000C71B0"/>
    <w:rsid w:val="000F3478"/>
    <w:rsid w:val="00157EB7"/>
    <w:rsid w:val="00170FA6"/>
    <w:rsid w:val="0017490C"/>
    <w:rsid w:val="001858BB"/>
    <w:rsid w:val="001A5BEA"/>
    <w:rsid w:val="002B130D"/>
    <w:rsid w:val="002F0403"/>
    <w:rsid w:val="00396AD7"/>
    <w:rsid w:val="003E76CD"/>
    <w:rsid w:val="004013A9"/>
    <w:rsid w:val="0040645A"/>
    <w:rsid w:val="0044259C"/>
    <w:rsid w:val="00475BA2"/>
    <w:rsid w:val="00480594"/>
    <w:rsid w:val="004A3096"/>
    <w:rsid w:val="00512640"/>
    <w:rsid w:val="00533517"/>
    <w:rsid w:val="005A4D6C"/>
    <w:rsid w:val="0066179D"/>
    <w:rsid w:val="00677312"/>
    <w:rsid w:val="00686D8A"/>
    <w:rsid w:val="00774EB9"/>
    <w:rsid w:val="00850661"/>
    <w:rsid w:val="00864188"/>
    <w:rsid w:val="00884F3C"/>
    <w:rsid w:val="008C2B08"/>
    <w:rsid w:val="00997450"/>
    <w:rsid w:val="009A659B"/>
    <w:rsid w:val="009D2547"/>
    <w:rsid w:val="009F3693"/>
    <w:rsid w:val="00A24D2A"/>
    <w:rsid w:val="00A25A85"/>
    <w:rsid w:val="00A42972"/>
    <w:rsid w:val="00AC2C5F"/>
    <w:rsid w:val="00AD31BB"/>
    <w:rsid w:val="00B23A3A"/>
    <w:rsid w:val="00B77FA9"/>
    <w:rsid w:val="00BC2B59"/>
    <w:rsid w:val="00C1336A"/>
    <w:rsid w:val="00C53308"/>
    <w:rsid w:val="00C808BE"/>
    <w:rsid w:val="00C951F9"/>
    <w:rsid w:val="00D20414"/>
    <w:rsid w:val="00D50FE0"/>
    <w:rsid w:val="00D546ED"/>
    <w:rsid w:val="00D574CC"/>
    <w:rsid w:val="00DB00B5"/>
    <w:rsid w:val="00E12EFA"/>
    <w:rsid w:val="00E9372C"/>
    <w:rsid w:val="00EA5B85"/>
    <w:rsid w:val="00EB1304"/>
    <w:rsid w:val="00EB6C5A"/>
    <w:rsid w:val="00EE4E72"/>
    <w:rsid w:val="00F31E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0ACDE"/>
  <w15:chartTrackingRefBased/>
  <w15:docId w15:val="{F5339E88-D5D5-4E29-A37A-26B4AFD6B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line="480"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1BB"/>
    <w:pPr>
      <w:spacing w:line="240" w:lineRule="auto"/>
      <w:ind w:firstLine="0"/>
      <w:jc w:val="left"/>
    </w:pPr>
    <w:rPr>
      <w:rFonts w:ascii="Times New Roman" w:hAnsi="Times New Roman" w:cs="Times New Roman"/>
      <w:kern w:val="0"/>
      <w:sz w:val="20"/>
      <w:szCs w:val="20"/>
      <w:lang w:val="en-GB" w:eastAsia="en-GB"/>
    </w:rPr>
  </w:style>
  <w:style w:type="paragraph" w:styleId="Heading1">
    <w:name w:val="heading 1"/>
    <w:basedOn w:val="Normal"/>
    <w:next w:val="Normal"/>
    <w:link w:val="Heading1Char"/>
    <w:autoRedefine/>
    <w:qFormat/>
    <w:rsid w:val="00F31EDF"/>
    <w:pPr>
      <w:keepNext/>
      <w:keepLines/>
      <w:numPr>
        <w:numId w:val="6"/>
      </w:numPr>
      <w:spacing w:after="200" w:line="360" w:lineRule="auto"/>
      <w:ind w:left="0" w:firstLine="0"/>
      <w:jc w:val="both"/>
      <w:outlineLvl w:val="0"/>
    </w:pPr>
    <w:rPr>
      <w:rFonts w:ascii="Arial" w:eastAsia="Play" w:hAnsi="Arial" w:cs="Arial"/>
      <w:color w:val="000000" w:themeColor="text1"/>
      <w:sz w:val="32"/>
      <w:szCs w:val="32"/>
    </w:rPr>
  </w:style>
  <w:style w:type="paragraph" w:styleId="Heading2">
    <w:name w:val="heading 2"/>
    <w:basedOn w:val="Normal"/>
    <w:next w:val="Normal"/>
    <w:link w:val="Heading2Char"/>
    <w:autoRedefine/>
    <w:unhideWhenUsed/>
    <w:qFormat/>
    <w:rsid w:val="00F31EDF"/>
    <w:pPr>
      <w:keepNext/>
      <w:keepLines/>
      <w:spacing w:before="40" w:after="200" w:line="360" w:lineRule="auto"/>
      <w:ind w:left="176"/>
      <w:jc w:val="both"/>
      <w:outlineLvl w:val="1"/>
    </w:pPr>
    <w:rPr>
      <w:rFonts w:ascii="Arial" w:hAnsi="Arial"/>
      <w:sz w:val="28"/>
      <w:szCs w:val="28"/>
    </w:rPr>
  </w:style>
  <w:style w:type="paragraph" w:styleId="Heading3">
    <w:name w:val="heading 3"/>
    <w:basedOn w:val="Normal"/>
    <w:next w:val="Normal"/>
    <w:link w:val="Heading3Char"/>
    <w:autoRedefine/>
    <w:uiPriority w:val="9"/>
    <w:unhideWhenUsed/>
    <w:qFormat/>
    <w:rsid w:val="00475BA2"/>
    <w:pPr>
      <w:keepNext/>
      <w:keepLines/>
      <w:widowControl w:val="0"/>
      <w:numPr>
        <w:numId w:val="7"/>
      </w:numPr>
      <w:autoSpaceDE w:val="0"/>
      <w:autoSpaceDN w:val="0"/>
      <w:spacing w:before="40" w:line="360" w:lineRule="auto"/>
      <w:jc w:val="both"/>
      <w:outlineLvl w:val="2"/>
    </w:pPr>
    <w:rPr>
      <w:rFonts w:ascii="Arial" w:eastAsiaTheme="majorEastAsia" w:hAnsi="Arial" w:cs="Arial"/>
      <w:b/>
      <w:bCs/>
      <w:i/>
      <w:iCs/>
      <w:color w:val="0A2F40" w:themeColor="accent1" w:themeShade="7F"/>
      <w:kern w:val="2"/>
      <w:sz w:val="24"/>
      <w:szCs w:val="24"/>
      <w:shd w:val="clear" w:color="auto" w:fill="FFFFFF"/>
    </w:rPr>
  </w:style>
  <w:style w:type="paragraph" w:styleId="Heading4">
    <w:name w:val="heading 4"/>
    <w:basedOn w:val="Normal"/>
    <w:next w:val="Normal"/>
    <w:link w:val="Heading4Char"/>
    <w:uiPriority w:val="9"/>
    <w:unhideWhenUsed/>
    <w:qFormat/>
    <w:rsid w:val="00D2041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2041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2041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2041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2041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2041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31EDF"/>
    <w:rPr>
      <w:rFonts w:ascii="Arial" w:hAnsi="Arial" w:cs="Times New Roman"/>
      <w:kern w:val="0"/>
      <w:sz w:val="28"/>
      <w:szCs w:val="28"/>
      <w:lang w:val="en-GB" w:eastAsia="en-GB"/>
    </w:rPr>
  </w:style>
  <w:style w:type="paragraph" w:styleId="Title">
    <w:name w:val="Title"/>
    <w:basedOn w:val="Normal"/>
    <w:next w:val="Normal"/>
    <w:link w:val="TitleChar"/>
    <w:autoRedefine/>
    <w:uiPriority w:val="10"/>
    <w:qFormat/>
    <w:rsid w:val="00C808BE"/>
    <w:pPr>
      <w:contextualSpacing/>
    </w:pPr>
    <w:rPr>
      <w:rFonts w:eastAsiaTheme="majorEastAsia" w:cstheme="majorBidi"/>
      <w:spacing w:val="-10"/>
      <w:kern w:val="28"/>
      <w:szCs w:val="56"/>
    </w:rPr>
  </w:style>
  <w:style w:type="character" w:customStyle="1" w:styleId="TitleChar">
    <w:name w:val="Title Char"/>
    <w:basedOn w:val="DefaultParagraphFont"/>
    <w:link w:val="Title"/>
    <w:uiPriority w:val="10"/>
    <w:rsid w:val="00C808BE"/>
    <w:rPr>
      <w:rFonts w:ascii="Times New Roman" w:eastAsiaTheme="majorEastAsia" w:hAnsi="Times New Roman" w:cstheme="majorBidi"/>
      <w:spacing w:val="-10"/>
      <w:kern w:val="28"/>
      <w:sz w:val="24"/>
      <w:szCs w:val="56"/>
    </w:rPr>
  </w:style>
  <w:style w:type="paragraph" w:customStyle="1" w:styleId="StyleHeading1TimesNewRoman">
    <w:name w:val="Style Heading 1 + Times New Roman"/>
    <w:basedOn w:val="Heading1"/>
    <w:autoRedefine/>
    <w:rsid w:val="00EB1304"/>
  </w:style>
  <w:style w:type="character" w:customStyle="1" w:styleId="Heading1Char">
    <w:name w:val="Heading 1 Char"/>
    <w:basedOn w:val="DefaultParagraphFont"/>
    <w:link w:val="Heading1"/>
    <w:rsid w:val="00F31EDF"/>
    <w:rPr>
      <w:rFonts w:ascii="Arial" w:eastAsia="Play" w:hAnsi="Arial" w:cs="Arial"/>
      <w:color w:val="000000" w:themeColor="text1"/>
      <w:kern w:val="0"/>
      <w:sz w:val="32"/>
      <w:szCs w:val="32"/>
      <w:lang w:val="en-GB" w:eastAsia="en-GB"/>
    </w:rPr>
  </w:style>
  <w:style w:type="paragraph" w:customStyle="1" w:styleId="Style1">
    <w:name w:val="Style1"/>
    <w:basedOn w:val="Heading2"/>
    <w:autoRedefine/>
    <w:qFormat/>
    <w:rsid w:val="00EB1304"/>
    <w:rPr>
      <w:b/>
      <w:i/>
    </w:rPr>
  </w:style>
  <w:style w:type="paragraph" w:customStyle="1" w:styleId="StyleHeading3TimesNewRomanItalic">
    <w:name w:val="Style Heading 3 + Times New Roman Italic"/>
    <w:basedOn w:val="Heading3"/>
    <w:autoRedefine/>
    <w:rsid w:val="008C2B08"/>
    <w:pPr>
      <w:keepNext w:val="0"/>
      <w:keepLines w:val="0"/>
      <w:spacing w:before="0"/>
      <w:ind w:left="120"/>
    </w:pPr>
    <w:rPr>
      <w:rFonts w:eastAsia="Calibri" w:cs="Calibri"/>
      <w:b w:val="0"/>
      <w:bCs w:val="0"/>
      <w:i w:val="0"/>
      <w:iCs w:val="0"/>
      <w:color w:val="auto"/>
    </w:rPr>
  </w:style>
  <w:style w:type="character" w:customStyle="1" w:styleId="Heading3Char">
    <w:name w:val="Heading 3 Char"/>
    <w:basedOn w:val="DefaultParagraphFont"/>
    <w:link w:val="Heading3"/>
    <w:uiPriority w:val="9"/>
    <w:rsid w:val="00475BA2"/>
    <w:rPr>
      <w:rFonts w:ascii="Arial" w:eastAsiaTheme="majorEastAsia" w:hAnsi="Arial" w:cs="Arial"/>
      <w:b/>
      <w:bCs/>
      <w:i/>
      <w:iCs/>
      <w:color w:val="0A2F40" w:themeColor="accent1" w:themeShade="7F"/>
      <w:sz w:val="24"/>
      <w:szCs w:val="24"/>
      <w:lang w:val="en-GB" w:eastAsia="en-GB"/>
    </w:rPr>
  </w:style>
  <w:style w:type="character" w:customStyle="1" w:styleId="Heading4Char">
    <w:name w:val="Heading 4 Char"/>
    <w:basedOn w:val="DefaultParagraphFont"/>
    <w:link w:val="Heading4"/>
    <w:uiPriority w:val="9"/>
    <w:rsid w:val="00D20414"/>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D20414"/>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D20414"/>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20414"/>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20414"/>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20414"/>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D20414"/>
    <w:pPr>
      <w:numPr>
        <w:ilvl w:val="1"/>
      </w:numPr>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41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20414"/>
    <w:pPr>
      <w:spacing w:before="160"/>
      <w:jc w:val="center"/>
    </w:pPr>
    <w:rPr>
      <w:i/>
      <w:iCs/>
      <w:color w:val="404040" w:themeColor="text1" w:themeTint="BF"/>
    </w:rPr>
  </w:style>
  <w:style w:type="character" w:customStyle="1" w:styleId="QuoteChar">
    <w:name w:val="Quote Char"/>
    <w:basedOn w:val="DefaultParagraphFont"/>
    <w:link w:val="Quote"/>
    <w:uiPriority w:val="29"/>
    <w:rsid w:val="00D20414"/>
    <w:rPr>
      <w:rFonts w:ascii="Times New Roman" w:eastAsiaTheme="minorHAnsi" w:hAnsi="Times New Roman"/>
      <w:i/>
      <w:iCs/>
      <w:color w:val="404040" w:themeColor="text1" w:themeTint="BF"/>
      <w:sz w:val="24"/>
      <w:lang w:val="en-GB"/>
    </w:rPr>
  </w:style>
  <w:style w:type="paragraph" w:styleId="ListParagraph">
    <w:name w:val="List Paragraph"/>
    <w:basedOn w:val="Normal"/>
    <w:uiPriority w:val="1"/>
    <w:qFormat/>
    <w:rsid w:val="00D20414"/>
    <w:pPr>
      <w:ind w:left="720"/>
      <w:contextualSpacing/>
    </w:pPr>
  </w:style>
  <w:style w:type="character" w:styleId="IntenseEmphasis">
    <w:name w:val="Intense Emphasis"/>
    <w:basedOn w:val="DefaultParagraphFont"/>
    <w:uiPriority w:val="21"/>
    <w:qFormat/>
    <w:rsid w:val="00D20414"/>
    <w:rPr>
      <w:i/>
      <w:iCs/>
      <w:color w:val="0F4761" w:themeColor="accent1" w:themeShade="BF"/>
    </w:rPr>
  </w:style>
  <w:style w:type="paragraph" w:styleId="IntenseQuote">
    <w:name w:val="Intense Quote"/>
    <w:basedOn w:val="Normal"/>
    <w:next w:val="Normal"/>
    <w:link w:val="IntenseQuoteChar"/>
    <w:uiPriority w:val="30"/>
    <w:qFormat/>
    <w:rsid w:val="00D204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0414"/>
    <w:rPr>
      <w:rFonts w:ascii="Times New Roman" w:eastAsiaTheme="minorHAnsi" w:hAnsi="Times New Roman"/>
      <w:i/>
      <w:iCs/>
      <w:color w:val="0F4761" w:themeColor="accent1" w:themeShade="BF"/>
      <w:sz w:val="24"/>
      <w:lang w:val="en-GB"/>
    </w:rPr>
  </w:style>
  <w:style w:type="character" w:styleId="IntenseReference">
    <w:name w:val="Intense Reference"/>
    <w:basedOn w:val="DefaultParagraphFont"/>
    <w:uiPriority w:val="32"/>
    <w:qFormat/>
    <w:rsid w:val="00D20414"/>
    <w:rPr>
      <w:b/>
      <w:bCs/>
      <w:smallCaps/>
      <w:color w:val="0F4761" w:themeColor="accent1" w:themeShade="BF"/>
      <w:spacing w:val="5"/>
    </w:rPr>
  </w:style>
  <w:style w:type="character" w:customStyle="1" w:styleId="citationstyledcitationmjkfg">
    <w:name w:val="citation_styledcitation__mjkfg"/>
    <w:basedOn w:val="DefaultParagraphFont"/>
    <w:rsid w:val="00774EB9"/>
  </w:style>
  <w:style w:type="paragraph" w:styleId="NormalWeb">
    <w:name w:val="Normal (Web)"/>
    <w:basedOn w:val="Normal"/>
    <w:uiPriority w:val="99"/>
    <w:unhideWhenUsed/>
    <w:rsid w:val="00774EB9"/>
    <w:pPr>
      <w:spacing w:before="100" w:beforeAutospacing="1" w:after="100" w:afterAutospacing="1"/>
    </w:pPr>
    <w:rPr>
      <w:sz w:val="24"/>
      <w:szCs w:val="24"/>
      <w:lang w:val="en-US" w:eastAsia="en-US"/>
    </w:rPr>
  </w:style>
  <w:style w:type="character" w:styleId="Strong">
    <w:name w:val="Strong"/>
    <w:basedOn w:val="DefaultParagraphFont"/>
    <w:uiPriority w:val="22"/>
    <w:qFormat/>
    <w:rsid w:val="00D574CC"/>
    <w:rPr>
      <w:b/>
      <w:bCs/>
    </w:rPr>
  </w:style>
  <w:style w:type="character" w:styleId="Hyperlink">
    <w:name w:val="Hyperlink"/>
    <w:basedOn w:val="DefaultParagraphFont"/>
    <w:uiPriority w:val="99"/>
    <w:unhideWhenUsed/>
    <w:rsid w:val="00475BA2"/>
    <w:rPr>
      <w:color w:val="467886" w:themeColor="hyperlink"/>
      <w:u w:val="single"/>
    </w:rPr>
  </w:style>
  <w:style w:type="paragraph" w:styleId="TOCHeading">
    <w:name w:val="TOC Heading"/>
    <w:basedOn w:val="Heading1"/>
    <w:next w:val="Normal"/>
    <w:uiPriority w:val="39"/>
    <w:unhideWhenUsed/>
    <w:qFormat/>
    <w:rsid w:val="00475BA2"/>
    <w:pPr>
      <w:numPr>
        <w:numId w:val="0"/>
      </w:numPr>
      <w:spacing w:before="240" w:after="0" w:line="259" w:lineRule="auto"/>
      <w:outlineLvl w:val="9"/>
    </w:pPr>
    <w:rPr>
      <w:rFonts w:asciiTheme="majorHAnsi" w:eastAsiaTheme="majorEastAsia" w:hAnsiTheme="majorHAnsi" w:cstheme="majorBidi"/>
      <w:color w:val="0F4761" w:themeColor="accent1" w:themeShade="BF"/>
      <w:lang w:val="en-US" w:eastAsia="en-US"/>
    </w:rPr>
  </w:style>
  <w:style w:type="paragraph" w:styleId="TOC2">
    <w:name w:val="toc 2"/>
    <w:basedOn w:val="Normal"/>
    <w:next w:val="Normal"/>
    <w:autoRedefine/>
    <w:uiPriority w:val="39"/>
    <w:unhideWhenUsed/>
    <w:rsid w:val="00475BA2"/>
    <w:pPr>
      <w:spacing w:after="100"/>
      <w:ind w:left="200"/>
    </w:pPr>
  </w:style>
  <w:style w:type="paragraph" w:styleId="TOC1">
    <w:name w:val="toc 1"/>
    <w:basedOn w:val="Normal"/>
    <w:next w:val="Normal"/>
    <w:autoRedefine/>
    <w:uiPriority w:val="39"/>
    <w:unhideWhenUsed/>
    <w:rsid w:val="00475BA2"/>
    <w:pPr>
      <w:spacing w:after="100"/>
    </w:pPr>
  </w:style>
  <w:style w:type="paragraph" w:styleId="TOC3">
    <w:name w:val="toc 3"/>
    <w:basedOn w:val="Normal"/>
    <w:next w:val="Normal"/>
    <w:autoRedefine/>
    <w:uiPriority w:val="39"/>
    <w:unhideWhenUsed/>
    <w:rsid w:val="00475BA2"/>
    <w:pPr>
      <w:tabs>
        <w:tab w:val="left" w:pos="960"/>
        <w:tab w:val="right" w:leader="dot" w:pos="9350"/>
      </w:tabs>
      <w:spacing w:after="100" w:line="360" w:lineRule="auto"/>
    </w:pPr>
  </w:style>
  <w:style w:type="paragraph" w:styleId="Header">
    <w:name w:val="header"/>
    <w:basedOn w:val="Normal"/>
    <w:link w:val="HeaderChar"/>
    <w:uiPriority w:val="99"/>
    <w:unhideWhenUsed/>
    <w:rsid w:val="00A24D2A"/>
    <w:pPr>
      <w:tabs>
        <w:tab w:val="center" w:pos="4680"/>
        <w:tab w:val="right" w:pos="9360"/>
      </w:tabs>
    </w:pPr>
  </w:style>
  <w:style w:type="character" w:customStyle="1" w:styleId="HeaderChar">
    <w:name w:val="Header Char"/>
    <w:basedOn w:val="DefaultParagraphFont"/>
    <w:link w:val="Header"/>
    <w:uiPriority w:val="99"/>
    <w:rsid w:val="00A24D2A"/>
    <w:rPr>
      <w:rFonts w:ascii="Times New Roman" w:hAnsi="Times New Roman" w:cs="Times New Roman"/>
      <w:kern w:val="0"/>
      <w:sz w:val="20"/>
      <w:szCs w:val="20"/>
      <w:lang w:val="en-GB" w:eastAsia="en-GB"/>
    </w:rPr>
  </w:style>
  <w:style w:type="paragraph" w:styleId="Footer">
    <w:name w:val="footer"/>
    <w:basedOn w:val="Normal"/>
    <w:link w:val="FooterChar"/>
    <w:uiPriority w:val="99"/>
    <w:unhideWhenUsed/>
    <w:rsid w:val="00A24D2A"/>
    <w:pPr>
      <w:tabs>
        <w:tab w:val="center" w:pos="4680"/>
        <w:tab w:val="right" w:pos="9360"/>
      </w:tabs>
    </w:pPr>
  </w:style>
  <w:style w:type="character" w:customStyle="1" w:styleId="FooterChar">
    <w:name w:val="Footer Char"/>
    <w:basedOn w:val="DefaultParagraphFont"/>
    <w:link w:val="Footer"/>
    <w:uiPriority w:val="99"/>
    <w:rsid w:val="00A24D2A"/>
    <w:rPr>
      <w:rFonts w:ascii="Times New Roman" w:hAnsi="Times New Roman" w:cs="Times New Roman"/>
      <w:kern w:val="0"/>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339230">
      <w:bodyDiv w:val="1"/>
      <w:marLeft w:val="0"/>
      <w:marRight w:val="0"/>
      <w:marTop w:val="0"/>
      <w:marBottom w:val="0"/>
      <w:divBdr>
        <w:top w:val="none" w:sz="0" w:space="0" w:color="auto"/>
        <w:left w:val="none" w:sz="0" w:space="0" w:color="auto"/>
        <w:bottom w:val="none" w:sz="0" w:space="0" w:color="auto"/>
        <w:right w:val="none" w:sz="0" w:space="0" w:color="auto"/>
      </w:divBdr>
    </w:div>
    <w:div w:id="316498447">
      <w:bodyDiv w:val="1"/>
      <w:marLeft w:val="0"/>
      <w:marRight w:val="0"/>
      <w:marTop w:val="0"/>
      <w:marBottom w:val="0"/>
      <w:divBdr>
        <w:top w:val="none" w:sz="0" w:space="0" w:color="auto"/>
        <w:left w:val="none" w:sz="0" w:space="0" w:color="auto"/>
        <w:bottom w:val="none" w:sz="0" w:space="0" w:color="auto"/>
        <w:right w:val="none" w:sz="0" w:space="0" w:color="auto"/>
      </w:divBdr>
    </w:div>
    <w:div w:id="425658121">
      <w:bodyDiv w:val="1"/>
      <w:marLeft w:val="0"/>
      <w:marRight w:val="0"/>
      <w:marTop w:val="0"/>
      <w:marBottom w:val="0"/>
      <w:divBdr>
        <w:top w:val="none" w:sz="0" w:space="0" w:color="auto"/>
        <w:left w:val="none" w:sz="0" w:space="0" w:color="auto"/>
        <w:bottom w:val="none" w:sz="0" w:space="0" w:color="auto"/>
        <w:right w:val="none" w:sz="0" w:space="0" w:color="auto"/>
      </w:divBdr>
    </w:div>
    <w:div w:id="573902466">
      <w:bodyDiv w:val="1"/>
      <w:marLeft w:val="0"/>
      <w:marRight w:val="0"/>
      <w:marTop w:val="0"/>
      <w:marBottom w:val="0"/>
      <w:divBdr>
        <w:top w:val="none" w:sz="0" w:space="0" w:color="auto"/>
        <w:left w:val="none" w:sz="0" w:space="0" w:color="auto"/>
        <w:bottom w:val="none" w:sz="0" w:space="0" w:color="auto"/>
        <w:right w:val="none" w:sz="0" w:space="0" w:color="auto"/>
      </w:divBdr>
    </w:div>
    <w:div w:id="211277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bcnews.com/business/business-news/the-body-shop-store-shuts-down-where-why-rcna"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odyshop.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72B74-6E05-4ECD-9F7F-879465509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11</Pages>
  <Words>2598</Words>
  <Characters>14814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 user</dc:creator>
  <cp:keywords/>
  <dc:description/>
  <cp:lastModifiedBy>Window User</cp:lastModifiedBy>
  <cp:revision>26</cp:revision>
  <dcterms:created xsi:type="dcterms:W3CDTF">2024-07-05T08:44:00Z</dcterms:created>
  <dcterms:modified xsi:type="dcterms:W3CDTF">2024-07-05T17:43:00Z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2024-07-05T08:45:21Z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629715c6-6241-4ba4-b951-0441bcb95606</vt:lpwstr>
  </property>
  <property fmtid="{D5CDD505-2E9C-101B-9397-08002B2CF9AE}" pid="7" name="MSIP_Label_defa4170-0d19-0005-0004-bc88714345d2_ActionId">
    <vt:lpwstr>05293864-872a-4970-ab97-9f365cb314f2</vt:lpwstr>
  </property>
  <property fmtid="{D5CDD505-2E9C-101B-9397-08002B2CF9AE}" pid="8" name="MSIP_Label_defa4170-0d19-0005-0004-bc88714345d2_ContentBits">
    <vt:lpwstr>0</vt:lpwstr>
  </property>
</Properties>
</file>