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70DD5C" w14:textId="0E74DF67" w:rsidR="003D6C4C" w:rsidRDefault="007C5D05" w:rsidP="007C5D05">
      <w:pPr>
        <w:jc w:val="center"/>
        <w:rPr>
          <w:sz w:val="28"/>
          <w:szCs w:val="28"/>
          <w:u w:val="single"/>
        </w:rPr>
      </w:pPr>
      <w:r w:rsidRPr="007C5D05">
        <w:rPr>
          <w:sz w:val="28"/>
          <w:szCs w:val="28"/>
          <w:u w:val="single"/>
        </w:rPr>
        <w:t>How can battlefield archaeology contribute positively to the process of bereavement, commemoration and reconciliation?</w:t>
      </w:r>
    </w:p>
    <w:p w14:paraId="34AB1EA0" w14:textId="23C2C069" w:rsidR="007C5D05" w:rsidRDefault="007C5D05" w:rsidP="007C5D05">
      <w:pPr>
        <w:rPr>
          <w:sz w:val="28"/>
          <w:szCs w:val="28"/>
          <w:u w:val="single"/>
        </w:rPr>
      </w:pPr>
    </w:p>
    <w:p w14:paraId="015C3F49" w14:textId="5FAFF0F1" w:rsidR="007C5D05" w:rsidRDefault="009E7346" w:rsidP="007C5D05">
      <w:pPr>
        <w:rPr>
          <w:sz w:val="20"/>
          <w:szCs w:val="20"/>
        </w:rPr>
      </w:pPr>
      <w:r>
        <w:rPr>
          <w:sz w:val="20"/>
          <w:szCs w:val="20"/>
        </w:rPr>
        <w:t>Battlefield archaeology has a privileged position in the modern cultural zeitgeist in public perception. While most may consider more ‘classical’ archaeological pursuits as a pastime for stuffy professors, the results of battlefield archaeology seem to be much more appreciated in the mainstream – families can enjoy fun days out at military shows across the country, stocked in large part by reclaimed vehicles and equipment. More importantly, battlefield archaeology can contribute to the healing process of a post-war society – in the UK, the 11</w:t>
      </w:r>
      <w:r w:rsidRPr="009E7346">
        <w:rPr>
          <w:sz w:val="20"/>
          <w:szCs w:val="20"/>
          <w:vertAlign w:val="superscript"/>
        </w:rPr>
        <w:t>th</w:t>
      </w:r>
      <w:r>
        <w:rPr>
          <w:sz w:val="20"/>
          <w:szCs w:val="20"/>
        </w:rPr>
        <w:t xml:space="preserve"> of November marks a national day of mourning, and there are countless examples of individual families who, upon the discovery of the final fate of loved ones, can finally move on – they have ‘closure’. Unfortunately, these concepts are not without issues, </w:t>
      </w:r>
      <w:r w:rsidR="00423603">
        <w:rPr>
          <w:sz w:val="20"/>
          <w:szCs w:val="20"/>
        </w:rPr>
        <w:t>and one must critically examine the processes of battlefield archaeology and the ways in which they assist (or in some cases hinder) bereavement, commemoration and reconciliation.</w:t>
      </w:r>
    </w:p>
    <w:p w14:paraId="78DEFCB7" w14:textId="77777777" w:rsidR="009F1E32" w:rsidRDefault="00EF544F" w:rsidP="007C5D05">
      <w:pPr>
        <w:rPr>
          <w:sz w:val="20"/>
          <w:szCs w:val="20"/>
        </w:rPr>
      </w:pPr>
      <w:r>
        <w:rPr>
          <w:sz w:val="20"/>
          <w:szCs w:val="20"/>
        </w:rPr>
        <w:t>Consider initially the DPAA (</w:t>
      </w:r>
      <w:proofErr w:type="spellStart"/>
      <w:r>
        <w:rPr>
          <w:sz w:val="20"/>
          <w:szCs w:val="20"/>
        </w:rPr>
        <w:t>Defense</w:t>
      </w:r>
      <w:proofErr w:type="spellEnd"/>
      <w:r>
        <w:rPr>
          <w:sz w:val="20"/>
          <w:szCs w:val="20"/>
        </w:rPr>
        <w:t xml:space="preserve"> POW/MIA Accounting Agency) of the USA. As with its predecessor JPAC (Joint POW/MIA Accounting Command), the DPAA is an organisation dedicated to either recovering the remains of or providing a story for the final fate of members of the US military who have died in combat or as a result of combat. Their mission </w:t>
      </w:r>
      <w:r w:rsidR="0078258D">
        <w:rPr>
          <w:sz w:val="20"/>
          <w:szCs w:val="20"/>
        </w:rPr>
        <w:t>statement:</w:t>
      </w:r>
      <w:r>
        <w:rPr>
          <w:sz w:val="20"/>
          <w:szCs w:val="20"/>
        </w:rPr>
        <w:t xml:space="preserve"> to “</w:t>
      </w:r>
      <w:r w:rsidRPr="00EF544F">
        <w:rPr>
          <w:sz w:val="20"/>
          <w:szCs w:val="20"/>
        </w:rPr>
        <w:t>Provide the fullest possible accounting for our missing personnel to their families and the nation.</w:t>
      </w:r>
      <w:r>
        <w:rPr>
          <w:sz w:val="20"/>
          <w:szCs w:val="20"/>
        </w:rPr>
        <w:t>”</w:t>
      </w:r>
      <w:r>
        <w:rPr>
          <w:rStyle w:val="FootnoteReference"/>
          <w:sz w:val="20"/>
          <w:szCs w:val="20"/>
        </w:rPr>
        <w:footnoteReference w:id="1"/>
      </w:r>
      <w:r>
        <w:rPr>
          <w:sz w:val="20"/>
          <w:szCs w:val="20"/>
        </w:rPr>
        <w:t>. Their vision, of “</w:t>
      </w:r>
      <w:r w:rsidRPr="00EF544F">
        <w:rPr>
          <w:sz w:val="20"/>
          <w:szCs w:val="20"/>
        </w:rPr>
        <w:t>A world-class workforce</w:t>
      </w:r>
      <w:r>
        <w:rPr>
          <w:sz w:val="20"/>
          <w:szCs w:val="20"/>
        </w:rPr>
        <w:t xml:space="preserve"> [which]</w:t>
      </w:r>
      <w:r w:rsidRPr="00EF544F">
        <w:rPr>
          <w:sz w:val="20"/>
          <w:szCs w:val="20"/>
        </w:rPr>
        <w:t xml:space="preserve"> </w:t>
      </w:r>
      <w:proofErr w:type="spellStart"/>
      <w:r w:rsidRPr="00EF544F">
        <w:rPr>
          <w:sz w:val="20"/>
          <w:szCs w:val="20"/>
        </w:rPr>
        <w:t>fulfills</w:t>
      </w:r>
      <w:proofErr w:type="spellEnd"/>
      <w:r w:rsidRPr="00EF544F">
        <w:rPr>
          <w:sz w:val="20"/>
          <w:szCs w:val="20"/>
        </w:rPr>
        <w:t xml:space="preserve"> our nation’s obligation by maximizing the number of missing personnel accounted for while ensuring timely, accurate information is provided to their families.</w:t>
      </w:r>
      <w:r>
        <w:rPr>
          <w:sz w:val="20"/>
          <w:szCs w:val="20"/>
        </w:rPr>
        <w:t>” can be observed in ‘</w:t>
      </w:r>
      <w:r w:rsidRPr="0078258D">
        <w:rPr>
          <w:i/>
          <w:iCs/>
          <w:sz w:val="20"/>
          <w:szCs w:val="20"/>
        </w:rPr>
        <w:t>A Solemn Promise’</w:t>
      </w:r>
      <w:r w:rsidR="0078258D">
        <w:rPr>
          <w:rStyle w:val="FootnoteReference"/>
          <w:i/>
          <w:iCs/>
          <w:sz w:val="20"/>
          <w:szCs w:val="20"/>
        </w:rPr>
        <w:footnoteReference w:id="2"/>
      </w:r>
      <w:r>
        <w:rPr>
          <w:sz w:val="20"/>
          <w:szCs w:val="20"/>
        </w:rPr>
        <w:t xml:space="preserve"> which follows</w:t>
      </w:r>
      <w:r w:rsidR="0078258D">
        <w:rPr>
          <w:sz w:val="20"/>
          <w:szCs w:val="20"/>
        </w:rPr>
        <w:t xml:space="preserve"> an archaeological team from the DPAA attempting to recover the remains of a missing serviceman from the Vietnam war. This video highlights the motives behind this expedition – to “do what the country needs us to do” and to “clos[e] the gap on families that have been looking for </w:t>
      </w:r>
      <w:r w:rsidR="0078258D" w:rsidRPr="0078258D">
        <w:rPr>
          <w:b/>
          <w:bCs/>
          <w:sz w:val="20"/>
          <w:szCs w:val="20"/>
        </w:rPr>
        <w:t>closure</w:t>
      </w:r>
      <w:r w:rsidR="0078258D">
        <w:rPr>
          <w:sz w:val="20"/>
          <w:szCs w:val="20"/>
        </w:rPr>
        <w:t xml:space="preserve"> for fifty plus years”</w:t>
      </w:r>
      <w:r w:rsidR="0078258D">
        <w:rPr>
          <w:rStyle w:val="FootnoteReference"/>
          <w:sz w:val="20"/>
          <w:szCs w:val="20"/>
        </w:rPr>
        <w:footnoteReference w:id="3"/>
      </w:r>
      <w:r w:rsidR="0078258D">
        <w:rPr>
          <w:sz w:val="20"/>
          <w:szCs w:val="20"/>
        </w:rPr>
        <w:t>.</w:t>
      </w:r>
      <w:r w:rsidR="0069141F">
        <w:rPr>
          <w:sz w:val="20"/>
          <w:szCs w:val="20"/>
        </w:rPr>
        <w:t xml:space="preserve"> The closure is obvious, but the video also shows us how battlefield archaeology can facilitate reconciliation – fulfilling the DPAA stated value of teamwork in “strengthening our collective ability to partner with … veterans [and] foreign governments”</w:t>
      </w:r>
      <w:r w:rsidR="0069141F">
        <w:rPr>
          <w:rStyle w:val="FootnoteReference"/>
          <w:sz w:val="20"/>
          <w:szCs w:val="20"/>
        </w:rPr>
        <w:footnoteReference w:id="4"/>
      </w:r>
      <w:r w:rsidR="0069141F">
        <w:rPr>
          <w:sz w:val="20"/>
          <w:szCs w:val="20"/>
        </w:rPr>
        <w:t>. Ronald Ward discusses how the US and Vietnamese governments were able to come together and use the issue of the POW/MIA soldiers as a way to “get past [the Vietnam] war”</w:t>
      </w:r>
      <w:r w:rsidR="0069141F">
        <w:rPr>
          <w:rStyle w:val="FootnoteReference"/>
          <w:sz w:val="20"/>
          <w:szCs w:val="20"/>
        </w:rPr>
        <w:footnoteReference w:id="5"/>
      </w:r>
      <w:r w:rsidR="0069141F">
        <w:rPr>
          <w:sz w:val="20"/>
          <w:szCs w:val="20"/>
        </w:rPr>
        <w:t xml:space="preserve"> – the US wants to find its missing soldiers, and the Vietnamese people can understand the plight due to their own missing soldiers. This is the ‘bridging of the gap’ – reconciliation between the US and Vietnam.</w:t>
      </w:r>
    </w:p>
    <w:p w14:paraId="7BBB3732" w14:textId="3A3876D7" w:rsidR="00423603" w:rsidRDefault="009F1E32" w:rsidP="007C5D05">
      <w:pPr>
        <w:rPr>
          <w:sz w:val="20"/>
          <w:szCs w:val="20"/>
        </w:rPr>
      </w:pPr>
      <w:r>
        <w:rPr>
          <w:sz w:val="20"/>
          <w:szCs w:val="20"/>
        </w:rPr>
        <w:t xml:space="preserve">2020 has seen the DPAA account for 19 MIA/POW (as of March 07) and will undoubtedly see more. This represents, if the DPAA mission is to be believed, 19 more instances in which families can come to terms with their grief. They can even, via </w:t>
      </w:r>
      <w:proofErr w:type="spellStart"/>
      <w:r>
        <w:rPr>
          <w:sz w:val="20"/>
          <w:szCs w:val="20"/>
        </w:rPr>
        <w:t>Famweb</w:t>
      </w:r>
      <w:proofErr w:type="spellEnd"/>
      <w:r w:rsidR="0069141F">
        <w:rPr>
          <w:sz w:val="20"/>
          <w:szCs w:val="20"/>
        </w:rPr>
        <w:t xml:space="preserve"> </w:t>
      </w:r>
      <w:r>
        <w:rPr>
          <w:rStyle w:val="FootnoteReference"/>
          <w:sz w:val="20"/>
          <w:szCs w:val="20"/>
        </w:rPr>
        <w:footnoteReference w:id="6"/>
      </w:r>
      <w:r>
        <w:rPr>
          <w:sz w:val="20"/>
          <w:szCs w:val="20"/>
        </w:rPr>
        <w:t xml:space="preserve">, order a poster to commemorate their ‘POW/MIA Recognition day’. This institution however does not have an entirely clean past. The aforementioned JPAC (Joint POW/MIA Accounting Command), one of </w:t>
      </w:r>
      <w:r w:rsidR="002932F2">
        <w:rPr>
          <w:sz w:val="20"/>
          <w:szCs w:val="20"/>
        </w:rPr>
        <w:t>DPAA’s predecessor organisations, was accused of being “woefully inept and event corrupt. The command is digging up too few clues on former battlefields, relying on inaccurate databases and engaging in expensive [wasteful projects] in Europe. “</w:t>
      </w:r>
      <w:r w:rsidR="002932F2">
        <w:rPr>
          <w:rStyle w:val="FootnoteReference"/>
          <w:sz w:val="20"/>
          <w:szCs w:val="20"/>
        </w:rPr>
        <w:footnoteReference w:id="7"/>
      </w:r>
      <w:r w:rsidR="002932F2">
        <w:rPr>
          <w:sz w:val="20"/>
          <w:szCs w:val="20"/>
        </w:rPr>
        <w:t xml:space="preserve">. The report, based on an internal study and buried by officials at the behest of internal memos, even that remains that the US paid North Korea hundreds of thousands of dollars to support the excavation of turned out to have been replanted on battlefield sites, and some bones had been cut or drilled – perhaps to be used as lab skeletons. Another report </w:t>
      </w:r>
      <w:r w:rsidR="001956D2">
        <w:rPr>
          <w:sz w:val="20"/>
          <w:szCs w:val="20"/>
        </w:rPr>
        <w:t xml:space="preserve">by </w:t>
      </w:r>
      <w:proofErr w:type="spellStart"/>
      <w:r w:rsidR="001956D2">
        <w:rPr>
          <w:sz w:val="20"/>
          <w:szCs w:val="20"/>
        </w:rPr>
        <w:t>NBCnews</w:t>
      </w:r>
      <w:proofErr w:type="spellEnd"/>
      <w:r w:rsidR="001956D2">
        <w:rPr>
          <w:sz w:val="20"/>
          <w:szCs w:val="20"/>
        </w:rPr>
        <w:t xml:space="preserve"> showed how the ‘arrival’ ceremonies – coffins draped with the American flag being taken from the back of military planes by military honour guards and being loaded into blue buses to be driven to the JPAC </w:t>
      </w:r>
      <w:r w:rsidR="001956D2">
        <w:rPr>
          <w:sz w:val="20"/>
          <w:szCs w:val="20"/>
        </w:rPr>
        <w:lastRenderedPageBreak/>
        <w:t>Central Identification Laboratory – often used remains that had arrived days or weeks in advance, and sometimes with no remains at all</w:t>
      </w:r>
      <w:r w:rsidR="001956D2">
        <w:rPr>
          <w:rStyle w:val="FootnoteReference"/>
          <w:sz w:val="20"/>
          <w:szCs w:val="20"/>
        </w:rPr>
        <w:footnoteReference w:id="8"/>
      </w:r>
      <w:r w:rsidR="001956D2">
        <w:rPr>
          <w:sz w:val="20"/>
          <w:szCs w:val="20"/>
        </w:rPr>
        <w:t xml:space="preserve">. Jesse Baker, a veteran who had attended these ceremonies, said that </w:t>
      </w:r>
      <w:r w:rsidR="001956D2" w:rsidRPr="001956D2">
        <w:rPr>
          <w:sz w:val="20"/>
          <w:szCs w:val="20"/>
        </w:rPr>
        <w:t>"If I have been fooled, I am going to be a very pissed-off citizen, because I've been going for years</w:t>
      </w:r>
      <w:r w:rsidR="001956D2">
        <w:rPr>
          <w:sz w:val="20"/>
          <w:szCs w:val="20"/>
        </w:rPr>
        <w:t xml:space="preserve">. </w:t>
      </w:r>
      <w:r w:rsidR="001956D2" w:rsidRPr="001956D2">
        <w:rPr>
          <w:sz w:val="20"/>
          <w:szCs w:val="20"/>
        </w:rPr>
        <w:t xml:space="preserve">And I know a lot of guys who are going to be pissed off. ... They're out there </w:t>
      </w:r>
      <w:proofErr w:type="spellStart"/>
      <w:r w:rsidR="001956D2" w:rsidRPr="001956D2">
        <w:rPr>
          <w:sz w:val="20"/>
          <w:szCs w:val="20"/>
        </w:rPr>
        <w:t>honoring</w:t>
      </w:r>
      <w:proofErr w:type="spellEnd"/>
      <w:r w:rsidR="001956D2" w:rsidRPr="001956D2">
        <w:rPr>
          <w:sz w:val="20"/>
          <w:szCs w:val="20"/>
        </w:rPr>
        <w:t xml:space="preserve"> warriors."</w:t>
      </w:r>
      <w:r w:rsidR="001956D2">
        <w:rPr>
          <w:sz w:val="20"/>
          <w:szCs w:val="20"/>
        </w:rPr>
        <w:t xml:space="preserve">. </w:t>
      </w:r>
    </w:p>
    <w:p w14:paraId="2333FB8F" w14:textId="30ECBFD5" w:rsidR="001956D2" w:rsidRDefault="001956D2" w:rsidP="007C5D05">
      <w:pPr>
        <w:rPr>
          <w:sz w:val="20"/>
          <w:szCs w:val="20"/>
        </w:rPr>
      </w:pPr>
      <w:r>
        <w:rPr>
          <w:sz w:val="20"/>
          <w:szCs w:val="20"/>
        </w:rPr>
        <w:t>Clearly here, the grieving process has been hindered. This, however, presents an interesting conundrum. Before these details came to light, and the bereaved had no knowledge of them, they were content with the results. These ceremonies and processes of recovery and identification were in fact actively helping people come to terms with troubled pasts. Each coffin in these arrival ceremonies</w:t>
      </w:r>
      <w:r w:rsidR="00C51445">
        <w:rPr>
          <w:rStyle w:val="FootnoteReference"/>
          <w:sz w:val="20"/>
          <w:szCs w:val="20"/>
        </w:rPr>
        <w:footnoteReference w:id="9"/>
      </w:r>
      <w:r w:rsidR="00C51445">
        <w:rPr>
          <w:sz w:val="20"/>
          <w:szCs w:val="20"/>
        </w:rPr>
        <w:t xml:space="preserve"> represents a POW/MIA </w:t>
      </w:r>
      <w:r w:rsidR="0061386E">
        <w:rPr>
          <w:sz w:val="20"/>
          <w:szCs w:val="20"/>
        </w:rPr>
        <w:t xml:space="preserve">who has been returned, even if not totally temporally connected. </w:t>
      </w:r>
      <w:r w:rsidR="00C62889">
        <w:rPr>
          <w:sz w:val="20"/>
          <w:szCs w:val="20"/>
        </w:rPr>
        <w:t>It seems that, in these instances, the notion of the presence of the deceased is of utmost importance if it is unverifiable. Sometimes the remains recovered can be miniscule – British legislation during World War 2 required a minimum of 3kg of remains for an individual to be said to be identified, around 4.4% of the average weight of a male during those years</w:t>
      </w:r>
      <w:r w:rsidR="00C62889">
        <w:rPr>
          <w:rStyle w:val="FootnoteReference"/>
          <w:sz w:val="20"/>
          <w:szCs w:val="20"/>
        </w:rPr>
        <w:footnoteReference w:id="10"/>
      </w:r>
      <w:r w:rsidR="00C62889">
        <w:rPr>
          <w:sz w:val="20"/>
          <w:szCs w:val="20"/>
        </w:rPr>
        <w:t xml:space="preserve">. </w:t>
      </w:r>
      <w:r w:rsidR="003A2FBE">
        <w:rPr>
          <w:sz w:val="20"/>
          <w:szCs w:val="20"/>
        </w:rPr>
        <w:t xml:space="preserve">It seems then that the symbolism of recovery or in some cases </w:t>
      </w:r>
      <w:r w:rsidR="003A2FBE">
        <w:rPr>
          <w:i/>
          <w:iCs/>
          <w:sz w:val="20"/>
          <w:szCs w:val="20"/>
        </w:rPr>
        <w:t>discovery</w:t>
      </w:r>
      <w:r w:rsidR="003A2FBE">
        <w:rPr>
          <w:sz w:val="20"/>
          <w:szCs w:val="20"/>
        </w:rPr>
        <w:t xml:space="preserve"> becomes the primary fulcrum on which commemoration and reconciliation begins.</w:t>
      </w:r>
    </w:p>
    <w:p w14:paraId="05882A2C" w14:textId="4298E1A4" w:rsidR="003A2FBE" w:rsidRDefault="003A2FBE" w:rsidP="007C5D05">
      <w:pPr>
        <w:rPr>
          <w:sz w:val="20"/>
          <w:szCs w:val="20"/>
        </w:rPr>
      </w:pPr>
      <w:r>
        <w:rPr>
          <w:sz w:val="20"/>
          <w:szCs w:val="20"/>
        </w:rPr>
        <w:t>There are multiple instances of this being visible within the military sphere. Consider</w:t>
      </w:r>
      <w:r w:rsidR="00745E86">
        <w:rPr>
          <w:sz w:val="20"/>
          <w:szCs w:val="20"/>
        </w:rPr>
        <w:t xml:space="preserve"> the Protection of Military Remains Act 1986. This act provides protection for sites of aircraft and naval wrecks and involves provisions for human remains</w:t>
      </w:r>
      <w:r w:rsidR="00745E86">
        <w:rPr>
          <w:rStyle w:val="FootnoteReference"/>
          <w:sz w:val="20"/>
          <w:szCs w:val="20"/>
        </w:rPr>
        <w:footnoteReference w:id="11"/>
      </w:r>
      <w:r w:rsidR="00745E86">
        <w:rPr>
          <w:sz w:val="20"/>
          <w:szCs w:val="20"/>
        </w:rPr>
        <w:t>. There are large penalties involved for interaction of the site</w:t>
      </w:r>
      <w:r w:rsidR="00745E86">
        <w:rPr>
          <w:rStyle w:val="FootnoteReference"/>
          <w:sz w:val="20"/>
          <w:szCs w:val="20"/>
        </w:rPr>
        <w:footnoteReference w:id="12"/>
      </w:r>
      <w:r w:rsidR="00745E86">
        <w:rPr>
          <w:sz w:val="20"/>
          <w:szCs w:val="20"/>
        </w:rPr>
        <w:t xml:space="preserve"> outside of the limited licenses that are granted, and </w:t>
      </w:r>
      <w:r w:rsidR="00DD263C">
        <w:rPr>
          <w:sz w:val="20"/>
          <w:szCs w:val="20"/>
        </w:rPr>
        <w:t xml:space="preserve">even when these are gained small deviations from procedure are met with harsh penalties. Consider the case of Andrew Saunders, who’s hasty excavations occurring 3 days before his physical license arrived led to a lengthy court case and half a million pounds in police expenditures. </w:t>
      </w:r>
      <w:r w:rsidR="006365FE">
        <w:rPr>
          <w:sz w:val="20"/>
          <w:szCs w:val="20"/>
        </w:rPr>
        <w:t xml:space="preserve">Here, the discovery of the bodies became the </w:t>
      </w:r>
      <w:r w:rsidR="002F407B">
        <w:rPr>
          <w:sz w:val="20"/>
          <w:szCs w:val="20"/>
        </w:rPr>
        <w:t>fulcrum of closure, and while Saunders tried to nominally bring closure to the family (who had supported the excavation and recovery the entire time), judicial forces on the other end of the lever prevented (if only temporarily) the completion of this task. Such turmoil isn’t emotionally free – the family were no doubt distraught by the re-excavation of their loved one. This is another example of how battlefield archaeology can actively hinder the process – the family had, at one point, come to terms with their family member’s final resting place, and the restarting of digging surely had opened new wounds.</w:t>
      </w:r>
    </w:p>
    <w:p w14:paraId="299DA69D" w14:textId="77777777" w:rsidR="00B57B4D" w:rsidRDefault="00030594" w:rsidP="007C5D05">
      <w:pPr>
        <w:rPr>
          <w:sz w:val="20"/>
          <w:szCs w:val="20"/>
        </w:rPr>
      </w:pPr>
      <w:r>
        <w:rPr>
          <w:sz w:val="20"/>
          <w:szCs w:val="20"/>
        </w:rPr>
        <w:t>In this vein, one should consider the 1920 Cenotaph memorial of London as well. Here is an example of a central nexus of commemoration, of national remembrance for the dead of World War 1 and subsequent 20</w:t>
      </w:r>
      <w:r w:rsidRPr="00030594">
        <w:rPr>
          <w:sz w:val="20"/>
          <w:szCs w:val="20"/>
          <w:vertAlign w:val="superscript"/>
        </w:rPr>
        <w:t>th</w:t>
      </w:r>
      <w:r>
        <w:rPr>
          <w:sz w:val="20"/>
          <w:szCs w:val="20"/>
        </w:rPr>
        <w:t xml:space="preserve"> century conflicts, and “i</w:t>
      </w:r>
      <w:r w:rsidRPr="00030594">
        <w:rPr>
          <w:sz w:val="20"/>
          <w:szCs w:val="20"/>
        </w:rPr>
        <w:t>ts austere and restrained design has been readily responded to by thousands, in search of a place to lay tributes in memory of the absent dead</w:t>
      </w:r>
      <w:r>
        <w:rPr>
          <w:sz w:val="20"/>
          <w:szCs w:val="20"/>
        </w:rPr>
        <w:t>”</w:t>
      </w:r>
      <w:r>
        <w:rPr>
          <w:rStyle w:val="FootnoteReference"/>
          <w:sz w:val="20"/>
          <w:szCs w:val="20"/>
        </w:rPr>
        <w:footnoteReference w:id="13"/>
      </w:r>
      <w:r>
        <w:rPr>
          <w:sz w:val="20"/>
          <w:szCs w:val="20"/>
        </w:rPr>
        <w:t>. This is a monument in which people come to when their loved ones are lost</w:t>
      </w:r>
      <w:r w:rsidR="00C7381A">
        <w:rPr>
          <w:sz w:val="20"/>
          <w:szCs w:val="20"/>
        </w:rPr>
        <w:t xml:space="preserve">. In a very real sense, this is a monument which </w:t>
      </w:r>
      <w:proofErr w:type="gramStart"/>
      <w:r w:rsidR="00C7381A">
        <w:rPr>
          <w:sz w:val="20"/>
          <w:szCs w:val="20"/>
        </w:rPr>
        <w:t>actually loses</w:t>
      </w:r>
      <w:proofErr w:type="gramEnd"/>
      <w:r w:rsidR="00C7381A">
        <w:rPr>
          <w:sz w:val="20"/>
          <w:szCs w:val="20"/>
        </w:rPr>
        <w:t xml:space="preserve"> individual commemorative worth as archaeological work is done</w:t>
      </w:r>
      <w:r w:rsidR="00441161">
        <w:rPr>
          <w:sz w:val="20"/>
          <w:szCs w:val="20"/>
        </w:rPr>
        <w:t>, and old wounds once healed are reopened</w:t>
      </w:r>
      <w:r w:rsidR="00C7381A">
        <w:rPr>
          <w:sz w:val="20"/>
          <w:szCs w:val="20"/>
        </w:rPr>
        <w:t xml:space="preserve">. Of course, it is difficult to say this </w:t>
      </w:r>
      <w:r w:rsidR="00441161">
        <w:rPr>
          <w:sz w:val="20"/>
          <w:szCs w:val="20"/>
        </w:rPr>
        <w:t xml:space="preserve">applies to all individuals and families concerned </w:t>
      </w:r>
      <w:r w:rsidR="00C7381A">
        <w:rPr>
          <w:sz w:val="20"/>
          <w:szCs w:val="20"/>
        </w:rPr>
        <w:t xml:space="preserve">– the Cenotaph as important as it is does not stand alone in the landscape of commemoration </w:t>
      </w:r>
      <w:r w:rsidR="00441161">
        <w:rPr>
          <w:sz w:val="20"/>
          <w:szCs w:val="20"/>
        </w:rPr>
        <w:t>–</w:t>
      </w:r>
      <w:r w:rsidR="00C7381A">
        <w:rPr>
          <w:sz w:val="20"/>
          <w:szCs w:val="20"/>
        </w:rPr>
        <w:t xml:space="preserve"> </w:t>
      </w:r>
      <w:r w:rsidR="00441161">
        <w:rPr>
          <w:sz w:val="20"/>
          <w:szCs w:val="20"/>
        </w:rPr>
        <w:t xml:space="preserve">but it’s important to note that these instances </w:t>
      </w:r>
      <w:r w:rsidR="00441161">
        <w:rPr>
          <w:sz w:val="20"/>
          <w:szCs w:val="20"/>
        </w:rPr>
        <w:lastRenderedPageBreak/>
        <w:t xml:space="preserve">exist. A schism </w:t>
      </w:r>
      <w:r w:rsidR="00B57B4D">
        <w:rPr>
          <w:sz w:val="20"/>
          <w:szCs w:val="20"/>
        </w:rPr>
        <w:t>exists between the mission statement of DPAA and the reality of the Cenotaph, and within this schism exists, unfortunately, grief.</w:t>
      </w:r>
    </w:p>
    <w:p w14:paraId="7E152BFD" w14:textId="44EC8E7B" w:rsidR="002F407B" w:rsidRDefault="00B57B4D" w:rsidP="007C5D05">
      <w:pPr>
        <w:rPr>
          <w:sz w:val="20"/>
          <w:szCs w:val="20"/>
        </w:rPr>
      </w:pPr>
      <w:r>
        <w:rPr>
          <w:sz w:val="20"/>
          <w:szCs w:val="20"/>
        </w:rPr>
        <w:t>A different issue arises with the exhumation of the remains of Nicholas II of Russia and his family in 2015</w:t>
      </w:r>
      <w:r>
        <w:rPr>
          <w:rStyle w:val="FootnoteReference"/>
          <w:sz w:val="20"/>
          <w:szCs w:val="20"/>
        </w:rPr>
        <w:footnoteReference w:id="14"/>
      </w:r>
      <w:r>
        <w:rPr>
          <w:sz w:val="20"/>
          <w:szCs w:val="20"/>
        </w:rPr>
        <w:t xml:space="preserve">. At this time the majority of the Romanov family, who were murdered after Nicholas abdicated from the Russian throne </w:t>
      </w:r>
      <w:r w:rsidR="007166AF">
        <w:rPr>
          <w:sz w:val="20"/>
          <w:szCs w:val="20"/>
        </w:rPr>
        <w:t>in March 1917</w:t>
      </w:r>
      <w:r w:rsidR="007166AF">
        <w:rPr>
          <w:rStyle w:val="FootnoteReference"/>
          <w:sz w:val="20"/>
          <w:szCs w:val="20"/>
        </w:rPr>
        <w:footnoteReference w:id="15"/>
      </w:r>
      <w:r w:rsidR="007166AF">
        <w:rPr>
          <w:sz w:val="20"/>
          <w:szCs w:val="20"/>
        </w:rPr>
        <w:t xml:space="preserve">, had already been canonised by the Russian Orthodox Church and they wished to confirm via DNA that </w:t>
      </w:r>
      <w:r w:rsidR="007166AF" w:rsidRPr="007166AF">
        <w:rPr>
          <w:sz w:val="20"/>
          <w:szCs w:val="20"/>
        </w:rPr>
        <w:t>Tsarevich Alexei and Grand Duchess Maria</w:t>
      </w:r>
      <w:r w:rsidR="007166AF">
        <w:rPr>
          <w:sz w:val="20"/>
          <w:szCs w:val="20"/>
        </w:rPr>
        <w:t>, who had only recently been found in a location far from the rest of the family, were who they thought they were before they were also canonised. Why do the Russians revere the Romanovs so greatly, when Nicholas II was head of a regime brutal even by turn of the 20</w:t>
      </w:r>
      <w:r w:rsidR="007166AF" w:rsidRPr="007166AF">
        <w:rPr>
          <w:sz w:val="20"/>
          <w:szCs w:val="20"/>
          <w:vertAlign w:val="superscript"/>
        </w:rPr>
        <w:t>th</w:t>
      </w:r>
      <w:r w:rsidR="007166AF">
        <w:rPr>
          <w:sz w:val="20"/>
          <w:szCs w:val="20"/>
        </w:rPr>
        <w:t xml:space="preserve"> century standards? Simply, the Romanovs represent the leadership of a </w:t>
      </w:r>
      <w:proofErr w:type="spellStart"/>
      <w:r w:rsidR="007166AF">
        <w:rPr>
          <w:sz w:val="20"/>
          <w:szCs w:val="20"/>
        </w:rPr>
        <w:t>non-soviet</w:t>
      </w:r>
      <w:proofErr w:type="spellEnd"/>
      <w:r w:rsidR="007166AF">
        <w:rPr>
          <w:sz w:val="20"/>
          <w:szCs w:val="20"/>
        </w:rPr>
        <w:t xml:space="preserve"> era. </w:t>
      </w:r>
      <w:r w:rsidR="00553098">
        <w:rPr>
          <w:sz w:val="20"/>
          <w:szCs w:val="20"/>
        </w:rPr>
        <w:t xml:space="preserve">The soviet system having collapsed only a few decades prior meant that in searching for a new identity, the Russian people (or perhaps only their leaders) turned to their past. There are </w:t>
      </w:r>
      <w:r w:rsidR="002D30BA">
        <w:rPr>
          <w:sz w:val="20"/>
          <w:szCs w:val="20"/>
        </w:rPr>
        <w:t>a few important things to learn</w:t>
      </w:r>
      <w:r w:rsidR="00553098">
        <w:rPr>
          <w:sz w:val="20"/>
          <w:szCs w:val="20"/>
        </w:rPr>
        <w:t xml:space="preserve"> from this. </w:t>
      </w:r>
      <w:r w:rsidR="002D30BA">
        <w:rPr>
          <w:sz w:val="20"/>
          <w:szCs w:val="20"/>
        </w:rPr>
        <w:t xml:space="preserve">First of all, you have a national commemoration event, much the same as the Cenotaph, but instead of the Cenotaph’s focussed on the lost many it focuses on the found few, and further archaeological result leading to strengthened commemoration instead of the possible interpretation of the Cenotaph being weakened. Perhaps additionally, however, there should be a caution attached – in ‘general’ commemoration, one can examine a reversal of the power structures that are imposed (almost certainly not deliberately, but incidentally) by more temporally distant archaeology. In the excavation of older battlefields, when it is incredibly difficult to identify the identity of individuals, the only </w:t>
      </w:r>
      <w:r w:rsidR="00E26D9E">
        <w:rPr>
          <w:sz w:val="20"/>
          <w:szCs w:val="20"/>
        </w:rPr>
        <w:t>people who are positively or even close to positively identified are the leaders, generals and kings. Over time, this combined with histories being restricted almost solely to the elite leads inevitably to an understanding of history through the elite. Modern battlefield archaeology however focuses on the individuals – the locations and the stories of the battlefields are known, and thus the archaeologies concern themselves (when it comes to human remains) with people, names, and identities of the individual. This is perhaps one of the most noble element of this archaeology – to allow people to connect with histories of the common person</w:t>
      </w:r>
      <w:r w:rsidR="003F5B5A">
        <w:rPr>
          <w:sz w:val="20"/>
          <w:szCs w:val="20"/>
        </w:rPr>
        <w:t>, and when those common people are your own family, friends or loved ones is when people tend to need the grieving process more than ever. In this regard, the Romanov event is a radical perversion of this trend, though one should not endeavour to make moral judgements on this.</w:t>
      </w:r>
    </w:p>
    <w:p w14:paraId="4F82461F" w14:textId="23C71A72" w:rsidR="001711B8" w:rsidRDefault="003F5B5A" w:rsidP="007C5D05">
      <w:pPr>
        <w:rPr>
          <w:sz w:val="20"/>
          <w:szCs w:val="20"/>
        </w:rPr>
      </w:pPr>
      <w:r>
        <w:rPr>
          <w:sz w:val="20"/>
          <w:szCs w:val="20"/>
        </w:rPr>
        <w:t>If one wanted an example of living battlefield archaeology, then one should look towards Berlin. It is a place where “gaps stay unfilled and traces of the past are woven right through the urban fabric…In Berlin, the city’s past and present share the same civic space with each other.”</w:t>
      </w:r>
      <w:r>
        <w:rPr>
          <w:rStyle w:val="FootnoteReference"/>
          <w:sz w:val="20"/>
          <w:szCs w:val="20"/>
        </w:rPr>
        <w:footnoteReference w:id="16"/>
      </w:r>
      <w:r>
        <w:rPr>
          <w:sz w:val="20"/>
          <w:szCs w:val="20"/>
        </w:rPr>
        <w:t xml:space="preserve">. </w:t>
      </w:r>
      <w:r w:rsidR="00915272">
        <w:rPr>
          <w:sz w:val="20"/>
          <w:szCs w:val="20"/>
        </w:rPr>
        <w:t>This is a place where battlefield archaeology has incredibly high potential energy – the final resting place for the Third Reich and the monster at its head.</w:t>
      </w:r>
      <w:r w:rsidR="00602259">
        <w:rPr>
          <w:sz w:val="20"/>
          <w:szCs w:val="20"/>
        </w:rPr>
        <w:t xml:space="preserve"> This is a place that, were the authorities to want it, there could be unending displays of the archaeology of the fall of Berlin. And yet perhaps the most highly charged building imaginable, the </w:t>
      </w:r>
      <w:proofErr w:type="spellStart"/>
      <w:r w:rsidR="00602259">
        <w:rPr>
          <w:sz w:val="20"/>
          <w:szCs w:val="20"/>
        </w:rPr>
        <w:t>Fuhrerbunker</w:t>
      </w:r>
      <w:proofErr w:type="spellEnd"/>
      <w:r w:rsidR="00602259">
        <w:rPr>
          <w:sz w:val="20"/>
          <w:szCs w:val="20"/>
        </w:rPr>
        <w:t xml:space="preserve"> in which Hitler died, is </w:t>
      </w:r>
      <w:r w:rsidR="001711B8">
        <w:rPr>
          <w:sz w:val="20"/>
          <w:szCs w:val="20"/>
        </w:rPr>
        <w:t>buried</w:t>
      </w:r>
      <w:r w:rsidR="00602259">
        <w:rPr>
          <w:sz w:val="20"/>
          <w:szCs w:val="20"/>
        </w:rPr>
        <w:t xml:space="preserve">. This isn’t accidental – </w:t>
      </w:r>
      <w:proofErr w:type="spellStart"/>
      <w:r w:rsidR="00602259">
        <w:rPr>
          <w:sz w:val="20"/>
          <w:szCs w:val="20"/>
        </w:rPr>
        <w:t>Meskell</w:t>
      </w:r>
      <w:proofErr w:type="spellEnd"/>
      <w:r w:rsidR="00602259">
        <w:rPr>
          <w:sz w:val="20"/>
          <w:szCs w:val="20"/>
        </w:rPr>
        <w:t xml:space="preserve"> (2002) says that “</w:t>
      </w:r>
      <w:r w:rsidR="00602259" w:rsidRPr="00602259">
        <w:rPr>
          <w:sz w:val="20"/>
          <w:szCs w:val="20"/>
        </w:rPr>
        <w:t>Germany still wrestles with the polar positions of cleansing the Nazi past or mobilizing it as a didactic ruin field</w:t>
      </w:r>
      <w:r w:rsidR="00602259">
        <w:rPr>
          <w:sz w:val="20"/>
          <w:szCs w:val="20"/>
        </w:rPr>
        <w:t xml:space="preserve">” and nowhere is this more apparent than here. </w:t>
      </w:r>
      <w:r w:rsidR="001711B8">
        <w:rPr>
          <w:sz w:val="20"/>
          <w:szCs w:val="20"/>
        </w:rPr>
        <w:t>The bunker isn’t hidden – a small plaque between housing complexes belies the vast and culturally significant tunnels that lay below. But it is the notion, and not the archaeology, that is engaged with here.</w:t>
      </w:r>
      <w:r w:rsidR="00813EF2">
        <w:rPr>
          <w:sz w:val="20"/>
          <w:szCs w:val="20"/>
        </w:rPr>
        <w:t xml:space="preserve"> The bereavement of the people of Berlin is problematic in of itself because of the circumstances in which it became, and still is, a </w:t>
      </w:r>
      <w:proofErr w:type="spellStart"/>
      <w:r w:rsidR="00813EF2">
        <w:rPr>
          <w:sz w:val="20"/>
          <w:szCs w:val="20"/>
        </w:rPr>
        <w:t>traumascape</w:t>
      </w:r>
      <w:proofErr w:type="spellEnd"/>
      <w:r w:rsidR="00813EF2">
        <w:rPr>
          <w:sz w:val="20"/>
          <w:szCs w:val="20"/>
        </w:rPr>
        <w:t xml:space="preserve">. There isn’t zero engagement with physicality – the Topography of Terror museum </w:t>
      </w:r>
      <w:proofErr w:type="gramStart"/>
      <w:r w:rsidR="00813EF2">
        <w:rPr>
          <w:sz w:val="20"/>
          <w:szCs w:val="20"/>
        </w:rPr>
        <w:t>is located in</w:t>
      </w:r>
      <w:proofErr w:type="gramEnd"/>
      <w:r w:rsidR="00813EF2">
        <w:rPr>
          <w:sz w:val="20"/>
          <w:szCs w:val="20"/>
        </w:rPr>
        <w:t xml:space="preserve"> buildings previously used as headquarters by the SS</w:t>
      </w:r>
      <w:r w:rsidR="00813EF2">
        <w:rPr>
          <w:rStyle w:val="FootnoteReference"/>
          <w:sz w:val="20"/>
          <w:szCs w:val="20"/>
        </w:rPr>
        <w:footnoteReference w:id="17"/>
      </w:r>
      <w:r w:rsidR="00813EF2">
        <w:rPr>
          <w:sz w:val="20"/>
          <w:szCs w:val="20"/>
        </w:rPr>
        <w:t xml:space="preserve"> - but certain aspects are notable in their absence. In a similar way to the Romanovs, the modern political landscape also affects the engagement with archaeology, </w:t>
      </w:r>
      <w:r w:rsidR="000D214A">
        <w:rPr>
          <w:sz w:val="20"/>
          <w:szCs w:val="20"/>
        </w:rPr>
        <w:t xml:space="preserve">but where Russia is attempting to align themselves with the Russia of the past, Germany struggles with not only the past Germany that the fall of Berlin is linked to, but also fears of modern day </w:t>
      </w:r>
      <w:r w:rsidR="000D214A">
        <w:rPr>
          <w:sz w:val="20"/>
          <w:szCs w:val="20"/>
        </w:rPr>
        <w:br/>
        <w:t>neo-Nazis trying to align themselves to it.</w:t>
      </w:r>
    </w:p>
    <w:p w14:paraId="284E4F92" w14:textId="7DE3156A" w:rsidR="000D214A" w:rsidRDefault="002517D3" w:rsidP="007C5D05">
      <w:pPr>
        <w:rPr>
          <w:sz w:val="20"/>
          <w:szCs w:val="20"/>
        </w:rPr>
      </w:pPr>
      <w:r>
        <w:rPr>
          <w:sz w:val="20"/>
          <w:szCs w:val="20"/>
        </w:rPr>
        <w:lastRenderedPageBreak/>
        <w:t xml:space="preserve">It is arguable that this sort of fetishization or distortion of the past is not only dangerous politically, but one of the most, if not the most damaging act towards the processes of the bereaved. </w:t>
      </w:r>
      <w:r w:rsidR="002D1A3B">
        <w:rPr>
          <w:sz w:val="20"/>
          <w:szCs w:val="20"/>
        </w:rPr>
        <w:t xml:space="preserve">One of the things </w:t>
      </w:r>
      <w:proofErr w:type="gramStart"/>
      <w:r w:rsidR="002D1A3B">
        <w:rPr>
          <w:sz w:val="20"/>
          <w:szCs w:val="20"/>
        </w:rPr>
        <w:t>this highlights</w:t>
      </w:r>
      <w:proofErr w:type="gramEnd"/>
      <w:r w:rsidR="002D1A3B">
        <w:rPr>
          <w:sz w:val="20"/>
          <w:szCs w:val="20"/>
        </w:rPr>
        <w:t xml:space="preserve"> is important to the nature of battlefield archaeology – that the process itself is not infallible, and that when used incorrectly can be of dire consequence. Take for example Fred </w:t>
      </w:r>
      <w:proofErr w:type="spellStart"/>
      <w:r w:rsidR="002D1A3B">
        <w:rPr>
          <w:sz w:val="20"/>
          <w:szCs w:val="20"/>
        </w:rPr>
        <w:t>Leuchter</w:t>
      </w:r>
      <w:proofErr w:type="spellEnd"/>
      <w:r w:rsidR="002D1A3B">
        <w:rPr>
          <w:sz w:val="20"/>
          <w:szCs w:val="20"/>
        </w:rPr>
        <w:t xml:space="preserve"> and his ‘</w:t>
      </w:r>
      <w:proofErr w:type="spellStart"/>
      <w:r w:rsidR="002D1A3B">
        <w:rPr>
          <w:sz w:val="20"/>
          <w:szCs w:val="20"/>
        </w:rPr>
        <w:t>Leuchter</w:t>
      </w:r>
      <w:proofErr w:type="spellEnd"/>
      <w:r w:rsidR="002D1A3B">
        <w:rPr>
          <w:sz w:val="20"/>
          <w:szCs w:val="20"/>
        </w:rPr>
        <w:t xml:space="preserve"> Report’</w:t>
      </w:r>
      <w:r w:rsidR="002D1A3B">
        <w:rPr>
          <w:rStyle w:val="FootnoteReference"/>
          <w:sz w:val="20"/>
          <w:szCs w:val="20"/>
        </w:rPr>
        <w:footnoteReference w:id="18"/>
      </w:r>
      <w:r w:rsidR="002D1A3B">
        <w:rPr>
          <w:sz w:val="20"/>
          <w:szCs w:val="20"/>
        </w:rPr>
        <w:t xml:space="preserve"> used as evidence for the </w:t>
      </w:r>
      <w:proofErr w:type="spellStart"/>
      <w:r w:rsidR="002D1A3B">
        <w:rPr>
          <w:sz w:val="20"/>
          <w:szCs w:val="20"/>
        </w:rPr>
        <w:t>defense</w:t>
      </w:r>
      <w:proofErr w:type="spellEnd"/>
      <w:r w:rsidR="002D1A3B">
        <w:rPr>
          <w:sz w:val="20"/>
          <w:szCs w:val="20"/>
        </w:rPr>
        <w:t xml:space="preserve"> in court of Holocaust denier Ernst </w:t>
      </w:r>
      <w:proofErr w:type="spellStart"/>
      <w:r w:rsidR="002D1A3B">
        <w:rPr>
          <w:sz w:val="20"/>
          <w:szCs w:val="20"/>
        </w:rPr>
        <w:t>Z</w:t>
      </w:r>
      <w:r w:rsidR="002D1A3B" w:rsidRPr="002D1A3B">
        <w:rPr>
          <w:sz w:val="20"/>
          <w:szCs w:val="20"/>
        </w:rPr>
        <w:t>ü</w:t>
      </w:r>
      <w:r w:rsidR="002D1A3B">
        <w:rPr>
          <w:sz w:val="20"/>
          <w:szCs w:val="20"/>
        </w:rPr>
        <w:t>ndel</w:t>
      </w:r>
      <w:proofErr w:type="spellEnd"/>
      <w:r w:rsidR="002D1A3B">
        <w:rPr>
          <w:sz w:val="20"/>
          <w:szCs w:val="20"/>
        </w:rPr>
        <w:t xml:space="preserve">. In this, </w:t>
      </w:r>
      <w:proofErr w:type="spellStart"/>
      <w:r w:rsidR="002D1A3B">
        <w:rPr>
          <w:sz w:val="20"/>
          <w:szCs w:val="20"/>
        </w:rPr>
        <w:t>Leuchter</w:t>
      </w:r>
      <w:proofErr w:type="spellEnd"/>
      <w:r w:rsidR="002D1A3B">
        <w:rPr>
          <w:sz w:val="20"/>
          <w:szCs w:val="20"/>
        </w:rPr>
        <w:t xml:space="preserve"> describes his archaeological experiments in which, in the extermination camp of Auschwitz-Birkenau, </w:t>
      </w:r>
      <w:proofErr w:type="spellStart"/>
      <w:r w:rsidR="002158C5">
        <w:rPr>
          <w:sz w:val="20"/>
          <w:szCs w:val="20"/>
        </w:rPr>
        <w:t>Leuchter</w:t>
      </w:r>
      <w:proofErr w:type="spellEnd"/>
      <w:r w:rsidR="002158C5">
        <w:rPr>
          <w:sz w:val="20"/>
          <w:szCs w:val="20"/>
        </w:rPr>
        <w:t xml:space="preserve"> covertly removed chunks of brickwork and sent them to a laboratory for chemical analysis. His conclusion: “It is the best engineering opinion of this author that the alleged gas chambers at the inspected sites </w:t>
      </w:r>
      <w:r w:rsidR="002158C5">
        <w:rPr>
          <w:b/>
          <w:bCs/>
          <w:sz w:val="20"/>
          <w:szCs w:val="20"/>
        </w:rPr>
        <w:t>could not have then been, or now, be utilized or seriously considered to function as execution gas chambers</w:t>
      </w:r>
      <w:r w:rsidR="002158C5">
        <w:rPr>
          <w:sz w:val="20"/>
          <w:szCs w:val="20"/>
        </w:rPr>
        <w:t>.”</w:t>
      </w:r>
      <w:r w:rsidR="002158C5">
        <w:rPr>
          <w:rStyle w:val="FootnoteReference"/>
          <w:sz w:val="20"/>
          <w:szCs w:val="20"/>
        </w:rPr>
        <w:footnoteReference w:id="19"/>
      </w:r>
      <w:r w:rsidR="002158C5">
        <w:rPr>
          <w:sz w:val="20"/>
          <w:szCs w:val="20"/>
        </w:rPr>
        <w:t>. We know this is a sham – that his methodology was flawed and his conclusions entirely incorrect</w:t>
      </w:r>
      <w:r w:rsidR="002158C5">
        <w:rPr>
          <w:rStyle w:val="FootnoteReference"/>
          <w:sz w:val="20"/>
          <w:szCs w:val="20"/>
        </w:rPr>
        <w:footnoteReference w:id="20"/>
      </w:r>
      <w:r w:rsidR="002158C5">
        <w:rPr>
          <w:sz w:val="20"/>
          <w:szCs w:val="20"/>
        </w:rPr>
        <w:t xml:space="preserve">. It is because of people such as </w:t>
      </w:r>
      <w:proofErr w:type="spellStart"/>
      <w:r w:rsidR="002158C5">
        <w:rPr>
          <w:sz w:val="20"/>
          <w:szCs w:val="20"/>
        </w:rPr>
        <w:t>Leuchter</w:t>
      </w:r>
      <w:proofErr w:type="spellEnd"/>
      <w:r w:rsidR="002158C5">
        <w:rPr>
          <w:sz w:val="20"/>
          <w:szCs w:val="20"/>
        </w:rPr>
        <w:t xml:space="preserve"> and </w:t>
      </w:r>
      <w:proofErr w:type="spellStart"/>
      <w:r w:rsidR="002158C5">
        <w:rPr>
          <w:sz w:val="20"/>
          <w:szCs w:val="20"/>
        </w:rPr>
        <w:t>Z</w:t>
      </w:r>
      <w:r w:rsidR="002158C5" w:rsidRPr="002158C5">
        <w:rPr>
          <w:sz w:val="20"/>
          <w:szCs w:val="20"/>
        </w:rPr>
        <w:t>ü</w:t>
      </w:r>
      <w:r w:rsidR="002158C5">
        <w:rPr>
          <w:sz w:val="20"/>
          <w:szCs w:val="20"/>
        </w:rPr>
        <w:t>ndel</w:t>
      </w:r>
      <w:proofErr w:type="spellEnd"/>
      <w:r w:rsidR="002158C5">
        <w:rPr>
          <w:sz w:val="20"/>
          <w:szCs w:val="20"/>
        </w:rPr>
        <w:t xml:space="preserve"> that </w:t>
      </w:r>
      <w:r w:rsidR="00887E76">
        <w:rPr>
          <w:sz w:val="20"/>
          <w:szCs w:val="20"/>
        </w:rPr>
        <w:t xml:space="preserve">battlefield archaeologists such as Caroline Sturdy Colls become important. Her work on excavating </w:t>
      </w:r>
      <w:r w:rsidR="00D866FD">
        <w:rPr>
          <w:sz w:val="20"/>
          <w:szCs w:val="20"/>
        </w:rPr>
        <w:t>the death camp of Treblinka, Poland</w:t>
      </w:r>
      <w:r w:rsidR="00D866FD">
        <w:rPr>
          <w:rStyle w:val="FootnoteReference"/>
          <w:sz w:val="20"/>
          <w:szCs w:val="20"/>
        </w:rPr>
        <w:footnoteReference w:id="21"/>
      </w:r>
      <w:r w:rsidR="00D866FD">
        <w:rPr>
          <w:sz w:val="20"/>
          <w:szCs w:val="20"/>
        </w:rPr>
        <w:t>, work which is carried on today by Staffordshire University</w:t>
      </w:r>
      <w:r w:rsidR="00D866FD">
        <w:rPr>
          <w:rStyle w:val="FootnoteReference"/>
          <w:sz w:val="20"/>
          <w:szCs w:val="20"/>
        </w:rPr>
        <w:footnoteReference w:id="22"/>
      </w:r>
      <w:r w:rsidR="00D866FD">
        <w:rPr>
          <w:sz w:val="20"/>
          <w:szCs w:val="20"/>
        </w:rPr>
        <w:t xml:space="preserve">, is instrumental in both giving voice to the voiceless dead of a concealed location of wartime atrocity, but also in providing evidence for the fight against politically motivated misinformation. This is incredibly important for the bereavement process – for those who have had the memories of their loved ones dragged through the mud, the denial of their grieving does not allow for wounds to heal. It is the work of people like Colls that can go some way to silencing </w:t>
      </w:r>
      <w:r w:rsidR="00450035">
        <w:rPr>
          <w:sz w:val="20"/>
          <w:szCs w:val="20"/>
        </w:rPr>
        <w:t>denial and allowing the bereaved some breathing room.</w:t>
      </w:r>
    </w:p>
    <w:p w14:paraId="0BB9848A" w14:textId="6FDDCC2A" w:rsidR="00450035" w:rsidRDefault="00450035" w:rsidP="007C5D05">
      <w:pPr>
        <w:rPr>
          <w:sz w:val="20"/>
          <w:szCs w:val="20"/>
        </w:rPr>
      </w:pPr>
      <w:r>
        <w:rPr>
          <w:sz w:val="20"/>
          <w:szCs w:val="20"/>
        </w:rPr>
        <w:t xml:space="preserve">It seems then that battlefield archaeology is often a double-edged sword. It is usually true that the notions that battlefield archaeology are able to </w:t>
      </w:r>
      <w:proofErr w:type="gramStart"/>
      <w:r>
        <w:rPr>
          <w:sz w:val="20"/>
          <w:szCs w:val="20"/>
        </w:rPr>
        <w:t>reinforce</w:t>
      </w:r>
      <w:proofErr w:type="gramEnd"/>
      <w:r>
        <w:rPr>
          <w:sz w:val="20"/>
          <w:szCs w:val="20"/>
        </w:rPr>
        <w:t xml:space="preserve"> and support are a helpful force, and contribute positively to processes of bereavement, commemoration and reconciliation. However, it seems that in most cases the notions themselves are what </w:t>
      </w:r>
      <w:proofErr w:type="gramStart"/>
      <w:r>
        <w:rPr>
          <w:sz w:val="20"/>
          <w:szCs w:val="20"/>
        </w:rPr>
        <w:t>actually matter</w:t>
      </w:r>
      <w:proofErr w:type="gramEnd"/>
      <w:r>
        <w:rPr>
          <w:sz w:val="20"/>
          <w:szCs w:val="20"/>
        </w:rPr>
        <w:t>, and the materiality behind them are relegated to the back seat. We have also seen that incorrect handling of archaeology, wilful or otherwise, can lead to damages to the processes of post-battlefield grief. It becomes so very important in these instances to treat the past with thoughtfulness. There is no temporal gap to soften the pain when the lost are brothers, sisters, mothers and fathers with those still living. Great care and mindful handling can contribute positively, and when positive contributions can be made to those who have lost so much and are still struggling to come to terms with it, it becomes imperative to help where we can.</w:t>
      </w:r>
    </w:p>
    <w:p w14:paraId="2AEE6703" w14:textId="16F2AC65" w:rsidR="00450035" w:rsidRDefault="00450035" w:rsidP="007C5D05">
      <w:pPr>
        <w:rPr>
          <w:sz w:val="20"/>
          <w:szCs w:val="20"/>
        </w:rPr>
      </w:pPr>
    </w:p>
    <w:p w14:paraId="76CC4B0C" w14:textId="1667F995" w:rsidR="00450035" w:rsidRDefault="00450035" w:rsidP="007C5D05">
      <w:pPr>
        <w:rPr>
          <w:sz w:val="20"/>
          <w:szCs w:val="20"/>
        </w:rPr>
      </w:pPr>
    </w:p>
    <w:p w14:paraId="2DDE8419" w14:textId="4C7E8B0C" w:rsidR="00450035" w:rsidRDefault="00450035" w:rsidP="007C5D05">
      <w:pPr>
        <w:rPr>
          <w:sz w:val="20"/>
          <w:szCs w:val="20"/>
        </w:rPr>
      </w:pPr>
    </w:p>
    <w:p w14:paraId="2DA92EA4" w14:textId="4E6F16E7" w:rsidR="00450035" w:rsidRDefault="00450035" w:rsidP="007C5D05">
      <w:pPr>
        <w:rPr>
          <w:sz w:val="20"/>
          <w:szCs w:val="20"/>
        </w:rPr>
      </w:pPr>
    </w:p>
    <w:p w14:paraId="16CE8725" w14:textId="0C234726" w:rsidR="00450035" w:rsidRDefault="00450035" w:rsidP="007C5D05">
      <w:pPr>
        <w:rPr>
          <w:sz w:val="20"/>
          <w:szCs w:val="20"/>
        </w:rPr>
      </w:pPr>
    </w:p>
    <w:p w14:paraId="406D32D4" w14:textId="3843C76F" w:rsidR="00450035" w:rsidRDefault="00450035" w:rsidP="007C5D05">
      <w:pPr>
        <w:rPr>
          <w:sz w:val="20"/>
          <w:szCs w:val="20"/>
        </w:rPr>
      </w:pPr>
    </w:p>
    <w:p w14:paraId="1B46ADB1" w14:textId="018213E8" w:rsidR="00450035" w:rsidRDefault="00450035" w:rsidP="007C5D05">
      <w:pPr>
        <w:rPr>
          <w:sz w:val="20"/>
          <w:szCs w:val="20"/>
        </w:rPr>
      </w:pPr>
    </w:p>
    <w:p w14:paraId="76424C06" w14:textId="686B6A7B" w:rsidR="00450035" w:rsidRDefault="00450035" w:rsidP="007C5D05">
      <w:pPr>
        <w:rPr>
          <w:sz w:val="20"/>
          <w:szCs w:val="20"/>
        </w:rPr>
      </w:pPr>
    </w:p>
    <w:p w14:paraId="7BE0D010" w14:textId="7999466F" w:rsidR="00450035" w:rsidRDefault="00450035" w:rsidP="007C5D05">
      <w:pPr>
        <w:rPr>
          <w:sz w:val="28"/>
          <w:szCs w:val="28"/>
          <w:u w:val="single"/>
        </w:rPr>
      </w:pPr>
      <w:r>
        <w:rPr>
          <w:sz w:val="28"/>
          <w:szCs w:val="28"/>
          <w:u w:val="single"/>
        </w:rPr>
        <w:t>Bibliography</w:t>
      </w:r>
    </w:p>
    <w:p w14:paraId="2E672881" w14:textId="77777777" w:rsidR="00904922" w:rsidRPr="00904922" w:rsidRDefault="00904922" w:rsidP="00904922">
      <w:pPr>
        <w:pStyle w:val="FootnoteText"/>
      </w:pPr>
    </w:p>
    <w:p w14:paraId="01F4427A" w14:textId="77777777" w:rsidR="00F12D82" w:rsidRPr="00904922" w:rsidRDefault="00F12D82" w:rsidP="007C5D05">
      <w:pPr>
        <w:rPr>
          <w:sz w:val="20"/>
          <w:szCs w:val="20"/>
        </w:rPr>
      </w:pPr>
      <w:proofErr w:type="spellStart"/>
      <w:r w:rsidRPr="00904922">
        <w:rPr>
          <w:sz w:val="20"/>
          <w:szCs w:val="20"/>
        </w:rPr>
        <w:t>AirmanMagazineOnline</w:t>
      </w:r>
      <w:proofErr w:type="spellEnd"/>
      <w:r w:rsidRPr="00904922">
        <w:rPr>
          <w:sz w:val="20"/>
          <w:szCs w:val="20"/>
        </w:rPr>
        <w:t xml:space="preserve"> (2016) A Solemn Promise. </w:t>
      </w:r>
      <w:r w:rsidRPr="00904922">
        <w:rPr>
          <w:i/>
          <w:iCs/>
          <w:sz w:val="20"/>
          <w:szCs w:val="20"/>
        </w:rPr>
        <w:t>YouTube</w:t>
      </w:r>
      <w:r w:rsidRPr="00904922">
        <w:rPr>
          <w:sz w:val="20"/>
          <w:szCs w:val="20"/>
        </w:rPr>
        <w:t xml:space="preserve"> [video]. 12 January. Available from: </w:t>
      </w:r>
      <w:hyperlink r:id="rId8" w:history="1">
        <w:r w:rsidRPr="00904922">
          <w:rPr>
            <w:rStyle w:val="Hyperlink"/>
            <w:sz w:val="20"/>
            <w:szCs w:val="20"/>
          </w:rPr>
          <w:t>https://www.youtube.com/watch?v=KP6HissNq50</w:t>
        </w:r>
      </w:hyperlink>
      <w:r w:rsidRPr="00904922">
        <w:rPr>
          <w:sz w:val="20"/>
          <w:szCs w:val="20"/>
        </w:rPr>
        <w:t xml:space="preserve"> [Accessed 08 March 2020]</w:t>
      </w:r>
    </w:p>
    <w:p w14:paraId="12A6F98C" w14:textId="77777777" w:rsidR="00F12D82" w:rsidRPr="00904922" w:rsidRDefault="00F12D82" w:rsidP="007C5D05">
      <w:pPr>
        <w:rPr>
          <w:sz w:val="20"/>
          <w:szCs w:val="20"/>
        </w:rPr>
      </w:pPr>
      <w:r w:rsidRPr="00904922">
        <w:rPr>
          <w:sz w:val="20"/>
          <w:szCs w:val="20"/>
        </w:rPr>
        <w:t>BBC News (2015) Russia exhumes bones of murdered Tsar Nicholas and wife. Available from: https://www.bbc.co.uk/news/world-europe-34338802 [Accessed 07 March 2020]</w:t>
      </w:r>
    </w:p>
    <w:p w14:paraId="2AC01E52" w14:textId="77777777" w:rsidR="00F12D82" w:rsidRPr="00904922" w:rsidRDefault="00F12D82" w:rsidP="00904922">
      <w:pPr>
        <w:pStyle w:val="FootnoteText"/>
      </w:pPr>
      <w:proofErr w:type="spellStart"/>
      <w:r w:rsidRPr="00904922">
        <w:t>Defense</w:t>
      </w:r>
      <w:proofErr w:type="spellEnd"/>
      <w:r w:rsidRPr="00904922">
        <w:t xml:space="preserve"> POW/MIA Accounting Agency (2020) </w:t>
      </w:r>
      <w:r w:rsidRPr="00904922">
        <w:rPr>
          <w:i/>
          <w:iCs/>
        </w:rPr>
        <w:t>Vision, Mission, Values.</w:t>
      </w:r>
      <w:r w:rsidRPr="00904922">
        <w:t xml:space="preserve"> Available from: </w:t>
      </w:r>
      <w:hyperlink r:id="rId9" w:history="1">
        <w:r w:rsidRPr="00904922">
          <w:rPr>
            <w:rStyle w:val="Hyperlink"/>
          </w:rPr>
          <w:t>https://www.dpaa.mil/About/Vision-Mission-Values/</w:t>
        </w:r>
      </w:hyperlink>
      <w:r w:rsidRPr="00904922">
        <w:t xml:space="preserve"> [Accessed 08 March 2020]</w:t>
      </w:r>
    </w:p>
    <w:p w14:paraId="2757EB95" w14:textId="77777777" w:rsidR="00F12D82" w:rsidRPr="00904922" w:rsidRDefault="00F12D82" w:rsidP="007C5D05">
      <w:pPr>
        <w:rPr>
          <w:sz w:val="20"/>
          <w:szCs w:val="20"/>
        </w:rPr>
      </w:pPr>
      <w:r w:rsidRPr="00904922">
        <w:rPr>
          <w:sz w:val="20"/>
          <w:szCs w:val="20"/>
        </w:rPr>
        <w:t xml:space="preserve">Emory University (2018) </w:t>
      </w:r>
      <w:r w:rsidRPr="00904922">
        <w:rPr>
          <w:i/>
          <w:iCs/>
          <w:sz w:val="20"/>
          <w:szCs w:val="20"/>
        </w:rPr>
        <w:t xml:space="preserve">Holocaust Denial on Trial; Auschwitz-Birkenau Gas Chambers: Fred </w:t>
      </w:r>
      <w:proofErr w:type="spellStart"/>
      <w:r w:rsidRPr="00904922">
        <w:rPr>
          <w:i/>
          <w:iCs/>
          <w:sz w:val="20"/>
          <w:szCs w:val="20"/>
        </w:rPr>
        <w:t>Leuchter</w:t>
      </w:r>
      <w:proofErr w:type="spellEnd"/>
      <w:r w:rsidRPr="00904922">
        <w:rPr>
          <w:i/>
          <w:iCs/>
          <w:sz w:val="20"/>
          <w:szCs w:val="20"/>
        </w:rPr>
        <w:t xml:space="preserve"> Report.</w:t>
      </w:r>
      <w:r w:rsidRPr="00904922">
        <w:rPr>
          <w:sz w:val="20"/>
          <w:szCs w:val="20"/>
        </w:rPr>
        <w:t xml:space="preserve"> Available at: </w:t>
      </w:r>
      <w:hyperlink r:id="rId10" w:history="1">
        <w:r w:rsidRPr="00904922">
          <w:rPr>
            <w:rStyle w:val="Hyperlink"/>
            <w:sz w:val="20"/>
            <w:szCs w:val="20"/>
          </w:rPr>
          <w:t>https://www.hdot.org/debunking-denial/ab12-leuchter-report/</w:t>
        </w:r>
      </w:hyperlink>
      <w:r w:rsidRPr="00904922">
        <w:rPr>
          <w:sz w:val="20"/>
          <w:szCs w:val="20"/>
        </w:rPr>
        <w:t xml:space="preserve"> [Accessed 08 March 2020]</w:t>
      </w:r>
    </w:p>
    <w:p w14:paraId="72F58B04" w14:textId="77777777" w:rsidR="00F12D82" w:rsidRPr="00904922" w:rsidRDefault="00F12D82" w:rsidP="007C5D05">
      <w:pPr>
        <w:rPr>
          <w:sz w:val="20"/>
          <w:szCs w:val="20"/>
        </w:rPr>
      </w:pPr>
      <w:r w:rsidRPr="00904922">
        <w:rPr>
          <w:sz w:val="20"/>
          <w:szCs w:val="20"/>
        </w:rPr>
        <w:t xml:space="preserve">Historic England (2014) </w:t>
      </w:r>
      <w:r w:rsidRPr="00904922">
        <w:rPr>
          <w:i/>
          <w:iCs/>
          <w:sz w:val="20"/>
          <w:szCs w:val="20"/>
        </w:rPr>
        <w:t>The Cenotaph</w:t>
      </w:r>
      <w:r w:rsidRPr="00904922">
        <w:rPr>
          <w:sz w:val="20"/>
          <w:szCs w:val="20"/>
        </w:rPr>
        <w:t>. Available from: https://historicengland.org.uk/listing/the-list/list-entry/1357354 [Accessed 07 March 2020]</w:t>
      </w:r>
    </w:p>
    <w:p w14:paraId="50E31B21" w14:textId="77777777" w:rsidR="00F12D82" w:rsidRDefault="00F12D82" w:rsidP="007C5D05">
      <w:pPr>
        <w:rPr>
          <w:sz w:val="20"/>
          <w:szCs w:val="20"/>
        </w:rPr>
      </w:pPr>
      <w:proofErr w:type="spellStart"/>
      <w:r>
        <w:rPr>
          <w:sz w:val="20"/>
          <w:szCs w:val="20"/>
        </w:rPr>
        <w:t>Karpinos</w:t>
      </w:r>
      <w:proofErr w:type="spellEnd"/>
      <w:r>
        <w:rPr>
          <w:sz w:val="20"/>
          <w:szCs w:val="20"/>
        </w:rPr>
        <w:t xml:space="preserve">, B.D. (1958) Weight-Height Standards Based on World War II Experience. </w:t>
      </w:r>
      <w:r>
        <w:rPr>
          <w:i/>
          <w:iCs/>
          <w:sz w:val="20"/>
          <w:szCs w:val="20"/>
        </w:rPr>
        <w:t>Journal of the American Statistical Association</w:t>
      </w:r>
      <w:r>
        <w:rPr>
          <w:sz w:val="20"/>
          <w:szCs w:val="20"/>
        </w:rPr>
        <w:t>. [online]. 53(282), pp. 408-419</w:t>
      </w:r>
    </w:p>
    <w:p w14:paraId="33949270" w14:textId="77777777" w:rsidR="00F12D82" w:rsidRPr="00904922" w:rsidRDefault="00F12D82" w:rsidP="007C5D05">
      <w:pPr>
        <w:rPr>
          <w:sz w:val="20"/>
          <w:szCs w:val="20"/>
        </w:rPr>
      </w:pPr>
      <w:proofErr w:type="spellStart"/>
      <w:r w:rsidRPr="00904922">
        <w:rPr>
          <w:sz w:val="20"/>
          <w:szCs w:val="20"/>
        </w:rPr>
        <w:t>Leucther</w:t>
      </w:r>
      <w:proofErr w:type="spellEnd"/>
      <w:r w:rsidRPr="00904922">
        <w:rPr>
          <w:sz w:val="20"/>
          <w:szCs w:val="20"/>
        </w:rPr>
        <w:t xml:space="preserve">, F. (1988) </w:t>
      </w:r>
      <w:r w:rsidRPr="00904922">
        <w:rPr>
          <w:i/>
          <w:iCs/>
          <w:sz w:val="20"/>
          <w:szCs w:val="20"/>
        </w:rPr>
        <w:t xml:space="preserve">The </w:t>
      </w:r>
      <w:proofErr w:type="spellStart"/>
      <w:r w:rsidRPr="00904922">
        <w:rPr>
          <w:i/>
          <w:iCs/>
          <w:sz w:val="20"/>
          <w:szCs w:val="20"/>
        </w:rPr>
        <w:t>Leucther</w:t>
      </w:r>
      <w:proofErr w:type="spellEnd"/>
      <w:r w:rsidRPr="00904922">
        <w:rPr>
          <w:i/>
          <w:iCs/>
          <w:sz w:val="20"/>
          <w:szCs w:val="20"/>
        </w:rPr>
        <w:t xml:space="preserve"> Report: End of a Myth</w:t>
      </w:r>
      <w:r w:rsidRPr="00904922">
        <w:rPr>
          <w:sz w:val="20"/>
          <w:szCs w:val="20"/>
        </w:rPr>
        <w:t xml:space="preserve"> [online]. Available at: </w:t>
      </w:r>
      <w:hyperlink r:id="rId11" w:history="1">
        <w:r w:rsidRPr="00904922">
          <w:rPr>
            <w:rStyle w:val="Hyperlink"/>
            <w:sz w:val="20"/>
            <w:szCs w:val="20"/>
          </w:rPr>
          <w:t>https://archive.org/details/TheLeuchterReport/page/n81/mode/2up</w:t>
        </w:r>
      </w:hyperlink>
      <w:r w:rsidRPr="00904922">
        <w:rPr>
          <w:sz w:val="20"/>
          <w:szCs w:val="20"/>
        </w:rPr>
        <w:t xml:space="preserve"> [Accessed 08 March 2020]</w:t>
      </w:r>
    </w:p>
    <w:p w14:paraId="65C2972C" w14:textId="77777777" w:rsidR="00F12D82" w:rsidRPr="00904922" w:rsidRDefault="00F12D82" w:rsidP="007C5D05">
      <w:pPr>
        <w:rPr>
          <w:sz w:val="20"/>
          <w:szCs w:val="20"/>
        </w:rPr>
      </w:pPr>
      <w:proofErr w:type="spellStart"/>
      <w:r w:rsidRPr="00904922">
        <w:rPr>
          <w:sz w:val="20"/>
          <w:szCs w:val="20"/>
        </w:rPr>
        <w:t>Meskell</w:t>
      </w:r>
      <w:proofErr w:type="spellEnd"/>
      <w:r w:rsidRPr="00904922">
        <w:rPr>
          <w:sz w:val="20"/>
          <w:szCs w:val="20"/>
        </w:rPr>
        <w:t xml:space="preserve">, L. (2002) Negative Heritage and Past Mastering in Archaeology. </w:t>
      </w:r>
      <w:r w:rsidRPr="00904922">
        <w:rPr>
          <w:i/>
          <w:iCs/>
          <w:sz w:val="20"/>
          <w:szCs w:val="20"/>
        </w:rPr>
        <w:t>Anthropological Quarterly</w:t>
      </w:r>
      <w:r w:rsidRPr="00904922">
        <w:rPr>
          <w:sz w:val="20"/>
          <w:szCs w:val="20"/>
        </w:rPr>
        <w:t xml:space="preserve"> [online]. 75(3), pp.557-574</w:t>
      </w:r>
    </w:p>
    <w:p w14:paraId="752E4D92" w14:textId="77777777" w:rsidR="00F12D82" w:rsidRPr="00904922" w:rsidRDefault="00F12D82" w:rsidP="007C5D05">
      <w:pPr>
        <w:rPr>
          <w:sz w:val="20"/>
          <w:szCs w:val="20"/>
        </w:rPr>
      </w:pPr>
      <w:r w:rsidRPr="00904922">
        <w:rPr>
          <w:sz w:val="20"/>
          <w:szCs w:val="20"/>
        </w:rPr>
        <w:t>Moon, D. (2017) The centenary of the abdication of Tsar Nicholas II of Russia. Available from: https://www.york.ac.uk/history/news/news/2017/tsar-nicholas-ii/ [Accessed 07 March 2020]</w:t>
      </w:r>
    </w:p>
    <w:p w14:paraId="0C62CB09" w14:textId="77777777" w:rsidR="00F12D82" w:rsidRPr="00904922" w:rsidRDefault="00F12D82" w:rsidP="007C5D05">
      <w:pPr>
        <w:rPr>
          <w:sz w:val="20"/>
          <w:szCs w:val="20"/>
        </w:rPr>
      </w:pPr>
      <w:proofErr w:type="spellStart"/>
      <w:r>
        <w:rPr>
          <w:sz w:val="20"/>
          <w:szCs w:val="20"/>
        </w:rPr>
        <w:t>NBCnews</w:t>
      </w:r>
      <w:proofErr w:type="spellEnd"/>
      <w:r>
        <w:rPr>
          <w:sz w:val="20"/>
          <w:szCs w:val="20"/>
        </w:rPr>
        <w:t xml:space="preserve"> (2013) </w:t>
      </w:r>
      <w:r>
        <w:rPr>
          <w:i/>
          <w:iCs/>
          <w:sz w:val="20"/>
          <w:szCs w:val="20"/>
        </w:rPr>
        <w:t>Pentagon unit held ‘phony’ ceremonies for MIAs, using planes that can’t fly.</w:t>
      </w:r>
      <w:r>
        <w:rPr>
          <w:sz w:val="20"/>
          <w:szCs w:val="20"/>
        </w:rPr>
        <w:t xml:space="preserve"> Available at: </w:t>
      </w:r>
      <w:hyperlink r:id="rId12" w:history="1">
        <w:r w:rsidRPr="00E64BE9">
          <w:rPr>
            <w:rStyle w:val="Hyperlink"/>
            <w:sz w:val="20"/>
            <w:szCs w:val="20"/>
          </w:rPr>
          <w:t>http://investigations.nbcnews.com/_news/2013/10/10/20889368-pentagon-unit-held-phony-ceremonies-for-mias-using-planes-that-cant-fly</w:t>
        </w:r>
      </w:hyperlink>
      <w:r>
        <w:rPr>
          <w:sz w:val="20"/>
          <w:szCs w:val="20"/>
        </w:rPr>
        <w:t xml:space="preserve"> [Accessed 08 March 2020]</w:t>
      </w:r>
    </w:p>
    <w:p w14:paraId="4513C873" w14:textId="77777777" w:rsidR="00F12D82" w:rsidRPr="00904922" w:rsidRDefault="00F12D82" w:rsidP="007C5D05">
      <w:pPr>
        <w:rPr>
          <w:sz w:val="20"/>
          <w:szCs w:val="20"/>
        </w:rPr>
      </w:pPr>
      <w:proofErr w:type="spellStart"/>
      <w:r w:rsidRPr="00904922">
        <w:rPr>
          <w:sz w:val="20"/>
          <w:szCs w:val="20"/>
        </w:rPr>
        <w:t>NBCnews</w:t>
      </w:r>
      <w:proofErr w:type="spellEnd"/>
      <w:r w:rsidRPr="00904922">
        <w:rPr>
          <w:sz w:val="20"/>
          <w:szCs w:val="20"/>
        </w:rPr>
        <w:t xml:space="preserve"> (2014) </w:t>
      </w:r>
      <w:r w:rsidRPr="00904922">
        <w:rPr>
          <w:i/>
          <w:iCs/>
          <w:sz w:val="20"/>
          <w:szCs w:val="20"/>
        </w:rPr>
        <w:t>Archaeologists Delicately Dig Up Nazi Death Camp Secrets at Treblinka</w:t>
      </w:r>
      <w:r w:rsidRPr="00904922">
        <w:rPr>
          <w:i/>
          <w:iCs/>
          <w:sz w:val="20"/>
          <w:szCs w:val="20"/>
        </w:rPr>
        <w:t xml:space="preserve">. </w:t>
      </w:r>
      <w:r w:rsidRPr="00904922">
        <w:rPr>
          <w:sz w:val="20"/>
          <w:szCs w:val="20"/>
        </w:rPr>
        <w:t xml:space="preserve">Available at: </w:t>
      </w:r>
      <w:hyperlink r:id="rId13" w:history="1">
        <w:r w:rsidRPr="00904922">
          <w:rPr>
            <w:rStyle w:val="Hyperlink"/>
            <w:sz w:val="20"/>
            <w:szCs w:val="20"/>
          </w:rPr>
          <w:t>https://www.nbcnews.com/science/science-news/archaeologists-delicately-dig-nazi-death-camp-secrets-treblinka-n66241</w:t>
        </w:r>
      </w:hyperlink>
      <w:r w:rsidRPr="00904922">
        <w:rPr>
          <w:sz w:val="20"/>
          <w:szCs w:val="20"/>
        </w:rPr>
        <w:t xml:space="preserve"> [Accessed 08 March 2020]</w:t>
      </w:r>
      <w:bookmarkStart w:id="2" w:name="_GoBack"/>
      <w:bookmarkEnd w:id="2"/>
    </w:p>
    <w:p w14:paraId="22FDB5C0" w14:textId="77777777" w:rsidR="00F12D82" w:rsidRPr="00904922" w:rsidRDefault="00F12D82" w:rsidP="007C5D05">
      <w:pPr>
        <w:rPr>
          <w:sz w:val="20"/>
          <w:szCs w:val="20"/>
        </w:rPr>
      </w:pPr>
      <w:r w:rsidRPr="00904922">
        <w:rPr>
          <w:sz w:val="20"/>
          <w:szCs w:val="20"/>
        </w:rPr>
        <w:t xml:space="preserve">Protection of Military Remains Act 1986 [online]. </w:t>
      </w:r>
      <w:r w:rsidRPr="00904922">
        <w:rPr>
          <w:i/>
          <w:iCs/>
          <w:sz w:val="20"/>
          <w:szCs w:val="20"/>
        </w:rPr>
        <w:t>Section 2.</w:t>
      </w:r>
      <w:r w:rsidRPr="00904922">
        <w:rPr>
          <w:sz w:val="20"/>
          <w:szCs w:val="20"/>
        </w:rPr>
        <w:t xml:space="preserve"> Legislation.gov. Available from </w:t>
      </w:r>
      <w:hyperlink r:id="rId14" w:history="1">
        <w:r w:rsidRPr="00904922">
          <w:rPr>
            <w:rStyle w:val="Hyperlink"/>
            <w:sz w:val="20"/>
            <w:szCs w:val="20"/>
          </w:rPr>
          <w:t>http://www.legislation.gov.uk/ukpga/1986/35/section/2</w:t>
        </w:r>
      </w:hyperlink>
      <w:r w:rsidRPr="00904922">
        <w:rPr>
          <w:sz w:val="20"/>
          <w:szCs w:val="20"/>
        </w:rPr>
        <w:t xml:space="preserve"> [Accessed 07 March 2020]</w:t>
      </w:r>
    </w:p>
    <w:p w14:paraId="7A3255A5" w14:textId="77777777" w:rsidR="00F12D82" w:rsidRPr="00904922" w:rsidRDefault="00F12D82" w:rsidP="00904922">
      <w:pPr>
        <w:pStyle w:val="FootnoteText"/>
      </w:pPr>
      <w:r w:rsidRPr="00904922">
        <w:t xml:space="preserve">Protection of Military Remains Act 1986 [online]. </w:t>
      </w:r>
      <w:r w:rsidRPr="00904922">
        <w:rPr>
          <w:i/>
          <w:iCs/>
        </w:rPr>
        <w:t>Section 9</w:t>
      </w:r>
      <w:r w:rsidRPr="00904922">
        <w:t>. (1986). Legislation.gov. Available from: http://www.legislation.gov.uk/ukpga/1986/35/section/9 [Accessed 07 March 2020]</w:t>
      </w:r>
    </w:p>
    <w:p w14:paraId="780CA568" w14:textId="77777777" w:rsidR="00F12D82" w:rsidRPr="00904922" w:rsidRDefault="00F12D82" w:rsidP="007C5D05">
      <w:pPr>
        <w:rPr>
          <w:sz w:val="20"/>
          <w:szCs w:val="20"/>
        </w:rPr>
      </w:pPr>
      <w:r w:rsidRPr="00904922">
        <w:rPr>
          <w:sz w:val="20"/>
          <w:szCs w:val="20"/>
        </w:rPr>
        <w:t xml:space="preserve">Staffordshire University (date unknown) </w:t>
      </w:r>
      <w:r w:rsidRPr="00904922">
        <w:rPr>
          <w:i/>
          <w:iCs/>
          <w:sz w:val="20"/>
          <w:szCs w:val="20"/>
        </w:rPr>
        <w:t>Preliminary Results of the Survey at Treblinka II (the extermination camp)</w:t>
      </w:r>
      <w:r w:rsidRPr="00904922">
        <w:rPr>
          <w:i/>
          <w:iCs/>
          <w:sz w:val="20"/>
          <w:szCs w:val="20"/>
        </w:rPr>
        <w:t xml:space="preserve">. </w:t>
      </w:r>
      <w:r w:rsidRPr="00904922">
        <w:rPr>
          <w:sz w:val="20"/>
          <w:szCs w:val="20"/>
        </w:rPr>
        <w:t xml:space="preserve">Available at: </w:t>
      </w:r>
      <w:hyperlink r:id="rId15" w:history="1">
        <w:r w:rsidRPr="00904922">
          <w:rPr>
            <w:rStyle w:val="Hyperlink"/>
            <w:sz w:val="20"/>
            <w:szCs w:val="20"/>
          </w:rPr>
          <w:t>http://blogs.staffs.ac.uk/archaeology/projects/holocaust-landscapes/genius-and-genocide/finding-treblinka/project-results/preliminary-results-of-the-survey-at-treblinka-ii-the-extermination-camp/</w:t>
        </w:r>
      </w:hyperlink>
      <w:r w:rsidRPr="00904922">
        <w:rPr>
          <w:sz w:val="20"/>
          <w:szCs w:val="20"/>
        </w:rPr>
        <w:t xml:space="preserve"> [Accessed 08 March 2020]</w:t>
      </w:r>
    </w:p>
    <w:p w14:paraId="18327A66" w14:textId="77777777" w:rsidR="00F12D82" w:rsidRDefault="00F12D82" w:rsidP="007C5D05">
      <w:pPr>
        <w:rPr>
          <w:sz w:val="20"/>
          <w:szCs w:val="20"/>
        </w:rPr>
      </w:pPr>
      <w:proofErr w:type="spellStart"/>
      <w:r>
        <w:rPr>
          <w:sz w:val="20"/>
          <w:szCs w:val="20"/>
        </w:rPr>
        <w:t>StarTribune</w:t>
      </w:r>
      <w:proofErr w:type="spellEnd"/>
      <w:r>
        <w:rPr>
          <w:sz w:val="20"/>
          <w:szCs w:val="20"/>
        </w:rPr>
        <w:t xml:space="preserve"> (2013) </w:t>
      </w:r>
      <w:r>
        <w:rPr>
          <w:i/>
          <w:iCs/>
          <w:sz w:val="20"/>
          <w:szCs w:val="20"/>
        </w:rPr>
        <w:t xml:space="preserve">Internal report calls MIA accounting work ‘acutely dysfunction,’ </w:t>
      </w:r>
      <w:r>
        <w:rPr>
          <w:sz w:val="20"/>
          <w:szCs w:val="20"/>
        </w:rPr>
        <w:t xml:space="preserve">could fail. Available at: </w:t>
      </w:r>
      <w:hyperlink r:id="rId16" w:history="1">
        <w:r w:rsidRPr="00E64BE9">
          <w:rPr>
            <w:rStyle w:val="Hyperlink"/>
            <w:sz w:val="20"/>
            <w:szCs w:val="20"/>
          </w:rPr>
          <w:t>http://www.startribune.com/pentagon-s-mia-work-called-acutely-dysfunctional/214517801/?refresh=true</w:t>
        </w:r>
      </w:hyperlink>
      <w:r>
        <w:rPr>
          <w:sz w:val="20"/>
          <w:szCs w:val="20"/>
        </w:rPr>
        <w:t xml:space="preserve"> [Accessed 08 March 2020]</w:t>
      </w:r>
    </w:p>
    <w:p w14:paraId="638E5905" w14:textId="77777777" w:rsidR="00F12D82" w:rsidRDefault="00F12D82" w:rsidP="007C5D05">
      <w:pPr>
        <w:rPr>
          <w:sz w:val="20"/>
          <w:szCs w:val="20"/>
        </w:rPr>
      </w:pPr>
      <w:r w:rsidRPr="00904922">
        <w:rPr>
          <w:sz w:val="20"/>
          <w:szCs w:val="20"/>
        </w:rPr>
        <w:t xml:space="preserve">Stiftung </w:t>
      </w:r>
      <w:proofErr w:type="spellStart"/>
      <w:r w:rsidRPr="00904922">
        <w:rPr>
          <w:sz w:val="20"/>
          <w:szCs w:val="20"/>
        </w:rPr>
        <w:t>Topographie</w:t>
      </w:r>
      <w:proofErr w:type="spellEnd"/>
      <w:r w:rsidRPr="00904922">
        <w:rPr>
          <w:sz w:val="20"/>
          <w:szCs w:val="20"/>
        </w:rPr>
        <w:t xml:space="preserve"> Des Terrors (2019) </w:t>
      </w:r>
      <w:r w:rsidRPr="00904922">
        <w:rPr>
          <w:i/>
          <w:iCs/>
          <w:sz w:val="20"/>
          <w:szCs w:val="20"/>
        </w:rPr>
        <w:t>THE HISTORIC SITE</w:t>
      </w:r>
      <w:r w:rsidRPr="00904922">
        <w:rPr>
          <w:i/>
          <w:iCs/>
          <w:sz w:val="20"/>
          <w:szCs w:val="20"/>
        </w:rPr>
        <w:t xml:space="preserve">. </w:t>
      </w:r>
      <w:r w:rsidRPr="00904922">
        <w:rPr>
          <w:sz w:val="20"/>
          <w:szCs w:val="20"/>
        </w:rPr>
        <w:t xml:space="preserve">Available at: </w:t>
      </w:r>
      <w:hyperlink r:id="rId17" w:history="1">
        <w:r w:rsidRPr="00904922">
          <w:rPr>
            <w:rStyle w:val="Hyperlink"/>
            <w:sz w:val="20"/>
            <w:szCs w:val="20"/>
          </w:rPr>
          <w:t>https://www.topographie.de/en/the-historic-site/</w:t>
        </w:r>
      </w:hyperlink>
      <w:r w:rsidRPr="00904922">
        <w:rPr>
          <w:sz w:val="20"/>
          <w:szCs w:val="20"/>
        </w:rPr>
        <w:t xml:space="preserve"> [Accessed 08 March 2020]</w:t>
      </w:r>
    </w:p>
    <w:p w14:paraId="66F9F6F8" w14:textId="77777777" w:rsidR="00F12D82" w:rsidRPr="00F12D82" w:rsidRDefault="00F12D82" w:rsidP="007C5D05">
      <w:pPr>
        <w:rPr>
          <w:sz w:val="20"/>
          <w:szCs w:val="20"/>
        </w:rPr>
      </w:pPr>
      <w:proofErr w:type="spellStart"/>
      <w:r>
        <w:rPr>
          <w:sz w:val="20"/>
          <w:szCs w:val="20"/>
        </w:rPr>
        <w:t>Tumarkin</w:t>
      </w:r>
      <w:proofErr w:type="spellEnd"/>
      <w:r>
        <w:rPr>
          <w:sz w:val="20"/>
          <w:szCs w:val="20"/>
        </w:rPr>
        <w:t xml:space="preserve">, M. (2005) </w:t>
      </w:r>
      <w:proofErr w:type="spellStart"/>
      <w:r>
        <w:rPr>
          <w:i/>
          <w:iCs/>
          <w:sz w:val="20"/>
          <w:szCs w:val="20"/>
        </w:rPr>
        <w:t>Traumascapes</w:t>
      </w:r>
      <w:proofErr w:type="spellEnd"/>
      <w:r>
        <w:rPr>
          <w:sz w:val="20"/>
          <w:szCs w:val="20"/>
        </w:rPr>
        <w:t>. 1</w:t>
      </w:r>
      <w:r w:rsidRPr="00F12D82">
        <w:rPr>
          <w:sz w:val="20"/>
          <w:szCs w:val="20"/>
          <w:vertAlign w:val="superscript"/>
        </w:rPr>
        <w:t>st</w:t>
      </w:r>
      <w:r>
        <w:rPr>
          <w:sz w:val="20"/>
          <w:szCs w:val="20"/>
        </w:rPr>
        <w:t xml:space="preserve"> ed. Victoria, Australia: Melbourne University Publishing Ltd</w:t>
      </w:r>
    </w:p>
    <w:sectPr w:rsidR="00F12D82" w:rsidRPr="00F12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EB2C8" w14:textId="77777777" w:rsidR="0088076B" w:rsidRDefault="0088076B" w:rsidP="00EF544F">
      <w:pPr>
        <w:spacing w:after="0" w:line="240" w:lineRule="auto"/>
      </w:pPr>
      <w:r>
        <w:separator/>
      </w:r>
    </w:p>
  </w:endnote>
  <w:endnote w:type="continuationSeparator" w:id="0">
    <w:p w14:paraId="078AC5A0" w14:textId="77777777" w:rsidR="0088076B" w:rsidRDefault="0088076B" w:rsidP="00EF5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293A7" w14:textId="77777777" w:rsidR="0088076B" w:rsidRDefault="0088076B" w:rsidP="00EF544F">
      <w:pPr>
        <w:spacing w:after="0" w:line="240" w:lineRule="auto"/>
      </w:pPr>
      <w:r>
        <w:separator/>
      </w:r>
    </w:p>
  </w:footnote>
  <w:footnote w:type="continuationSeparator" w:id="0">
    <w:p w14:paraId="111A81A1" w14:textId="77777777" w:rsidR="0088076B" w:rsidRDefault="0088076B" w:rsidP="00EF544F">
      <w:pPr>
        <w:spacing w:after="0" w:line="240" w:lineRule="auto"/>
      </w:pPr>
      <w:r>
        <w:continuationSeparator/>
      </w:r>
    </w:p>
  </w:footnote>
  <w:footnote w:id="1">
    <w:p w14:paraId="773E6DB8" w14:textId="64B987DF" w:rsidR="00EF544F" w:rsidRDefault="00EF544F">
      <w:pPr>
        <w:pStyle w:val="FootnoteText"/>
      </w:pPr>
      <w:r>
        <w:rPr>
          <w:rStyle w:val="FootnoteReference"/>
        </w:rPr>
        <w:footnoteRef/>
      </w:r>
      <w:r>
        <w:t xml:space="preserve"> </w:t>
      </w:r>
      <w:r w:rsidRPr="00EF544F">
        <w:t>https://www.dpaa.mil/About/Vision-Mission-Values/</w:t>
      </w:r>
    </w:p>
  </w:footnote>
  <w:footnote w:id="2">
    <w:p w14:paraId="2A0E55D9" w14:textId="0EEE316E" w:rsidR="0078258D" w:rsidRDefault="0078258D">
      <w:pPr>
        <w:pStyle w:val="FootnoteText"/>
      </w:pPr>
      <w:r>
        <w:rPr>
          <w:rStyle w:val="FootnoteReference"/>
        </w:rPr>
        <w:footnoteRef/>
      </w:r>
      <w:r>
        <w:t xml:space="preserve"> </w:t>
      </w:r>
      <w:proofErr w:type="spellStart"/>
      <w:r>
        <w:t>AirmanMagazineOnline</w:t>
      </w:r>
      <w:proofErr w:type="spellEnd"/>
      <w:r>
        <w:t>, 2016</w:t>
      </w:r>
    </w:p>
  </w:footnote>
  <w:footnote w:id="3">
    <w:p w14:paraId="53985121" w14:textId="214FCE50" w:rsidR="0078258D" w:rsidRPr="0078258D" w:rsidRDefault="0078258D">
      <w:pPr>
        <w:pStyle w:val="FootnoteText"/>
      </w:pPr>
      <w:r>
        <w:rPr>
          <w:rStyle w:val="FootnoteReference"/>
        </w:rPr>
        <w:footnoteRef/>
      </w:r>
      <w:r>
        <w:t xml:space="preserve"> </w:t>
      </w:r>
      <w:r>
        <w:rPr>
          <w:i/>
          <w:iCs/>
        </w:rPr>
        <w:t>A Solemn Promise</w:t>
      </w:r>
      <w:r>
        <w:t xml:space="preserve"> (2016), 0:46-1:10</w:t>
      </w:r>
    </w:p>
  </w:footnote>
  <w:footnote w:id="4">
    <w:p w14:paraId="42DE8F46" w14:textId="400EA78A" w:rsidR="0069141F" w:rsidRDefault="0069141F">
      <w:pPr>
        <w:pStyle w:val="FootnoteText"/>
      </w:pPr>
      <w:r>
        <w:rPr>
          <w:rStyle w:val="FootnoteReference"/>
        </w:rPr>
        <w:footnoteRef/>
      </w:r>
      <w:r>
        <w:t xml:space="preserve"> </w:t>
      </w:r>
      <w:r w:rsidRPr="0069141F">
        <w:t>https://www.dpaa.mil/About/Vision-Mission-Values/</w:t>
      </w:r>
    </w:p>
  </w:footnote>
  <w:footnote w:id="5">
    <w:p w14:paraId="6E927B15" w14:textId="3C9EABAC" w:rsidR="0069141F" w:rsidRPr="0069141F" w:rsidRDefault="0069141F">
      <w:pPr>
        <w:pStyle w:val="FootnoteText"/>
      </w:pPr>
      <w:r>
        <w:rPr>
          <w:rStyle w:val="FootnoteReference"/>
        </w:rPr>
        <w:footnoteRef/>
      </w:r>
      <w:r>
        <w:t xml:space="preserve"> </w:t>
      </w:r>
      <w:r>
        <w:rPr>
          <w:i/>
          <w:iCs/>
        </w:rPr>
        <w:t>A Solemn Promise</w:t>
      </w:r>
      <w:r>
        <w:t xml:space="preserve"> (2016), 2:10-21</w:t>
      </w:r>
    </w:p>
  </w:footnote>
  <w:footnote w:id="6">
    <w:p w14:paraId="7D2403FA" w14:textId="261B352E" w:rsidR="009F1E32" w:rsidRDefault="009F1E32">
      <w:pPr>
        <w:pStyle w:val="FootnoteText"/>
      </w:pPr>
      <w:r>
        <w:rPr>
          <w:rStyle w:val="FootnoteReference"/>
        </w:rPr>
        <w:footnoteRef/>
      </w:r>
      <w:r>
        <w:t xml:space="preserve"> </w:t>
      </w:r>
      <w:r w:rsidRPr="009F1E32">
        <w:t>https://dpaa.secure.force.com/dpaaFamWeb</w:t>
      </w:r>
    </w:p>
  </w:footnote>
  <w:footnote w:id="7">
    <w:p w14:paraId="1A7025CC" w14:textId="14C3DBF2" w:rsidR="002932F2" w:rsidRDefault="002932F2">
      <w:pPr>
        <w:pStyle w:val="FootnoteText"/>
      </w:pPr>
      <w:r>
        <w:rPr>
          <w:rStyle w:val="FootnoteReference"/>
        </w:rPr>
        <w:footnoteRef/>
      </w:r>
      <w:r>
        <w:t xml:space="preserve"> </w:t>
      </w:r>
      <w:r w:rsidR="001956D2">
        <w:rPr>
          <w:i/>
          <w:iCs/>
        </w:rPr>
        <w:t>Star Tribune</w:t>
      </w:r>
      <w:r>
        <w:t xml:space="preserve"> (2013)</w:t>
      </w:r>
    </w:p>
  </w:footnote>
  <w:footnote w:id="8">
    <w:p w14:paraId="0D907194" w14:textId="10C34103" w:rsidR="001956D2" w:rsidRPr="001956D2" w:rsidRDefault="001956D2">
      <w:pPr>
        <w:pStyle w:val="FootnoteText"/>
      </w:pPr>
      <w:r>
        <w:rPr>
          <w:rStyle w:val="FootnoteReference"/>
        </w:rPr>
        <w:footnoteRef/>
      </w:r>
      <w:r>
        <w:t xml:space="preserve"> </w:t>
      </w:r>
      <w:proofErr w:type="spellStart"/>
      <w:r>
        <w:rPr>
          <w:i/>
          <w:iCs/>
        </w:rPr>
        <w:t>NBCnews</w:t>
      </w:r>
      <w:proofErr w:type="spellEnd"/>
      <w:r>
        <w:t xml:space="preserve"> (2013)</w:t>
      </w:r>
    </w:p>
  </w:footnote>
  <w:footnote w:id="9">
    <w:p w14:paraId="59EF0E97" w14:textId="2D9118EB" w:rsidR="00C51445" w:rsidRPr="00C51445" w:rsidRDefault="00C51445">
      <w:pPr>
        <w:pStyle w:val="FootnoteText"/>
      </w:pPr>
      <w:r>
        <w:rPr>
          <w:rStyle w:val="FootnoteReference"/>
        </w:rPr>
        <w:footnoteRef/>
      </w:r>
      <w:r>
        <w:t xml:space="preserve"> </w:t>
      </w:r>
      <w:proofErr w:type="spellStart"/>
      <w:r>
        <w:rPr>
          <w:i/>
          <w:iCs/>
        </w:rPr>
        <w:t>NBCnews</w:t>
      </w:r>
      <w:proofErr w:type="spellEnd"/>
      <w:r>
        <w:t xml:space="preserve"> claims these were swiftly renamed to ‘</w:t>
      </w:r>
      <w:proofErr w:type="spellStart"/>
      <w:r>
        <w:t>honors</w:t>
      </w:r>
      <w:proofErr w:type="spellEnd"/>
      <w:r>
        <w:t xml:space="preserve"> ceremonies’ in light of their report, but the website showing such has long since become defunct.</w:t>
      </w:r>
    </w:p>
  </w:footnote>
  <w:footnote w:id="10">
    <w:p w14:paraId="0E8772CB" w14:textId="497C4A6B" w:rsidR="00C62889" w:rsidRPr="00C62889" w:rsidRDefault="00C62889">
      <w:pPr>
        <w:pStyle w:val="FootnoteText"/>
      </w:pPr>
      <w:r>
        <w:rPr>
          <w:rStyle w:val="FootnoteReference"/>
        </w:rPr>
        <w:footnoteRef/>
      </w:r>
      <w:r>
        <w:t xml:space="preserve"> US male, though I can find no evidence that UK males would be significantly different in size. </w:t>
      </w:r>
      <w:proofErr w:type="spellStart"/>
      <w:r>
        <w:t>Karpinos</w:t>
      </w:r>
      <w:proofErr w:type="spellEnd"/>
      <w:r>
        <w:t xml:space="preserve">, B.D. </w:t>
      </w:r>
      <w:r>
        <w:rPr>
          <w:i/>
          <w:iCs/>
        </w:rPr>
        <w:t>Weight-Height Standards Based on World War II Experience</w:t>
      </w:r>
      <w:r>
        <w:t>. 1958</w:t>
      </w:r>
    </w:p>
  </w:footnote>
  <w:footnote w:id="11">
    <w:p w14:paraId="2563ADC6" w14:textId="4A3CF0DC" w:rsidR="00745E86" w:rsidRDefault="00745E86">
      <w:pPr>
        <w:pStyle w:val="FootnoteText"/>
      </w:pPr>
      <w:r>
        <w:rPr>
          <w:rStyle w:val="FootnoteReference"/>
        </w:rPr>
        <w:footnoteRef/>
      </w:r>
      <w:r>
        <w:t xml:space="preserve"> </w:t>
      </w:r>
      <w:r w:rsidRPr="00745E86">
        <w:t xml:space="preserve">“ “remains”, in relation to, or part of, an aircraft or vessel which has crashed, sunk or been stranded, includes any cargo, munitions, apparel or personal effects which were on board the aircraft or vessel during its final flight or voyage (including, in the case of a vessel, any aircraft which were on board) and </w:t>
      </w:r>
      <w:r w:rsidRPr="00745E86">
        <w:rPr>
          <w:b/>
          <w:bCs/>
        </w:rPr>
        <w:t>any human remains associated with the aircraft or vessel</w:t>
      </w:r>
      <w:r w:rsidRPr="00745E86">
        <w:t xml:space="preserve">” </w:t>
      </w:r>
      <w:bookmarkStart w:id="0" w:name="_Hlk34562597"/>
      <w:r w:rsidRPr="00745E86">
        <w:t xml:space="preserve">Protection of Military Remains Act 1986 [online]. </w:t>
      </w:r>
      <w:r w:rsidRPr="00745E86">
        <w:rPr>
          <w:i/>
          <w:iCs/>
        </w:rPr>
        <w:t>Section 9</w:t>
      </w:r>
      <w:r w:rsidRPr="00745E86">
        <w:t>. (1986). Legislation.gov. Available from: http://www.legislation.gov.uk/ukpga/1986/35/section/9 [Accessed 07 March 2020]</w:t>
      </w:r>
    </w:p>
    <w:bookmarkEnd w:id="0"/>
  </w:footnote>
  <w:footnote w:id="12">
    <w:p w14:paraId="1030B0A4" w14:textId="4BA64CAF" w:rsidR="00745E86" w:rsidRPr="00745E86" w:rsidRDefault="00745E86">
      <w:pPr>
        <w:pStyle w:val="FootnoteText"/>
      </w:pPr>
      <w:r>
        <w:rPr>
          <w:rStyle w:val="FootnoteReference"/>
        </w:rPr>
        <w:footnoteRef/>
      </w:r>
      <w:r>
        <w:t xml:space="preserve"> </w:t>
      </w:r>
      <w:r w:rsidRPr="00745E86">
        <w:t xml:space="preserve">” </w:t>
      </w:r>
      <w:bookmarkStart w:id="1" w:name="_Hlk34562574"/>
      <w:r w:rsidRPr="00745E86">
        <w:t>Protection of Military Remains Act 1986 [online].</w:t>
      </w:r>
      <w:r>
        <w:t xml:space="preserve"> </w:t>
      </w:r>
      <w:r>
        <w:rPr>
          <w:i/>
          <w:iCs/>
        </w:rPr>
        <w:t>Section 2.</w:t>
      </w:r>
      <w:r>
        <w:t xml:space="preserve"> Legislation.gov. Available from </w:t>
      </w:r>
      <w:hyperlink r:id="rId1" w:history="1">
        <w:r w:rsidRPr="00506614">
          <w:rPr>
            <w:rStyle w:val="Hyperlink"/>
          </w:rPr>
          <w:t>http://www.legislation.gov.uk/ukpga/1986/35/section/2</w:t>
        </w:r>
      </w:hyperlink>
      <w:r>
        <w:t xml:space="preserve"> [Accessed 07 March 2020]</w:t>
      </w:r>
      <w:bookmarkEnd w:id="1"/>
    </w:p>
  </w:footnote>
  <w:footnote w:id="13">
    <w:p w14:paraId="0B316734" w14:textId="57C251A4" w:rsidR="00030594" w:rsidRPr="00030594" w:rsidRDefault="00030594">
      <w:pPr>
        <w:pStyle w:val="FootnoteText"/>
      </w:pPr>
      <w:r>
        <w:rPr>
          <w:rStyle w:val="FootnoteReference"/>
        </w:rPr>
        <w:footnoteRef/>
      </w:r>
      <w:r>
        <w:t xml:space="preserve"> Historic England (2014) </w:t>
      </w:r>
      <w:r>
        <w:rPr>
          <w:i/>
          <w:iCs/>
        </w:rPr>
        <w:t>The Cenotaph</w:t>
      </w:r>
      <w:r>
        <w:t xml:space="preserve">. Available from: </w:t>
      </w:r>
      <w:hyperlink r:id="rId2" w:history="1">
        <w:r w:rsidRPr="00506614">
          <w:rPr>
            <w:rStyle w:val="Hyperlink"/>
          </w:rPr>
          <w:t>https://historicengland.org.uk/listing/the-list/list-entry/1357354</w:t>
        </w:r>
      </w:hyperlink>
      <w:r>
        <w:t xml:space="preserve"> [Accessed 07 March 2020]</w:t>
      </w:r>
    </w:p>
  </w:footnote>
  <w:footnote w:id="14">
    <w:p w14:paraId="74734A40" w14:textId="08EA4FD7" w:rsidR="00B57B4D" w:rsidRPr="00B57B4D" w:rsidRDefault="00B57B4D">
      <w:pPr>
        <w:pStyle w:val="FootnoteText"/>
      </w:pPr>
      <w:r>
        <w:rPr>
          <w:rStyle w:val="FootnoteReference"/>
        </w:rPr>
        <w:footnoteRef/>
      </w:r>
      <w:r>
        <w:t xml:space="preserve"> BBC News (2015)</w:t>
      </w:r>
      <w:r w:rsidRPr="00B57B4D">
        <w:rPr>
          <w:i/>
          <w:iCs/>
        </w:rPr>
        <w:t xml:space="preserve"> Russia exhumes bones of murdered Tsar Nicholas and wife.</w:t>
      </w:r>
      <w:r>
        <w:rPr>
          <w:i/>
          <w:iCs/>
        </w:rPr>
        <w:t xml:space="preserve"> </w:t>
      </w:r>
      <w:r>
        <w:t xml:space="preserve">Available from: </w:t>
      </w:r>
      <w:hyperlink r:id="rId3" w:history="1">
        <w:r w:rsidRPr="00506614">
          <w:rPr>
            <w:rStyle w:val="Hyperlink"/>
          </w:rPr>
          <w:t>https://www.bbc.co.uk/news/world-europe-34338802</w:t>
        </w:r>
      </w:hyperlink>
      <w:r>
        <w:t xml:space="preserve"> [Accessed 07 March 2020]</w:t>
      </w:r>
    </w:p>
  </w:footnote>
  <w:footnote w:id="15">
    <w:p w14:paraId="231517D4" w14:textId="027E09F3" w:rsidR="007166AF" w:rsidRPr="007166AF" w:rsidRDefault="007166AF">
      <w:pPr>
        <w:pStyle w:val="FootnoteText"/>
      </w:pPr>
      <w:r>
        <w:rPr>
          <w:rStyle w:val="FootnoteReference"/>
        </w:rPr>
        <w:footnoteRef/>
      </w:r>
      <w:r>
        <w:t xml:space="preserve"> Moon, D. (2017) </w:t>
      </w:r>
      <w:r w:rsidRPr="007166AF">
        <w:rPr>
          <w:i/>
          <w:iCs/>
        </w:rPr>
        <w:t>The centenary of the abdication of Tsar Nicholas II of Russia</w:t>
      </w:r>
      <w:r>
        <w:rPr>
          <w:i/>
          <w:iCs/>
        </w:rPr>
        <w:t xml:space="preserve">. </w:t>
      </w:r>
      <w:r>
        <w:t xml:space="preserve">Available from: </w:t>
      </w:r>
      <w:hyperlink r:id="rId4" w:history="1">
        <w:r w:rsidRPr="00506614">
          <w:rPr>
            <w:rStyle w:val="Hyperlink"/>
          </w:rPr>
          <w:t>https://www.york.ac.uk/history/news/news/2017/tsar-nicholas-ii/</w:t>
        </w:r>
      </w:hyperlink>
      <w:r>
        <w:t xml:space="preserve"> [Accessed 07 March 2020]</w:t>
      </w:r>
    </w:p>
  </w:footnote>
  <w:footnote w:id="16">
    <w:p w14:paraId="1338F639" w14:textId="01B18242" w:rsidR="003F5B5A" w:rsidRDefault="003F5B5A">
      <w:pPr>
        <w:pStyle w:val="FootnoteText"/>
      </w:pPr>
      <w:r>
        <w:rPr>
          <w:rStyle w:val="FootnoteReference"/>
        </w:rPr>
        <w:footnoteRef/>
      </w:r>
      <w:r>
        <w:t xml:space="preserve"> </w:t>
      </w:r>
      <w:proofErr w:type="spellStart"/>
      <w:r>
        <w:t>Tumarkin</w:t>
      </w:r>
      <w:proofErr w:type="spellEnd"/>
      <w:r>
        <w:t>, M. 2005.</w:t>
      </w:r>
    </w:p>
  </w:footnote>
  <w:footnote w:id="17">
    <w:p w14:paraId="0A54A614" w14:textId="418AD69E" w:rsidR="00813EF2" w:rsidRDefault="00813EF2">
      <w:pPr>
        <w:pStyle w:val="FootnoteText"/>
      </w:pPr>
      <w:r>
        <w:rPr>
          <w:rStyle w:val="FootnoteReference"/>
        </w:rPr>
        <w:footnoteRef/>
      </w:r>
      <w:r>
        <w:t xml:space="preserve"> </w:t>
      </w:r>
      <w:r w:rsidRPr="00813EF2">
        <w:t>https://www.topographie.de/en/the-historic-site/</w:t>
      </w:r>
    </w:p>
  </w:footnote>
  <w:footnote w:id="18">
    <w:p w14:paraId="0285D755" w14:textId="0CFEF572" w:rsidR="002D1A3B" w:rsidRDefault="002D1A3B">
      <w:pPr>
        <w:pStyle w:val="FootnoteText"/>
      </w:pPr>
      <w:r>
        <w:rPr>
          <w:rStyle w:val="FootnoteReference"/>
        </w:rPr>
        <w:footnoteRef/>
      </w:r>
      <w:r>
        <w:t xml:space="preserve"> </w:t>
      </w:r>
      <w:r w:rsidRPr="002D1A3B">
        <w:t>https://archive.org/details/TheLeuchterReport/mode/2up</w:t>
      </w:r>
    </w:p>
  </w:footnote>
  <w:footnote w:id="19">
    <w:p w14:paraId="17CBFABC" w14:textId="3ACA117A" w:rsidR="002158C5" w:rsidRDefault="002158C5">
      <w:pPr>
        <w:pStyle w:val="FootnoteText"/>
      </w:pPr>
      <w:r>
        <w:rPr>
          <w:rStyle w:val="FootnoteReference"/>
        </w:rPr>
        <w:footnoteRef/>
      </w:r>
      <w:r>
        <w:t xml:space="preserve"> </w:t>
      </w:r>
      <w:proofErr w:type="spellStart"/>
      <w:r>
        <w:t>Leuchter</w:t>
      </w:r>
      <w:proofErr w:type="spellEnd"/>
      <w:r>
        <w:t>, 1988, pp. 69</w:t>
      </w:r>
    </w:p>
  </w:footnote>
  <w:footnote w:id="20">
    <w:p w14:paraId="117DB33F" w14:textId="28D20697" w:rsidR="002158C5" w:rsidRDefault="002158C5" w:rsidP="002158C5">
      <w:pPr>
        <w:pStyle w:val="FootnoteText"/>
      </w:pPr>
      <w:r>
        <w:rPr>
          <w:rStyle w:val="FootnoteReference"/>
        </w:rPr>
        <w:footnoteRef/>
      </w:r>
      <w:r>
        <w:t xml:space="preserve"> Via Holocaust Denial on Trial (Hdot.org): “</w:t>
      </w:r>
      <w:proofErr w:type="spellStart"/>
      <w:r>
        <w:t>Leuchter</w:t>
      </w:r>
      <w:proofErr w:type="spellEnd"/>
      <w:r>
        <w:t xml:space="preserve"> collected the samples in a covert, random, and undocumented manner. There is no way of knowing whether the mortar and bricks that </w:t>
      </w:r>
      <w:proofErr w:type="spellStart"/>
      <w:r>
        <w:t>Leuchter</w:t>
      </w:r>
      <w:proofErr w:type="spellEnd"/>
      <w:r>
        <w:t xml:space="preserve"> sampled had </w:t>
      </w:r>
      <w:proofErr w:type="gramStart"/>
      <w:r>
        <w:t>actually come</w:t>
      </w:r>
      <w:proofErr w:type="gramEnd"/>
      <w:r>
        <w:t xml:space="preserve"> from anywhere near the gas chamber rooms.</w:t>
      </w:r>
    </w:p>
    <w:p w14:paraId="641F0AC0" w14:textId="13B4A651" w:rsidR="002158C5" w:rsidRDefault="002158C5" w:rsidP="002158C5">
      <w:pPr>
        <w:pStyle w:val="FootnoteText"/>
      </w:pPr>
      <w:proofErr w:type="spellStart"/>
      <w:r>
        <w:t>Leuchter’s</w:t>
      </w:r>
      <w:proofErr w:type="spellEnd"/>
      <w:r>
        <w:t xml:space="preserve"> sampling methods can be seen in the Errol Morris’ film Mr. Death: The Rise and Fall of Fred </w:t>
      </w:r>
      <w:proofErr w:type="spellStart"/>
      <w:r>
        <w:t>Leuchter</w:t>
      </w:r>
      <w:proofErr w:type="spellEnd"/>
      <w:r>
        <w:t xml:space="preserve">, Jr. In this film, </w:t>
      </w:r>
      <w:proofErr w:type="spellStart"/>
      <w:r>
        <w:t>Leuchter</w:t>
      </w:r>
      <w:proofErr w:type="spellEnd"/>
      <w:r>
        <w:t xml:space="preserve"> can be seen digging big chunks of brick and concrete randomly out of the walls, floors, and ceiling. At one point he even collected chunks of brick and concrete from a puddle of melted snow on the floor of what he claims was a gas chamber. It was not a gas chamber but was actually from the cremation oven area.</w:t>
      </w:r>
      <w:r>
        <w:t>”</w:t>
      </w:r>
    </w:p>
  </w:footnote>
  <w:footnote w:id="21">
    <w:p w14:paraId="0E669D6F" w14:textId="7422F454" w:rsidR="00D866FD" w:rsidRDefault="00D866FD">
      <w:pPr>
        <w:pStyle w:val="FootnoteText"/>
      </w:pPr>
      <w:r>
        <w:rPr>
          <w:rStyle w:val="FootnoteReference"/>
        </w:rPr>
        <w:footnoteRef/>
      </w:r>
      <w:r>
        <w:t xml:space="preserve"> </w:t>
      </w:r>
      <w:proofErr w:type="spellStart"/>
      <w:r>
        <w:t>NBCnews</w:t>
      </w:r>
      <w:proofErr w:type="spellEnd"/>
      <w:r>
        <w:t>, 2014</w:t>
      </w:r>
    </w:p>
  </w:footnote>
  <w:footnote w:id="22">
    <w:p w14:paraId="29983671" w14:textId="2D7B1B14" w:rsidR="00D866FD" w:rsidRDefault="00D866FD">
      <w:pPr>
        <w:pStyle w:val="FootnoteText"/>
      </w:pPr>
      <w:r>
        <w:rPr>
          <w:rStyle w:val="FootnoteReference"/>
        </w:rPr>
        <w:footnoteRef/>
      </w:r>
      <w:r>
        <w:t xml:space="preserve"> </w:t>
      </w:r>
      <w:r w:rsidRPr="00D866FD">
        <w:t>http://blogs.staffs.ac.uk/archaeology/projects/holocaust-landscapes/genius-and-genocide/finding-treblinka/project-results/preliminary-results-of-the-survey-at-treblinka-ii-the-extermination-camp/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C5B"/>
    <w:rsid w:val="00030594"/>
    <w:rsid w:val="00055FD9"/>
    <w:rsid w:val="000C6F2B"/>
    <w:rsid w:val="000D214A"/>
    <w:rsid w:val="001711B8"/>
    <w:rsid w:val="001956D2"/>
    <w:rsid w:val="002158C5"/>
    <w:rsid w:val="002517D3"/>
    <w:rsid w:val="002932F2"/>
    <w:rsid w:val="002D1A3B"/>
    <w:rsid w:val="002D30BA"/>
    <w:rsid w:val="002F407B"/>
    <w:rsid w:val="00333DE9"/>
    <w:rsid w:val="003A2FBE"/>
    <w:rsid w:val="003D6C4C"/>
    <w:rsid w:val="003F5B5A"/>
    <w:rsid w:val="00423603"/>
    <w:rsid w:val="00441161"/>
    <w:rsid w:val="00446E45"/>
    <w:rsid w:val="00450035"/>
    <w:rsid w:val="00553098"/>
    <w:rsid w:val="00602259"/>
    <w:rsid w:val="0061386E"/>
    <w:rsid w:val="006365FE"/>
    <w:rsid w:val="0069141F"/>
    <w:rsid w:val="007166AF"/>
    <w:rsid w:val="00745E86"/>
    <w:rsid w:val="0078258D"/>
    <w:rsid w:val="007C5D05"/>
    <w:rsid w:val="00813EF2"/>
    <w:rsid w:val="0088076B"/>
    <w:rsid w:val="00887E76"/>
    <w:rsid w:val="00904922"/>
    <w:rsid w:val="00915272"/>
    <w:rsid w:val="009E7346"/>
    <w:rsid w:val="009F1E32"/>
    <w:rsid w:val="00B57B4D"/>
    <w:rsid w:val="00C51445"/>
    <w:rsid w:val="00C62889"/>
    <w:rsid w:val="00C7381A"/>
    <w:rsid w:val="00D866FD"/>
    <w:rsid w:val="00DD263C"/>
    <w:rsid w:val="00E26D9E"/>
    <w:rsid w:val="00EF3C5B"/>
    <w:rsid w:val="00EF544F"/>
    <w:rsid w:val="00F12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5FA05"/>
  <w15:chartTrackingRefBased/>
  <w15:docId w15:val="{99467D42-241B-4EAA-9E10-6FA23E9A4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F54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544F"/>
    <w:rPr>
      <w:sz w:val="20"/>
      <w:szCs w:val="20"/>
    </w:rPr>
  </w:style>
  <w:style w:type="character" w:styleId="FootnoteReference">
    <w:name w:val="footnote reference"/>
    <w:basedOn w:val="DefaultParagraphFont"/>
    <w:uiPriority w:val="99"/>
    <w:semiHidden/>
    <w:unhideWhenUsed/>
    <w:rsid w:val="00EF544F"/>
    <w:rPr>
      <w:vertAlign w:val="superscript"/>
    </w:rPr>
  </w:style>
  <w:style w:type="character" w:styleId="Hyperlink">
    <w:name w:val="Hyperlink"/>
    <w:basedOn w:val="DefaultParagraphFont"/>
    <w:uiPriority w:val="99"/>
    <w:unhideWhenUsed/>
    <w:rsid w:val="003A2FBE"/>
    <w:rPr>
      <w:color w:val="0563C1" w:themeColor="hyperlink"/>
      <w:u w:val="single"/>
    </w:rPr>
  </w:style>
  <w:style w:type="character" w:styleId="UnresolvedMention">
    <w:name w:val="Unresolved Mention"/>
    <w:basedOn w:val="DefaultParagraphFont"/>
    <w:uiPriority w:val="99"/>
    <w:semiHidden/>
    <w:unhideWhenUsed/>
    <w:rsid w:val="003A2F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057409">
      <w:bodyDiv w:val="1"/>
      <w:marLeft w:val="0"/>
      <w:marRight w:val="0"/>
      <w:marTop w:val="0"/>
      <w:marBottom w:val="0"/>
      <w:divBdr>
        <w:top w:val="none" w:sz="0" w:space="0" w:color="auto"/>
        <w:left w:val="none" w:sz="0" w:space="0" w:color="auto"/>
        <w:bottom w:val="none" w:sz="0" w:space="0" w:color="auto"/>
        <w:right w:val="none" w:sz="0" w:space="0" w:color="auto"/>
      </w:divBdr>
    </w:div>
    <w:div w:id="265239888">
      <w:bodyDiv w:val="1"/>
      <w:marLeft w:val="0"/>
      <w:marRight w:val="0"/>
      <w:marTop w:val="0"/>
      <w:marBottom w:val="0"/>
      <w:divBdr>
        <w:top w:val="none" w:sz="0" w:space="0" w:color="auto"/>
        <w:left w:val="none" w:sz="0" w:space="0" w:color="auto"/>
        <w:bottom w:val="none" w:sz="0" w:space="0" w:color="auto"/>
        <w:right w:val="none" w:sz="0" w:space="0" w:color="auto"/>
      </w:divBdr>
    </w:div>
    <w:div w:id="499078875">
      <w:bodyDiv w:val="1"/>
      <w:marLeft w:val="0"/>
      <w:marRight w:val="0"/>
      <w:marTop w:val="0"/>
      <w:marBottom w:val="0"/>
      <w:divBdr>
        <w:top w:val="none" w:sz="0" w:space="0" w:color="auto"/>
        <w:left w:val="none" w:sz="0" w:space="0" w:color="auto"/>
        <w:bottom w:val="none" w:sz="0" w:space="0" w:color="auto"/>
        <w:right w:val="none" w:sz="0" w:space="0" w:color="auto"/>
      </w:divBdr>
    </w:div>
    <w:div w:id="507672946">
      <w:bodyDiv w:val="1"/>
      <w:marLeft w:val="0"/>
      <w:marRight w:val="0"/>
      <w:marTop w:val="0"/>
      <w:marBottom w:val="0"/>
      <w:divBdr>
        <w:top w:val="none" w:sz="0" w:space="0" w:color="auto"/>
        <w:left w:val="none" w:sz="0" w:space="0" w:color="auto"/>
        <w:bottom w:val="none" w:sz="0" w:space="0" w:color="auto"/>
        <w:right w:val="none" w:sz="0" w:space="0" w:color="auto"/>
      </w:divBdr>
    </w:div>
    <w:div w:id="698556420">
      <w:bodyDiv w:val="1"/>
      <w:marLeft w:val="0"/>
      <w:marRight w:val="0"/>
      <w:marTop w:val="0"/>
      <w:marBottom w:val="0"/>
      <w:divBdr>
        <w:top w:val="none" w:sz="0" w:space="0" w:color="auto"/>
        <w:left w:val="none" w:sz="0" w:space="0" w:color="auto"/>
        <w:bottom w:val="none" w:sz="0" w:space="0" w:color="auto"/>
        <w:right w:val="none" w:sz="0" w:space="0" w:color="auto"/>
      </w:divBdr>
    </w:div>
    <w:div w:id="756831393">
      <w:bodyDiv w:val="1"/>
      <w:marLeft w:val="0"/>
      <w:marRight w:val="0"/>
      <w:marTop w:val="0"/>
      <w:marBottom w:val="0"/>
      <w:divBdr>
        <w:top w:val="none" w:sz="0" w:space="0" w:color="auto"/>
        <w:left w:val="none" w:sz="0" w:space="0" w:color="auto"/>
        <w:bottom w:val="none" w:sz="0" w:space="0" w:color="auto"/>
        <w:right w:val="none" w:sz="0" w:space="0" w:color="auto"/>
      </w:divBdr>
    </w:div>
    <w:div w:id="1118182209">
      <w:bodyDiv w:val="1"/>
      <w:marLeft w:val="0"/>
      <w:marRight w:val="0"/>
      <w:marTop w:val="0"/>
      <w:marBottom w:val="0"/>
      <w:divBdr>
        <w:top w:val="none" w:sz="0" w:space="0" w:color="auto"/>
        <w:left w:val="none" w:sz="0" w:space="0" w:color="auto"/>
        <w:bottom w:val="none" w:sz="0" w:space="0" w:color="auto"/>
        <w:right w:val="none" w:sz="0" w:space="0" w:color="auto"/>
      </w:divBdr>
    </w:div>
    <w:div w:id="1910919415">
      <w:bodyDiv w:val="1"/>
      <w:marLeft w:val="0"/>
      <w:marRight w:val="0"/>
      <w:marTop w:val="0"/>
      <w:marBottom w:val="0"/>
      <w:divBdr>
        <w:top w:val="none" w:sz="0" w:space="0" w:color="auto"/>
        <w:left w:val="none" w:sz="0" w:space="0" w:color="auto"/>
        <w:bottom w:val="none" w:sz="0" w:space="0" w:color="auto"/>
        <w:right w:val="none" w:sz="0" w:space="0" w:color="auto"/>
      </w:divBdr>
    </w:div>
    <w:div w:id="195909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P6HissNq50" TargetMode="External"/><Relationship Id="rId13" Type="http://schemas.openxmlformats.org/officeDocument/2006/relationships/hyperlink" Target="https://www.nbcnews.com/science/science-news/archaeologists-delicately-dig-nazi-death-camp-secrets-treblinka-n6624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investigations.nbcnews.com/_news/2013/10/10/20889368-pentagon-unit-held-phony-ceremonies-for-mias-using-planes-that-cant-fly" TargetMode="External"/><Relationship Id="rId17" Type="http://schemas.openxmlformats.org/officeDocument/2006/relationships/hyperlink" Target="https://www.topographie.de/en/the-historic-site/" TargetMode="External"/><Relationship Id="rId2" Type="http://schemas.openxmlformats.org/officeDocument/2006/relationships/numbering" Target="numbering.xml"/><Relationship Id="rId16" Type="http://schemas.openxmlformats.org/officeDocument/2006/relationships/hyperlink" Target="http://www.startribune.com/pentagon-s-mia-work-called-acutely-dysfunctional/214517801/?refresh=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org/details/TheLeuchterReport/page/n81/mode/2up" TargetMode="External"/><Relationship Id="rId5" Type="http://schemas.openxmlformats.org/officeDocument/2006/relationships/webSettings" Target="webSettings.xml"/><Relationship Id="rId15" Type="http://schemas.openxmlformats.org/officeDocument/2006/relationships/hyperlink" Target="http://blogs.staffs.ac.uk/archaeology/projects/holocaust-landscapes/genius-and-genocide/finding-treblinka/project-results/preliminary-results-of-the-survey-at-treblinka-ii-the-extermination-camp/" TargetMode="External"/><Relationship Id="rId10" Type="http://schemas.openxmlformats.org/officeDocument/2006/relationships/hyperlink" Target="https://www.hdot.org/debunking-denial/ab12-leuchter-repor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paa.mil/About/Vision-Mission-Values/" TargetMode="External"/><Relationship Id="rId14" Type="http://schemas.openxmlformats.org/officeDocument/2006/relationships/hyperlink" Target="http://www.legislation.gov.uk/ukpga/1986/35/section/2"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bc.co.uk/news/world-europe-34338802" TargetMode="External"/><Relationship Id="rId2" Type="http://schemas.openxmlformats.org/officeDocument/2006/relationships/hyperlink" Target="https://historicengland.org.uk/listing/the-list/list-entry/1357354" TargetMode="External"/><Relationship Id="rId1" Type="http://schemas.openxmlformats.org/officeDocument/2006/relationships/hyperlink" Target="http://www.legislation.gov.uk/ukpga/1986/35/section/2" TargetMode="External"/><Relationship Id="rId4" Type="http://schemas.openxmlformats.org/officeDocument/2006/relationships/hyperlink" Target="https://www.york.ac.uk/history/news/news/2017/tsar-nicholas-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839EB-27D7-4C62-A1E3-ABA03FD8F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1372</TotalTime>
  <Pages>5</Pages>
  <Words>2867</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Manton (1801747)</dc:creator>
  <cp:keywords/>
  <dc:description/>
  <cp:lastModifiedBy>Paul Manton (1801747)</cp:lastModifiedBy>
  <cp:revision>3</cp:revision>
  <dcterms:created xsi:type="dcterms:W3CDTF">2020-03-06T13:47:00Z</dcterms:created>
  <dcterms:modified xsi:type="dcterms:W3CDTF">2020-03-08T12:33:00Z</dcterms:modified>
</cp:coreProperties>
</file>