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03007" w14:textId="015BAE38" w:rsidR="0066636A" w:rsidRPr="0066636A" w:rsidRDefault="0066636A" w:rsidP="009044D8">
      <w:pPr>
        <w:spacing w:before="100" w:beforeAutospacing="1" w:after="100" w:afterAutospacing="1" w:line="360" w:lineRule="auto"/>
        <w:rPr>
          <w:rFonts w:ascii="Arial" w:eastAsia="Times New Roman" w:hAnsi="Arial" w:cs="Arial"/>
          <w:color w:val="000000" w:themeColor="text1"/>
          <w:sz w:val="24"/>
          <w:szCs w:val="24"/>
          <w:lang w:val="en-GB" w:eastAsia="en-GB"/>
        </w:rPr>
      </w:pPr>
      <w:r w:rsidRPr="0066636A">
        <w:rPr>
          <w:rFonts w:ascii="Arial" w:eastAsia="Times New Roman" w:hAnsi="Arial" w:cs="Arial"/>
          <w:b/>
          <w:bCs/>
          <w:color w:val="000000" w:themeColor="text1"/>
          <w:sz w:val="24"/>
          <w:szCs w:val="24"/>
          <w:lang w:val="en-GB" w:eastAsia="en-GB"/>
        </w:rPr>
        <w:t>HR Report</w:t>
      </w:r>
      <w:r w:rsidR="00D9738F" w:rsidRPr="00D9738F">
        <w:rPr>
          <w:rStyle w:val="Header"/>
          <w:rFonts w:ascii="Aptos" w:hAnsi="Aptos"/>
          <w:b/>
          <w:bCs/>
          <w:color w:val="000000" w:themeColor="text1"/>
          <w:sz w:val="24"/>
          <w:szCs w:val="24"/>
          <w:shd w:val="clear" w:color="auto" w:fill="FFFFFF"/>
        </w:rPr>
        <w:t xml:space="preserve"> </w:t>
      </w:r>
      <w:proofErr w:type="spellStart"/>
      <w:r w:rsidR="00D9738F" w:rsidRPr="00D9738F">
        <w:rPr>
          <w:rStyle w:val="normaltextrun"/>
          <w:rFonts w:ascii="Aptos" w:hAnsi="Aptos"/>
          <w:b/>
          <w:bCs/>
          <w:color w:val="000000" w:themeColor="text1"/>
          <w:sz w:val="24"/>
          <w:szCs w:val="24"/>
          <w:shd w:val="clear" w:color="auto" w:fill="FFFFFF"/>
        </w:rPr>
        <w:t>Gymshark</w:t>
      </w:r>
      <w:proofErr w:type="spellEnd"/>
      <w:r w:rsidR="00D9738F" w:rsidRPr="00D9738F">
        <w:rPr>
          <w:rStyle w:val="normaltextrun"/>
          <w:rFonts w:ascii="Aptos" w:hAnsi="Aptos"/>
          <w:b/>
          <w:bCs/>
          <w:color w:val="000000" w:themeColor="text1"/>
          <w:sz w:val="24"/>
          <w:szCs w:val="24"/>
          <w:shd w:val="clear" w:color="auto" w:fill="FFFFFF"/>
        </w:rPr>
        <w:t xml:space="preserve"> Factors Influencing Business Transformation, Digital Technology, and Flexible Working</w:t>
      </w:r>
      <w:r w:rsidR="00D9738F" w:rsidRPr="00D9738F">
        <w:rPr>
          <w:rStyle w:val="eop"/>
          <w:rFonts w:ascii="Aptos" w:hAnsi="Aptos"/>
          <w:color w:val="000000" w:themeColor="text1"/>
          <w:sz w:val="24"/>
          <w:szCs w:val="24"/>
          <w:shd w:val="clear" w:color="auto" w:fill="FFFFFF"/>
        </w:rPr>
        <w:t> </w:t>
      </w:r>
    </w:p>
    <w:p w14:paraId="7A9F8090" w14:textId="4645773F" w:rsidR="0066636A" w:rsidRPr="0066636A" w:rsidRDefault="0066636A" w:rsidP="009044D8">
      <w:pPr>
        <w:spacing w:before="100" w:beforeAutospacing="1" w:after="100" w:afterAutospacing="1" w:line="360" w:lineRule="auto"/>
        <w:rPr>
          <w:rFonts w:ascii="Arial" w:eastAsia="Times New Roman" w:hAnsi="Arial" w:cs="Arial"/>
          <w:b/>
          <w:bCs/>
          <w:lang w:val="en-GB" w:eastAsia="en-GB"/>
        </w:rPr>
      </w:pPr>
      <w:r w:rsidRPr="0066636A">
        <w:rPr>
          <w:rFonts w:ascii="Arial" w:eastAsia="Times New Roman" w:hAnsi="Arial" w:cs="Arial"/>
          <w:b/>
          <w:bCs/>
          <w:lang w:val="en-GB" w:eastAsia="en-GB"/>
        </w:rPr>
        <w:t>Name: Mohammad Dean Yousif</w:t>
      </w:r>
      <w:r w:rsidRPr="0066636A">
        <w:rPr>
          <w:rFonts w:ascii="Arial" w:eastAsia="Times New Roman" w:hAnsi="Arial" w:cs="Arial"/>
          <w:b/>
          <w:bCs/>
          <w:lang w:val="en-GB" w:eastAsia="en-GB"/>
        </w:rPr>
        <w:br/>
        <w:t>Student Number 2406665</w:t>
      </w:r>
      <w:r w:rsidRPr="0066636A">
        <w:rPr>
          <w:rFonts w:ascii="Arial" w:eastAsia="Times New Roman" w:hAnsi="Arial" w:cs="Arial"/>
          <w:b/>
          <w:bCs/>
          <w:lang w:val="en-GB" w:eastAsia="en-GB"/>
        </w:rPr>
        <w:br/>
        <w:t>Module Code and Title LCLM5002</w:t>
      </w:r>
      <w:r w:rsidR="00BB7E22" w:rsidRPr="00EE67FF">
        <w:rPr>
          <w:rFonts w:ascii="Arial" w:eastAsia="Times New Roman" w:hAnsi="Arial" w:cs="Arial"/>
          <w:b/>
          <w:bCs/>
          <w:lang w:val="en-GB" w:eastAsia="en-GB"/>
        </w:rPr>
        <w:t>-</w:t>
      </w:r>
      <w:r w:rsidRPr="0066636A">
        <w:rPr>
          <w:rFonts w:ascii="Arial" w:eastAsia="Times New Roman" w:hAnsi="Arial" w:cs="Arial"/>
          <w:b/>
          <w:bCs/>
          <w:lang w:val="en-GB" w:eastAsia="en-GB"/>
        </w:rPr>
        <w:t xml:space="preserve"> Developing and Managing Individuals and Teams</w:t>
      </w:r>
      <w:r w:rsidRPr="0066636A">
        <w:rPr>
          <w:rFonts w:ascii="Arial" w:eastAsia="Times New Roman" w:hAnsi="Arial" w:cs="Arial"/>
          <w:b/>
          <w:bCs/>
          <w:lang w:val="en-GB" w:eastAsia="en-GB"/>
        </w:rPr>
        <w:br/>
        <w:t>Lecturer’s Name</w:t>
      </w:r>
      <w:r w:rsidRPr="00EE67FF">
        <w:rPr>
          <w:rFonts w:ascii="Arial" w:eastAsia="Times New Roman" w:hAnsi="Arial" w:cs="Arial"/>
          <w:b/>
          <w:bCs/>
          <w:lang w:val="en-GB" w:eastAsia="en-GB"/>
        </w:rPr>
        <w:t xml:space="preserve"> </w:t>
      </w:r>
      <w:r w:rsidRPr="0066636A">
        <w:rPr>
          <w:rFonts w:ascii="Arial" w:eastAsia="Times New Roman" w:hAnsi="Arial" w:cs="Arial"/>
          <w:b/>
          <w:bCs/>
          <w:lang w:val="en-GB" w:eastAsia="en-GB"/>
        </w:rPr>
        <w:t>Doreen Nyaa Amundam</w:t>
      </w:r>
      <w:r w:rsidRPr="0066636A">
        <w:rPr>
          <w:rFonts w:ascii="Arial" w:eastAsia="Times New Roman" w:hAnsi="Arial" w:cs="Arial"/>
          <w:b/>
          <w:bCs/>
          <w:lang w:val="en-GB" w:eastAsia="en-GB"/>
        </w:rPr>
        <w:br/>
        <w:t>Assignment Title Formal HR Report</w:t>
      </w:r>
    </w:p>
    <w:p w14:paraId="21B45A15" w14:textId="2205967A" w:rsidR="0066636A" w:rsidRPr="0066636A" w:rsidRDefault="0066636A" w:rsidP="009044D8">
      <w:pPr>
        <w:spacing w:before="100" w:beforeAutospacing="1" w:after="100" w:afterAutospacing="1" w:line="360" w:lineRule="auto"/>
        <w:rPr>
          <w:rFonts w:ascii="Arial" w:eastAsia="Times New Roman" w:hAnsi="Arial" w:cs="Arial"/>
          <w:lang w:val="en-GB" w:eastAsia="en-GB"/>
        </w:rPr>
      </w:pPr>
    </w:p>
    <w:p w14:paraId="1EF09153" w14:textId="1EA58AB2" w:rsidR="0066636A" w:rsidRPr="0066636A" w:rsidRDefault="0066636A" w:rsidP="009044D8">
      <w:pPr>
        <w:spacing w:before="100" w:beforeAutospacing="1" w:after="100" w:afterAutospacing="1" w:line="360" w:lineRule="auto"/>
        <w:rPr>
          <w:rFonts w:ascii="Arial" w:eastAsia="Times New Roman" w:hAnsi="Arial" w:cs="Arial"/>
          <w:lang w:val="en-GB" w:eastAsia="en-GB"/>
        </w:rPr>
      </w:pPr>
      <w:r w:rsidRPr="0066636A">
        <w:rPr>
          <w:rFonts w:ascii="Arial" w:eastAsia="Times New Roman" w:hAnsi="Arial" w:cs="Arial"/>
          <w:lang w:val="en-GB" w:eastAsia="en-GB"/>
        </w:rPr>
        <w:t>The purpose of this report is to respond to a request from the General Manager regarding business transformation within the organisation. The report will focus on two broad factors digital technological trends and flexible working arrangements.</w:t>
      </w:r>
    </w:p>
    <w:p w14:paraId="0E03F1C0" w14:textId="4B6A870F" w:rsidR="0066636A" w:rsidRPr="0066636A" w:rsidRDefault="0066636A" w:rsidP="009044D8">
      <w:pPr>
        <w:spacing w:before="100" w:beforeAutospacing="1" w:after="100" w:afterAutospacing="1" w:line="360" w:lineRule="auto"/>
        <w:rPr>
          <w:rFonts w:ascii="Arial" w:eastAsia="Times New Roman" w:hAnsi="Arial" w:cs="Arial"/>
          <w:lang w:val="en-GB" w:eastAsia="en-GB"/>
        </w:rPr>
      </w:pPr>
      <w:r w:rsidRPr="0066636A">
        <w:rPr>
          <w:rFonts w:ascii="Arial" w:eastAsia="Times New Roman" w:hAnsi="Arial" w:cs="Arial"/>
          <w:lang w:val="en-GB" w:eastAsia="en-GB"/>
        </w:rPr>
        <w:t>Specifically, the report will</w:t>
      </w:r>
    </w:p>
    <w:p w14:paraId="485E08FF" w14:textId="77777777" w:rsidR="0066636A" w:rsidRPr="0066636A" w:rsidRDefault="0066636A" w:rsidP="009044D8">
      <w:pPr>
        <w:spacing w:before="100" w:beforeAutospacing="1" w:after="100" w:afterAutospacing="1" w:line="360" w:lineRule="auto"/>
        <w:rPr>
          <w:rFonts w:ascii="Arial" w:eastAsia="Times New Roman" w:hAnsi="Arial" w:cs="Arial"/>
          <w:lang w:val="en-GB" w:eastAsia="en-GB"/>
        </w:rPr>
      </w:pPr>
      <w:r w:rsidRPr="0066636A">
        <w:rPr>
          <w:rFonts w:ascii="Arial" w:eastAsia="Times New Roman" w:hAnsi="Arial" w:cs="Arial"/>
          <w:lang w:val="en-GB" w:eastAsia="en-GB"/>
        </w:rPr>
        <w:t>Explain the specific factors related to business transformation, including how digital technology trends and flexible working arrangements impact the organisation.</w:t>
      </w:r>
    </w:p>
    <w:p w14:paraId="5A8C0BF5" w14:textId="77777777" w:rsidR="0066636A" w:rsidRPr="0066636A" w:rsidRDefault="0066636A" w:rsidP="009044D8">
      <w:pPr>
        <w:spacing w:before="100" w:beforeAutospacing="1" w:after="100" w:afterAutospacing="1" w:line="360" w:lineRule="auto"/>
        <w:rPr>
          <w:rFonts w:ascii="Arial" w:eastAsia="Times New Roman" w:hAnsi="Arial" w:cs="Arial"/>
          <w:lang w:val="en-GB" w:eastAsia="en-GB"/>
        </w:rPr>
      </w:pPr>
      <w:r w:rsidRPr="0066636A">
        <w:rPr>
          <w:rFonts w:ascii="Arial" w:eastAsia="Times New Roman" w:hAnsi="Arial" w:cs="Arial"/>
          <w:lang w:val="en-GB" w:eastAsia="en-GB"/>
        </w:rPr>
        <w:t>Evaluate various contemporary HR practices that support these transformations.</w:t>
      </w:r>
    </w:p>
    <w:p w14:paraId="49B3905E" w14:textId="77777777" w:rsidR="0066636A" w:rsidRPr="0066636A" w:rsidRDefault="0066636A" w:rsidP="009044D8">
      <w:pPr>
        <w:spacing w:before="100" w:beforeAutospacing="1" w:after="100" w:afterAutospacing="1" w:line="360" w:lineRule="auto"/>
        <w:rPr>
          <w:rFonts w:ascii="Arial" w:eastAsia="Times New Roman" w:hAnsi="Arial" w:cs="Arial"/>
          <w:lang w:val="en-GB" w:eastAsia="en-GB"/>
        </w:rPr>
      </w:pPr>
      <w:r w:rsidRPr="0066636A">
        <w:rPr>
          <w:rFonts w:ascii="Arial" w:eastAsia="Times New Roman" w:hAnsi="Arial" w:cs="Arial"/>
          <w:lang w:val="en-GB" w:eastAsia="en-GB"/>
        </w:rPr>
        <w:t>Critically assess how departmental managers can ensure these HR practices are implemented promptly and effectively.</w:t>
      </w:r>
    </w:p>
    <w:p w14:paraId="08B6423D" w14:textId="77777777" w:rsidR="0066636A" w:rsidRPr="0066636A" w:rsidRDefault="0066636A" w:rsidP="009044D8">
      <w:pPr>
        <w:spacing w:before="100" w:beforeAutospacing="1" w:after="100" w:afterAutospacing="1" w:line="360" w:lineRule="auto"/>
        <w:rPr>
          <w:rFonts w:ascii="Arial" w:eastAsia="Times New Roman" w:hAnsi="Arial" w:cs="Arial"/>
          <w:lang w:val="en-GB" w:eastAsia="en-GB"/>
        </w:rPr>
      </w:pPr>
      <w:r w:rsidRPr="0066636A">
        <w:rPr>
          <w:rFonts w:ascii="Arial" w:eastAsia="Times New Roman" w:hAnsi="Arial" w:cs="Arial"/>
          <w:lang w:val="en-GB" w:eastAsia="en-GB"/>
        </w:rPr>
        <w:t>The report will be structured to include a clear introduction, main body, conclusion, and recommendations, providing a formal and comprehensive analysis of the topic.</w:t>
      </w:r>
    </w:p>
    <w:p w14:paraId="0FF3378C" w14:textId="4AB7C048" w:rsidR="0066636A" w:rsidRPr="0066636A" w:rsidRDefault="0066636A" w:rsidP="009044D8">
      <w:pPr>
        <w:spacing w:before="100" w:beforeAutospacing="1" w:after="100" w:afterAutospacing="1" w:line="360" w:lineRule="auto"/>
        <w:contextualSpacing/>
        <w:rPr>
          <w:rFonts w:ascii="Arial" w:eastAsia="Arial" w:hAnsi="Arial" w:cs="Arial"/>
          <w:lang w:val="en-GB" w:eastAsia="en-GB"/>
        </w:rPr>
      </w:pPr>
      <w:r w:rsidRPr="0066636A">
        <w:rPr>
          <w:rFonts w:ascii="Arial" w:eastAsia="Arial" w:hAnsi="Arial" w:cs="Arial"/>
          <w:lang w:val="en-GB" w:eastAsia="en-GB"/>
        </w:rPr>
        <w:t xml:space="preserve">An explanation of the specific factors related to business transformation, digital technology trends and flexible working arrangements within the organisation </w:t>
      </w:r>
    </w:p>
    <w:p w14:paraId="31E1D587" w14:textId="7929BEDD" w:rsidR="0066636A" w:rsidRPr="0066636A" w:rsidRDefault="0066636A" w:rsidP="009044D8">
      <w:pPr>
        <w:spacing w:before="100" w:beforeAutospacing="1" w:after="100" w:afterAutospacing="1" w:line="360" w:lineRule="auto"/>
        <w:rPr>
          <w:rFonts w:ascii="Arial" w:eastAsia="Arial" w:hAnsi="Arial" w:cs="Arial"/>
          <w:lang w:val="en-GB" w:eastAsia="en-GB"/>
        </w:rPr>
      </w:pPr>
      <w:r w:rsidRPr="0066636A">
        <w:rPr>
          <w:rFonts w:ascii="Arial" w:eastAsia="Arial" w:hAnsi="Arial" w:cs="Arial"/>
          <w:lang w:val="en-GB" w:eastAsia="en-GB"/>
        </w:rPr>
        <w:t xml:space="preserve">An evaluation of different contemporary HR </w:t>
      </w:r>
      <w:r w:rsidR="00BB7E22" w:rsidRPr="0066636A">
        <w:rPr>
          <w:rFonts w:ascii="Arial" w:eastAsia="Arial" w:hAnsi="Arial" w:cs="Arial"/>
          <w:lang w:val="en-GB" w:eastAsia="en-GB"/>
        </w:rPr>
        <w:t>practice</w:t>
      </w:r>
      <w:r w:rsidR="00BB7E22">
        <w:rPr>
          <w:rFonts w:ascii="Arial" w:eastAsia="Arial" w:hAnsi="Arial" w:cs="Arial"/>
          <w:lang w:val="en-GB" w:eastAsia="en-GB"/>
        </w:rPr>
        <w:t>s.</w:t>
      </w:r>
      <w:r w:rsidR="00BB7E22" w:rsidRPr="0066636A">
        <w:rPr>
          <w:rFonts w:ascii="Arial" w:eastAsia="Arial" w:hAnsi="Arial" w:cs="Arial"/>
          <w:lang w:val="en-GB" w:eastAsia="en-GB"/>
        </w:rPr>
        <w:t xml:space="preserve"> A</w:t>
      </w:r>
      <w:r w:rsidRPr="0066636A">
        <w:rPr>
          <w:rFonts w:ascii="Arial" w:eastAsia="Arial" w:hAnsi="Arial" w:cs="Arial"/>
          <w:lang w:val="en-GB" w:eastAsia="en-GB"/>
        </w:rPr>
        <w:t xml:space="preserve"> critical evaluation of how departmental managers can ensure these contemporary practices are being implemented as a matter of </w:t>
      </w:r>
      <w:r w:rsidR="00D9738F" w:rsidRPr="0066636A">
        <w:rPr>
          <w:rFonts w:ascii="Arial" w:eastAsia="Arial" w:hAnsi="Arial" w:cs="Arial"/>
          <w:lang w:val="en-GB" w:eastAsia="en-GB"/>
        </w:rPr>
        <w:t xml:space="preserve">urgency </w:t>
      </w:r>
      <w:r w:rsidR="00D9738F" w:rsidRPr="0066636A">
        <w:rPr>
          <w:rFonts w:ascii="Arial" w:eastAsia="Arial" w:hAnsi="Arial" w:cs="Arial"/>
          <w:lang w:val="en-GB"/>
        </w:rPr>
        <w:t>introduction</w:t>
      </w:r>
      <w:r w:rsidRPr="0066636A">
        <w:rPr>
          <w:rFonts w:ascii="Arial" w:eastAsia="Arial" w:hAnsi="Arial" w:cs="Arial"/>
          <w:lang w:val="en-GB"/>
        </w:rPr>
        <w:t>, conclusion and recommendations</w:t>
      </w:r>
    </w:p>
    <w:p w14:paraId="778B3612" w14:textId="77777777" w:rsidR="00A46C79" w:rsidRDefault="00000000" w:rsidP="009044D8">
      <w:pPr>
        <w:spacing w:line="360" w:lineRule="auto"/>
      </w:pPr>
      <w:r>
        <w:br w:type="page"/>
      </w:r>
    </w:p>
    <w:p w14:paraId="32A65085" w14:textId="77777777" w:rsidR="00A46C79" w:rsidRPr="00A94B18" w:rsidRDefault="00000000" w:rsidP="009044D8">
      <w:pPr>
        <w:pStyle w:val="Heading1"/>
        <w:spacing w:line="360" w:lineRule="auto"/>
        <w:rPr>
          <w:color w:val="000000" w:themeColor="text1"/>
        </w:rPr>
      </w:pPr>
      <w:r w:rsidRPr="00A94B18">
        <w:rPr>
          <w:color w:val="000000" w:themeColor="text1"/>
        </w:rPr>
        <w:lastRenderedPageBreak/>
        <w:t>Table of Contents</w:t>
      </w:r>
    </w:p>
    <w:p w14:paraId="316BBB16" w14:textId="0B15FF12" w:rsidR="00A46C79" w:rsidRDefault="00000000" w:rsidP="009044D8">
      <w:pPr>
        <w:spacing w:line="360" w:lineRule="auto"/>
      </w:pPr>
      <w:r>
        <w:t>1. Introduction</w:t>
      </w:r>
    </w:p>
    <w:p w14:paraId="0CF4FA63" w14:textId="65E70232" w:rsidR="00A46C79" w:rsidRDefault="00000000" w:rsidP="009044D8">
      <w:pPr>
        <w:spacing w:line="360" w:lineRule="auto"/>
      </w:pPr>
      <w:r>
        <w:t>2. Explanation of Business Transformation, Digital Technology Trends, and Flexible Working</w:t>
      </w:r>
    </w:p>
    <w:p w14:paraId="2D364EB4" w14:textId="04D6F0F8" w:rsidR="00A46C79" w:rsidRDefault="00000000" w:rsidP="009044D8">
      <w:pPr>
        <w:spacing w:line="360" w:lineRule="auto"/>
      </w:pPr>
      <w:r>
        <w:t>Business Transformation</w:t>
      </w:r>
    </w:p>
    <w:p w14:paraId="177625B6" w14:textId="6DE6B862" w:rsidR="00A46C79" w:rsidRDefault="00000000" w:rsidP="009044D8">
      <w:pPr>
        <w:spacing w:line="360" w:lineRule="auto"/>
      </w:pPr>
      <w:r>
        <w:t>Digital Technology Trends</w:t>
      </w:r>
    </w:p>
    <w:p w14:paraId="2A91742F" w14:textId="7569DBA7" w:rsidR="00A46C79" w:rsidRDefault="00000000" w:rsidP="009044D8">
      <w:pPr>
        <w:spacing w:line="360" w:lineRule="auto"/>
      </w:pPr>
      <w:r>
        <w:t>Flexible Working Arrangements</w:t>
      </w:r>
    </w:p>
    <w:p w14:paraId="29230A57" w14:textId="791C8E99" w:rsidR="00A46C79" w:rsidRDefault="00000000" w:rsidP="009044D8">
      <w:pPr>
        <w:spacing w:line="360" w:lineRule="auto"/>
      </w:pPr>
      <w:r>
        <w:t>3. Evaluation of Contemporary HR Practices</w:t>
      </w:r>
    </w:p>
    <w:p w14:paraId="40506839" w14:textId="6BA47C62" w:rsidR="00A46C79" w:rsidRDefault="00000000" w:rsidP="009044D8">
      <w:pPr>
        <w:spacing w:line="360" w:lineRule="auto"/>
      </w:pPr>
      <w:r>
        <w:t>HR Practices for Business Transformation</w:t>
      </w:r>
    </w:p>
    <w:p w14:paraId="67BB2A85" w14:textId="2044B0F1" w:rsidR="00A46C79" w:rsidRDefault="00000000" w:rsidP="009044D8">
      <w:pPr>
        <w:spacing w:line="360" w:lineRule="auto"/>
      </w:pPr>
      <w:r>
        <w:t>HR Practices for Digital Technology Trends</w:t>
      </w:r>
    </w:p>
    <w:p w14:paraId="125B2C07" w14:textId="1948DD37" w:rsidR="00A46C79" w:rsidRDefault="00000000" w:rsidP="009044D8">
      <w:pPr>
        <w:spacing w:line="360" w:lineRule="auto"/>
      </w:pPr>
      <w:r>
        <w:t>HR Practices for Flexible Working</w:t>
      </w:r>
    </w:p>
    <w:p w14:paraId="4EB4B7BF" w14:textId="1B5B3D02" w:rsidR="00A46C79" w:rsidRDefault="00000000" w:rsidP="009044D8">
      <w:pPr>
        <w:spacing w:line="360" w:lineRule="auto"/>
      </w:pPr>
      <w:r>
        <w:t>4. Critical Evaluation of How Managers Ensure Implementation</w:t>
      </w:r>
    </w:p>
    <w:p w14:paraId="05FA04DD" w14:textId="466F7A07" w:rsidR="00A46C79" w:rsidRDefault="00000000" w:rsidP="009044D8">
      <w:pPr>
        <w:spacing w:line="360" w:lineRule="auto"/>
      </w:pPr>
      <w:r>
        <w:t>5. Conclusion and Recommendations</w:t>
      </w:r>
    </w:p>
    <w:p w14:paraId="63994A08" w14:textId="164027C8" w:rsidR="00A46C79" w:rsidRDefault="00000000" w:rsidP="009044D8">
      <w:pPr>
        <w:spacing w:line="360" w:lineRule="auto"/>
      </w:pPr>
      <w:r>
        <w:t>6. References</w:t>
      </w:r>
    </w:p>
    <w:p w14:paraId="0AB9F425" w14:textId="77777777" w:rsidR="00A46C79" w:rsidRDefault="00000000" w:rsidP="009044D8">
      <w:pPr>
        <w:spacing w:line="360" w:lineRule="auto"/>
      </w:pPr>
      <w:r>
        <w:br w:type="page"/>
      </w:r>
    </w:p>
    <w:p w14:paraId="3BF13350" w14:textId="77777777" w:rsidR="00A94B18" w:rsidRDefault="00000000" w:rsidP="009044D8">
      <w:pPr>
        <w:spacing w:line="360" w:lineRule="auto"/>
        <w:jc w:val="center"/>
      </w:pPr>
      <w:r>
        <w:lastRenderedPageBreak/>
        <w:br/>
      </w:r>
      <w:r w:rsidRPr="00A94B18">
        <w:rPr>
          <w:b/>
          <w:bCs/>
        </w:rPr>
        <w:t>1. Introduction</w:t>
      </w:r>
      <w:r>
        <w:br/>
      </w:r>
      <w:r>
        <w:br/>
        <w:t xml:space="preserve">This report explores how Gymshark, a Birmingham-based fitness apparel company, manages organisational change in today’s fast-moving business world. Gymshark has grown rapidly from a small start-up in 2012 into a global sportswear brand, and with this growth comes new challenges for leadership and human resource management.  </w:t>
      </w:r>
      <w:r>
        <w:br/>
      </w:r>
      <w:r>
        <w:br/>
        <w:t xml:space="preserve">The purpose of this report is to analyse how business transformation, digital technology, and flexible working affect Gymshark’s HR strategies and day-to-day operations. It also discusses how HR can respond to these changes using modern practices and how departmental managers can make sure these practices are applied effectively and quickly.  </w:t>
      </w:r>
      <w:r>
        <w:br/>
      </w:r>
      <w:r>
        <w:br/>
        <w:t xml:space="preserve">The report is divided into four main sections. The first section explains the specific factors that affect Gymshark’s business and employees. The second section evaluates HR practices that can help manage these factors. The third section critically examines the role of departmental managers in applying these practices. Finally, the report concludes with key findings and recommendations for improving Gymshark’s HR approach.  </w:t>
      </w:r>
      <w:r>
        <w:br/>
      </w:r>
      <w:r>
        <w:br/>
      </w:r>
      <w:r>
        <w:br/>
      </w:r>
      <w:r w:rsidRPr="00A94B18">
        <w:rPr>
          <w:b/>
          <w:bCs/>
        </w:rPr>
        <w:t>Explanation of Business Transformation, Digital Technology Trends, and Flexible Working</w:t>
      </w:r>
      <w:r>
        <w:br/>
      </w:r>
      <w:r>
        <w:br/>
        <w:t xml:space="preserve">Gymshark continues to grow quickly in the fitness apparel industry, which means constant changes to how the business operates and how employees work. The main factors influencing this are business transformation, digital technology, and flexible working.  </w:t>
      </w:r>
      <w:r>
        <w:br/>
      </w:r>
    </w:p>
    <w:p w14:paraId="1AD7DDC0" w14:textId="33FC0E21" w:rsidR="00A46C79" w:rsidRDefault="00000000" w:rsidP="009044D8">
      <w:pPr>
        <w:spacing w:line="360" w:lineRule="auto"/>
        <w:jc w:val="center"/>
      </w:pPr>
      <w:r w:rsidRPr="00A94B18">
        <w:rPr>
          <w:b/>
          <w:bCs/>
        </w:rPr>
        <w:t>Business Transformation</w:t>
      </w:r>
      <w:r>
        <w:br/>
      </w:r>
      <w:r>
        <w:br/>
        <w:t xml:space="preserve">Business transformation at Gymshark means reshaping the company’s operations, structure, and culture to stay competitive. The company began as an online retailer but now also runs physical stores, including a flagship store in London. This shift from e-commerce to retail requires new management approaches, more structured communication, and </w:t>
      </w:r>
      <w:r>
        <w:lastRenderedPageBreak/>
        <w:t xml:space="preserve">strong leadership support.  </w:t>
      </w:r>
      <w:r>
        <w:br/>
      </w:r>
      <w:r>
        <w:br/>
        <w:t xml:space="preserve">Transformation can cause uncertainty for staff, especially when teams are reorganised or roles change. HR must help employees adapt through open communication and training. Workshops on resilience and adaptability can make transitions smoother, while regular updates from leadership help maintain trust.  </w:t>
      </w:r>
      <w:r>
        <w:br/>
      </w:r>
      <w:r>
        <w:br/>
        <w:t xml:space="preserve">Another aspect of transformation is Gymshark’s focus on sustainability and innovation. The company aims to make its products responsibly and minimise environmental impact. HR supports this by hiring people who share these values and providing sustainability training. Embedding such values helps the company build a strong, ethical culture that connects with its customers and employees.  </w:t>
      </w:r>
      <w:r>
        <w:br/>
      </w:r>
      <w:r>
        <w:br/>
        <w:t xml:space="preserve"> </w:t>
      </w:r>
      <w:r w:rsidRPr="00A94B18">
        <w:rPr>
          <w:b/>
          <w:bCs/>
        </w:rPr>
        <w:t>Digital Technology Trends</w:t>
      </w:r>
      <w:r>
        <w:br/>
      </w:r>
      <w:r>
        <w:br/>
        <w:t xml:space="preserve">Technology is central to Gymshark’s success. The company relies heavily on digital tools for communication, design, recruitment, and performance tracking. For example, cloud-based systems allow teams around the world to work together smoothly. Artificial intelligence (AI) tools also help HR recruit more effectively by analysing applications and identifying strong candidates quickly.  </w:t>
      </w:r>
      <w:r>
        <w:br/>
      </w:r>
      <w:r>
        <w:br/>
        <w:t xml:space="preserve">Digital technology also supports learning and development. Online platforms allow employees to learn new skills at their own pace, which suits hybrid working arrangements. However, rapid digital change also creates challenges such as data privacy concerns and employee stress from constant new tools. HR must ensure that all staff receive the right training and that data is used responsibly in line with GDPR.  </w:t>
      </w:r>
      <w:r>
        <w:br/>
      </w:r>
      <w:r>
        <w:br/>
        <w:t xml:space="preserve">Digital transformation is not just about tools but also about culture. HR must promote a growth mindset so that employees are comfortable with change and continuous learning. This makes Gymshark more adaptable in </w:t>
      </w:r>
      <w:r w:rsidR="00E46E6B">
        <w:t>the digital</w:t>
      </w:r>
      <w:r>
        <w:t xml:space="preserve"> world.  </w:t>
      </w:r>
      <w:r>
        <w:br/>
      </w:r>
      <w:r>
        <w:br/>
      </w:r>
      <w:r>
        <w:br/>
      </w:r>
      <w:r w:rsidRPr="00A94B18">
        <w:rPr>
          <w:b/>
          <w:bCs/>
        </w:rPr>
        <w:t>Flexible Working Arrangements</w:t>
      </w:r>
      <w:r w:rsidRPr="00A94B18">
        <w:rPr>
          <w:b/>
          <w:bCs/>
        </w:rPr>
        <w:br/>
      </w:r>
      <w:r>
        <w:lastRenderedPageBreak/>
        <w:br/>
        <w:t xml:space="preserve">Flexible working has become an important part of Gymshark’s work culture, especially after the COVID-19 pandemic. The company offers hybrid working, where employees can work from home </w:t>
      </w:r>
      <w:r w:rsidR="00EE67FF">
        <w:t>or at</w:t>
      </w:r>
      <w:r>
        <w:t xml:space="preserve"> the Birmingham headquarters. This flexibility helps attract skilled people, supports wellbeing, and boosts productivity.  </w:t>
      </w:r>
      <w:r>
        <w:br/>
      </w:r>
      <w:r>
        <w:br/>
        <w:t xml:space="preserve">To make flexible working successful, HR has introduced clear policies and digital systems to track performance and communication. Platforms like Microsoft Teams and Slack help employees stay connected regardless of where they work.  </w:t>
      </w:r>
      <w:r>
        <w:br/>
      </w:r>
      <w:r>
        <w:br/>
        <w:t xml:space="preserve">Flexibility also supports employee wellbeing, a major focus for Gymshark. The company runs wellbeing programmes, mental health support sessions, and social initiatives to keep employees engaged. HR ensures that everyone, whether remote or on-site, feels included and has equal opportunities to grow.  </w:t>
      </w:r>
      <w:r>
        <w:br/>
      </w:r>
      <w:r>
        <w:br/>
        <w:t>These three factors</w:t>
      </w:r>
      <w:r w:rsidR="00A94B18">
        <w:t xml:space="preserve"> </w:t>
      </w:r>
      <w:r>
        <w:t>transformation, technology, and flexibility</w:t>
      </w:r>
      <w:r w:rsidR="00A94B18">
        <w:t xml:space="preserve"> </w:t>
      </w:r>
      <w:r>
        <w:t xml:space="preserve">are closely linked. Digital tools make flexible work possible, while flexibility helps staff adapt to transformation. HR’s challenge is to align them into one consistent approach that supports both business success and employee satisfaction.  </w:t>
      </w:r>
      <w:r>
        <w:br/>
      </w:r>
      <w:r>
        <w:br/>
      </w:r>
      <w:r>
        <w:br/>
      </w:r>
      <w:r w:rsidRPr="00A94B18">
        <w:rPr>
          <w:b/>
          <w:bCs/>
        </w:rPr>
        <w:t>3. Evaluation of Contemporary HR Practices</w:t>
      </w:r>
      <w:r>
        <w:br/>
      </w:r>
      <w:r>
        <w:br/>
        <w:t xml:space="preserve">To deal with these challenges, Gymshark uses several contemporary HR practices designed to manage change, use technology effectively, and maintain engagement in flexible work environments.  </w:t>
      </w:r>
      <w:r>
        <w:br/>
      </w:r>
      <w:r>
        <w:br/>
      </w:r>
      <w:r w:rsidRPr="00A94B18">
        <w:rPr>
          <w:b/>
          <w:bCs/>
        </w:rPr>
        <w:t>HR Practices for Business Transformation</w:t>
      </w:r>
      <w:r>
        <w:br/>
      </w:r>
      <w:r>
        <w:br/>
        <w:t xml:space="preserve">When managing change, HR often applies frameworks like Kotter’s 8-Step Model, which focuses on creating urgency, building leadership teams, and embedding change into the company culture. Gymshark can use this model to prepare staff for transformation and reduce resistance.  </w:t>
      </w:r>
      <w:r>
        <w:br/>
      </w:r>
      <w:r>
        <w:lastRenderedPageBreak/>
        <w:br/>
        <w:t xml:space="preserve">Transparent communication is another key practice. Regular company updates, </w:t>
      </w:r>
      <w:r w:rsidR="00EE67FF">
        <w:t xml:space="preserve">questions and answers </w:t>
      </w:r>
      <w:r>
        <w:t xml:space="preserve">sessions, and internal newsletters help employees understand why change is happening. According to the CIPD (2023), open communication builds trust and reduces anxiety during change.  </w:t>
      </w:r>
      <w:r>
        <w:br/>
      </w:r>
      <w:r>
        <w:br/>
        <w:t xml:space="preserve">Employee engagement surveys are also useful. They allow HR to measure morale and identify issues early. Results can guide decision-making and keep employees’ voices heard.  </w:t>
      </w:r>
      <w:r>
        <w:br/>
      </w:r>
      <w:r>
        <w:br/>
        <w:t xml:space="preserve">Finally, HR should focus on developing leaders who can guide teams through uncertainty. Training in emotional intelligence and coaching helps managers support employees during major transitions.  </w:t>
      </w:r>
      <w:r>
        <w:br/>
      </w:r>
      <w:r>
        <w:br/>
      </w:r>
      <w:r w:rsidRPr="00A94B18">
        <w:rPr>
          <w:b/>
          <w:bCs/>
        </w:rPr>
        <w:t xml:space="preserve"> HR Practices for Digital Technology Trends</w:t>
      </w:r>
      <w:r w:rsidRPr="00A94B18">
        <w:rPr>
          <w:b/>
          <w:bCs/>
        </w:rPr>
        <w:br/>
      </w:r>
      <w:r>
        <w:br/>
        <w:t>Digitalisation affects nearly every part of H</w:t>
      </w:r>
      <w:r w:rsidR="00E87F8A">
        <w:t>uman Resources</w:t>
      </w:r>
      <w:r>
        <w:t xml:space="preserve">. To stay competitive, Gymshark uses digital learning platforms like LinkedIn Learning to help staff build new skills in areas such as data analytics and digital marketing. These platforms make learning flexible and encourage personal growth.  </w:t>
      </w:r>
      <w:r>
        <w:br/>
      </w:r>
      <w:r>
        <w:br/>
        <w:t xml:space="preserve">HR also uses </w:t>
      </w:r>
      <w:r w:rsidR="00EE67FF">
        <w:t>Artificial intelligence</w:t>
      </w:r>
      <w:r>
        <w:t xml:space="preserve"> recruitment tools to streamline hiring. Automated systems can screen applicants efficiently and help reduce bias. However, H</w:t>
      </w:r>
      <w:r w:rsidR="00EE67FF">
        <w:t xml:space="preserve">uman resources </w:t>
      </w:r>
      <w:r>
        <w:t xml:space="preserve">must still review decisions to maintain fairness and transparency.  </w:t>
      </w:r>
      <w:r>
        <w:br/>
      </w:r>
      <w:r>
        <w:br/>
        <w:t xml:space="preserve">People analytics is another valuable practice. By </w:t>
      </w:r>
      <w:r w:rsidR="00A94B18">
        <w:t>analyzing</w:t>
      </w:r>
      <w:r>
        <w:t xml:space="preserve"> employee data</w:t>
      </w:r>
      <w:r w:rsidR="00A94B18">
        <w:t xml:space="preserve"> </w:t>
      </w:r>
      <w:r>
        <w:t xml:space="preserve">such as turnover rates, performance trends, and engagement </w:t>
      </w:r>
      <w:r w:rsidR="00E46E6B">
        <w:t>scores,</w:t>
      </w:r>
      <w:r w:rsidR="00A94B18">
        <w:t xml:space="preserve"> </w:t>
      </w:r>
      <w:r>
        <w:t>H</w:t>
      </w:r>
      <w:r w:rsidR="00E87F8A">
        <w:t>uman Resources</w:t>
      </w:r>
      <w:r>
        <w:t xml:space="preserve"> can make better decisions about workforce planning and training.  </w:t>
      </w:r>
      <w:r>
        <w:br/>
      </w:r>
      <w:r>
        <w:br/>
        <w:t>Despite these advantages, H</w:t>
      </w:r>
      <w:r w:rsidR="00E87F8A">
        <w:t>uman Resources</w:t>
      </w:r>
      <w:r>
        <w:t xml:space="preserve"> must be aware of challenges such as data privacy and digital fatigue. To </w:t>
      </w:r>
      <w:r w:rsidR="00A94B18">
        <w:t>deal with</w:t>
      </w:r>
      <w:r>
        <w:t xml:space="preserve"> these risks, </w:t>
      </w:r>
      <w:proofErr w:type="spellStart"/>
      <w:r>
        <w:t>Gymshark</w:t>
      </w:r>
      <w:proofErr w:type="spellEnd"/>
      <w:r>
        <w:t xml:space="preserve"> should include regular digital wellbeing checks and ensure that all staff understand how their data is used.  </w:t>
      </w:r>
      <w:r>
        <w:br/>
      </w:r>
      <w:r>
        <w:br/>
      </w:r>
      <w:r w:rsidRPr="00A94B18">
        <w:rPr>
          <w:b/>
          <w:bCs/>
        </w:rPr>
        <w:t xml:space="preserve"> HR Practices for Flexible Working</w:t>
      </w:r>
      <w:r>
        <w:br/>
      </w:r>
      <w:r>
        <w:lastRenderedPageBreak/>
        <w:br/>
        <w:t xml:space="preserve">HR plays a central role in managing flexible work arrangements. Clear remote work policies define communication expectations, working hours, and accountability. This clarity helps avoid confusion and keeps teams aligned.  </w:t>
      </w:r>
      <w:r>
        <w:br/>
      </w:r>
      <w:r>
        <w:br/>
        <w:t xml:space="preserve">Performance management systems are also evolving. Instead of judging employees by attendance, Gymshark focuses on outcomes. Managers use regular one-to-one meetings and online dashboards to set goals and give feedback. This results-based approach encourages trust and independence.  </w:t>
      </w:r>
      <w:r>
        <w:br/>
      </w:r>
      <w:r>
        <w:br/>
        <w:t xml:space="preserve">To maintain engagement, Gymshark offers wellbeing programmes that include fitness sessions, counselling support, and mental health awareness campaigns. These initiatives strengthen the company’s supportive culture and help prevent burnout.  </w:t>
      </w:r>
      <w:r>
        <w:br/>
      </w:r>
      <w:r>
        <w:br/>
        <w:t xml:space="preserve">Still, flexible work can create feelings of isolation or disconnect. Managers must be trained to lead hybrid teams effectively, ensuring fairness and inclusion for all employees.  </w:t>
      </w:r>
      <w:r>
        <w:br/>
      </w:r>
      <w:r>
        <w:br/>
        <w:t xml:space="preserve">In summary, the success of these HR practices depends on how well they are integrated. Business transformation requires digital tools for communication and flexible structures for agility. Technology enables flexibility, and both depend on good leadership and communication.  </w:t>
      </w:r>
      <w:r>
        <w:br/>
      </w:r>
      <w:r>
        <w:br/>
      </w:r>
      <w:r>
        <w:br/>
      </w:r>
      <w:r w:rsidRPr="00A94B18">
        <w:rPr>
          <w:b/>
          <w:bCs/>
        </w:rPr>
        <w:t>4. Critical Evaluation of How Managers Ensure Implementation</w:t>
      </w:r>
      <w:r>
        <w:br/>
      </w:r>
      <w:r>
        <w:br/>
        <w:t xml:space="preserve">Departmental managers are essential in turning HR policies into action. While HR creates the framework, managers bring it to life by leading teams, communicating changes, and maintaining motivation.  </w:t>
      </w:r>
      <w:r>
        <w:br/>
      </w:r>
      <w:r>
        <w:br/>
      </w:r>
      <w:r w:rsidRPr="00A94B18">
        <w:rPr>
          <w:b/>
          <w:bCs/>
        </w:rPr>
        <w:t>Leadership and Change Advocacy</w:t>
      </w:r>
      <w:r>
        <w:br/>
      </w:r>
      <w:r>
        <w:br/>
        <w:t>Managers must act as role models and advocates for change. When HR introduces new initiatives</w:t>
      </w:r>
      <w:r w:rsidR="00A94B18">
        <w:t xml:space="preserve"> </w:t>
      </w:r>
      <w:r>
        <w:t>like digital learning or hybrid policies</w:t>
      </w:r>
      <w:r w:rsidR="00A94B18">
        <w:t xml:space="preserve"> </w:t>
      </w:r>
      <w:r>
        <w:t xml:space="preserve">managers need to support them actively. </w:t>
      </w:r>
      <w:r>
        <w:lastRenderedPageBreak/>
        <w:t xml:space="preserve">According to Kotter (1996), visible leadership is key to creating urgency and momentum. Managers should celebrate small wins, explain the purpose behind new changes, and help employees see the personal benefits.  </w:t>
      </w:r>
      <w:r>
        <w:br/>
      </w:r>
      <w:r>
        <w:br/>
      </w:r>
      <w:r w:rsidRPr="00A94B18">
        <w:rPr>
          <w:b/>
          <w:bCs/>
        </w:rPr>
        <w:t>Communication and Employee Engagement</w:t>
      </w:r>
      <w:r>
        <w:br/>
      </w:r>
      <w:r>
        <w:br/>
        <w:t xml:space="preserve">Clear communication is vital for urgent implementation. Managers must ensure that information flows both </w:t>
      </w:r>
      <w:r w:rsidR="00A94B18">
        <w:t xml:space="preserve">ways, </w:t>
      </w:r>
      <w:r>
        <w:t xml:space="preserve">sharing updates from HR while also collecting employee feedback. Regular meetings, open-door discussions, and anonymous surveys can all help identify barriers early.  </w:t>
      </w:r>
      <w:r>
        <w:br/>
      </w:r>
      <w:r>
        <w:br/>
        <w:t xml:space="preserve">When employees understand the </w:t>
      </w:r>
      <w:r w:rsidR="00A94B18">
        <w:t>(</w:t>
      </w:r>
      <w:r>
        <w:t>why</w:t>
      </w:r>
      <w:r w:rsidR="00A94B18">
        <w:t>)</w:t>
      </w:r>
      <w:r>
        <w:t xml:space="preserve"> behind new practices, they are more likely to support them. Two-way communication also reduces confusion and creates a sense of inclusion.  </w:t>
      </w:r>
      <w:r>
        <w:br/>
      </w:r>
      <w:r>
        <w:br/>
      </w:r>
      <w:r w:rsidRPr="00A94B18">
        <w:rPr>
          <w:b/>
          <w:bCs/>
        </w:rPr>
        <w:t>Training, Accountability, and Support</w:t>
      </w:r>
      <w:r>
        <w:br/>
      </w:r>
      <w:r>
        <w:br/>
        <w:t xml:space="preserve">To implement new HR practices quickly, managers must ensure that employees have the necessary training and resources. For example, if new digital systems are introduced, managers should prioritise training sessions and track completion rates.  </w:t>
      </w:r>
      <w:r>
        <w:br/>
      </w:r>
      <w:r>
        <w:br/>
        <w:t xml:space="preserve">Managers can also reinforce urgency by linking new HR practices to performance goals. However, this must be balanced with wellbeing support to avoid burnout. Regular recognition and feedback help employees stay motivated and confident during transitions.  </w:t>
      </w:r>
      <w:r>
        <w:br/>
      </w:r>
      <w:r>
        <w:br/>
      </w:r>
      <w:r w:rsidRPr="00A94B18">
        <w:rPr>
          <w:b/>
          <w:bCs/>
        </w:rPr>
        <w:t xml:space="preserve"> Collaboration with HR and Data-Driven Oversight</w:t>
      </w:r>
      <w:r>
        <w:br/>
      </w:r>
      <w:r>
        <w:br/>
        <w:t>Strong collaboration between managers and HR ensures consistency across departments. Using HR analytics, managers can monitor progress</w:t>
      </w:r>
      <w:r w:rsidR="00A94B18">
        <w:t xml:space="preserve"> </w:t>
      </w:r>
      <w:r>
        <w:t>such as training completion, engagement levels, or turnover rates</w:t>
      </w:r>
      <w:r w:rsidR="00A94B18">
        <w:t xml:space="preserve"> </w:t>
      </w:r>
      <w:r>
        <w:t xml:space="preserve">and act quickly when problems arise.  </w:t>
      </w:r>
      <w:r>
        <w:br/>
      </w:r>
      <w:r>
        <w:br/>
        <w:t xml:space="preserve">HR can also provide toolkits and templates to help managers apply policies effectively. This standardisation allows flexibility while ensuring fairness across the company.  </w:t>
      </w:r>
      <w:r>
        <w:br/>
      </w:r>
      <w:r>
        <w:lastRenderedPageBreak/>
        <w:br/>
      </w:r>
      <w:r w:rsidRPr="00A94B18">
        <w:rPr>
          <w:b/>
          <w:bCs/>
          <w:color w:val="000000" w:themeColor="text1"/>
        </w:rPr>
        <w:t>Leading by Example and Sustaining Momentum</w:t>
      </w:r>
      <w:r>
        <w:br/>
      </w:r>
      <w:r>
        <w:br/>
        <w:t xml:space="preserve">Finally, managers must lead by example. When they use digital platforms, follow flexible work guidelines, and participate in training, employees are more likely to do the same.  </w:t>
      </w:r>
      <w:r>
        <w:br/>
      </w:r>
      <w:r>
        <w:br/>
        <w:t xml:space="preserve">Keeping up momentum is about motivation, not pressure. Managers should connect new HR practices to </w:t>
      </w:r>
      <w:proofErr w:type="spellStart"/>
      <w:r>
        <w:t>Gymshark’s</w:t>
      </w:r>
      <w:proofErr w:type="spellEnd"/>
      <w:r>
        <w:t xml:space="preserve"> wider mission</w:t>
      </w:r>
      <w:r w:rsidR="00A94B18">
        <w:t xml:space="preserve"> </w:t>
      </w:r>
      <w:r>
        <w:t>innovation, teamwork, and wellbeing</w:t>
      </w:r>
      <w:r w:rsidR="00A94B18">
        <w:t xml:space="preserve"> </w:t>
      </w:r>
      <w:r>
        <w:t xml:space="preserve">so employees understand that adopting these changes benefits both the business and their own development.  </w:t>
      </w:r>
      <w:r>
        <w:br/>
      </w:r>
      <w:r>
        <w:br/>
      </w:r>
      <w:r>
        <w:br/>
      </w:r>
      <w:r w:rsidRPr="00A94B18">
        <w:rPr>
          <w:b/>
          <w:bCs/>
        </w:rPr>
        <w:t>5. Conclusion and Recommendations</w:t>
      </w:r>
      <w:r>
        <w:br/>
      </w:r>
      <w:r>
        <w:br/>
        <w:t>Conclusion</w:t>
      </w:r>
      <w:r>
        <w:br/>
      </w:r>
      <w:r>
        <w:br/>
        <w:t xml:space="preserve">Gymshark’s growth depends on how well it adapts to ongoing transformation, technology trends, and flexible working. The report shows that effective HR strategies must balance innovation with employee wellbeing. Business transformation requires clear communication and strong leadership; digital technology offers opportunities for efficiency but must be managed responsibly; and flexible working enhances productivity when supported by structure and inclusion.  </w:t>
      </w:r>
      <w:r>
        <w:br/>
      </w:r>
      <w:r>
        <w:br/>
        <w:t xml:space="preserve">Managers are central to </w:t>
      </w:r>
      <w:r w:rsidR="00A94B18">
        <w:t xml:space="preserve">success, </w:t>
      </w:r>
      <w:r>
        <w:t xml:space="preserve">they translate HR strategies into practice, create urgency, and maintain trust. Together, HR and managers can ensure that Gymshark continues to evolve while keeping its people engaged and motivated.  </w:t>
      </w:r>
      <w:r>
        <w:br/>
      </w:r>
      <w:r>
        <w:br/>
      </w:r>
      <w:r>
        <w:br/>
      </w:r>
      <w:r w:rsidRPr="00A94B18">
        <w:rPr>
          <w:b/>
          <w:bCs/>
        </w:rPr>
        <w:t>Recommendations</w:t>
      </w:r>
      <w:r>
        <w:br/>
      </w:r>
      <w:r>
        <w:br/>
        <w:t>1. Develop Leadership Training</w:t>
      </w:r>
      <w:r w:rsidR="00A94B18">
        <w:t>-</w:t>
      </w:r>
      <w:r>
        <w:t xml:space="preserve"> Focus on change management, emotional intelligence, and digital competence.  </w:t>
      </w:r>
      <w:r>
        <w:br/>
        <w:t xml:space="preserve">2. Enhance Digital Learning and </w:t>
      </w:r>
      <w:r w:rsidR="00E46E6B">
        <w:t>Support</w:t>
      </w:r>
      <w:r w:rsidR="00A94B18">
        <w:t>-</w:t>
      </w:r>
      <w:r>
        <w:t xml:space="preserve"> Offer ongoing training in digital skills and provide </w:t>
      </w:r>
      <w:r>
        <w:lastRenderedPageBreak/>
        <w:t xml:space="preserve">wellbeing support to prevent fatigue.  </w:t>
      </w:r>
      <w:r>
        <w:br/>
        <w:t>3. Use People Analytics</w:t>
      </w:r>
      <w:r w:rsidR="00E46E6B">
        <w:t>-</w:t>
      </w:r>
      <w:r>
        <w:t xml:space="preserve"> Monitor performance, engagement, and training data to guide HR decisions.  </w:t>
      </w:r>
      <w:r>
        <w:br/>
        <w:t>4. Review Flexible Working Regularly</w:t>
      </w:r>
      <w:r w:rsidR="00E46E6B">
        <w:t>-</w:t>
      </w:r>
      <w:r>
        <w:t xml:space="preserve">Assess hybrid work policies quarterly to maintain fairness and effectiveness.  </w:t>
      </w:r>
      <w:r>
        <w:br/>
        <w:t>5. Strengthen Internal Communication</w:t>
      </w:r>
      <w:r w:rsidR="00E46E6B">
        <w:t>-</w:t>
      </w:r>
      <w:r>
        <w:t xml:space="preserve"> Keep employees informed about company goals, progress, and successes to build transparency and trust.  </w:t>
      </w:r>
      <w:r>
        <w:br/>
      </w:r>
      <w:r>
        <w:br/>
        <w:t>By applying these recommendations, Gymshark can build a more adaptive, innovative, and people</w:t>
      </w:r>
      <w:r w:rsidR="00E46E6B">
        <w:t xml:space="preserve"> centered</w:t>
      </w:r>
      <w:r>
        <w:t xml:space="preserve"> </w:t>
      </w:r>
      <w:r w:rsidR="00E46E6B">
        <w:t>organization</w:t>
      </w:r>
      <w:r>
        <w:t xml:space="preserve">.  </w:t>
      </w:r>
      <w:r>
        <w:br/>
      </w:r>
      <w:r>
        <w:br/>
      </w:r>
      <w:r>
        <w:br/>
      </w:r>
      <w:r w:rsidRPr="00E46E6B">
        <w:rPr>
          <w:b/>
          <w:bCs/>
        </w:rPr>
        <w:t>6. References</w:t>
      </w:r>
      <w:r>
        <w:br/>
      </w:r>
      <w:r>
        <w:br/>
        <w:t xml:space="preserve">CIPD (2023) Leading Change. Chartered Institute of Personnel and Development.  </w:t>
      </w:r>
      <w:r>
        <w:br/>
        <w:t xml:space="preserve">Gymshark (2024) About Us. [Online] Available at: https://www.gymshark.com  </w:t>
      </w:r>
      <w:r>
        <w:br/>
        <w:t xml:space="preserve">Kotter, J.P. (1996) Leading Change. Harvard Business Review Press.  </w:t>
      </w:r>
      <w:r>
        <w:br/>
      </w:r>
    </w:p>
    <w:sectPr w:rsidR="00A46C79"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161AA" w14:textId="77777777" w:rsidR="008A576D" w:rsidRDefault="008A576D" w:rsidP="00EF18DF">
      <w:pPr>
        <w:spacing w:after="0" w:line="240" w:lineRule="auto"/>
      </w:pPr>
      <w:r>
        <w:separator/>
      </w:r>
    </w:p>
  </w:endnote>
  <w:endnote w:type="continuationSeparator" w:id="0">
    <w:p w14:paraId="76988FC5" w14:textId="77777777" w:rsidR="008A576D" w:rsidRDefault="008A576D" w:rsidP="00EF1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674782"/>
      <w:docPartObj>
        <w:docPartGallery w:val="Page Numbers (Bottom of Page)"/>
        <w:docPartUnique/>
      </w:docPartObj>
    </w:sdtPr>
    <w:sdtEndPr>
      <w:rPr>
        <w:noProof/>
      </w:rPr>
    </w:sdtEndPr>
    <w:sdtContent>
      <w:p w14:paraId="286189E5" w14:textId="38F91041" w:rsidR="00EF18DF" w:rsidRDefault="00EF18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59C7EC" w14:textId="77777777" w:rsidR="00EF18DF" w:rsidRDefault="00EF1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07129" w14:textId="77777777" w:rsidR="008A576D" w:rsidRDefault="008A576D" w:rsidP="00EF18DF">
      <w:pPr>
        <w:spacing w:after="0" w:line="240" w:lineRule="auto"/>
      </w:pPr>
      <w:r>
        <w:separator/>
      </w:r>
    </w:p>
  </w:footnote>
  <w:footnote w:type="continuationSeparator" w:id="0">
    <w:p w14:paraId="5C60214B" w14:textId="77777777" w:rsidR="008A576D" w:rsidRDefault="008A576D" w:rsidP="00EF18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4763F90"/>
    <w:multiLevelType w:val="hybridMultilevel"/>
    <w:tmpl w:val="684A6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C374B"/>
    <w:multiLevelType w:val="hybridMultilevel"/>
    <w:tmpl w:val="BFD86E64"/>
    <w:lvl w:ilvl="0" w:tplc="862E1234">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A6E13AD"/>
    <w:multiLevelType w:val="multilevel"/>
    <w:tmpl w:val="FA5E8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8873634">
    <w:abstractNumId w:val="8"/>
  </w:num>
  <w:num w:numId="2" w16cid:durableId="29038922">
    <w:abstractNumId w:val="6"/>
  </w:num>
  <w:num w:numId="3" w16cid:durableId="1431268451">
    <w:abstractNumId w:val="5"/>
  </w:num>
  <w:num w:numId="4" w16cid:durableId="832768377">
    <w:abstractNumId w:val="4"/>
  </w:num>
  <w:num w:numId="5" w16cid:durableId="2023123010">
    <w:abstractNumId w:val="7"/>
  </w:num>
  <w:num w:numId="6" w16cid:durableId="500657412">
    <w:abstractNumId w:val="3"/>
  </w:num>
  <w:num w:numId="7" w16cid:durableId="1567954027">
    <w:abstractNumId w:val="2"/>
  </w:num>
  <w:num w:numId="8" w16cid:durableId="1820731843">
    <w:abstractNumId w:val="1"/>
  </w:num>
  <w:num w:numId="9" w16cid:durableId="69423763">
    <w:abstractNumId w:val="0"/>
  </w:num>
  <w:num w:numId="10" w16cid:durableId="684750296">
    <w:abstractNumId w:val="9"/>
  </w:num>
  <w:num w:numId="11" w16cid:durableId="19271824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33290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6636A"/>
    <w:rsid w:val="006D758D"/>
    <w:rsid w:val="008A2FD0"/>
    <w:rsid w:val="008A576D"/>
    <w:rsid w:val="009044D8"/>
    <w:rsid w:val="00A46C79"/>
    <w:rsid w:val="00A94B18"/>
    <w:rsid w:val="00AA1D8D"/>
    <w:rsid w:val="00B47730"/>
    <w:rsid w:val="00BB7E22"/>
    <w:rsid w:val="00CB0664"/>
    <w:rsid w:val="00D46FBD"/>
    <w:rsid w:val="00D9738F"/>
    <w:rsid w:val="00E46E6B"/>
    <w:rsid w:val="00E87F8A"/>
    <w:rsid w:val="00EE67FF"/>
    <w:rsid w:val="00EF18D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67112A"/>
  <w14:defaultImageDpi w14:val="300"/>
  <w15:docId w15:val="{29073DC8-D0EE-4FA1-B48D-6FEABE905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rmaltextrun">
    <w:name w:val="normaltextrun"/>
    <w:basedOn w:val="DefaultParagraphFont"/>
    <w:rsid w:val="00D9738F"/>
  </w:style>
  <w:style w:type="character" w:customStyle="1" w:styleId="eop">
    <w:name w:val="eop"/>
    <w:basedOn w:val="DefaultParagraphFont"/>
    <w:rsid w:val="00D97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2203</Words>
  <Characters>12562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Mohammad Yousif (2406665)</cp:lastModifiedBy>
  <cp:revision>3</cp:revision>
  <dcterms:created xsi:type="dcterms:W3CDTF">2025-11-11T10:03:00Z</dcterms:created>
  <dcterms:modified xsi:type="dcterms:W3CDTF">2025-11-11T10:05:00Z</dcterms:modified>
  <cp:category/>
</cp:coreProperties>
</file>