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17814" w:rsidRDefault="00430CAC">
      <w:pPr>
        <w:pStyle w:val="Normal1"/>
        <w:spacing w:line="360" w:lineRule="auto"/>
        <w:jc w:val="center"/>
        <w:rPr>
          <w:rFonts w:ascii="Times New Roman" w:eastAsia="Times New Roman" w:hAnsi="Times New Roman" w:cs="Times New Roman"/>
          <w:b/>
          <w:color w:val="000000"/>
          <w:sz w:val="40"/>
          <w:szCs w:val="40"/>
        </w:rPr>
      </w:pPr>
      <w:r>
        <w:rPr>
          <w:rFonts w:ascii="Times New Roman" w:eastAsia="Times New Roman" w:hAnsi="Times New Roman" w:cs="Times New Roman"/>
          <w:b/>
          <w:color w:val="000000"/>
          <w:sz w:val="40"/>
          <w:szCs w:val="40"/>
          <w:lang w:val="en-US"/>
        </w:rPr>
        <w:t>Name_jaskaran</w:t>
      </w:r>
    </w:p>
    <w:p w:rsidR="00717814" w:rsidRDefault="00430CAC">
      <w:pPr>
        <w:pStyle w:val="Normal1"/>
        <w:spacing w:line="360" w:lineRule="auto"/>
        <w:jc w:val="center"/>
        <w:rPr>
          <w:rFonts w:ascii="Times New Roman" w:eastAsia="Times New Roman" w:hAnsi="Times New Roman" w:cs="Times New Roman"/>
          <w:b/>
          <w:color w:val="000000"/>
          <w:sz w:val="40"/>
          <w:szCs w:val="40"/>
        </w:rPr>
      </w:pPr>
      <w:r>
        <w:rPr>
          <w:rFonts w:ascii="Times New Roman" w:eastAsia="Times New Roman" w:hAnsi="Times New Roman" w:cs="Times New Roman"/>
          <w:b/>
          <w:color w:val="000000"/>
          <w:sz w:val="40"/>
          <w:szCs w:val="40"/>
          <w:lang w:val="en-US"/>
        </w:rPr>
        <w:t>Student number _2230229</w:t>
      </w:r>
    </w:p>
    <w:p w:rsidR="00717814" w:rsidRDefault="00430CAC">
      <w:pPr>
        <w:pStyle w:val="Normal1"/>
        <w:spacing w:line="360" w:lineRule="auto"/>
        <w:jc w:val="center"/>
        <w:rPr>
          <w:rFonts w:ascii="Times New Roman" w:eastAsia="Times New Roman" w:hAnsi="Times New Roman" w:cs="Times New Roman"/>
          <w:b/>
          <w:color w:val="000000"/>
          <w:sz w:val="40"/>
          <w:szCs w:val="40"/>
        </w:rPr>
      </w:pPr>
      <w:r>
        <w:rPr>
          <w:rFonts w:ascii="Times New Roman" w:eastAsia="Times New Roman" w:hAnsi="Times New Roman" w:cs="Times New Roman"/>
          <w:b/>
          <w:color w:val="000000"/>
          <w:sz w:val="40"/>
          <w:szCs w:val="40"/>
          <w:lang w:val="en-US"/>
        </w:rPr>
        <w:t xml:space="preserve">Lecturer name _ Efua admas </w:t>
      </w:r>
    </w:p>
    <w:p w:rsidR="00717814" w:rsidRDefault="00430CAC">
      <w:pPr>
        <w:pStyle w:val="Normal1"/>
        <w:spacing w:line="360" w:lineRule="auto"/>
        <w:jc w:val="center"/>
        <w:rPr>
          <w:rFonts w:ascii="Times New Roman" w:eastAsia="Times New Roman" w:hAnsi="Times New Roman" w:cs="Times New Roman"/>
          <w:b/>
          <w:color w:val="000000"/>
          <w:sz w:val="40"/>
          <w:szCs w:val="40"/>
        </w:rPr>
      </w:pPr>
      <w:r>
        <w:rPr>
          <w:rFonts w:ascii="Times New Roman" w:eastAsia="Times New Roman" w:hAnsi="Times New Roman" w:cs="Times New Roman"/>
          <w:b/>
          <w:color w:val="000000"/>
          <w:sz w:val="40"/>
          <w:szCs w:val="40"/>
          <w:lang w:val="en-US"/>
        </w:rPr>
        <w:t>LCBB4004</w:t>
      </w:r>
    </w:p>
    <w:p w:rsidR="00717814" w:rsidRDefault="00430CAC">
      <w:pPr>
        <w:pStyle w:val="Normal1"/>
        <w:spacing w:line="360" w:lineRule="auto"/>
        <w:jc w:val="center"/>
        <w:rPr>
          <w:rFonts w:ascii="Times New Roman" w:eastAsia="Times New Roman" w:hAnsi="Times New Roman" w:cs="Times New Roman"/>
          <w:b/>
          <w:color w:val="000000"/>
          <w:sz w:val="40"/>
          <w:szCs w:val="40"/>
        </w:rPr>
      </w:pPr>
      <w:r>
        <w:rPr>
          <w:rFonts w:ascii="Times New Roman" w:eastAsia="Times New Roman" w:hAnsi="Times New Roman" w:cs="Times New Roman"/>
          <w:b/>
          <w:color w:val="000000"/>
          <w:sz w:val="40"/>
          <w:szCs w:val="40"/>
          <w:lang w:val="en-US"/>
        </w:rPr>
        <w:t xml:space="preserve">Marketing fundamentals </w:t>
      </w:r>
    </w:p>
    <w:p w:rsidR="00717814" w:rsidRDefault="00717814">
      <w:pPr>
        <w:pStyle w:val="Normal1"/>
        <w:spacing w:line="360" w:lineRule="auto"/>
        <w:jc w:val="center"/>
        <w:rPr>
          <w:rFonts w:ascii="Times New Roman" w:eastAsia="Times New Roman" w:hAnsi="Times New Roman" w:cs="Times New Roman"/>
          <w:b/>
          <w:sz w:val="32"/>
          <w:szCs w:val="32"/>
        </w:rPr>
      </w:pPr>
    </w:p>
    <w:p w:rsidR="00717814" w:rsidRDefault="00717814">
      <w:pPr>
        <w:pStyle w:val="Normal1"/>
        <w:spacing w:line="360" w:lineRule="auto"/>
        <w:jc w:val="center"/>
        <w:rPr>
          <w:rFonts w:ascii="Times New Roman" w:eastAsia="Times New Roman" w:hAnsi="Times New Roman" w:cs="Times New Roman"/>
          <w:b/>
          <w:sz w:val="32"/>
          <w:szCs w:val="32"/>
        </w:rPr>
      </w:pPr>
    </w:p>
    <w:p w:rsidR="00717814" w:rsidRDefault="00717814">
      <w:pPr>
        <w:pStyle w:val="Normal1"/>
        <w:spacing w:line="360" w:lineRule="auto"/>
        <w:jc w:val="center"/>
        <w:rPr>
          <w:rFonts w:ascii="Times New Roman" w:eastAsia="Times New Roman" w:hAnsi="Times New Roman" w:cs="Times New Roman"/>
          <w:b/>
          <w:sz w:val="32"/>
          <w:szCs w:val="32"/>
        </w:rPr>
      </w:pPr>
    </w:p>
    <w:p w:rsidR="00717814" w:rsidRDefault="00717814">
      <w:pPr>
        <w:pStyle w:val="Normal1"/>
        <w:spacing w:line="360" w:lineRule="auto"/>
        <w:jc w:val="center"/>
        <w:rPr>
          <w:rFonts w:ascii="Times New Roman" w:eastAsia="Times New Roman" w:hAnsi="Times New Roman" w:cs="Times New Roman"/>
          <w:b/>
          <w:sz w:val="32"/>
          <w:szCs w:val="32"/>
        </w:rPr>
      </w:pPr>
    </w:p>
    <w:p w:rsidR="00717814" w:rsidRDefault="00717814">
      <w:pPr>
        <w:pStyle w:val="Normal1"/>
        <w:spacing w:line="360" w:lineRule="auto"/>
        <w:jc w:val="center"/>
        <w:rPr>
          <w:rFonts w:ascii="Times New Roman" w:eastAsia="Times New Roman" w:hAnsi="Times New Roman" w:cs="Times New Roman"/>
          <w:b/>
          <w:sz w:val="32"/>
          <w:szCs w:val="32"/>
        </w:rPr>
      </w:pPr>
    </w:p>
    <w:p w:rsidR="00717814" w:rsidRDefault="00717814">
      <w:pPr>
        <w:pStyle w:val="Normal1"/>
        <w:spacing w:line="360" w:lineRule="auto"/>
        <w:jc w:val="center"/>
        <w:rPr>
          <w:rFonts w:ascii="Times New Roman" w:eastAsia="Times New Roman" w:hAnsi="Times New Roman" w:cs="Times New Roman"/>
          <w:b/>
          <w:sz w:val="32"/>
          <w:szCs w:val="32"/>
        </w:rPr>
      </w:pPr>
    </w:p>
    <w:p w:rsidR="00717814" w:rsidRDefault="00717814">
      <w:pPr>
        <w:pStyle w:val="Normal1"/>
        <w:spacing w:line="360" w:lineRule="auto"/>
        <w:jc w:val="center"/>
        <w:rPr>
          <w:rFonts w:ascii="Times New Roman" w:eastAsia="Times New Roman" w:hAnsi="Times New Roman" w:cs="Times New Roman"/>
          <w:b/>
          <w:sz w:val="32"/>
          <w:szCs w:val="32"/>
        </w:rPr>
      </w:pPr>
    </w:p>
    <w:p w:rsidR="00717814" w:rsidRDefault="00717814">
      <w:pPr>
        <w:pStyle w:val="Normal1"/>
        <w:spacing w:line="360" w:lineRule="auto"/>
        <w:jc w:val="center"/>
        <w:rPr>
          <w:rFonts w:ascii="Times New Roman" w:eastAsia="Times New Roman" w:hAnsi="Times New Roman" w:cs="Times New Roman"/>
          <w:b/>
          <w:sz w:val="32"/>
          <w:szCs w:val="32"/>
        </w:rPr>
      </w:pPr>
    </w:p>
    <w:p w:rsidR="00717814" w:rsidRDefault="00717814">
      <w:pPr>
        <w:pStyle w:val="Normal1"/>
        <w:spacing w:line="360" w:lineRule="auto"/>
        <w:jc w:val="center"/>
        <w:rPr>
          <w:rFonts w:ascii="Times New Roman" w:eastAsia="Times New Roman" w:hAnsi="Times New Roman" w:cs="Times New Roman"/>
          <w:b/>
          <w:sz w:val="32"/>
          <w:szCs w:val="32"/>
        </w:rPr>
      </w:pPr>
    </w:p>
    <w:p w:rsidR="00717814" w:rsidRDefault="00430CAC">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DIVERSE ADAPTATION STRATEGIES</w:t>
      </w:r>
      <w:r>
        <w:br w:type="page"/>
      </w:r>
    </w:p>
    <w:p w:rsidR="00717814" w:rsidRDefault="00430CAC">
      <w:pPr>
        <w:pStyle w:val="Normal1"/>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Table of Contents</w:t>
      </w:r>
    </w:p>
    <w:p w:rsidR="00717814" w:rsidRDefault="00717814">
      <w:pPr>
        <w:pStyle w:val="TOCHeading"/>
      </w:pPr>
    </w:p>
    <w:p w:rsidR="00717814" w:rsidRDefault="00430CAC">
      <w:pPr>
        <w:pStyle w:val="TOC1"/>
        <w:tabs>
          <w:tab w:val="right" w:leader="dot" w:pos="9350"/>
        </w:tabs>
        <w:spacing w:line="360" w:lineRule="auto"/>
        <w:jc w:val="both"/>
        <w:rPr>
          <w:rFonts w:ascii="Times New Roman" w:hAnsi="Times New Roman" w:cs="Times New Roman"/>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anchor="_Toc152443528" w:history="1">
        <w:r>
          <w:rPr>
            <w:rStyle w:val="Hyperlink"/>
            <w:rFonts w:ascii="Times New Roman" w:hAnsi="Times New Roman" w:cs="Times New Roman"/>
            <w:noProof/>
            <w:sz w:val="24"/>
            <w:szCs w:val="24"/>
          </w:rPr>
          <w:t>Introduction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_Toc152443528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Pr>
            <w:rFonts w:ascii="Times New Roman" w:hAnsi="Times New Roman" w:cs="Times New Roman"/>
            <w:noProof/>
            <w:webHidden/>
            <w:sz w:val="24"/>
            <w:szCs w:val="24"/>
          </w:rPr>
          <w:fldChar w:fldCharType="end"/>
        </w:r>
      </w:hyperlink>
    </w:p>
    <w:p w:rsidR="00717814" w:rsidRDefault="00430CAC">
      <w:pPr>
        <w:pStyle w:val="TOC1"/>
        <w:tabs>
          <w:tab w:val="right" w:leader="dot" w:pos="9350"/>
        </w:tabs>
        <w:spacing w:line="360" w:lineRule="auto"/>
        <w:jc w:val="both"/>
        <w:rPr>
          <w:rFonts w:ascii="Times New Roman" w:hAnsi="Times New Roman" w:cs="Times New Roman"/>
          <w:noProof/>
          <w:sz w:val="24"/>
          <w:szCs w:val="24"/>
        </w:rPr>
      </w:pPr>
      <w:hyperlink w:anchor="_Toc152443529" w:history="1">
        <w:r>
          <w:rPr>
            <w:rStyle w:val="Hyperlink"/>
            <w:rFonts w:ascii="Times New Roman" w:hAnsi="Times New Roman" w:cs="Times New Roman"/>
            <w:noProof/>
            <w:sz w:val="24"/>
            <w:szCs w:val="24"/>
          </w:rPr>
          <w:t>Overview of the Case</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_Toc152443529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Pr>
            <w:rFonts w:ascii="Times New Roman" w:hAnsi="Times New Roman" w:cs="Times New Roman"/>
            <w:noProof/>
            <w:webHidden/>
            <w:sz w:val="24"/>
            <w:szCs w:val="24"/>
          </w:rPr>
          <w:fldChar w:fldCharType="end"/>
        </w:r>
      </w:hyperlink>
    </w:p>
    <w:p w:rsidR="00717814" w:rsidRDefault="00430CAC">
      <w:pPr>
        <w:pStyle w:val="TOC1"/>
        <w:tabs>
          <w:tab w:val="right" w:leader="dot" w:pos="9350"/>
        </w:tabs>
        <w:spacing w:line="360" w:lineRule="auto"/>
        <w:jc w:val="both"/>
        <w:rPr>
          <w:rFonts w:ascii="Times New Roman" w:hAnsi="Times New Roman" w:cs="Times New Roman"/>
          <w:noProof/>
          <w:sz w:val="24"/>
          <w:szCs w:val="24"/>
        </w:rPr>
      </w:pPr>
      <w:hyperlink w:anchor="_Toc152443530" w:history="1">
        <w:r>
          <w:rPr>
            <w:rStyle w:val="Hyperlink"/>
            <w:rFonts w:ascii="Times New Roman" w:hAnsi="Times New Roman" w:cs="Times New Roman"/>
            <w:noProof/>
            <w:sz w:val="24"/>
            <w:szCs w:val="24"/>
          </w:rPr>
          <w:t>Situational Analysis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_Toc152443530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Pr>
            <w:rFonts w:ascii="Times New Roman" w:hAnsi="Times New Roman" w:cs="Times New Roman"/>
            <w:noProof/>
            <w:webHidden/>
            <w:sz w:val="24"/>
            <w:szCs w:val="24"/>
          </w:rPr>
          <w:fldChar w:fldCharType="end"/>
        </w:r>
      </w:hyperlink>
    </w:p>
    <w:p w:rsidR="00717814" w:rsidRDefault="00430CAC">
      <w:pPr>
        <w:pStyle w:val="TOC1"/>
        <w:tabs>
          <w:tab w:val="right" w:leader="dot" w:pos="9350"/>
        </w:tabs>
        <w:spacing w:line="360" w:lineRule="auto"/>
        <w:jc w:val="both"/>
        <w:rPr>
          <w:rFonts w:ascii="Times New Roman" w:hAnsi="Times New Roman" w:cs="Times New Roman"/>
          <w:noProof/>
          <w:sz w:val="24"/>
          <w:szCs w:val="24"/>
        </w:rPr>
      </w:pPr>
      <w:hyperlink w:anchor="_Toc152443531" w:history="1">
        <w:r>
          <w:rPr>
            <w:rStyle w:val="Hyperlink"/>
            <w:rFonts w:ascii="Times New Roman" w:hAnsi="Times New Roman" w:cs="Times New Roman"/>
            <w:noProof/>
            <w:sz w:val="24"/>
            <w:szCs w:val="24"/>
          </w:rPr>
          <w:t>Objectives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_Toc152443531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Pr>
            <w:rFonts w:ascii="Times New Roman" w:hAnsi="Times New Roman" w:cs="Times New Roman"/>
            <w:noProof/>
            <w:webHidden/>
            <w:sz w:val="24"/>
            <w:szCs w:val="24"/>
          </w:rPr>
          <w:fldChar w:fldCharType="end"/>
        </w:r>
      </w:hyperlink>
    </w:p>
    <w:p w:rsidR="00717814" w:rsidRDefault="00430CAC">
      <w:pPr>
        <w:pStyle w:val="TOC1"/>
        <w:tabs>
          <w:tab w:val="right" w:leader="dot" w:pos="9350"/>
        </w:tabs>
        <w:spacing w:line="360" w:lineRule="auto"/>
        <w:jc w:val="both"/>
        <w:rPr>
          <w:rFonts w:ascii="Times New Roman" w:hAnsi="Times New Roman" w:cs="Times New Roman"/>
          <w:noProof/>
          <w:sz w:val="24"/>
          <w:szCs w:val="24"/>
        </w:rPr>
      </w:pPr>
      <w:hyperlink w:anchor="_Toc152443532" w:history="1">
        <w:r>
          <w:rPr>
            <w:rStyle w:val="Hyperlink"/>
            <w:rFonts w:ascii="Times New Roman" w:hAnsi="Times New Roman" w:cs="Times New Roman"/>
            <w:noProof/>
            <w:sz w:val="24"/>
            <w:szCs w:val="24"/>
          </w:rPr>
          <w:t>Strategies and Tactics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_Toc152443532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Pr>
            <w:rFonts w:ascii="Times New Roman" w:hAnsi="Times New Roman" w:cs="Times New Roman"/>
            <w:noProof/>
            <w:webHidden/>
            <w:sz w:val="24"/>
            <w:szCs w:val="24"/>
          </w:rPr>
          <w:fldChar w:fldCharType="end"/>
        </w:r>
      </w:hyperlink>
    </w:p>
    <w:p w:rsidR="00717814" w:rsidRDefault="00430CAC">
      <w:pPr>
        <w:pStyle w:val="TOC1"/>
        <w:tabs>
          <w:tab w:val="right" w:leader="dot" w:pos="9350"/>
        </w:tabs>
        <w:spacing w:line="360" w:lineRule="auto"/>
        <w:jc w:val="both"/>
        <w:rPr>
          <w:rFonts w:ascii="Times New Roman" w:hAnsi="Times New Roman" w:cs="Times New Roman"/>
          <w:noProof/>
          <w:sz w:val="24"/>
          <w:szCs w:val="24"/>
        </w:rPr>
      </w:pPr>
      <w:hyperlink w:anchor="_Toc152443533" w:history="1">
        <w:r>
          <w:rPr>
            <w:rStyle w:val="Hyperlink"/>
            <w:rFonts w:ascii="Times New Roman" w:hAnsi="Times New Roman" w:cs="Times New Roman"/>
            <w:noProof/>
            <w:sz w:val="24"/>
            <w:szCs w:val="24"/>
          </w:rPr>
          <w:t>Action Plan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_Toc152443533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Pr>
            <w:rFonts w:ascii="Times New Roman" w:hAnsi="Times New Roman" w:cs="Times New Roman"/>
            <w:noProof/>
            <w:webHidden/>
            <w:sz w:val="24"/>
            <w:szCs w:val="24"/>
          </w:rPr>
          <w:fldChar w:fldCharType="end"/>
        </w:r>
      </w:hyperlink>
    </w:p>
    <w:p w:rsidR="00717814" w:rsidRDefault="00430CAC">
      <w:pPr>
        <w:pStyle w:val="TOC1"/>
        <w:tabs>
          <w:tab w:val="right" w:leader="dot" w:pos="9350"/>
        </w:tabs>
        <w:spacing w:line="360" w:lineRule="auto"/>
        <w:jc w:val="both"/>
        <w:rPr>
          <w:rFonts w:ascii="Times New Roman" w:hAnsi="Times New Roman" w:cs="Times New Roman"/>
          <w:noProof/>
          <w:sz w:val="24"/>
          <w:szCs w:val="24"/>
        </w:rPr>
      </w:pPr>
      <w:hyperlink w:anchor="_Toc152443534" w:history="1">
        <w:r>
          <w:rPr>
            <w:rStyle w:val="Hyperlink"/>
            <w:rFonts w:ascii="Times New Roman" w:hAnsi="Times New Roman" w:cs="Times New Roman"/>
            <w:noProof/>
            <w:sz w:val="24"/>
            <w:szCs w:val="24"/>
          </w:rPr>
          <w:t>Control Measures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_Toc152443534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Pr>
            <w:rFonts w:ascii="Times New Roman" w:hAnsi="Times New Roman" w:cs="Times New Roman"/>
            <w:noProof/>
            <w:webHidden/>
            <w:sz w:val="24"/>
            <w:szCs w:val="24"/>
          </w:rPr>
          <w:fldChar w:fldCharType="end"/>
        </w:r>
      </w:hyperlink>
    </w:p>
    <w:p w:rsidR="00717814" w:rsidRDefault="00430CAC">
      <w:pPr>
        <w:pStyle w:val="TOC1"/>
        <w:tabs>
          <w:tab w:val="right" w:leader="dot" w:pos="9350"/>
        </w:tabs>
        <w:spacing w:line="360" w:lineRule="auto"/>
        <w:jc w:val="both"/>
        <w:rPr>
          <w:rFonts w:ascii="Times New Roman" w:hAnsi="Times New Roman" w:cs="Times New Roman"/>
          <w:noProof/>
          <w:sz w:val="24"/>
          <w:szCs w:val="24"/>
        </w:rPr>
      </w:pPr>
      <w:hyperlink w:anchor="_Toc152443535" w:history="1">
        <w:r>
          <w:rPr>
            <w:rStyle w:val="Hyperlink"/>
            <w:rFonts w:ascii="Times New Roman" w:hAnsi="Times New Roman" w:cs="Times New Roman"/>
            <w:noProof/>
            <w:sz w:val="24"/>
            <w:szCs w:val="24"/>
          </w:rPr>
          <w:t>Conclusion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_Toc152443535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Pr>
            <w:rFonts w:ascii="Times New Roman" w:hAnsi="Times New Roman" w:cs="Times New Roman"/>
            <w:noProof/>
            <w:webHidden/>
            <w:sz w:val="24"/>
            <w:szCs w:val="24"/>
          </w:rPr>
          <w:fldChar w:fldCharType="end"/>
        </w:r>
      </w:hyperlink>
    </w:p>
    <w:p w:rsidR="00717814" w:rsidRDefault="00430CAC">
      <w:pPr>
        <w:pStyle w:val="TOC1"/>
        <w:tabs>
          <w:tab w:val="right" w:leader="dot" w:pos="9350"/>
        </w:tabs>
        <w:spacing w:line="360" w:lineRule="auto"/>
        <w:jc w:val="both"/>
        <w:rPr>
          <w:rFonts w:ascii="Times New Roman" w:hAnsi="Times New Roman" w:cs="Times New Roman"/>
          <w:noProof/>
          <w:sz w:val="24"/>
          <w:szCs w:val="24"/>
        </w:rPr>
      </w:pPr>
      <w:hyperlink w:anchor="_Toc152443536" w:history="1">
        <w:r>
          <w:rPr>
            <w:rStyle w:val="Hyperlink"/>
            <w:rFonts w:ascii="Times New Roman" w:hAnsi="Times New Roman" w:cs="Times New Roman"/>
            <w:noProof/>
            <w:sz w:val="24"/>
            <w:szCs w:val="24"/>
          </w:rPr>
          <w:t>References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_Toc152443536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Pr>
            <w:rFonts w:ascii="Times New Roman" w:hAnsi="Times New Roman" w:cs="Times New Roman"/>
            <w:noProof/>
            <w:webHidden/>
            <w:sz w:val="24"/>
            <w:szCs w:val="24"/>
          </w:rPr>
          <w:fldChar w:fldCharType="end"/>
        </w:r>
      </w:hyperlink>
    </w:p>
    <w:p w:rsidR="00717814" w:rsidRDefault="00430CAC">
      <w:pPr>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end"/>
      </w:r>
    </w:p>
    <w:p w:rsidR="00717814" w:rsidRDefault="00430CAC">
      <w:pPr>
        <w:pStyle w:val="Normal1"/>
        <w:spacing w:line="360" w:lineRule="auto"/>
        <w:jc w:val="center"/>
        <w:rPr>
          <w:rFonts w:ascii="Times New Roman" w:eastAsia="Times New Roman" w:hAnsi="Times New Roman" w:cs="Times New Roman"/>
          <w:b/>
          <w:sz w:val="28"/>
          <w:szCs w:val="28"/>
        </w:rPr>
      </w:pPr>
      <w:r>
        <w:br w:type="page"/>
      </w:r>
    </w:p>
    <w:p w:rsidR="00717814" w:rsidRDefault="00430CAC">
      <w:pPr>
        <w:pStyle w:val="Heading1"/>
      </w:pPr>
      <w:bookmarkStart w:id="0" w:name="_Toc152443528"/>
      <w:r>
        <w:lastRenderedPageBreak/>
        <w:t>Introduction</w:t>
      </w:r>
      <w:bookmarkEnd w:id="0"/>
    </w:p>
    <w:p w:rsidR="00717814" w:rsidRDefault="00430CA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farmers in Quebec faced severe challenges during COVID-19 which led to food vulnerability as the farmers and the pandemic impacted food </w:t>
      </w:r>
      <w:r>
        <w:rPr>
          <w:rFonts w:ascii="Times New Roman" w:eastAsia="Times New Roman" w:hAnsi="Times New Roman" w:cs="Times New Roman"/>
          <w:sz w:val="24"/>
          <w:szCs w:val="24"/>
        </w:rPr>
        <w:t xml:space="preserve">production. The pandemic also impacted the food marketing procedure which led to decreased profitability of farmers. In this report, a market analysis will be done and a plan will be produced which will help them to increase their sales and profitability.   </w:t>
      </w:r>
    </w:p>
    <w:p w:rsidR="00717814" w:rsidRDefault="00430CAC">
      <w:pPr>
        <w:pStyle w:val="Heading1"/>
      </w:pPr>
      <w:bookmarkStart w:id="1" w:name="_Toc152443529"/>
      <w:r>
        <w:t>Overview of the Case</w:t>
      </w:r>
      <w:bookmarkEnd w:id="1"/>
    </w:p>
    <w:p w:rsidR="00717814" w:rsidRDefault="00430CA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 case, the food market faced severe challenges during the COVID-19 pandemic which decreased the profitability of farmers in Quebec, Canada. A survey was done on 1046 farmers through online media which helped to understand that there are several challenges that are faced by them such as changes in sales outlets, labour shortages, operational and developmental issues and food demand and supply issues. The case study further suggests that redistribution, replacement and collaboration can help t</w:t>
      </w:r>
      <w:r>
        <w:rPr>
          <w:rFonts w:ascii="Times New Roman" w:eastAsia="Times New Roman" w:hAnsi="Times New Roman" w:cs="Times New Roman"/>
          <w:sz w:val="24"/>
          <w:szCs w:val="24"/>
        </w:rPr>
        <w:t xml:space="preserve">he farmers to increase sales and profitability.    </w:t>
      </w:r>
    </w:p>
    <w:p w:rsidR="00717814" w:rsidRDefault="00430CAC">
      <w:pPr>
        <w:pStyle w:val="Heading1"/>
      </w:pPr>
      <w:bookmarkStart w:id="2" w:name="_Toc152443530"/>
      <w:r>
        <w:t>Situational Analysis</w:t>
      </w:r>
      <w:bookmarkEnd w:id="2"/>
    </w:p>
    <w:p w:rsidR="00717814" w:rsidRDefault="00430CA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PESTLE analysis</w:t>
      </w: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90"/>
        <w:gridCol w:w="6870"/>
      </w:tblGrid>
      <w:tr w:rsidR="00717814">
        <w:trPr>
          <w:cantSplit/>
          <w:tblHeader/>
        </w:trPr>
        <w:tc>
          <w:tcPr>
            <w:tcW w:w="2490"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w:t>
            </w:r>
          </w:p>
        </w:tc>
        <w:tc>
          <w:tcPr>
            <w:tcW w:w="6870" w:type="dxa"/>
            <w:shd w:val="clear" w:color="auto" w:fill="auto"/>
            <w:tcMar>
              <w:top w:w="100" w:type="dxa"/>
              <w:left w:w="100" w:type="dxa"/>
              <w:bottom w:w="100" w:type="dxa"/>
              <w:right w:w="100" w:type="dxa"/>
            </w:tcMar>
          </w:tcPr>
          <w:p w:rsidR="00717814" w:rsidRDefault="00430CAC">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1996 to 2021 the political stability of Canada was 1.07 (Theglobaleconomy, 2023)</w:t>
            </w:r>
          </w:p>
        </w:tc>
      </w:tr>
      <w:tr w:rsidR="00717814">
        <w:trPr>
          <w:cantSplit/>
          <w:tblHeader/>
        </w:trPr>
        <w:tc>
          <w:tcPr>
            <w:tcW w:w="2490"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w:t>
            </w:r>
          </w:p>
        </w:tc>
        <w:tc>
          <w:tcPr>
            <w:tcW w:w="6870" w:type="dxa"/>
            <w:shd w:val="clear" w:color="auto" w:fill="auto"/>
            <w:tcMar>
              <w:top w:w="100" w:type="dxa"/>
              <w:left w:w="100" w:type="dxa"/>
              <w:bottom w:w="100" w:type="dxa"/>
              <w:right w:w="100" w:type="dxa"/>
            </w:tcMar>
          </w:tcPr>
          <w:p w:rsidR="00717814" w:rsidRDefault="00430CAC">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GDP of Canada was 2139.84 </w:t>
            </w:r>
            <w:r>
              <w:rPr>
                <w:rFonts w:ascii="Times New Roman" w:eastAsia="Times New Roman" w:hAnsi="Times New Roman" w:cs="Times New Roman"/>
                <w:sz w:val="24"/>
                <w:szCs w:val="24"/>
              </w:rPr>
              <w:t>billion US dollars in 2022 (Tradingeconomics, 2023)</w:t>
            </w:r>
          </w:p>
          <w:p w:rsidR="00717814" w:rsidRDefault="00430CAC">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2023, food prices will go up to 5 per cent more than 5 years (Liew, 2023)</w:t>
            </w:r>
          </w:p>
        </w:tc>
      </w:tr>
      <w:tr w:rsidR="00717814">
        <w:trPr>
          <w:cantSplit/>
          <w:tblHeader/>
        </w:trPr>
        <w:tc>
          <w:tcPr>
            <w:tcW w:w="2490"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Social </w:t>
            </w:r>
          </w:p>
        </w:tc>
        <w:tc>
          <w:tcPr>
            <w:tcW w:w="6870" w:type="dxa"/>
            <w:shd w:val="clear" w:color="auto" w:fill="auto"/>
            <w:tcMar>
              <w:top w:w="100" w:type="dxa"/>
              <w:left w:w="100" w:type="dxa"/>
              <w:bottom w:w="100" w:type="dxa"/>
              <w:right w:w="100" w:type="dxa"/>
            </w:tcMar>
          </w:tcPr>
          <w:p w:rsidR="00717814" w:rsidRDefault="00430CAC">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COVID-19 pandemic impacted the behaviour of people </w:t>
            </w:r>
          </w:p>
        </w:tc>
      </w:tr>
      <w:tr w:rsidR="00717814">
        <w:trPr>
          <w:cantSplit/>
          <w:tblHeader/>
        </w:trPr>
        <w:tc>
          <w:tcPr>
            <w:tcW w:w="2490"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Technical</w:t>
            </w:r>
          </w:p>
        </w:tc>
        <w:tc>
          <w:tcPr>
            <w:tcW w:w="6870" w:type="dxa"/>
            <w:shd w:val="clear" w:color="auto" w:fill="auto"/>
            <w:tcMar>
              <w:top w:w="100" w:type="dxa"/>
              <w:left w:w="100" w:type="dxa"/>
              <w:bottom w:w="100" w:type="dxa"/>
              <w:right w:w="100" w:type="dxa"/>
            </w:tcMar>
          </w:tcPr>
          <w:p w:rsidR="00717814" w:rsidRDefault="00430CAC">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Canada is a prime technological </w:t>
            </w:r>
            <w:r>
              <w:rPr>
                <w:rFonts w:ascii="Times New Roman" w:eastAsia="Times New Roman" w:hAnsi="Times New Roman" w:cs="Times New Roman"/>
                <w:sz w:val="24"/>
                <w:szCs w:val="24"/>
              </w:rPr>
              <w:t>destination (Invest Canada, 2023)</w:t>
            </w:r>
          </w:p>
        </w:tc>
      </w:tr>
      <w:tr w:rsidR="00717814">
        <w:trPr>
          <w:cantSplit/>
          <w:tblHeader/>
        </w:trPr>
        <w:tc>
          <w:tcPr>
            <w:tcW w:w="2490"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Legal</w:t>
            </w:r>
          </w:p>
        </w:tc>
        <w:tc>
          <w:tcPr>
            <w:tcW w:w="6870" w:type="dxa"/>
            <w:shd w:val="clear" w:color="auto" w:fill="auto"/>
            <w:tcMar>
              <w:top w:w="100" w:type="dxa"/>
              <w:left w:w="100" w:type="dxa"/>
              <w:bottom w:w="100" w:type="dxa"/>
              <w:right w:w="100" w:type="dxa"/>
            </w:tcMar>
          </w:tcPr>
          <w:p w:rsidR="00717814" w:rsidRDefault="00430CAC">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Labour laws of Canada</w:t>
            </w:r>
          </w:p>
        </w:tc>
      </w:tr>
      <w:tr w:rsidR="00717814">
        <w:trPr>
          <w:cantSplit/>
          <w:tblHeader/>
        </w:trPr>
        <w:tc>
          <w:tcPr>
            <w:tcW w:w="2490" w:type="dxa"/>
            <w:shd w:val="clear" w:color="auto" w:fill="auto"/>
            <w:tcMar>
              <w:top w:w="100" w:type="dxa"/>
              <w:left w:w="100" w:type="dxa"/>
              <w:bottom w:w="100" w:type="dxa"/>
              <w:right w:w="100" w:type="dxa"/>
            </w:tcMar>
          </w:tcPr>
          <w:p w:rsidR="00717814" w:rsidRDefault="00430CAC">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Environmental</w:t>
            </w:r>
          </w:p>
        </w:tc>
        <w:tc>
          <w:tcPr>
            <w:tcW w:w="6870" w:type="dxa"/>
            <w:shd w:val="clear" w:color="auto" w:fill="auto"/>
            <w:tcMar>
              <w:top w:w="100" w:type="dxa"/>
              <w:left w:w="100" w:type="dxa"/>
              <w:bottom w:w="100" w:type="dxa"/>
              <w:right w:w="100" w:type="dxa"/>
            </w:tcMar>
          </w:tcPr>
          <w:p w:rsidR="00717814" w:rsidRDefault="00430CAC">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People are more focused on the environmental approach</w:t>
            </w:r>
          </w:p>
        </w:tc>
      </w:tr>
    </w:tbl>
    <w:p w:rsidR="00717814" w:rsidRDefault="00430CAC">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PESTLE analysis</w:t>
      </w:r>
    </w:p>
    <w:p w:rsidR="00717814" w:rsidRDefault="00430CAC">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rsidR="00717814" w:rsidRDefault="00430CA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PESTLE analysis helps in identifying external factors that can </w:t>
      </w:r>
      <w:r>
        <w:rPr>
          <w:rFonts w:ascii="Times New Roman" w:eastAsia="Times New Roman" w:hAnsi="Times New Roman" w:cs="Times New Roman"/>
          <w:sz w:val="24"/>
          <w:szCs w:val="24"/>
        </w:rPr>
        <w:t>impact an industry. Canada is a politically stable company which will help farmers to grow their business. The GDP of Canada was 2139.84 billion US dollars in 2022 (Tradingeconomics, 2023). The GDP of Canada is increasing which will help the agriculture industry to thrive more as it can provide more potential buyers. As the case study suggested the industry faced challenges. It can be said that the buying behaviour of Canada was impacted by COVID-19. Canada is a technological company which will help the ind</w:t>
      </w:r>
      <w:r>
        <w:rPr>
          <w:rFonts w:ascii="Times New Roman" w:eastAsia="Times New Roman" w:hAnsi="Times New Roman" w:cs="Times New Roman"/>
          <w:sz w:val="24"/>
          <w:szCs w:val="24"/>
        </w:rPr>
        <w:t xml:space="preserve">ustry to improve their operations. The food price will go up 5 percent more in 2023 than in 2022 which can negatively impact the agriculture industry.      </w:t>
      </w:r>
    </w:p>
    <w:p w:rsidR="00717814" w:rsidRDefault="00430CA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Porter’s 5 Forces</w:t>
      </w:r>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945"/>
        <w:gridCol w:w="2295"/>
      </w:tblGrid>
      <w:tr w:rsidR="00717814">
        <w:trPr>
          <w:cantSplit/>
          <w:tblHeader/>
        </w:trPr>
        <w:tc>
          <w:tcPr>
            <w:tcW w:w="3120"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Forces</w:t>
            </w:r>
          </w:p>
        </w:tc>
        <w:tc>
          <w:tcPr>
            <w:tcW w:w="3945"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Description</w:t>
            </w:r>
          </w:p>
        </w:tc>
        <w:tc>
          <w:tcPr>
            <w:tcW w:w="2295"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Impact</w:t>
            </w:r>
          </w:p>
        </w:tc>
      </w:tr>
      <w:tr w:rsidR="00717814">
        <w:trPr>
          <w:cantSplit/>
          <w:tblHeader/>
        </w:trPr>
        <w:tc>
          <w:tcPr>
            <w:tcW w:w="3120"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Competitive rivalry</w:t>
            </w:r>
          </w:p>
        </w:tc>
        <w:tc>
          <w:tcPr>
            <w:tcW w:w="3945"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Presence of competitors in the </w:t>
            </w:r>
            <w:r>
              <w:rPr>
                <w:rFonts w:ascii="Times New Roman" w:eastAsia="Times New Roman" w:hAnsi="Times New Roman" w:cs="Times New Roman"/>
                <w:sz w:val="24"/>
                <w:szCs w:val="24"/>
              </w:rPr>
              <w:t>agriculture market</w:t>
            </w:r>
          </w:p>
        </w:tc>
        <w:tc>
          <w:tcPr>
            <w:tcW w:w="2295"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Low</w:t>
            </w:r>
          </w:p>
        </w:tc>
      </w:tr>
      <w:tr w:rsidR="00717814">
        <w:trPr>
          <w:cantSplit/>
          <w:tblHeader/>
        </w:trPr>
        <w:tc>
          <w:tcPr>
            <w:tcW w:w="3120"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Bargaining power of consumers</w:t>
            </w:r>
          </w:p>
        </w:tc>
        <w:tc>
          <w:tcPr>
            <w:tcW w:w="3945"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The number of consumers present in the market</w:t>
            </w:r>
          </w:p>
        </w:tc>
        <w:tc>
          <w:tcPr>
            <w:tcW w:w="2295"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r>
      <w:tr w:rsidR="00717814">
        <w:trPr>
          <w:cantSplit/>
          <w:tblHeader/>
        </w:trPr>
        <w:tc>
          <w:tcPr>
            <w:tcW w:w="3120"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Bargaining power of suppliers</w:t>
            </w:r>
          </w:p>
        </w:tc>
        <w:tc>
          <w:tcPr>
            <w:tcW w:w="3945"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The number of suppliers present in the market</w:t>
            </w:r>
          </w:p>
        </w:tc>
        <w:tc>
          <w:tcPr>
            <w:tcW w:w="2295"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Moderate</w:t>
            </w:r>
          </w:p>
        </w:tc>
      </w:tr>
      <w:tr w:rsidR="00717814">
        <w:trPr>
          <w:cantSplit/>
          <w:tblHeader/>
        </w:trPr>
        <w:tc>
          <w:tcPr>
            <w:tcW w:w="3120"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 of substitute</w:t>
            </w:r>
          </w:p>
        </w:tc>
        <w:tc>
          <w:tcPr>
            <w:tcW w:w="3945"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low number of substitutes </w:t>
            </w:r>
            <w:r>
              <w:rPr>
                <w:rFonts w:ascii="Times New Roman" w:eastAsia="Times New Roman" w:hAnsi="Times New Roman" w:cs="Times New Roman"/>
                <w:sz w:val="24"/>
                <w:szCs w:val="24"/>
              </w:rPr>
              <w:t>present in the market</w:t>
            </w:r>
          </w:p>
        </w:tc>
        <w:tc>
          <w:tcPr>
            <w:tcW w:w="2295"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Low</w:t>
            </w:r>
          </w:p>
        </w:tc>
      </w:tr>
      <w:tr w:rsidR="00717814">
        <w:trPr>
          <w:cantSplit/>
          <w:tblHeader/>
        </w:trPr>
        <w:tc>
          <w:tcPr>
            <w:tcW w:w="3120"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threat of new entrants</w:t>
            </w:r>
          </w:p>
        </w:tc>
        <w:tc>
          <w:tcPr>
            <w:tcW w:w="3945"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Low cost of entry in the agriculture industry</w:t>
            </w:r>
          </w:p>
        </w:tc>
        <w:tc>
          <w:tcPr>
            <w:tcW w:w="2295"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Moderate</w:t>
            </w:r>
          </w:p>
        </w:tc>
      </w:tr>
    </w:tbl>
    <w:p w:rsidR="00717814" w:rsidRDefault="00430CAC">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Porter’s five forces</w:t>
      </w:r>
    </w:p>
    <w:p w:rsidR="00717814" w:rsidRDefault="00430CAC">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rsidR="00717814" w:rsidRDefault="00430CA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1</w:t>
      </w:r>
      <w:r>
        <w:rPr>
          <w:rFonts w:ascii="Times New Roman" w:eastAsia="Times New Roman" w:hAnsi="Times New Roman" w:cs="Times New Roman"/>
          <w:sz w:val="24"/>
          <w:szCs w:val="24"/>
        </w:rPr>
        <w:t xml:space="preserve">979, Michael E. Porter issued a toolkit about competitive forces which is a definitive tool to identify forces that are driving competition in industry (Isabelle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Therefore, this tool is a suitable framework to help industries to understand the driving forces. The threat of </w:t>
      </w:r>
      <w:r>
        <w:rPr>
          <w:rFonts w:ascii="Times New Roman" w:eastAsia="Times New Roman" w:hAnsi="Times New Roman" w:cs="Times New Roman"/>
          <w:sz w:val="24"/>
          <w:szCs w:val="24"/>
        </w:rPr>
        <w:lastRenderedPageBreak/>
        <w:t xml:space="preserve">competitive rivalry is low as there are a low number of competitors present in the agriculture market. The bargaining power of consumers will be high as there is a huge number of buyers present in the market. The bargaining </w:t>
      </w:r>
      <w:r>
        <w:rPr>
          <w:rFonts w:ascii="Times New Roman" w:eastAsia="Times New Roman" w:hAnsi="Times New Roman" w:cs="Times New Roman"/>
          <w:sz w:val="24"/>
          <w:szCs w:val="24"/>
        </w:rPr>
        <w:t xml:space="preserve">power of suppliers and the threat of new entrants are moderate. The threat of substitutes is low as no possible substitute is present in the market.     </w:t>
      </w:r>
    </w:p>
    <w:p w:rsidR="00717814" w:rsidRDefault="00430CA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SWOT</w:t>
      </w:r>
    </w:p>
    <w:tbl>
      <w:tblPr>
        <w:tblStyle w:val="Table3"/>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17814">
        <w:trPr>
          <w:cantSplit/>
          <w:tblHeader/>
        </w:trPr>
        <w:tc>
          <w:tcPr>
            <w:tcW w:w="4680"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Strength</w:t>
            </w:r>
          </w:p>
          <w:p w:rsidR="00717814" w:rsidRDefault="00430CAC">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Flexibility of farmers</w:t>
            </w:r>
          </w:p>
        </w:tc>
        <w:tc>
          <w:tcPr>
            <w:tcW w:w="4680"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Weakness</w:t>
            </w:r>
          </w:p>
          <w:p w:rsidR="00717814" w:rsidRDefault="00430CAC">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Lack of workforce</w:t>
            </w:r>
          </w:p>
        </w:tc>
      </w:tr>
      <w:tr w:rsidR="00717814">
        <w:trPr>
          <w:cantSplit/>
          <w:tblHeader/>
        </w:trPr>
        <w:tc>
          <w:tcPr>
            <w:tcW w:w="4680"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Opportunities</w:t>
            </w:r>
          </w:p>
          <w:p w:rsidR="00717814" w:rsidRDefault="00430CAC">
            <w:pPr>
              <w:pStyle w:val="Normal1"/>
              <w:widowControl w:val="0"/>
              <w:numPr>
                <w:ilvl w:val="0"/>
                <w:numId w:val="9"/>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Six </w:t>
            </w:r>
            <w:r>
              <w:rPr>
                <w:rFonts w:ascii="Times New Roman" w:eastAsia="Times New Roman" w:hAnsi="Times New Roman" w:cs="Times New Roman"/>
                <w:sz w:val="24"/>
                <w:szCs w:val="24"/>
              </w:rPr>
              <w:t>adaptation strategies</w:t>
            </w:r>
          </w:p>
        </w:tc>
        <w:tc>
          <w:tcPr>
            <w:tcW w:w="4680"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Threats</w:t>
            </w:r>
          </w:p>
          <w:p w:rsidR="00717814" w:rsidRDefault="00430CAC">
            <w:pPr>
              <w:pStyle w:val="Norma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Only 40% of farmers adopted the change </w:t>
            </w:r>
          </w:p>
        </w:tc>
      </w:tr>
    </w:tbl>
    <w:p w:rsidR="00717814" w:rsidRDefault="00430CAC">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3: SWOT analysis</w:t>
      </w:r>
    </w:p>
    <w:p w:rsidR="00717814" w:rsidRDefault="00430CAC">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rsidR="00717814" w:rsidRDefault="00430CA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SWOT analysis is a tool for companies to evaluate their </w:t>
      </w:r>
      <w:r>
        <w:rPr>
          <w:rFonts w:ascii="Times New Roman" w:eastAsia="Times New Roman" w:hAnsi="Times New Roman" w:cs="Times New Roman"/>
          <w:sz w:val="24"/>
          <w:szCs w:val="24"/>
        </w:rPr>
        <w:t xml:space="preserve">position and is widely used to analyse the external and internal environment of companies during times of indecision (Benzaghta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 The identified strength of the farmers is the flexibility of farmers which helped them to adapt to situations regarding the pandemic. Weaknesses include a lack of workforce which reduced production. However, the six adaptation strategies of the farmers will help them to fight the challenges of the pandemic. The threat to farmers is that only 40% of them adapted to the</w:t>
      </w:r>
      <w:r>
        <w:rPr>
          <w:rFonts w:ascii="Times New Roman" w:eastAsia="Times New Roman" w:hAnsi="Times New Roman" w:cs="Times New Roman"/>
          <w:sz w:val="24"/>
          <w:szCs w:val="24"/>
        </w:rPr>
        <w:t xml:space="preserve"> changes which can create challenges for other farmers.   </w:t>
      </w:r>
    </w:p>
    <w:p w:rsidR="00717814" w:rsidRDefault="00430CAC">
      <w:pPr>
        <w:pStyle w:val="Heading1"/>
      </w:pPr>
      <w:bookmarkStart w:id="3" w:name="_Toc152443531"/>
      <w:r>
        <w:t>Objectives</w:t>
      </w:r>
      <w:bookmarkEnd w:id="3"/>
    </w:p>
    <w:p w:rsidR="00717814" w:rsidRDefault="00430CA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primary objective of the firm is to mitigate the challenges created due to COVID-19 such as balancing food demand and supply, changing sales channels and developmental issues.  </w:t>
      </w:r>
    </w:p>
    <w:p w:rsidR="00717814" w:rsidRDefault="00430CAC">
      <w:pPr>
        <w:pStyle w:val="Heading1"/>
      </w:pPr>
      <w:bookmarkStart w:id="4" w:name="_Toc152443532"/>
      <w:r>
        <w:t>Strategies and Tactics</w:t>
      </w:r>
      <w:bookmarkEnd w:id="4"/>
    </w:p>
    <w:p w:rsidR="00717814" w:rsidRDefault="00430CAC">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Ansoff Matrix</w:t>
      </w:r>
    </w:p>
    <w:p w:rsidR="00717814" w:rsidRDefault="00430CA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Ansoff matrix was developed to provide four growth alternatives for developing industries and protect them from different risks (Clarissia, 2020).</w:t>
      </w:r>
    </w:p>
    <w:p w:rsidR="00717814" w:rsidRDefault="00430CAC">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0" distB="0" distL="0" distR="0">
            <wp:extent cx="4552950" cy="2047874"/>
            <wp:effectExtent l="19050" t="0" r="0" b="0"/>
            <wp:docPr id="1026" name="image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png"/>
                    <pic:cNvPicPr/>
                  </pic:nvPicPr>
                  <pic:blipFill>
                    <a:blip r:embed="rId8" cstate="print"/>
                    <a:srcRect/>
                    <a:stretch/>
                  </pic:blipFill>
                  <pic:spPr>
                    <a:xfrm>
                      <a:off x="0" y="0"/>
                      <a:ext cx="4552950" cy="2047874"/>
                    </a:xfrm>
                    <a:prstGeom prst="rect">
                      <a:avLst/>
                    </a:prstGeom>
                  </pic:spPr>
                </pic:pic>
              </a:graphicData>
            </a:graphic>
          </wp:inline>
        </w:drawing>
      </w:r>
    </w:p>
    <w:p w:rsidR="00717814" w:rsidRDefault="00430CAC">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Ansoff matrix</w:t>
      </w:r>
    </w:p>
    <w:p w:rsidR="00717814" w:rsidRDefault="00430CAC">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Clarissia, 2020)</w:t>
      </w:r>
    </w:p>
    <w:p w:rsidR="00717814" w:rsidRDefault="00430CA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the </w:t>
      </w:r>
      <w:r>
        <w:rPr>
          <w:rFonts w:ascii="Times New Roman" w:eastAsia="Times New Roman" w:hAnsi="Times New Roman" w:cs="Times New Roman"/>
          <w:sz w:val="24"/>
          <w:szCs w:val="24"/>
        </w:rPr>
        <w:t>matrix will help the company to make decisions related to marketing plans which will help farmers to improve their profitability. The farmers are adopting six strategies which can help them to increase their productivity. Farmers are adopting redistribution and replacement which will help them to increase diversification in their products. Diversification is defined as a growth strategy which involves entering a new market while developing a new product (Nibusinessinfo, 2023). Therefore, these strategies wi</w:t>
      </w:r>
      <w:r>
        <w:rPr>
          <w:rFonts w:ascii="Times New Roman" w:eastAsia="Times New Roman" w:hAnsi="Times New Roman" w:cs="Times New Roman"/>
          <w:sz w:val="24"/>
          <w:szCs w:val="24"/>
        </w:rPr>
        <w:t>ll help the company to increase its market and improve trade which will help the company to increase its profitability. The farmers also adopted outlet adjustment which will help them to develop their market. Developing the market will lessen the challenges regarding demand and supply. The farmers are also adopting farm adjustments which will help them to develop products which will help them to increase profitability for the company. The development of products will help farmers increase compliance with co</w:t>
      </w:r>
      <w:r>
        <w:rPr>
          <w:rFonts w:ascii="Times New Roman" w:eastAsia="Times New Roman" w:hAnsi="Times New Roman" w:cs="Times New Roman"/>
          <w:sz w:val="24"/>
          <w:szCs w:val="24"/>
        </w:rPr>
        <w:t xml:space="preserve">nsumers which will increase profitability.        </w:t>
      </w:r>
    </w:p>
    <w:p w:rsidR="00717814" w:rsidRDefault="00430CA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Porter’s Generic Strategies</w:t>
      </w:r>
    </w:p>
    <w:p w:rsidR="00717814" w:rsidRDefault="00430CA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Porter asserts that for firms to compete successfully and achieve profits, they need to choose one of the three strategies such as differentiation, focus and cost leadership (Firoz Suleman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Therefore, these strategies can help companies to implement strategies which will help them to survive in the market and increase profitability. </w:t>
      </w:r>
    </w:p>
    <w:p w:rsidR="00717814" w:rsidRDefault="00430CAC">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0" distB="0" distL="0" distR="0">
            <wp:extent cx="3705225" cy="2295525"/>
            <wp:effectExtent l="0" t="0" r="0" b="0"/>
            <wp:docPr id="1027"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cstate="print"/>
                    <a:srcRect/>
                    <a:stretch/>
                  </pic:blipFill>
                  <pic:spPr>
                    <a:xfrm>
                      <a:off x="0" y="0"/>
                      <a:ext cx="3705225" cy="2295525"/>
                    </a:xfrm>
                    <a:prstGeom prst="rect">
                      <a:avLst/>
                    </a:prstGeom>
                  </pic:spPr>
                </pic:pic>
              </a:graphicData>
            </a:graphic>
          </wp:inline>
        </w:drawing>
      </w:r>
    </w:p>
    <w:p w:rsidR="00717814" w:rsidRDefault="00430CAC">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Generic competitive strategy, Porter (1980)</w:t>
      </w:r>
    </w:p>
    <w:p w:rsidR="00717814" w:rsidRDefault="00430CAC">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Ali and Anwar, 2021)</w:t>
      </w:r>
    </w:p>
    <w:p w:rsidR="00717814" w:rsidRDefault="00430CA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farmers are adopting streamlining which can help the farmers to build resistance which will help them manage risks. This will help them to mitigate risks which will reduce the costs of production. This will help the company to implement a cost leadership strategy which will help them to increase profitability.  </w:t>
      </w:r>
    </w:p>
    <w:p w:rsidR="00717814" w:rsidRDefault="00430CAC">
      <w:pPr>
        <w:pStyle w:val="Heading1"/>
        <w:rPr>
          <w:sz w:val="24"/>
          <w:szCs w:val="24"/>
        </w:rPr>
      </w:pPr>
      <w:bookmarkStart w:id="5" w:name="_Toc152443533"/>
      <w:r>
        <w:t>Action Plan</w:t>
      </w:r>
      <w:bookmarkEnd w:id="5"/>
    </w:p>
    <w:tbl>
      <w:tblPr>
        <w:tblStyle w:val="Table4"/>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717814">
        <w:trPr>
          <w:cantSplit/>
          <w:tblHeader/>
        </w:trPr>
        <w:tc>
          <w:tcPr>
            <w:tcW w:w="1872"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Objective</w:t>
            </w:r>
          </w:p>
        </w:tc>
        <w:tc>
          <w:tcPr>
            <w:tcW w:w="1872"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Activity</w:t>
            </w:r>
          </w:p>
        </w:tc>
        <w:tc>
          <w:tcPr>
            <w:tcW w:w="1872"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Resources</w:t>
            </w:r>
          </w:p>
        </w:tc>
        <w:tc>
          <w:tcPr>
            <w:tcW w:w="1872"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Duration</w:t>
            </w:r>
          </w:p>
        </w:tc>
        <w:tc>
          <w:tcPr>
            <w:tcW w:w="1872"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Expected Outcome</w:t>
            </w:r>
          </w:p>
        </w:tc>
      </w:tr>
      <w:tr w:rsidR="00717814">
        <w:trPr>
          <w:cantSplit/>
          <w:trHeight w:val="440"/>
          <w:tblHeader/>
        </w:trPr>
        <w:tc>
          <w:tcPr>
            <w:tcW w:w="1872" w:type="dxa"/>
            <w:vMerge w:val="restart"/>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Balancing food demand and supply</w:t>
            </w:r>
          </w:p>
        </w:tc>
        <w:tc>
          <w:tcPr>
            <w:tcW w:w="1872"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Redistribution</w:t>
            </w:r>
          </w:p>
        </w:tc>
        <w:tc>
          <w:tcPr>
            <w:tcW w:w="1872"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Distributor registration portal</w:t>
            </w:r>
          </w:p>
        </w:tc>
        <w:tc>
          <w:tcPr>
            <w:tcW w:w="1872"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 to 3 months</w:t>
            </w:r>
          </w:p>
        </w:tc>
        <w:tc>
          <w:tcPr>
            <w:tcW w:w="1872"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Improved </w:t>
            </w:r>
            <w:r>
              <w:rPr>
                <w:rFonts w:ascii="Times New Roman" w:eastAsia="Times New Roman" w:hAnsi="Times New Roman" w:cs="Times New Roman"/>
                <w:sz w:val="24"/>
                <w:szCs w:val="24"/>
              </w:rPr>
              <w:t>distribution channels</w:t>
            </w:r>
          </w:p>
        </w:tc>
      </w:tr>
      <w:tr w:rsidR="00717814">
        <w:trPr>
          <w:cantSplit/>
          <w:trHeight w:val="440"/>
          <w:tblHeader/>
        </w:trPr>
        <w:tc>
          <w:tcPr>
            <w:tcW w:w="1872" w:type="dxa"/>
            <w:vMerge/>
            <w:shd w:val="clear" w:color="auto" w:fill="auto"/>
            <w:tcMar>
              <w:top w:w="100" w:type="dxa"/>
              <w:left w:w="100" w:type="dxa"/>
              <w:bottom w:w="100" w:type="dxa"/>
              <w:right w:w="100" w:type="dxa"/>
            </w:tcMar>
          </w:tcPr>
          <w:p w:rsidR="00717814" w:rsidRDefault="00717814">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1872"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Streamlining</w:t>
            </w:r>
          </w:p>
        </w:tc>
        <w:tc>
          <w:tcPr>
            <w:tcW w:w="1872"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Cloud-based risk management software</w:t>
            </w:r>
          </w:p>
        </w:tc>
        <w:tc>
          <w:tcPr>
            <w:tcW w:w="1872"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 to 6 months</w:t>
            </w:r>
          </w:p>
        </w:tc>
        <w:tc>
          <w:tcPr>
            <w:tcW w:w="1872"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Better risk management</w:t>
            </w:r>
          </w:p>
        </w:tc>
      </w:tr>
      <w:tr w:rsidR="00717814">
        <w:trPr>
          <w:cantSplit/>
          <w:trHeight w:val="440"/>
          <w:tblHeader/>
        </w:trPr>
        <w:tc>
          <w:tcPr>
            <w:tcW w:w="1872" w:type="dxa"/>
            <w:vMerge/>
            <w:shd w:val="clear" w:color="auto" w:fill="auto"/>
            <w:tcMar>
              <w:top w:w="100" w:type="dxa"/>
              <w:left w:w="100" w:type="dxa"/>
              <w:bottom w:w="100" w:type="dxa"/>
              <w:right w:w="100" w:type="dxa"/>
            </w:tcMar>
          </w:tcPr>
          <w:p w:rsidR="00717814" w:rsidRDefault="00717814">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1872"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Collaboration</w:t>
            </w:r>
          </w:p>
        </w:tc>
        <w:tc>
          <w:tcPr>
            <w:tcW w:w="1872"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Contract papers</w:t>
            </w:r>
          </w:p>
        </w:tc>
        <w:tc>
          <w:tcPr>
            <w:tcW w:w="1872"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 to 2 months</w:t>
            </w:r>
          </w:p>
        </w:tc>
        <w:tc>
          <w:tcPr>
            <w:tcW w:w="1872"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Transparent supply chain</w:t>
            </w:r>
          </w:p>
        </w:tc>
      </w:tr>
      <w:tr w:rsidR="00717814">
        <w:trPr>
          <w:cantSplit/>
          <w:trHeight w:val="440"/>
          <w:tblHeader/>
        </w:trPr>
        <w:tc>
          <w:tcPr>
            <w:tcW w:w="1872" w:type="dxa"/>
            <w:vMerge w:val="restart"/>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Changing sales channels and development </w:t>
            </w:r>
          </w:p>
        </w:tc>
        <w:tc>
          <w:tcPr>
            <w:tcW w:w="1872"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Firm adjustment</w:t>
            </w:r>
          </w:p>
        </w:tc>
        <w:tc>
          <w:tcPr>
            <w:tcW w:w="1872"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Satellites</w:t>
            </w:r>
          </w:p>
        </w:tc>
        <w:tc>
          <w:tcPr>
            <w:tcW w:w="1872"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 to 18 months</w:t>
            </w:r>
          </w:p>
        </w:tc>
        <w:tc>
          <w:tcPr>
            <w:tcW w:w="1872" w:type="dxa"/>
            <w:shd w:val="clear" w:color="auto" w:fill="auto"/>
            <w:tcMar>
              <w:top w:w="100" w:type="dxa"/>
              <w:left w:w="100" w:type="dxa"/>
              <w:bottom w:w="100" w:type="dxa"/>
              <w:right w:w="100" w:type="dxa"/>
            </w:tcMar>
          </w:tcPr>
          <w:p w:rsidR="00717814" w:rsidRDefault="00430CAC">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Better crop management</w:t>
            </w:r>
          </w:p>
        </w:tc>
      </w:tr>
      <w:tr w:rsidR="00717814">
        <w:trPr>
          <w:cantSplit/>
          <w:trHeight w:val="440"/>
          <w:tblHeader/>
        </w:trPr>
        <w:tc>
          <w:tcPr>
            <w:tcW w:w="1872" w:type="dxa"/>
            <w:vMerge/>
            <w:shd w:val="clear" w:color="auto" w:fill="auto"/>
            <w:tcMar>
              <w:top w:w="100" w:type="dxa"/>
              <w:left w:w="100" w:type="dxa"/>
              <w:bottom w:w="100" w:type="dxa"/>
              <w:right w:w="100" w:type="dxa"/>
            </w:tcMar>
          </w:tcPr>
          <w:p w:rsidR="00717814" w:rsidRDefault="00717814">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1872"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Outlet adjustment</w:t>
            </w:r>
          </w:p>
        </w:tc>
        <w:tc>
          <w:tcPr>
            <w:tcW w:w="1872"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AI-based technologies  </w:t>
            </w:r>
          </w:p>
        </w:tc>
        <w:tc>
          <w:tcPr>
            <w:tcW w:w="1872"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 to 6 months</w:t>
            </w:r>
          </w:p>
        </w:tc>
        <w:tc>
          <w:tcPr>
            <w:tcW w:w="1872"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better understanding of sales and development</w:t>
            </w:r>
          </w:p>
        </w:tc>
      </w:tr>
      <w:tr w:rsidR="00717814">
        <w:trPr>
          <w:cantSplit/>
          <w:trHeight w:val="440"/>
          <w:tblHeader/>
        </w:trPr>
        <w:tc>
          <w:tcPr>
            <w:tcW w:w="1872" w:type="dxa"/>
            <w:vMerge/>
            <w:shd w:val="clear" w:color="auto" w:fill="auto"/>
            <w:tcMar>
              <w:top w:w="100" w:type="dxa"/>
              <w:left w:w="100" w:type="dxa"/>
              <w:bottom w:w="100" w:type="dxa"/>
              <w:right w:w="100" w:type="dxa"/>
            </w:tcMar>
          </w:tcPr>
          <w:p w:rsidR="00717814" w:rsidRDefault="00717814">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1872"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Replacement</w:t>
            </w:r>
          </w:p>
        </w:tc>
        <w:tc>
          <w:tcPr>
            <w:tcW w:w="1872"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Modern tools for </w:t>
            </w:r>
            <w:r>
              <w:rPr>
                <w:rFonts w:ascii="Times New Roman" w:eastAsia="Times New Roman" w:hAnsi="Times New Roman" w:cs="Times New Roman"/>
                <w:sz w:val="24"/>
                <w:szCs w:val="24"/>
              </w:rPr>
              <w:t>cultivation</w:t>
            </w:r>
          </w:p>
        </w:tc>
        <w:tc>
          <w:tcPr>
            <w:tcW w:w="1872"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 to 7 months</w:t>
            </w:r>
          </w:p>
        </w:tc>
        <w:tc>
          <w:tcPr>
            <w:tcW w:w="1872" w:type="dxa"/>
            <w:shd w:val="clear" w:color="auto" w:fill="auto"/>
            <w:tcMar>
              <w:top w:w="100" w:type="dxa"/>
              <w:left w:w="100" w:type="dxa"/>
              <w:bottom w:w="100" w:type="dxa"/>
              <w:right w:w="100" w:type="dxa"/>
            </w:tcMar>
          </w:tcPr>
          <w:p w:rsidR="00717814" w:rsidRDefault="00430CA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Better production</w:t>
            </w:r>
          </w:p>
        </w:tc>
      </w:tr>
    </w:tbl>
    <w:p w:rsidR="00717814" w:rsidRDefault="00430CAC">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4: Action plan</w:t>
      </w:r>
    </w:p>
    <w:p w:rsidR="00717814" w:rsidRDefault="00430CAC">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rsidR="00717814" w:rsidRDefault="00430CA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primary target or objective of the company is to increase the balance between supply and demand</w:t>
      </w:r>
      <w:r>
        <w:rPr>
          <w:rFonts w:ascii="Times New Roman" w:eastAsia="Times New Roman" w:hAnsi="Times New Roman" w:cs="Times New Roman"/>
          <w:sz w:val="24"/>
          <w:szCs w:val="24"/>
        </w:rPr>
        <w:t xml:space="preserve"> which will help them to increase their profitability. The balance between supply and demand will help the farmers to meet the requirements of consumers. They can use a distributor registration process which will help them to increase the visibility of distribution channels which will help them to increase traceability. The company can further use cloud-based services which will help them in better risk management. Cloud computing expanded and grown quickly around the world (Sadeeq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Therefore, </w:t>
      </w:r>
      <w:r>
        <w:rPr>
          <w:rFonts w:ascii="Times New Roman" w:eastAsia="Times New Roman" w:hAnsi="Times New Roman" w:cs="Times New Roman"/>
          <w:sz w:val="24"/>
          <w:szCs w:val="24"/>
        </w:rPr>
        <w:t>this technology can help companies to increase their risk management. For outlet management, farmers can use AI-based technologies which will help them to increase understanding of sales and development. AI can help the company to increase visibility of the market which will help them to increase sales. AI systems are effective in analysing soil management data such as moisture, use of water, pesticides and fertilisers (Eli-Chukwu, 2019). This will help them to increase their production and reach their obje</w:t>
      </w:r>
      <w:r>
        <w:rPr>
          <w:rFonts w:ascii="Times New Roman" w:eastAsia="Times New Roman" w:hAnsi="Times New Roman" w:cs="Times New Roman"/>
          <w:sz w:val="24"/>
          <w:szCs w:val="24"/>
        </w:rPr>
        <w:t xml:space="preserve">ctives.     </w:t>
      </w:r>
    </w:p>
    <w:p w:rsidR="00717814" w:rsidRDefault="00430CAC">
      <w:pPr>
        <w:pStyle w:val="Heading1"/>
        <w:rPr>
          <w:sz w:val="24"/>
          <w:szCs w:val="24"/>
        </w:rPr>
      </w:pPr>
      <w:bookmarkStart w:id="6" w:name="_Toc152443534"/>
      <w:r>
        <w:t>Control Measures</w:t>
      </w:r>
      <w:bookmarkEnd w:id="6"/>
    </w:p>
    <w:tbl>
      <w:tblPr>
        <w:tblStyle w:val="Table5"/>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30"/>
        <w:gridCol w:w="3210"/>
        <w:gridCol w:w="3120"/>
      </w:tblGrid>
      <w:tr w:rsidR="00717814">
        <w:trPr>
          <w:cantSplit/>
          <w:tblHeader/>
        </w:trPr>
        <w:tc>
          <w:tcPr>
            <w:tcW w:w="3030" w:type="dxa"/>
            <w:shd w:val="clear" w:color="auto" w:fill="auto"/>
            <w:tcMar>
              <w:top w:w="100" w:type="dxa"/>
              <w:left w:w="100" w:type="dxa"/>
              <w:bottom w:w="100" w:type="dxa"/>
              <w:right w:w="100" w:type="dxa"/>
            </w:tcMar>
          </w:tcPr>
          <w:p w:rsidR="00717814" w:rsidRDefault="00430CAC">
            <w:pPr>
              <w:pStyle w:val="Normal1"/>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Objective</w:t>
            </w:r>
          </w:p>
        </w:tc>
        <w:tc>
          <w:tcPr>
            <w:tcW w:w="3210" w:type="dxa"/>
            <w:shd w:val="clear" w:color="auto" w:fill="auto"/>
            <w:tcMar>
              <w:top w:w="100" w:type="dxa"/>
              <w:left w:w="100" w:type="dxa"/>
              <w:bottom w:w="100" w:type="dxa"/>
              <w:right w:w="100" w:type="dxa"/>
            </w:tcMar>
          </w:tcPr>
          <w:p w:rsidR="00717814" w:rsidRDefault="00430CAC">
            <w:pPr>
              <w:pStyle w:val="Normal1"/>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Activity</w:t>
            </w:r>
          </w:p>
        </w:tc>
        <w:tc>
          <w:tcPr>
            <w:tcW w:w="3120" w:type="dxa"/>
            <w:shd w:val="clear" w:color="auto" w:fill="auto"/>
            <w:tcMar>
              <w:top w:w="100" w:type="dxa"/>
              <w:left w:w="100" w:type="dxa"/>
              <w:bottom w:w="100" w:type="dxa"/>
              <w:right w:w="100" w:type="dxa"/>
            </w:tcMar>
          </w:tcPr>
          <w:p w:rsidR="00717814" w:rsidRDefault="00430CAC">
            <w:pPr>
              <w:pStyle w:val="Normal1"/>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Measures</w:t>
            </w:r>
          </w:p>
        </w:tc>
      </w:tr>
      <w:tr w:rsidR="00717814">
        <w:trPr>
          <w:cantSplit/>
          <w:trHeight w:val="440"/>
          <w:tblHeader/>
        </w:trPr>
        <w:tc>
          <w:tcPr>
            <w:tcW w:w="3030" w:type="dxa"/>
            <w:vMerge w:val="restart"/>
            <w:shd w:val="clear" w:color="auto" w:fill="auto"/>
            <w:tcMar>
              <w:top w:w="100" w:type="dxa"/>
              <w:left w:w="100" w:type="dxa"/>
              <w:bottom w:w="100" w:type="dxa"/>
              <w:right w:w="100" w:type="dxa"/>
            </w:tcMar>
          </w:tcPr>
          <w:p w:rsidR="00717814" w:rsidRDefault="00430CAC">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Balancing food demand and supply</w:t>
            </w:r>
          </w:p>
        </w:tc>
        <w:tc>
          <w:tcPr>
            <w:tcW w:w="3210" w:type="dxa"/>
            <w:shd w:val="clear" w:color="auto" w:fill="auto"/>
            <w:tcMar>
              <w:top w:w="100" w:type="dxa"/>
              <w:left w:w="100" w:type="dxa"/>
              <w:bottom w:w="100" w:type="dxa"/>
              <w:right w:w="100" w:type="dxa"/>
            </w:tcMar>
          </w:tcPr>
          <w:p w:rsidR="00717814" w:rsidRDefault="00430CAC">
            <w:pPr>
              <w:pStyle w:val="Normal1"/>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Redistribution</w:t>
            </w:r>
          </w:p>
        </w:tc>
        <w:tc>
          <w:tcPr>
            <w:tcW w:w="3120" w:type="dxa"/>
            <w:shd w:val="clear" w:color="auto" w:fill="auto"/>
            <w:tcMar>
              <w:top w:w="100" w:type="dxa"/>
              <w:left w:w="100" w:type="dxa"/>
              <w:bottom w:w="100" w:type="dxa"/>
              <w:right w:w="100" w:type="dxa"/>
            </w:tcMar>
          </w:tcPr>
          <w:p w:rsidR="00717814" w:rsidRDefault="00430CAC">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Keeping good relations with suppliers</w:t>
            </w:r>
          </w:p>
        </w:tc>
      </w:tr>
      <w:tr w:rsidR="00717814">
        <w:trPr>
          <w:cantSplit/>
          <w:trHeight w:val="440"/>
          <w:tblHeader/>
        </w:trPr>
        <w:tc>
          <w:tcPr>
            <w:tcW w:w="3030" w:type="dxa"/>
            <w:vMerge/>
            <w:shd w:val="clear" w:color="auto" w:fill="auto"/>
            <w:tcMar>
              <w:top w:w="100" w:type="dxa"/>
              <w:left w:w="100" w:type="dxa"/>
              <w:bottom w:w="100" w:type="dxa"/>
              <w:right w:w="100" w:type="dxa"/>
            </w:tcMar>
          </w:tcPr>
          <w:p w:rsidR="00717814" w:rsidRDefault="00717814">
            <w:pPr>
              <w:pStyle w:val="Normal1"/>
              <w:widowControl w:val="0"/>
              <w:spacing w:line="360" w:lineRule="auto"/>
              <w:rPr>
                <w:rFonts w:ascii="Times New Roman" w:eastAsia="Times New Roman" w:hAnsi="Times New Roman" w:cs="Times New Roman"/>
                <w:sz w:val="24"/>
                <w:szCs w:val="24"/>
              </w:rPr>
            </w:pPr>
          </w:p>
        </w:tc>
        <w:tc>
          <w:tcPr>
            <w:tcW w:w="3210" w:type="dxa"/>
            <w:shd w:val="clear" w:color="auto" w:fill="auto"/>
            <w:tcMar>
              <w:top w:w="100" w:type="dxa"/>
              <w:left w:w="100" w:type="dxa"/>
              <w:bottom w:w="100" w:type="dxa"/>
              <w:right w:w="100" w:type="dxa"/>
            </w:tcMar>
          </w:tcPr>
          <w:p w:rsidR="00717814" w:rsidRDefault="00430CAC">
            <w:pPr>
              <w:pStyle w:val="Normal1"/>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Streamlining</w:t>
            </w:r>
          </w:p>
        </w:tc>
        <w:tc>
          <w:tcPr>
            <w:tcW w:w="3120" w:type="dxa"/>
            <w:shd w:val="clear" w:color="auto" w:fill="auto"/>
            <w:tcMar>
              <w:top w:w="100" w:type="dxa"/>
              <w:left w:w="100" w:type="dxa"/>
              <w:bottom w:w="100" w:type="dxa"/>
              <w:right w:w="100" w:type="dxa"/>
            </w:tcMar>
          </w:tcPr>
          <w:p w:rsidR="00717814" w:rsidRDefault="00430CAC">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Follow up on the procedures</w:t>
            </w:r>
          </w:p>
        </w:tc>
      </w:tr>
      <w:tr w:rsidR="00717814">
        <w:trPr>
          <w:cantSplit/>
          <w:trHeight w:val="440"/>
          <w:tblHeader/>
        </w:trPr>
        <w:tc>
          <w:tcPr>
            <w:tcW w:w="3030" w:type="dxa"/>
            <w:vMerge/>
            <w:shd w:val="clear" w:color="auto" w:fill="auto"/>
            <w:tcMar>
              <w:top w:w="100" w:type="dxa"/>
              <w:left w:w="100" w:type="dxa"/>
              <w:bottom w:w="100" w:type="dxa"/>
              <w:right w:w="100" w:type="dxa"/>
            </w:tcMar>
          </w:tcPr>
          <w:p w:rsidR="00717814" w:rsidRDefault="00717814">
            <w:pPr>
              <w:pStyle w:val="Normal1"/>
              <w:widowControl w:val="0"/>
              <w:spacing w:line="360" w:lineRule="auto"/>
              <w:rPr>
                <w:rFonts w:ascii="Times New Roman" w:eastAsia="Times New Roman" w:hAnsi="Times New Roman" w:cs="Times New Roman"/>
                <w:sz w:val="24"/>
                <w:szCs w:val="24"/>
              </w:rPr>
            </w:pPr>
          </w:p>
        </w:tc>
        <w:tc>
          <w:tcPr>
            <w:tcW w:w="3210" w:type="dxa"/>
            <w:shd w:val="clear" w:color="auto" w:fill="auto"/>
            <w:tcMar>
              <w:top w:w="100" w:type="dxa"/>
              <w:left w:w="100" w:type="dxa"/>
              <w:bottom w:w="100" w:type="dxa"/>
              <w:right w:w="100" w:type="dxa"/>
            </w:tcMar>
          </w:tcPr>
          <w:p w:rsidR="00717814" w:rsidRDefault="00430CAC">
            <w:pPr>
              <w:pStyle w:val="Normal1"/>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Collaboration</w:t>
            </w:r>
          </w:p>
        </w:tc>
        <w:tc>
          <w:tcPr>
            <w:tcW w:w="3120" w:type="dxa"/>
            <w:shd w:val="clear" w:color="auto" w:fill="auto"/>
            <w:tcMar>
              <w:top w:w="100" w:type="dxa"/>
              <w:left w:w="100" w:type="dxa"/>
              <w:bottom w:w="100" w:type="dxa"/>
              <w:right w:w="100" w:type="dxa"/>
            </w:tcMar>
          </w:tcPr>
          <w:p w:rsidR="00717814" w:rsidRDefault="00430CAC">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Updating contract papers on a regular basis</w:t>
            </w:r>
          </w:p>
        </w:tc>
      </w:tr>
      <w:tr w:rsidR="00717814">
        <w:trPr>
          <w:cantSplit/>
          <w:trHeight w:val="440"/>
          <w:tblHeader/>
        </w:trPr>
        <w:tc>
          <w:tcPr>
            <w:tcW w:w="3030" w:type="dxa"/>
            <w:vMerge w:val="restart"/>
            <w:shd w:val="clear" w:color="auto" w:fill="auto"/>
            <w:tcMar>
              <w:top w:w="100" w:type="dxa"/>
              <w:left w:w="100" w:type="dxa"/>
              <w:bottom w:w="100" w:type="dxa"/>
              <w:right w:w="100" w:type="dxa"/>
            </w:tcMar>
          </w:tcPr>
          <w:p w:rsidR="00717814" w:rsidRDefault="00430CAC">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Changing sales channels and development </w:t>
            </w:r>
          </w:p>
        </w:tc>
        <w:tc>
          <w:tcPr>
            <w:tcW w:w="3210" w:type="dxa"/>
            <w:shd w:val="clear" w:color="auto" w:fill="auto"/>
            <w:tcMar>
              <w:top w:w="100" w:type="dxa"/>
              <w:left w:w="100" w:type="dxa"/>
              <w:bottom w:w="100" w:type="dxa"/>
              <w:right w:w="100" w:type="dxa"/>
            </w:tcMar>
          </w:tcPr>
          <w:p w:rsidR="00717814" w:rsidRDefault="00430CAC">
            <w:pPr>
              <w:pStyle w:val="Normal1"/>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Firm adjustment</w:t>
            </w:r>
          </w:p>
        </w:tc>
        <w:tc>
          <w:tcPr>
            <w:tcW w:w="3120" w:type="dxa"/>
            <w:shd w:val="clear" w:color="auto" w:fill="auto"/>
            <w:tcMar>
              <w:top w:w="100" w:type="dxa"/>
              <w:left w:w="100" w:type="dxa"/>
              <w:bottom w:w="100" w:type="dxa"/>
              <w:right w:w="100" w:type="dxa"/>
            </w:tcMar>
          </w:tcPr>
          <w:p w:rsidR="00717814" w:rsidRDefault="00430CAC">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Reskilling employees to keep up with advances in technologies</w:t>
            </w:r>
          </w:p>
        </w:tc>
      </w:tr>
      <w:tr w:rsidR="00717814">
        <w:trPr>
          <w:cantSplit/>
          <w:trHeight w:val="440"/>
          <w:tblHeader/>
        </w:trPr>
        <w:tc>
          <w:tcPr>
            <w:tcW w:w="3030" w:type="dxa"/>
            <w:vMerge/>
            <w:shd w:val="clear" w:color="auto" w:fill="auto"/>
            <w:tcMar>
              <w:top w:w="100" w:type="dxa"/>
              <w:left w:w="100" w:type="dxa"/>
              <w:bottom w:w="100" w:type="dxa"/>
              <w:right w:w="100" w:type="dxa"/>
            </w:tcMar>
          </w:tcPr>
          <w:p w:rsidR="00717814" w:rsidRDefault="00717814">
            <w:pPr>
              <w:pStyle w:val="Normal1"/>
              <w:widowControl w:val="0"/>
              <w:spacing w:line="360" w:lineRule="auto"/>
              <w:rPr>
                <w:rFonts w:ascii="Times New Roman" w:eastAsia="Times New Roman" w:hAnsi="Times New Roman" w:cs="Times New Roman"/>
                <w:sz w:val="24"/>
                <w:szCs w:val="24"/>
              </w:rPr>
            </w:pPr>
          </w:p>
        </w:tc>
        <w:tc>
          <w:tcPr>
            <w:tcW w:w="3210" w:type="dxa"/>
            <w:shd w:val="clear" w:color="auto" w:fill="auto"/>
            <w:tcMar>
              <w:top w:w="100" w:type="dxa"/>
              <w:left w:w="100" w:type="dxa"/>
              <w:bottom w:w="100" w:type="dxa"/>
              <w:right w:w="100" w:type="dxa"/>
            </w:tcMar>
          </w:tcPr>
          <w:p w:rsidR="00717814" w:rsidRDefault="00430CAC">
            <w:pPr>
              <w:pStyle w:val="Normal1"/>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Outlet adjustment</w:t>
            </w:r>
          </w:p>
        </w:tc>
        <w:tc>
          <w:tcPr>
            <w:tcW w:w="3120" w:type="dxa"/>
            <w:shd w:val="clear" w:color="auto" w:fill="auto"/>
            <w:tcMar>
              <w:top w:w="100" w:type="dxa"/>
              <w:left w:w="100" w:type="dxa"/>
              <w:bottom w:w="100" w:type="dxa"/>
              <w:right w:w="100" w:type="dxa"/>
            </w:tcMar>
          </w:tcPr>
          <w:p w:rsidR="00717814" w:rsidRDefault="00430CAC">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Establishing cyber-security framework</w:t>
            </w:r>
          </w:p>
        </w:tc>
      </w:tr>
      <w:tr w:rsidR="00717814">
        <w:trPr>
          <w:cantSplit/>
          <w:trHeight w:val="440"/>
          <w:tblHeader/>
        </w:trPr>
        <w:tc>
          <w:tcPr>
            <w:tcW w:w="3030" w:type="dxa"/>
            <w:vMerge/>
            <w:shd w:val="clear" w:color="auto" w:fill="auto"/>
            <w:tcMar>
              <w:top w:w="100" w:type="dxa"/>
              <w:left w:w="100" w:type="dxa"/>
              <w:bottom w:w="100" w:type="dxa"/>
              <w:right w:w="100" w:type="dxa"/>
            </w:tcMar>
          </w:tcPr>
          <w:p w:rsidR="00717814" w:rsidRDefault="00717814">
            <w:pPr>
              <w:pStyle w:val="Normal1"/>
              <w:widowControl w:val="0"/>
              <w:spacing w:line="360" w:lineRule="auto"/>
              <w:rPr>
                <w:rFonts w:ascii="Times New Roman" w:eastAsia="Times New Roman" w:hAnsi="Times New Roman" w:cs="Times New Roman"/>
                <w:sz w:val="24"/>
                <w:szCs w:val="24"/>
              </w:rPr>
            </w:pPr>
          </w:p>
        </w:tc>
        <w:tc>
          <w:tcPr>
            <w:tcW w:w="3210" w:type="dxa"/>
            <w:shd w:val="clear" w:color="auto" w:fill="auto"/>
            <w:tcMar>
              <w:top w:w="100" w:type="dxa"/>
              <w:left w:w="100" w:type="dxa"/>
              <w:bottom w:w="100" w:type="dxa"/>
              <w:right w:w="100" w:type="dxa"/>
            </w:tcMar>
          </w:tcPr>
          <w:p w:rsidR="00717814" w:rsidRDefault="00430CAC">
            <w:pPr>
              <w:pStyle w:val="Normal1"/>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Replacement</w:t>
            </w:r>
          </w:p>
        </w:tc>
        <w:tc>
          <w:tcPr>
            <w:tcW w:w="3120" w:type="dxa"/>
            <w:shd w:val="clear" w:color="auto" w:fill="auto"/>
            <w:tcMar>
              <w:top w:w="100" w:type="dxa"/>
              <w:left w:w="100" w:type="dxa"/>
              <w:bottom w:w="100" w:type="dxa"/>
              <w:right w:w="100" w:type="dxa"/>
            </w:tcMar>
          </w:tcPr>
          <w:p w:rsidR="00717814" w:rsidRDefault="00430CAC">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Keep upgrading the tools according to technical </w:t>
            </w:r>
            <w:r>
              <w:rPr>
                <w:rFonts w:ascii="Times New Roman" w:eastAsia="Times New Roman" w:hAnsi="Times New Roman" w:cs="Times New Roman"/>
                <w:sz w:val="24"/>
                <w:szCs w:val="24"/>
              </w:rPr>
              <w:t>advancements</w:t>
            </w:r>
          </w:p>
        </w:tc>
      </w:tr>
    </w:tbl>
    <w:p w:rsidR="00717814" w:rsidRDefault="00430CAC">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5: Control measures</w:t>
      </w:r>
    </w:p>
    <w:p w:rsidR="00717814" w:rsidRDefault="00430CAC">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rsidR="00717814" w:rsidRDefault="00430CA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control measures will help the farmers to manage the risks and activities which will further improve the process. Farmers need to focus on keeping good relations with suppliers which will help them to increase the smoothness of the supply chain. They can further improve contract paper which will help them to update their terms according to situations. The industry can further upskill and reskill their employees which will help them to adjust firm settings. The promising implementation of AI in organisat</w:t>
      </w:r>
      <w:r>
        <w:rPr>
          <w:rFonts w:ascii="Times New Roman" w:eastAsia="Times New Roman" w:hAnsi="Times New Roman" w:cs="Times New Roman"/>
          <w:sz w:val="24"/>
          <w:szCs w:val="24"/>
        </w:rPr>
        <w:t xml:space="preserve">ions requires employees to upskill themselves (Jaiswal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Therefore, this approach will help them to take measures suitable for controlling the activities. The farmers can further implement a cyber security framework which will help them to implement and control AI-based technologies which will help them increase their profitability.     </w:t>
      </w:r>
    </w:p>
    <w:p w:rsidR="00717814" w:rsidRDefault="00430CAC">
      <w:pPr>
        <w:pStyle w:val="Heading1"/>
      </w:pPr>
      <w:bookmarkStart w:id="7" w:name="_Toc152443535"/>
      <w:r>
        <w:t>Conclusion</w:t>
      </w:r>
      <w:bookmarkEnd w:id="7"/>
      <w:r>
        <w:t xml:space="preserve"> </w:t>
      </w:r>
    </w:p>
    <w:p w:rsidR="00717814" w:rsidRDefault="00430CAC">
      <w:pPr>
        <w:pStyle w:val="Normal1"/>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 xml:space="preserve">The marketing report is effective in building a strategy which will help them to </w:t>
      </w:r>
      <w:r>
        <w:rPr>
          <w:rFonts w:ascii="Times New Roman" w:eastAsia="Times New Roman" w:hAnsi="Times New Roman" w:cs="Times New Roman"/>
          <w:sz w:val="24"/>
          <w:szCs w:val="24"/>
        </w:rPr>
        <w:t xml:space="preserve">increase sales and profitability. During COVID-19, the farmers of Quebec faced severe challenges such as balance between demand and supply and reforming sales channels. The action plan can help them to increase their marketing channels which will increase their profitability.   </w:t>
      </w:r>
      <w:r>
        <w:br w:type="page"/>
      </w:r>
    </w:p>
    <w:p w:rsidR="00717814" w:rsidRDefault="00430CAC">
      <w:pPr>
        <w:pStyle w:val="Heading1"/>
      </w:pPr>
      <w:bookmarkStart w:id="8" w:name="_Toc152443536"/>
      <w:r>
        <w:t>References</w:t>
      </w:r>
      <w:bookmarkEnd w:id="8"/>
      <w:r>
        <w:t xml:space="preserve"> </w:t>
      </w:r>
    </w:p>
    <w:p w:rsidR="00717814" w:rsidRDefault="00430CAC">
      <w:pPr>
        <w:pStyle w:val="Normal1"/>
        <w:spacing w:before="100" w:beforeAutospacing="1" w:after="100" w:afterAutospacing="1" w:line="360" w:lineRule="auto"/>
        <w:jc w:val="both"/>
        <w:rPr>
          <w:rFonts w:ascii="Times New Roman" w:hAnsi="Times New Roman" w:cs="Times New Roman"/>
          <w:sz w:val="24"/>
          <w:szCs w:val="24"/>
          <w:highlight w:val="white"/>
        </w:rPr>
      </w:pPr>
      <w:r>
        <w:rPr>
          <w:rFonts w:ascii="Times New Roman" w:hAnsi="Times New Roman" w:cs="Times New Roman"/>
          <w:sz w:val="24"/>
          <w:szCs w:val="24"/>
          <w:highlight w:val="white"/>
        </w:rPr>
        <w:t xml:space="preserve">Ali, B.J. and Anwar, G., 2021. Porter’s Generic Competitive Strategies and its influence on the Competitive Advantage. </w:t>
      </w:r>
      <w:r>
        <w:rPr>
          <w:rFonts w:ascii="Times New Roman" w:hAnsi="Times New Roman" w:cs="Times New Roman"/>
          <w:i/>
          <w:sz w:val="24"/>
          <w:szCs w:val="24"/>
          <w:highlight w:val="white"/>
        </w:rPr>
        <w:t>Ali, BJ, &amp; Anwar, G.(2021). Porter’s Generic Competitive Strategies and its influence on the Competitive Advantage. International Journal of Advanced Engineering, Management and Science</w:t>
      </w:r>
      <w:r>
        <w:rPr>
          <w:rFonts w:ascii="Times New Roman" w:hAnsi="Times New Roman" w:cs="Times New Roman"/>
          <w:sz w:val="24"/>
          <w:szCs w:val="24"/>
          <w:highlight w:val="white"/>
        </w:rPr>
        <w:t xml:space="preserve">, </w:t>
      </w:r>
      <w:r>
        <w:rPr>
          <w:rFonts w:ascii="Times New Roman" w:hAnsi="Times New Roman" w:cs="Times New Roman"/>
          <w:i/>
          <w:sz w:val="24"/>
          <w:szCs w:val="24"/>
          <w:highlight w:val="white"/>
        </w:rPr>
        <w:t>7</w:t>
      </w:r>
      <w:r>
        <w:rPr>
          <w:rFonts w:ascii="Times New Roman" w:hAnsi="Times New Roman" w:cs="Times New Roman"/>
          <w:sz w:val="24"/>
          <w:szCs w:val="24"/>
          <w:highlight w:val="white"/>
        </w:rPr>
        <w:t xml:space="preserve">(6), pp.42-51. </w:t>
      </w:r>
    </w:p>
    <w:p w:rsidR="00717814" w:rsidRDefault="00430CAC">
      <w:pPr>
        <w:pStyle w:val="Normal1"/>
        <w:spacing w:before="100" w:beforeAutospacing="1" w:after="100" w:afterAutospacing="1" w:line="360" w:lineRule="auto"/>
        <w:jc w:val="both"/>
        <w:rPr>
          <w:rFonts w:ascii="Times New Roman" w:hAnsi="Times New Roman" w:cs="Times New Roman"/>
          <w:sz w:val="24"/>
          <w:szCs w:val="24"/>
          <w:highlight w:val="white"/>
        </w:rPr>
      </w:pPr>
      <w:r>
        <w:rPr>
          <w:rFonts w:ascii="Times New Roman" w:hAnsi="Times New Roman" w:cs="Times New Roman"/>
          <w:sz w:val="24"/>
          <w:szCs w:val="24"/>
          <w:highlight w:val="white"/>
        </w:rPr>
        <w:t xml:space="preserve">Benzaghta, M.A., Elwalda, A., Mousa, M.M., Erkan, I. and Rahman, M., 2021. SWOT analysis applications: An integrative literature review. </w:t>
      </w:r>
      <w:r>
        <w:rPr>
          <w:rFonts w:ascii="Times New Roman" w:hAnsi="Times New Roman" w:cs="Times New Roman"/>
          <w:i/>
          <w:sz w:val="24"/>
          <w:szCs w:val="24"/>
          <w:highlight w:val="white"/>
        </w:rPr>
        <w:t>Journal of Global Business Insights</w:t>
      </w:r>
      <w:r>
        <w:rPr>
          <w:rFonts w:ascii="Times New Roman" w:hAnsi="Times New Roman" w:cs="Times New Roman"/>
          <w:sz w:val="24"/>
          <w:szCs w:val="24"/>
          <w:highlight w:val="white"/>
        </w:rPr>
        <w:t xml:space="preserve">, </w:t>
      </w:r>
      <w:r>
        <w:rPr>
          <w:rFonts w:ascii="Times New Roman" w:hAnsi="Times New Roman" w:cs="Times New Roman"/>
          <w:i/>
          <w:sz w:val="24"/>
          <w:szCs w:val="24"/>
          <w:highlight w:val="white"/>
        </w:rPr>
        <w:t>6</w:t>
      </w:r>
      <w:r>
        <w:rPr>
          <w:rFonts w:ascii="Times New Roman" w:hAnsi="Times New Roman" w:cs="Times New Roman"/>
          <w:sz w:val="24"/>
          <w:szCs w:val="24"/>
          <w:highlight w:val="white"/>
        </w:rPr>
        <w:t xml:space="preserve">(1), pp.55-73. </w:t>
      </w:r>
    </w:p>
    <w:p w:rsidR="00717814" w:rsidRDefault="00430CAC">
      <w:pPr>
        <w:pStyle w:val="Normal1"/>
        <w:spacing w:before="100" w:beforeAutospacing="1" w:after="100" w:afterAutospacing="1" w:line="360" w:lineRule="auto"/>
        <w:jc w:val="both"/>
        <w:rPr>
          <w:rFonts w:ascii="Times New Roman" w:hAnsi="Times New Roman" w:cs="Times New Roman"/>
          <w:sz w:val="24"/>
          <w:szCs w:val="24"/>
          <w:highlight w:val="white"/>
        </w:rPr>
      </w:pPr>
      <w:r>
        <w:rPr>
          <w:rFonts w:ascii="Times New Roman" w:hAnsi="Times New Roman" w:cs="Times New Roman"/>
          <w:sz w:val="24"/>
          <w:szCs w:val="24"/>
          <w:highlight w:val="white"/>
        </w:rPr>
        <w:t xml:space="preserve">Clarissia, S.M.S., 2020. A study on Ansoff Matrix Technique: As a growth strategy and an adaptive learning technique adopted in the leading brand of products. </w:t>
      </w:r>
      <w:r>
        <w:rPr>
          <w:rFonts w:ascii="Times New Roman" w:hAnsi="Times New Roman" w:cs="Times New Roman"/>
          <w:i/>
          <w:sz w:val="24"/>
          <w:szCs w:val="24"/>
          <w:highlight w:val="white"/>
        </w:rPr>
        <w:t>BIMS Journal of Management</w:t>
      </w:r>
      <w:r>
        <w:rPr>
          <w:rFonts w:ascii="Times New Roman" w:hAnsi="Times New Roman" w:cs="Times New Roman"/>
          <w:sz w:val="24"/>
          <w:szCs w:val="24"/>
          <w:highlight w:val="white"/>
        </w:rPr>
        <w:t xml:space="preserve">, </w:t>
      </w:r>
      <w:r>
        <w:rPr>
          <w:rFonts w:ascii="Times New Roman" w:hAnsi="Times New Roman" w:cs="Times New Roman"/>
          <w:i/>
          <w:sz w:val="24"/>
          <w:szCs w:val="24"/>
          <w:highlight w:val="white"/>
        </w:rPr>
        <w:t>18</w:t>
      </w:r>
      <w:r>
        <w:rPr>
          <w:rFonts w:ascii="Times New Roman" w:hAnsi="Times New Roman" w:cs="Times New Roman"/>
          <w:sz w:val="24"/>
          <w:szCs w:val="24"/>
          <w:highlight w:val="white"/>
        </w:rPr>
        <w:t xml:space="preserve">. </w:t>
      </w:r>
    </w:p>
    <w:p w:rsidR="00717814" w:rsidRDefault="00430CAC">
      <w:pPr>
        <w:pStyle w:val="Normal1"/>
        <w:spacing w:before="100" w:beforeAutospacing="1" w:after="100" w:afterAutospacing="1" w:line="360" w:lineRule="auto"/>
        <w:jc w:val="both"/>
        <w:rPr>
          <w:rFonts w:ascii="Times New Roman" w:hAnsi="Times New Roman" w:cs="Times New Roman"/>
          <w:sz w:val="24"/>
          <w:szCs w:val="24"/>
          <w:highlight w:val="white"/>
        </w:rPr>
      </w:pPr>
      <w:r>
        <w:rPr>
          <w:rFonts w:ascii="Times New Roman" w:hAnsi="Times New Roman" w:cs="Times New Roman"/>
          <w:sz w:val="24"/>
          <w:szCs w:val="24"/>
          <w:highlight w:val="white"/>
        </w:rPr>
        <w:t xml:space="preserve">Eli-Chukwu, N.C., 2019. Applications of artificial intelligence in agriculture: A review. </w:t>
      </w:r>
      <w:r>
        <w:rPr>
          <w:rFonts w:ascii="Times New Roman" w:hAnsi="Times New Roman" w:cs="Times New Roman"/>
          <w:i/>
          <w:sz w:val="24"/>
          <w:szCs w:val="24"/>
          <w:highlight w:val="white"/>
        </w:rPr>
        <w:t>Engineering, Technology &amp; Applied Science Research</w:t>
      </w:r>
      <w:r>
        <w:rPr>
          <w:rFonts w:ascii="Times New Roman" w:hAnsi="Times New Roman" w:cs="Times New Roman"/>
          <w:sz w:val="24"/>
          <w:szCs w:val="24"/>
          <w:highlight w:val="white"/>
        </w:rPr>
        <w:t xml:space="preserve">, </w:t>
      </w:r>
      <w:r>
        <w:rPr>
          <w:rFonts w:ascii="Times New Roman" w:hAnsi="Times New Roman" w:cs="Times New Roman"/>
          <w:i/>
          <w:sz w:val="24"/>
          <w:szCs w:val="24"/>
          <w:highlight w:val="white"/>
        </w:rPr>
        <w:t>9</w:t>
      </w:r>
      <w:r>
        <w:rPr>
          <w:rFonts w:ascii="Times New Roman" w:hAnsi="Times New Roman" w:cs="Times New Roman"/>
          <w:sz w:val="24"/>
          <w:szCs w:val="24"/>
          <w:highlight w:val="white"/>
        </w:rPr>
        <w:t>(4).</w:t>
      </w:r>
    </w:p>
    <w:p w:rsidR="00717814" w:rsidRDefault="00430CAC">
      <w:pPr>
        <w:pStyle w:val="Normal1"/>
        <w:spacing w:before="100" w:beforeAutospacing="1" w:after="100" w:afterAutospacing="1" w:line="360" w:lineRule="auto"/>
        <w:jc w:val="both"/>
        <w:rPr>
          <w:rFonts w:ascii="Times New Roman" w:hAnsi="Times New Roman" w:cs="Times New Roman"/>
          <w:sz w:val="24"/>
          <w:szCs w:val="24"/>
          <w:highlight w:val="white"/>
        </w:rPr>
      </w:pPr>
      <w:r>
        <w:rPr>
          <w:rFonts w:ascii="Times New Roman" w:hAnsi="Times New Roman" w:cs="Times New Roman"/>
          <w:sz w:val="24"/>
          <w:szCs w:val="24"/>
          <w:highlight w:val="white"/>
        </w:rPr>
        <w:t xml:space="preserve">Firoz Suleman, M., Rashidirad, M. and Firoz Suleman, S., 2019. The applicability of Porter's generic strategies in pure online firms: A case study approach. </w:t>
      </w:r>
      <w:r>
        <w:rPr>
          <w:rFonts w:ascii="Times New Roman" w:hAnsi="Times New Roman" w:cs="Times New Roman"/>
          <w:i/>
          <w:sz w:val="24"/>
          <w:szCs w:val="24"/>
          <w:highlight w:val="white"/>
        </w:rPr>
        <w:t>Strategic Change</w:t>
      </w:r>
      <w:r>
        <w:rPr>
          <w:rFonts w:ascii="Times New Roman" w:hAnsi="Times New Roman" w:cs="Times New Roman"/>
          <w:sz w:val="24"/>
          <w:szCs w:val="24"/>
          <w:highlight w:val="white"/>
        </w:rPr>
        <w:t xml:space="preserve">, </w:t>
      </w:r>
      <w:r>
        <w:rPr>
          <w:rFonts w:ascii="Times New Roman" w:hAnsi="Times New Roman" w:cs="Times New Roman"/>
          <w:i/>
          <w:sz w:val="24"/>
          <w:szCs w:val="24"/>
          <w:highlight w:val="white"/>
        </w:rPr>
        <w:t>28</w:t>
      </w:r>
      <w:r>
        <w:rPr>
          <w:rFonts w:ascii="Times New Roman" w:hAnsi="Times New Roman" w:cs="Times New Roman"/>
          <w:sz w:val="24"/>
          <w:szCs w:val="24"/>
          <w:highlight w:val="white"/>
        </w:rPr>
        <w:t xml:space="preserve">(3), pp.167-176. </w:t>
      </w:r>
    </w:p>
    <w:p w:rsidR="00717814" w:rsidRDefault="00430CAC">
      <w:pPr>
        <w:pStyle w:val="Normal1"/>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Invest Canada, 2023,</w:t>
      </w:r>
      <w:r>
        <w:rPr>
          <w:rFonts w:ascii="Times New Roman" w:eastAsia="Times New Roman" w:hAnsi="Times New Roman" w:cs="Times New Roman"/>
          <w:i/>
          <w:sz w:val="24"/>
          <w:szCs w:val="24"/>
        </w:rPr>
        <w:t xml:space="preserve"> TECHNOLOGY</w:t>
      </w:r>
      <w:r>
        <w:rPr>
          <w:rFonts w:ascii="Times New Roman" w:eastAsia="Times New Roman" w:hAnsi="Times New Roman" w:cs="Times New Roman"/>
          <w:sz w:val="24"/>
          <w:szCs w:val="24"/>
        </w:rPr>
        <w:t xml:space="preserve">, Available from: </w:t>
      </w:r>
      <w:hyperlink r:id="rId10" w:history="1">
        <w:r>
          <w:rPr>
            <w:rFonts w:ascii="Times New Roman" w:eastAsia="Times New Roman" w:hAnsi="Times New Roman" w:cs="Times New Roman"/>
            <w:sz w:val="24"/>
            <w:szCs w:val="24"/>
            <w:u w:val="single"/>
          </w:rPr>
          <w:t>https://www.investcanada.ca/industries/technology</w:t>
        </w:r>
      </w:hyperlink>
      <w:r>
        <w:rPr>
          <w:rFonts w:ascii="Times New Roman" w:eastAsia="Times New Roman" w:hAnsi="Times New Roman" w:cs="Times New Roman"/>
          <w:sz w:val="24"/>
          <w:szCs w:val="24"/>
        </w:rPr>
        <w:t xml:space="preserve"> [Accessed 02 December 2023]</w:t>
      </w:r>
    </w:p>
    <w:p w:rsidR="00717814" w:rsidRDefault="00430CAC">
      <w:pPr>
        <w:pStyle w:val="Normal1"/>
        <w:spacing w:before="100" w:beforeAutospacing="1" w:after="100" w:afterAutospacing="1" w:line="360" w:lineRule="auto"/>
        <w:jc w:val="both"/>
        <w:rPr>
          <w:rFonts w:ascii="Times New Roman" w:hAnsi="Times New Roman" w:cs="Times New Roman"/>
          <w:sz w:val="24"/>
          <w:szCs w:val="24"/>
          <w:highlight w:val="white"/>
        </w:rPr>
      </w:pPr>
      <w:r>
        <w:rPr>
          <w:rFonts w:ascii="Times New Roman" w:hAnsi="Times New Roman" w:cs="Times New Roman"/>
          <w:sz w:val="24"/>
          <w:szCs w:val="24"/>
          <w:highlight w:val="white"/>
        </w:rPr>
        <w:t xml:space="preserve">Isabelle, D., Horak, K., McKinnon, S. and Palumbo, C., 2020. Is Porter's Five Forces Framework Still Relevant? A study of the capital/labour intensity continuum via mining and IT industries. </w:t>
      </w:r>
      <w:r>
        <w:rPr>
          <w:rFonts w:ascii="Times New Roman" w:hAnsi="Times New Roman" w:cs="Times New Roman"/>
          <w:i/>
          <w:sz w:val="24"/>
          <w:szCs w:val="24"/>
          <w:highlight w:val="white"/>
        </w:rPr>
        <w:t>Technology Innovation Management Review</w:t>
      </w:r>
      <w:r>
        <w:rPr>
          <w:rFonts w:ascii="Times New Roman" w:hAnsi="Times New Roman" w:cs="Times New Roman"/>
          <w:sz w:val="24"/>
          <w:szCs w:val="24"/>
          <w:highlight w:val="white"/>
        </w:rPr>
        <w:t xml:space="preserve">, </w:t>
      </w:r>
      <w:r>
        <w:rPr>
          <w:rFonts w:ascii="Times New Roman" w:hAnsi="Times New Roman" w:cs="Times New Roman"/>
          <w:i/>
          <w:sz w:val="24"/>
          <w:szCs w:val="24"/>
          <w:highlight w:val="white"/>
        </w:rPr>
        <w:t>10</w:t>
      </w:r>
      <w:r>
        <w:rPr>
          <w:rFonts w:ascii="Times New Roman" w:hAnsi="Times New Roman" w:cs="Times New Roman"/>
          <w:sz w:val="24"/>
          <w:szCs w:val="24"/>
          <w:highlight w:val="white"/>
        </w:rPr>
        <w:t xml:space="preserve">(6). </w:t>
      </w:r>
    </w:p>
    <w:p w:rsidR="00717814" w:rsidRDefault="00430CAC">
      <w:pPr>
        <w:pStyle w:val="Normal1"/>
        <w:spacing w:before="100" w:beforeAutospacing="1" w:after="100" w:afterAutospacing="1" w:line="360" w:lineRule="auto"/>
        <w:jc w:val="both"/>
        <w:rPr>
          <w:rFonts w:ascii="Times New Roman" w:hAnsi="Times New Roman" w:cs="Times New Roman"/>
          <w:sz w:val="24"/>
          <w:szCs w:val="24"/>
          <w:highlight w:val="white"/>
        </w:rPr>
      </w:pPr>
      <w:r>
        <w:rPr>
          <w:rFonts w:ascii="Times New Roman" w:hAnsi="Times New Roman" w:cs="Times New Roman"/>
          <w:sz w:val="24"/>
          <w:szCs w:val="24"/>
          <w:highlight w:val="white"/>
        </w:rPr>
        <w:t xml:space="preserve">Jaiswal, A., Arun, C.J. and Varma, A., 2022. Rebooting employees: Upskilling for artificial intelligence in multinational corporations. </w:t>
      </w:r>
      <w:r>
        <w:rPr>
          <w:rFonts w:ascii="Times New Roman" w:hAnsi="Times New Roman" w:cs="Times New Roman"/>
          <w:i/>
          <w:sz w:val="24"/>
          <w:szCs w:val="24"/>
          <w:highlight w:val="white"/>
        </w:rPr>
        <w:t>The International Journal of Human Resource Management</w:t>
      </w:r>
      <w:r>
        <w:rPr>
          <w:rFonts w:ascii="Times New Roman" w:hAnsi="Times New Roman" w:cs="Times New Roman"/>
          <w:sz w:val="24"/>
          <w:szCs w:val="24"/>
          <w:highlight w:val="white"/>
        </w:rPr>
        <w:t xml:space="preserve">, </w:t>
      </w:r>
      <w:r>
        <w:rPr>
          <w:rFonts w:ascii="Times New Roman" w:hAnsi="Times New Roman" w:cs="Times New Roman"/>
          <w:i/>
          <w:sz w:val="24"/>
          <w:szCs w:val="24"/>
          <w:highlight w:val="white"/>
        </w:rPr>
        <w:t>33</w:t>
      </w:r>
      <w:r>
        <w:rPr>
          <w:rFonts w:ascii="Times New Roman" w:hAnsi="Times New Roman" w:cs="Times New Roman"/>
          <w:sz w:val="24"/>
          <w:szCs w:val="24"/>
          <w:highlight w:val="white"/>
        </w:rPr>
        <w:t xml:space="preserve">(6), pp.1179-1208. </w:t>
      </w:r>
    </w:p>
    <w:p w:rsidR="00717814" w:rsidRDefault="00430CAC">
      <w:pPr>
        <w:pStyle w:val="Normal1"/>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Liew, C., 2023,</w:t>
      </w:r>
      <w:r>
        <w:rPr>
          <w:rFonts w:ascii="Times New Roman" w:eastAsia="Times New Roman" w:hAnsi="Times New Roman" w:cs="Times New Roman"/>
          <w:i/>
          <w:sz w:val="24"/>
          <w:szCs w:val="24"/>
        </w:rPr>
        <w:t xml:space="preserve"> Who's to blame for rising food prices in Canada?</w:t>
      </w:r>
      <w:r>
        <w:rPr>
          <w:rFonts w:ascii="Times New Roman" w:eastAsia="Times New Roman" w:hAnsi="Times New Roman" w:cs="Times New Roman"/>
          <w:sz w:val="24"/>
          <w:szCs w:val="24"/>
        </w:rPr>
        <w:t xml:space="preserve">, Available from: </w:t>
      </w:r>
      <w:hyperlink r:id="rId11" w:anchor=":~:text=Additionally%2C%20the%202023%20Canada%20Food,grocery%20costs%20still%20remain%20high" w:history="1">
        <w:r>
          <w:rPr>
            <w:rFonts w:ascii="Times New Roman" w:eastAsia="Times New Roman" w:hAnsi="Times New Roman" w:cs="Times New Roman"/>
            <w:sz w:val="24"/>
            <w:szCs w:val="24"/>
            <w:u w:val="single"/>
          </w:rPr>
          <w:t>https://www.ctvnews.ca/business/who-s-to-blame-for-rising-food-prices-in-canada-1.6599960#:~:text=Additionally%2C%20the%202023%20Canada%20Food,grocery%20costs%20still%20remain%20high</w:t>
        </w:r>
      </w:hyperlink>
      <w:r>
        <w:rPr>
          <w:rFonts w:ascii="Times New Roman" w:eastAsia="Times New Roman" w:hAnsi="Times New Roman" w:cs="Times New Roman"/>
          <w:sz w:val="24"/>
          <w:szCs w:val="24"/>
        </w:rPr>
        <w:t>. [Accessed 02 December 2023]</w:t>
      </w:r>
    </w:p>
    <w:p w:rsidR="00717814" w:rsidRDefault="00430CAC">
      <w:pPr>
        <w:pStyle w:val="Normal1"/>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Nibusinessinfo, 2023, </w:t>
      </w:r>
      <w:r>
        <w:rPr>
          <w:rFonts w:ascii="Times New Roman" w:eastAsia="Times New Roman" w:hAnsi="Times New Roman" w:cs="Times New Roman"/>
          <w:i/>
          <w:sz w:val="24"/>
          <w:szCs w:val="24"/>
        </w:rPr>
        <w:t>Assess your options for business growth</w:t>
      </w:r>
      <w:r>
        <w:rPr>
          <w:rFonts w:ascii="Times New Roman" w:eastAsia="Times New Roman" w:hAnsi="Times New Roman" w:cs="Times New Roman"/>
          <w:sz w:val="24"/>
          <w:szCs w:val="24"/>
        </w:rPr>
        <w:t xml:space="preserve">, Available from: </w:t>
      </w:r>
      <w:hyperlink r:id="rId12" w:history="1">
        <w:r>
          <w:rPr>
            <w:rFonts w:ascii="Times New Roman" w:eastAsia="Times New Roman" w:hAnsi="Times New Roman" w:cs="Times New Roman"/>
            <w:sz w:val="24"/>
            <w:szCs w:val="24"/>
            <w:u w:val="single"/>
          </w:rPr>
          <w:t>https://www.nibusinessinfo.co.uk/content/business-growth-through-diversification</w:t>
        </w:r>
      </w:hyperlink>
      <w:r>
        <w:rPr>
          <w:rFonts w:ascii="Times New Roman" w:eastAsia="Times New Roman" w:hAnsi="Times New Roman" w:cs="Times New Roman"/>
          <w:sz w:val="24"/>
          <w:szCs w:val="24"/>
        </w:rPr>
        <w:t xml:space="preserve"> [Accessed 02 December 2023]</w:t>
      </w:r>
    </w:p>
    <w:p w:rsidR="00717814" w:rsidRDefault="00430CAC">
      <w:pPr>
        <w:pStyle w:val="Normal1"/>
        <w:spacing w:before="100" w:beforeAutospacing="1" w:after="100" w:afterAutospacing="1" w:line="360" w:lineRule="auto"/>
        <w:jc w:val="both"/>
        <w:rPr>
          <w:rFonts w:ascii="Times New Roman" w:hAnsi="Times New Roman" w:cs="Times New Roman"/>
          <w:sz w:val="24"/>
          <w:szCs w:val="24"/>
          <w:highlight w:val="white"/>
        </w:rPr>
      </w:pPr>
      <w:r>
        <w:rPr>
          <w:rFonts w:ascii="Times New Roman" w:hAnsi="Times New Roman" w:cs="Times New Roman"/>
          <w:sz w:val="24"/>
          <w:szCs w:val="24"/>
          <w:highlight w:val="white"/>
        </w:rPr>
        <w:t xml:space="preserve">Sadeeq, M.M., Abdulkareem, N.M., Zeebaree, S.R., Ahmed, D.M., Sami, A.S. and Zebari, R.R., 2021. IoT and Cloud computing issues, challenges and opportunities: A review. </w:t>
      </w:r>
      <w:r>
        <w:rPr>
          <w:rFonts w:ascii="Times New Roman" w:hAnsi="Times New Roman" w:cs="Times New Roman"/>
          <w:i/>
          <w:sz w:val="24"/>
          <w:szCs w:val="24"/>
          <w:highlight w:val="white"/>
        </w:rPr>
        <w:t>Qubahan Academic Journal</w:t>
      </w:r>
      <w:r>
        <w:rPr>
          <w:rFonts w:ascii="Times New Roman" w:hAnsi="Times New Roman" w:cs="Times New Roman"/>
          <w:sz w:val="24"/>
          <w:szCs w:val="24"/>
          <w:highlight w:val="white"/>
        </w:rPr>
        <w:t xml:space="preserve">, </w:t>
      </w:r>
      <w:r>
        <w:rPr>
          <w:rFonts w:ascii="Times New Roman" w:hAnsi="Times New Roman" w:cs="Times New Roman"/>
          <w:i/>
          <w:sz w:val="24"/>
          <w:szCs w:val="24"/>
          <w:highlight w:val="white"/>
        </w:rPr>
        <w:t>1</w:t>
      </w:r>
      <w:r>
        <w:rPr>
          <w:rFonts w:ascii="Times New Roman" w:hAnsi="Times New Roman" w:cs="Times New Roman"/>
          <w:sz w:val="24"/>
          <w:szCs w:val="24"/>
          <w:highlight w:val="white"/>
        </w:rPr>
        <w:t xml:space="preserve">(2), pp.1-7. </w:t>
      </w:r>
    </w:p>
    <w:p w:rsidR="00717814" w:rsidRDefault="00430CAC">
      <w:pPr>
        <w:pStyle w:val="Normal1"/>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Theglobaleconomy, 2023,</w:t>
      </w:r>
      <w:r>
        <w:rPr>
          <w:rFonts w:ascii="Times New Roman" w:eastAsia="Times New Roman" w:hAnsi="Times New Roman" w:cs="Times New Roman"/>
          <w:i/>
          <w:sz w:val="24"/>
          <w:szCs w:val="24"/>
        </w:rPr>
        <w:t xml:space="preserve"> Canada: Political stability</w:t>
      </w:r>
      <w:r>
        <w:rPr>
          <w:rFonts w:ascii="Times New Roman" w:eastAsia="Times New Roman" w:hAnsi="Times New Roman" w:cs="Times New Roman"/>
          <w:sz w:val="24"/>
          <w:szCs w:val="24"/>
        </w:rPr>
        <w:t xml:space="preserve">, Available from: </w:t>
      </w:r>
      <w:hyperlink r:id="rId13" w:anchor=":~:text=Political%20stability%20index%20(%2D2.5%20weak%3B%202.5%20strong)&amp;text=The%20average%20value%20for%20Canada,193%20countries%20is%20%2D0.07%20points" w:history="1">
        <w:r>
          <w:rPr>
            <w:rFonts w:ascii="Times New Roman" w:eastAsia="Times New Roman" w:hAnsi="Times New Roman" w:cs="Times New Roman"/>
            <w:sz w:val="24"/>
            <w:szCs w:val="24"/>
            <w:u w:val="single"/>
          </w:rPr>
          <w:t>https://www.theglobaleconomy.com/Canada/wb_political_stability/#:~:text=Political%20stability%20index%20(%2D2.5%20weak%3B%202.5%20strong)&amp;text=The%20average%20value%20for%20Canada,193%20countries%20is%20%2D0.07%20points</w:t>
        </w:r>
      </w:hyperlink>
      <w:r>
        <w:rPr>
          <w:rFonts w:ascii="Times New Roman" w:eastAsia="Times New Roman" w:hAnsi="Times New Roman" w:cs="Times New Roman"/>
          <w:sz w:val="24"/>
          <w:szCs w:val="24"/>
        </w:rPr>
        <w:t>. [Accessed 02 December 2023]</w:t>
      </w:r>
    </w:p>
    <w:p w:rsidR="00717814" w:rsidRDefault="00430CAC">
      <w:pPr>
        <w:pStyle w:val="Normal1"/>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Tradingeconomics, 2023,</w:t>
      </w:r>
      <w:r>
        <w:rPr>
          <w:rFonts w:ascii="Times New Roman" w:eastAsia="Times New Roman" w:hAnsi="Times New Roman" w:cs="Times New Roman"/>
          <w:i/>
          <w:sz w:val="24"/>
          <w:szCs w:val="24"/>
        </w:rPr>
        <w:t xml:space="preserve"> Canada GDP</w:t>
      </w:r>
      <w:r>
        <w:rPr>
          <w:rFonts w:ascii="Times New Roman" w:eastAsia="Times New Roman" w:hAnsi="Times New Roman" w:cs="Times New Roman"/>
          <w:sz w:val="24"/>
          <w:szCs w:val="24"/>
        </w:rPr>
        <w:t xml:space="preserve">, Available from: </w:t>
      </w:r>
      <w:hyperlink r:id="rId14" w:history="1">
        <w:r>
          <w:rPr>
            <w:rFonts w:ascii="Times New Roman" w:eastAsia="Times New Roman" w:hAnsi="Times New Roman" w:cs="Times New Roman"/>
            <w:sz w:val="24"/>
            <w:szCs w:val="24"/>
            <w:u w:val="single"/>
          </w:rPr>
          <w:t>https://tradingeconomics.com/canada/gdp</w:t>
        </w:r>
      </w:hyperlink>
      <w:r>
        <w:rPr>
          <w:rFonts w:ascii="Times New Roman" w:eastAsia="Times New Roman" w:hAnsi="Times New Roman" w:cs="Times New Roman"/>
          <w:sz w:val="24"/>
          <w:szCs w:val="24"/>
        </w:rPr>
        <w:t xml:space="preserve"> [Accessed 02 December 2023]</w:t>
      </w:r>
    </w:p>
    <w:p w:rsidR="00717814" w:rsidRDefault="00717814">
      <w:pPr>
        <w:pStyle w:val="Normal1"/>
        <w:spacing w:line="360" w:lineRule="auto"/>
      </w:pPr>
    </w:p>
    <w:sectPr w:rsidR="00717814">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30CAC" w:rsidRDefault="00430CAC">
      <w:pPr>
        <w:spacing w:line="240" w:lineRule="auto"/>
      </w:pPr>
      <w:r>
        <w:separator/>
      </w:r>
    </w:p>
  </w:endnote>
  <w:endnote w:type="continuationSeparator" w:id="0">
    <w:p w:rsidR="00430CAC" w:rsidRDefault="00430C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1" w:usb1="080E0000" w:usb2="00000010" w:usb3="00000000" w:csb0="00040000" w:csb1="00000000"/>
  </w:font>
  <w:font w:name="Cambria">
    <w:altName w:val="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17814" w:rsidRDefault="00430CAC">
    <w:pPr>
      <w:pStyle w:val="Footer"/>
      <w:jc w:val="right"/>
      <w:rPr>
        <w:rFonts w:ascii="Times New Roman" w:hAnsi="Times New Roman" w:cs="Times New Roman"/>
      </w:rPr>
    </w:pPr>
    <w:r>
      <w:rPr>
        <w:rFonts w:ascii="Times New Roman" w:hAnsi="Times New Roman" w:cs="Times New Roman"/>
      </w:rPr>
      <w:t xml:space="preserve">Page </w:t>
    </w:r>
    <w:r>
      <w:rPr>
        <w:rFonts w:ascii="Times New Roman" w:hAnsi="Times New Roman" w:cs="Times New Roman"/>
      </w:rPr>
      <w:fldChar w:fldCharType="begin"/>
    </w:r>
    <w:r>
      <w:rPr>
        <w:rFonts w:ascii="Times New Roman" w:hAnsi="Times New Roman" w:cs="Times New Roman"/>
      </w:rPr>
      <w:instrText xml:space="preserve"> PAGE </w:instrText>
    </w:r>
    <w:r>
      <w:rPr>
        <w:rFonts w:ascii="Times New Roman" w:hAnsi="Times New Roman" w:cs="Times New Roman"/>
      </w:rPr>
      <w:fldChar w:fldCharType="separate"/>
    </w:r>
    <w:r>
      <w:rPr>
        <w:rFonts w:ascii="Times New Roman" w:hAnsi="Times New Roman" w:cs="Times New Roman"/>
        <w:noProof/>
      </w:rPr>
      <w:t>8</w:t>
    </w:r>
    <w:r>
      <w:rPr>
        <w:rFonts w:ascii="Times New Roman" w:hAnsi="Times New Roman" w:cs="Times New Roman"/>
      </w:rPr>
      <w:fldChar w:fldCharType="end"/>
    </w:r>
    <w:r>
      <w:rPr>
        <w:rFonts w:ascii="Times New Roman" w:hAnsi="Times New Roman" w:cs="Times New Roman"/>
      </w:rPr>
      <w:t xml:space="preserve"> of </w:t>
    </w:r>
    <w:r>
      <w:rPr>
        <w:rFonts w:ascii="Times New Roman" w:hAnsi="Times New Roman" w:cs="Times New Roman"/>
      </w:rPr>
      <w:fldChar w:fldCharType="begin"/>
    </w:r>
    <w:r>
      <w:rPr>
        <w:rFonts w:ascii="Times New Roman" w:hAnsi="Times New Roman" w:cs="Times New Roman"/>
      </w:rPr>
      <w:instrText xml:space="preserve"> NUMPAGES  </w:instrText>
    </w:r>
    <w:r>
      <w:rPr>
        <w:rFonts w:ascii="Times New Roman" w:hAnsi="Times New Roman" w:cs="Times New Roman"/>
      </w:rPr>
      <w:fldChar w:fldCharType="separate"/>
    </w:r>
    <w:r>
      <w:rPr>
        <w:rFonts w:ascii="Times New Roman" w:hAnsi="Times New Roman" w:cs="Times New Roman"/>
        <w:noProof/>
      </w:rPr>
      <w:t>11</w:t>
    </w:r>
    <w:r>
      <w:rPr>
        <w:rFonts w:ascii="Times New Roman" w:hAnsi="Times New Roman" w:cs="Times New Roman"/>
      </w:rPr>
      <w:fldChar w:fldCharType="end"/>
    </w:r>
  </w:p>
  <w:p w:rsidR="00717814" w:rsidRDefault="007178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30CAC" w:rsidRDefault="00430CAC">
      <w:pPr>
        <w:spacing w:line="240" w:lineRule="auto"/>
      </w:pPr>
      <w:r>
        <w:separator/>
      </w:r>
    </w:p>
  </w:footnote>
  <w:footnote w:type="continuationSeparator" w:id="0">
    <w:p w:rsidR="00430CAC" w:rsidRDefault="00430CA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multiLevelType w:val="hybridMultilevel"/>
    <w:tmpl w:val="00000000"/>
    <w:lvl w:ilvl="0" w:tplc="1382CBAC">
      <w:start w:val="1"/>
      <w:numFmt w:val="bullet"/>
      <w:lvlText w:val="●"/>
      <w:lvlJc w:val="left"/>
      <w:pPr>
        <w:ind w:left="720" w:hanging="360"/>
      </w:pPr>
      <w:rPr>
        <w:u w:val="none"/>
      </w:rPr>
    </w:lvl>
    <w:lvl w:ilvl="1" w:tplc="421A4CD4">
      <w:start w:val="1"/>
      <w:numFmt w:val="bullet"/>
      <w:lvlText w:val="○"/>
      <w:lvlJc w:val="left"/>
      <w:pPr>
        <w:ind w:left="1440" w:hanging="360"/>
      </w:pPr>
      <w:rPr>
        <w:u w:val="none"/>
      </w:rPr>
    </w:lvl>
    <w:lvl w:ilvl="2" w:tplc="CB6C9124">
      <w:start w:val="1"/>
      <w:numFmt w:val="bullet"/>
      <w:lvlText w:val="■"/>
      <w:lvlJc w:val="left"/>
      <w:pPr>
        <w:ind w:left="2160" w:hanging="360"/>
      </w:pPr>
      <w:rPr>
        <w:u w:val="none"/>
      </w:rPr>
    </w:lvl>
    <w:lvl w:ilvl="3" w:tplc="8B6C33FE">
      <w:start w:val="1"/>
      <w:numFmt w:val="bullet"/>
      <w:lvlText w:val="●"/>
      <w:lvlJc w:val="left"/>
      <w:pPr>
        <w:ind w:left="2880" w:hanging="360"/>
      </w:pPr>
      <w:rPr>
        <w:u w:val="none"/>
      </w:rPr>
    </w:lvl>
    <w:lvl w:ilvl="4" w:tplc="27D6BC12">
      <w:start w:val="1"/>
      <w:numFmt w:val="bullet"/>
      <w:lvlText w:val="○"/>
      <w:lvlJc w:val="left"/>
      <w:pPr>
        <w:ind w:left="3600" w:hanging="360"/>
      </w:pPr>
      <w:rPr>
        <w:u w:val="none"/>
      </w:rPr>
    </w:lvl>
    <w:lvl w:ilvl="5" w:tplc="A14086FE">
      <w:start w:val="1"/>
      <w:numFmt w:val="bullet"/>
      <w:lvlText w:val="■"/>
      <w:lvlJc w:val="left"/>
      <w:pPr>
        <w:ind w:left="4320" w:hanging="360"/>
      </w:pPr>
      <w:rPr>
        <w:u w:val="none"/>
      </w:rPr>
    </w:lvl>
    <w:lvl w:ilvl="6" w:tplc="3E28FFDC">
      <w:start w:val="1"/>
      <w:numFmt w:val="bullet"/>
      <w:lvlText w:val="●"/>
      <w:lvlJc w:val="left"/>
      <w:pPr>
        <w:ind w:left="5040" w:hanging="360"/>
      </w:pPr>
      <w:rPr>
        <w:u w:val="none"/>
      </w:rPr>
    </w:lvl>
    <w:lvl w:ilvl="7" w:tplc="1E2E371A">
      <w:start w:val="1"/>
      <w:numFmt w:val="bullet"/>
      <w:lvlText w:val="○"/>
      <w:lvlJc w:val="left"/>
      <w:pPr>
        <w:ind w:left="5760" w:hanging="360"/>
      </w:pPr>
      <w:rPr>
        <w:u w:val="none"/>
      </w:rPr>
    </w:lvl>
    <w:lvl w:ilvl="8" w:tplc="3A0064C8">
      <w:start w:val="1"/>
      <w:numFmt w:val="bullet"/>
      <w:lvlText w:val="■"/>
      <w:lvlJc w:val="left"/>
      <w:pPr>
        <w:ind w:left="6480" w:hanging="360"/>
      </w:pPr>
      <w:rPr>
        <w:u w:val="none"/>
      </w:rPr>
    </w:lvl>
  </w:abstractNum>
  <w:abstractNum w:abstractNumId="1" w15:restartNumberingAfterBreak="0">
    <w:nsid w:val="00000001"/>
    <w:multiLevelType w:val="hybridMultilevel"/>
    <w:tmpl w:val="00000000"/>
    <w:lvl w:ilvl="0" w:tplc="BD66935E">
      <w:start w:val="1"/>
      <w:numFmt w:val="bullet"/>
      <w:lvlText w:val="●"/>
      <w:lvlJc w:val="left"/>
      <w:pPr>
        <w:ind w:left="720" w:hanging="360"/>
      </w:pPr>
      <w:rPr>
        <w:u w:val="none"/>
      </w:rPr>
    </w:lvl>
    <w:lvl w:ilvl="1" w:tplc="F9700966">
      <w:start w:val="1"/>
      <w:numFmt w:val="bullet"/>
      <w:lvlText w:val="○"/>
      <w:lvlJc w:val="left"/>
      <w:pPr>
        <w:ind w:left="1440" w:hanging="360"/>
      </w:pPr>
      <w:rPr>
        <w:u w:val="none"/>
      </w:rPr>
    </w:lvl>
    <w:lvl w:ilvl="2" w:tplc="D9A8C3AE">
      <w:start w:val="1"/>
      <w:numFmt w:val="bullet"/>
      <w:lvlText w:val="■"/>
      <w:lvlJc w:val="left"/>
      <w:pPr>
        <w:ind w:left="2160" w:hanging="360"/>
      </w:pPr>
      <w:rPr>
        <w:u w:val="none"/>
      </w:rPr>
    </w:lvl>
    <w:lvl w:ilvl="3" w:tplc="96082922">
      <w:start w:val="1"/>
      <w:numFmt w:val="bullet"/>
      <w:lvlText w:val="●"/>
      <w:lvlJc w:val="left"/>
      <w:pPr>
        <w:ind w:left="2880" w:hanging="360"/>
      </w:pPr>
      <w:rPr>
        <w:u w:val="none"/>
      </w:rPr>
    </w:lvl>
    <w:lvl w:ilvl="4" w:tplc="4C9C4D70">
      <w:start w:val="1"/>
      <w:numFmt w:val="bullet"/>
      <w:lvlText w:val="○"/>
      <w:lvlJc w:val="left"/>
      <w:pPr>
        <w:ind w:left="3600" w:hanging="360"/>
      </w:pPr>
      <w:rPr>
        <w:u w:val="none"/>
      </w:rPr>
    </w:lvl>
    <w:lvl w:ilvl="5" w:tplc="229AD9F4">
      <w:start w:val="1"/>
      <w:numFmt w:val="bullet"/>
      <w:lvlText w:val="■"/>
      <w:lvlJc w:val="left"/>
      <w:pPr>
        <w:ind w:left="4320" w:hanging="360"/>
      </w:pPr>
      <w:rPr>
        <w:u w:val="none"/>
      </w:rPr>
    </w:lvl>
    <w:lvl w:ilvl="6" w:tplc="E44CCCAE">
      <w:start w:val="1"/>
      <w:numFmt w:val="bullet"/>
      <w:lvlText w:val="●"/>
      <w:lvlJc w:val="left"/>
      <w:pPr>
        <w:ind w:left="5040" w:hanging="360"/>
      </w:pPr>
      <w:rPr>
        <w:u w:val="none"/>
      </w:rPr>
    </w:lvl>
    <w:lvl w:ilvl="7" w:tplc="AAFC0FC8">
      <w:start w:val="1"/>
      <w:numFmt w:val="bullet"/>
      <w:lvlText w:val="○"/>
      <w:lvlJc w:val="left"/>
      <w:pPr>
        <w:ind w:left="5760" w:hanging="360"/>
      </w:pPr>
      <w:rPr>
        <w:u w:val="none"/>
      </w:rPr>
    </w:lvl>
    <w:lvl w:ilvl="8" w:tplc="F1D669E2">
      <w:start w:val="1"/>
      <w:numFmt w:val="bullet"/>
      <w:lvlText w:val="■"/>
      <w:lvlJc w:val="left"/>
      <w:pPr>
        <w:ind w:left="6480" w:hanging="360"/>
      </w:pPr>
      <w:rPr>
        <w:u w:val="none"/>
      </w:rPr>
    </w:lvl>
  </w:abstractNum>
  <w:abstractNum w:abstractNumId="2" w15:restartNumberingAfterBreak="0">
    <w:nsid w:val="00000002"/>
    <w:multiLevelType w:val="hybridMultilevel"/>
    <w:tmpl w:val="00000000"/>
    <w:lvl w:ilvl="0" w:tplc="4C4671AA">
      <w:start w:val="1"/>
      <w:numFmt w:val="bullet"/>
      <w:lvlText w:val="●"/>
      <w:lvlJc w:val="left"/>
      <w:pPr>
        <w:ind w:left="720" w:hanging="360"/>
      </w:pPr>
      <w:rPr>
        <w:u w:val="none"/>
      </w:rPr>
    </w:lvl>
    <w:lvl w:ilvl="1" w:tplc="0C487564">
      <w:start w:val="1"/>
      <w:numFmt w:val="bullet"/>
      <w:lvlText w:val="○"/>
      <w:lvlJc w:val="left"/>
      <w:pPr>
        <w:ind w:left="1440" w:hanging="360"/>
      </w:pPr>
      <w:rPr>
        <w:u w:val="none"/>
      </w:rPr>
    </w:lvl>
    <w:lvl w:ilvl="2" w:tplc="06369678">
      <w:start w:val="1"/>
      <w:numFmt w:val="bullet"/>
      <w:lvlText w:val="■"/>
      <w:lvlJc w:val="left"/>
      <w:pPr>
        <w:ind w:left="2160" w:hanging="360"/>
      </w:pPr>
      <w:rPr>
        <w:u w:val="none"/>
      </w:rPr>
    </w:lvl>
    <w:lvl w:ilvl="3" w:tplc="DED8B6C8">
      <w:start w:val="1"/>
      <w:numFmt w:val="bullet"/>
      <w:lvlText w:val="●"/>
      <w:lvlJc w:val="left"/>
      <w:pPr>
        <w:ind w:left="2880" w:hanging="360"/>
      </w:pPr>
      <w:rPr>
        <w:u w:val="none"/>
      </w:rPr>
    </w:lvl>
    <w:lvl w:ilvl="4" w:tplc="C1E06170">
      <w:start w:val="1"/>
      <w:numFmt w:val="bullet"/>
      <w:lvlText w:val="○"/>
      <w:lvlJc w:val="left"/>
      <w:pPr>
        <w:ind w:left="3600" w:hanging="360"/>
      </w:pPr>
      <w:rPr>
        <w:u w:val="none"/>
      </w:rPr>
    </w:lvl>
    <w:lvl w:ilvl="5" w:tplc="94782B3A">
      <w:start w:val="1"/>
      <w:numFmt w:val="bullet"/>
      <w:lvlText w:val="■"/>
      <w:lvlJc w:val="left"/>
      <w:pPr>
        <w:ind w:left="4320" w:hanging="360"/>
      </w:pPr>
      <w:rPr>
        <w:u w:val="none"/>
      </w:rPr>
    </w:lvl>
    <w:lvl w:ilvl="6" w:tplc="DD4C4338">
      <w:start w:val="1"/>
      <w:numFmt w:val="bullet"/>
      <w:lvlText w:val="●"/>
      <w:lvlJc w:val="left"/>
      <w:pPr>
        <w:ind w:left="5040" w:hanging="360"/>
      </w:pPr>
      <w:rPr>
        <w:u w:val="none"/>
      </w:rPr>
    </w:lvl>
    <w:lvl w:ilvl="7" w:tplc="0F86EB1E">
      <w:start w:val="1"/>
      <w:numFmt w:val="bullet"/>
      <w:lvlText w:val="○"/>
      <w:lvlJc w:val="left"/>
      <w:pPr>
        <w:ind w:left="5760" w:hanging="360"/>
      </w:pPr>
      <w:rPr>
        <w:u w:val="none"/>
      </w:rPr>
    </w:lvl>
    <w:lvl w:ilvl="8" w:tplc="87EA863C">
      <w:start w:val="1"/>
      <w:numFmt w:val="bullet"/>
      <w:lvlText w:val="■"/>
      <w:lvlJc w:val="left"/>
      <w:pPr>
        <w:ind w:left="6480" w:hanging="360"/>
      </w:pPr>
      <w:rPr>
        <w:u w:val="none"/>
      </w:rPr>
    </w:lvl>
  </w:abstractNum>
  <w:abstractNum w:abstractNumId="3" w15:restartNumberingAfterBreak="0">
    <w:nsid w:val="00000003"/>
    <w:multiLevelType w:val="hybridMultilevel"/>
    <w:tmpl w:val="00000000"/>
    <w:lvl w:ilvl="0" w:tplc="5202AA4E">
      <w:start w:val="1"/>
      <w:numFmt w:val="bullet"/>
      <w:lvlText w:val="●"/>
      <w:lvlJc w:val="left"/>
      <w:pPr>
        <w:ind w:left="720" w:hanging="360"/>
      </w:pPr>
      <w:rPr>
        <w:u w:val="none"/>
      </w:rPr>
    </w:lvl>
    <w:lvl w:ilvl="1" w:tplc="E62CCA8E">
      <w:start w:val="1"/>
      <w:numFmt w:val="bullet"/>
      <w:lvlText w:val="○"/>
      <w:lvlJc w:val="left"/>
      <w:pPr>
        <w:ind w:left="1440" w:hanging="360"/>
      </w:pPr>
      <w:rPr>
        <w:u w:val="none"/>
      </w:rPr>
    </w:lvl>
    <w:lvl w:ilvl="2" w:tplc="612AEE6E">
      <w:start w:val="1"/>
      <w:numFmt w:val="bullet"/>
      <w:lvlText w:val="■"/>
      <w:lvlJc w:val="left"/>
      <w:pPr>
        <w:ind w:left="2160" w:hanging="360"/>
      </w:pPr>
      <w:rPr>
        <w:u w:val="none"/>
      </w:rPr>
    </w:lvl>
    <w:lvl w:ilvl="3" w:tplc="A3A6B974">
      <w:start w:val="1"/>
      <w:numFmt w:val="bullet"/>
      <w:lvlText w:val="●"/>
      <w:lvlJc w:val="left"/>
      <w:pPr>
        <w:ind w:left="2880" w:hanging="360"/>
      </w:pPr>
      <w:rPr>
        <w:u w:val="none"/>
      </w:rPr>
    </w:lvl>
    <w:lvl w:ilvl="4" w:tplc="399C9192">
      <w:start w:val="1"/>
      <w:numFmt w:val="bullet"/>
      <w:lvlText w:val="○"/>
      <w:lvlJc w:val="left"/>
      <w:pPr>
        <w:ind w:left="3600" w:hanging="360"/>
      </w:pPr>
      <w:rPr>
        <w:u w:val="none"/>
      </w:rPr>
    </w:lvl>
    <w:lvl w:ilvl="5" w:tplc="F4FAC1D8">
      <w:start w:val="1"/>
      <w:numFmt w:val="bullet"/>
      <w:lvlText w:val="■"/>
      <w:lvlJc w:val="left"/>
      <w:pPr>
        <w:ind w:left="4320" w:hanging="360"/>
      </w:pPr>
      <w:rPr>
        <w:u w:val="none"/>
      </w:rPr>
    </w:lvl>
    <w:lvl w:ilvl="6" w:tplc="24B6A260">
      <w:start w:val="1"/>
      <w:numFmt w:val="bullet"/>
      <w:lvlText w:val="●"/>
      <w:lvlJc w:val="left"/>
      <w:pPr>
        <w:ind w:left="5040" w:hanging="360"/>
      </w:pPr>
      <w:rPr>
        <w:u w:val="none"/>
      </w:rPr>
    </w:lvl>
    <w:lvl w:ilvl="7" w:tplc="AB649E92">
      <w:start w:val="1"/>
      <w:numFmt w:val="bullet"/>
      <w:lvlText w:val="○"/>
      <w:lvlJc w:val="left"/>
      <w:pPr>
        <w:ind w:left="5760" w:hanging="360"/>
      </w:pPr>
      <w:rPr>
        <w:u w:val="none"/>
      </w:rPr>
    </w:lvl>
    <w:lvl w:ilvl="8" w:tplc="ED8CA86C">
      <w:start w:val="1"/>
      <w:numFmt w:val="bullet"/>
      <w:lvlText w:val="■"/>
      <w:lvlJc w:val="left"/>
      <w:pPr>
        <w:ind w:left="6480" w:hanging="360"/>
      </w:pPr>
      <w:rPr>
        <w:u w:val="none"/>
      </w:rPr>
    </w:lvl>
  </w:abstractNum>
  <w:abstractNum w:abstractNumId="4" w15:restartNumberingAfterBreak="0">
    <w:nsid w:val="00000004"/>
    <w:multiLevelType w:val="hybridMultilevel"/>
    <w:tmpl w:val="00000000"/>
    <w:lvl w:ilvl="0" w:tplc="9D9258A2">
      <w:start w:val="1"/>
      <w:numFmt w:val="bullet"/>
      <w:lvlText w:val="●"/>
      <w:lvlJc w:val="left"/>
      <w:pPr>
        <w:ind w:left="720" w:hanging="360"/>
      </w:pPr>
      <w:rPr>
        <w:u w:val="none"/>
      </w:rPr>
    </w:lvl>
    <w:lvl w:ilvl="1" w:tplc="A0F8F90E">
      <w:start w:val="1"/>
      <w:numFmt w:val="bullet"/>
      <w:lvlText w:val="○"/>
      <w:lvlJc w:val="left"/>
      <w:pPr>
        <w:ind w:left="1440" w:hanging="360"/>
      </w:pPr>
      <w:rPr>
        <w:u w:val="none"/>
      </w:rPr>
    </w:lvl>
    <w:lvl w:ilvl="2" w:tplc="2E8C094E">
      <w:start w:val="1"/>
      <w:numFmt w:val="bullet"/>
      <w:lvlText w:val="■"/>
      <w:lvlJc w:val="left"/>
      <w:pPr>
        <w:ind w:left="2160" w:hanging="360"/>
      </w:pPr>
      <w:rPr>
        <w:u w:val="none"/>
      </w:rPr>
    </w:lvl>
    <w:lvl w:ilvl="3" w:tplc="5C8E38E4">
      <w:start w:val="1"/>
      <w:numFmt w:val="bullet"/>
      <w:lvlText w:val="●"/>
      <w:lvlJc w:val="left"/>
      <w:pPr>
        <w:ind w:left="2880" w:hanging="360"/>
      </w:pPr>
      <w:rPr>
        <w:u w:val="none"/>
      </w:rPr>
    </w:lvl>
    <w:lvl w:ilvl="4" w:tplc="0F208A76">
      <w:start w:val="1"/>
      <w:numFmt w:val="bullet"/>
      <w:lvlText w:val="○"/>
      <w:lvlJc w:val="left"/>
      <w:pPr>
        <w:ind w:left="3600" w:hanging="360"/>
      </w:pPr>
      <w:rPr>
        <w:u w:val="none"/>
      </w:rPr>
    </w:lvl>
    <w:lvl w:ilvl="5" w:tplc="346EB288">
      <w:start w:val="1"/>
      <w:numFmt w:val="bullet"/>
      <w:lvlText w:val="■"/>
      <w:lvlJc w:val="left"/>
      <w:pPr>
        <w:ind w:left="4320" w:hanging="360"/>
      </w:pPr>
      <w:rPr>
        <w:u w:val="none"/>
      </w:rPr>
    </w:lvl>
    <w:lvl w:ilvl="6" w:tplc="B6EC33D6">
      <w:start w:val="1"/>
      <w:numFmt w:val="bullet"/>
      <w:lvlText w:val="●"/>
      <w:lvlJc w:val="left"/>
      <w:pPr>
        <w:ind w:left="5040" w:hanging="360"/>
      </w:pPr>
      <w:rPr>
        <w:u w:val="none"/>
      </w:rPr>
    </w:lvl>
    <w:lvl w:ilvl="7" w:tplc="FB52FF74">
      <w:start w:val="1"/>
      <w:numFmt w:val="bullet"/>
      <w:lvlText w:val="○"/>
      <w:lvlJc w:val="left"/>
      <w:pPr>
        <w:ind w:left="5760" w:hanging="360"/>
      </w:pPr>
      <w:rPr>
        <w:u w:val="none"/>
      </w:rPr>
    </w:lvl>
    <w:lvl w:ilvl="8" w:tplc="A196A81C">
      <w:start w:val="1"/>
      <w:numFmt w:val="bullet"/>
      <w:lvlText w:val="■"/>
      <w:lvlJc w:val="left"/>
      <w:pPr>
        <w:ind w:left="6480" w:hanging="360"/>
      </w:pPr>
      <w:rPr>
        <w:u w:val="none"/>
      </w:rPr>
    </w:lvl>
  </w:abstractNum>
  <w:abstractNum w:abstractNumId="5" w15:restartNumberingAfterBreak="0">
    <w:nsid w:val="00000005"/>
    <w:multiLevelType w:val="hybridMultilevel"/>
    <w:tmpl w:val="00000000"/>
    <w:lvl w:ilvl="0" w:tplc="8D9AEF96">
      <w:start w:val="1"/>
      <w:numFmt w:val="decimal"/>
      <w:lvlText w:val="%1."/>
      <w:lvlJc w:val="left"/>
      <w:pPr>
        <w:ind w:left="720" w:hanging="360"/>
      </w:pPr>
      <w:rPr>
        <w:u w:val="none"/>
      </w:rPr>
    </w:lvl>
    <w:lvl w:ilvl="1" w:tplc="041263E8">
      <w:start w:val="1"/>
      <w:numFmt w:val="lowerLetter"/>
      <w:lvlText w:val="%2."/>
      <w:lvlJc w:val="left"/>
      <w:pPr>
        <w:ind w:left="1440" w:hanging="360"/>
      </w:pPr>
      <w:rPr>
        <w:u w:val="none"/>
      </w:rPr>
    </w:lvl>
    <w:lvl w:ilvl="2" w:tplc="4DF4EE22">
      <w:start w:val="1"/>
      <w:numFmt w:val="lowerRoman"/>
      <w:lvlText w:val="%3."/>
      <w:lvlJc w:val="right"/>
      <w:pPr>
        <w:ind w:left="2160" w:hanging="360"/>
      </w:pPr>
      <w:rPr>
        <w:u w:val="none"/>
      </w:rPr>
    </w:lvl>
    <w:lvl w:ilvl="3" w:tplc="21B68702">
      <w:start w:val="1"/>
      <w:numFmt w:val="decimal"/>
      <w:lvlText w:val="%4."/>
      <w:lvlJc w:val="left"/>
      <w:pPr>
        <w:ind w:left="2880" w:hanging="360"/>
      </w:pPr>
      <w:rPr>
        <w:u w:val="none"/>
      </w:rPr>
    </w:lvl>
    <w:lvl w:ilvl="4" w:tplc="CECA9FB6">
      <w:start w:val="1"/>
      <w:numFmt w:val="lowerLetter"/>
      <w:lvlText w:val="%5."/>
      <w:lvlJc w:val="left"/>
      <w:pPr>
        <w:ind w:left="3600" w:hanging="360"/>
      </w:pPr>
      <w:rPr>
        <w:u w:val="none"/>
      </w:rPr>
    </w:lvl>
    <w:lvl w:ilvl="5" w:tplc="91D65D6C">
      <w:start w:val="1"/>
      <w:numFmt w:val="lowerRoman"/>
      <w:lvlText w:val="%6."/>
      <w:lvlJc w:val="right"/>
      <w:pPr>
        <w:ind w:left="4320" w:hanging="360"/>
      </w:pPr>
      <w:rPr>
        <w:u w:val="none"/>
      </w:rPr>
    </w:lvl>
    <w:lvl w:ilvl="6" w:tplc="5388D992">
      <w:start w:val="1"/>
      <w:numFmt w:val="decimal"/>
      <w:lvlText w:val="%7."/>
      <w:lvlJc w:val="left"/>
      <w:pPr>
        <w:ind w:left="5040" w:hanging="360"/>
      </w:pPr>
      <w:rPr>
        <w:u w:val="none"/>
      </w:rPr>
    </w:lvl>
    <w:lvl w:ilvl="7" w:tplc="325C5E1A">
      <w:start w:val="1"/>
      <w:numFmt w:val="lowerLetter"/>
      <w:lvlText w:val="%8."/>
      <w:lvlJc w:val="left"/>
      <w:pPr>
        <w:ind w:left="5760" w:hanging="360"/>
      </w:pPr>
      <w:rPr>
        <w:u w:val="none"/>
      </w:rPr>
    </w:lvl>
    <w:lvl w:ilvl="8" w:tplc="A6048946">
      <w:start w:val="1"/>
      <w:numFmt w:val="lowerRoman"/>
      <w:lvlText w:val="%9."/>
      <w:lvlJc w:val="right"/>
      <w:pPr>
        <w:ind w:left="6480" w:hanging="360"/>
      </w:pPr>
      <w:rPr>
        <w:u w:val="none"/>
      </w:rPr>
    </w:lvl>
  </w:abstractNum>
  <w:abstractNum w:abstractNumId="6" w15:restartNumberingAfterBreak="0">
    <w:nsid w:val="00000006"/>
    <w:multiLevelType w:val="hybridMultilevel"/>
    <w:tmpl w:val="00000000"/>
    <w:lvl w:ilvl="0" w:tplc="4D3C470C">
      <w:start w:val="1"/>
      <w:numFmt w:val="bullet"/>
      <w:lvlText w:val="●"/>
      <w:lvlJc w:val="left"/>
      <w:pPr>
        <w:ind w:left="720" w:hanging="360"/>
      </w:pPr>
      <w:rPr>
        <w:u w:val="none"/>
      </w:rPr>
    </w:lvl>
    <w:lvl w:ilvl="1" w:tplc="2118EE58">
      <w:start w:val="1"/>
      <w:numFmt w:val="bullet"/>
      <w:lvlText w:val="○"/>
      <w:lvlJc w:val="left"/>
      <w:pPr>
        <w:ind w:left="1440" w:hanging="360"/>
      </w:pPr>
      <w:rPr>
        <w:u w:val="none"/>
      </w:rPr>
    </w:lvl>
    <w:lvl w:ilvl="2" w:tplc="66A40D2C">
      <w:start w:val="1"/>
      <w:numFmt w:val="bullet"/>
      <w:lvlText w:val="■"/>
      <w:lvlJc w:val="left"/>
      <w:pPr>
        <w:ind w:left="2160" w:hanging="360"/>
      </w:pPr>
      <w:rPr>
        <w:u w:val="none"/>
      </w:rPr>
    </w:lvl>
    <w:lvl w:ilvl="3" w:tplc="CE7E4388">
      <w:start w:val="1"/>
      <w:numFmt w:val="bullet"/>
      <w:lvlText w:val="●"/>
      <w:lvlJc w:val="left"/>
      <w:pPr>
        <w:ind w:left="2880" w:hanging="360"/>
      </w:pPr>
      <w:rPr>
        <w:u w:val="none"/>
      </w:rPr>
    </w:lvl>
    <w:lvl w:ilvl="4" w:tplc="2544F038">
      <w:start w:val="1"/>
      <w:numFmt w:val="bullet"/>
      <w:lvlText w:val="○"/>
      <w:lvlJc w:val="left"/>
      <w:pPr>
        <w:ind w:left="3600" w:hanging="360"/>
      </w:pPr>
      <w:rPr>
        <w:u w:val="none"/>
      </w:rPr>
    </w:lvl>
    <w:lvl w:ilvl="5" w:tplc="5F12BAF6">
      <w:start w:val="1"/>
      <w:numFmt w:val="bullet"/>
      <w:lvlText w:val="■"/>
      <w:lvlJc w:val="left"/>
      <w:pPr>
        <w:ind w:left="4320" w:hanging="360"/>
      </w:pPr>
      <w:rPr>
        <w:u w:val="none"/>
      </w:rPr>
    </w:lvl>
    <w:lvl w:ilvl="6" w:tplc="21AE82C6">
      <w:start w:val="1"/>
      <w:numFmt w:val="bullet"/>
      <w:lvlText w:val="●"/>
      <w:lvlJc w:val="left"/>
      <w:pPr>
        <w:ind w:left="5040" w:hanging="360"/>
      </w:pPr>
      <w:rPr>
        <w:u w:val="none"/>
      </w:rPr>
    </w:lvl>
    <w:lvl w:ilvl="7" w:tplc="7E167C34">
      <w:start w:val="1"/>
      <w:numFmt w:val="bullet"/>
      <w:lvlText w:val="○"/>
      <w:lvlJc w:val="left"/>
      <w:pPr>
        <w:ind w:left="5760" w:hanging="360"/>
      </w:pPr>
      <w:rPr>
        <w:u w:val="none"/>
      </w:rPr>
    </w:lvl>
    <w:lvl w:ilvl="8" w:tplc="4E129F4E">
      <w:start w:val="1"/>
      <w:numFmt w:val="bullet"/>
      <w:lvlText w:val="■"/>
      <w:lvlJc w:val="left"/>
      <w:pPr>
        <w:ind w:left="6480" w:hanging="360"/>
      </w:pPr>
      <w:rPr>
        <w:u w:val="none"/>
      </w:rPr>
    </w:lvl>
  </w:abstractNum>
  <w:abstractNum w:abstractNumId="7" w15:restartNumberingAfterBreak="0">
    <w:nsid w:val="00000007"/>
    <w:multiLevelType w:val="hybridMultilevel"/>
    <w:tmpl w:val="00000000"/>
    <w:lvl w:ilvl="0" w:tplc="688C4B14">
      <w:start w:val="1"/>
      <w:numFmt w:val="bullet"/>
      <w:lvlText w:val="●"/>
      <w:lvlJc w:val="left"/>
      <w:pPr>
        <w:ind w:left="720" w:hanging="360"/>
      </w:pPr>
      <w:rPr>
        <w:u w:val="none"/>
      </w:rPr>
    </w:lvl>
    <w:lvl w:ilvl="1" w:tplc="974A75E2">
      <w:start w:val="1"/>
      <w:numFmt w:val="bullet"/>
      <w:lvlText w:val="○"/>
      <w:lvlJc w:val="left"/>
      <w:pPr>
        <w:ind w:left="1440" w:hanging="360"/>
      </w:pPr>
      <w:rPr>
        <w:u w:val="none"/>
      </w:rPr>
    </w:lvl>
    <w:lvl w:ilvl="2" w:tplc="DB1E91EC">
      <w:start w:val="1"/>
      <w:numFmt w:val="bullet"/>
      <w:lvlText w:val="■"/>
      <w:lvlJc w:val="left"/>
      <w:pPr>
        <w:ind w:left="2160" w:hanging="360"/>
      </w:pPr>
      <w:rPr>
        <w:u w:val="none"/>
      </w:rPr>
    </w:lvl>
    <w:lvl w:ilvl="3" w:tplc="88046282">
      <w:start w:val="1"/>
      <w:numFmt w:val="bullet"/>
      <w:lvlText w:val="●"/>
      <w:lvlJc w:val="left"/>
      <w:pPr>
        <w:ind w:left="2880" w:hanging="360"/>
      </w:pPr>
      <w:rPr>
        <w:u w:val="none"/>
      </w:rPr>
    </w:lvl>
    <w:lvl w:ilvl="4" w:tplc="799A9928">
      <w:start w:val="1"/>
      <w:numFmt w:val="bullet"/>
      <w:lvlText w:val="○"/>
      <w:lvlJc w:val="left"/>
      <w:pPr>
        <w:ind w:left="3600" w:hanging="360"/>
      </w:pPr>
      <w:rPr>
        <w:u w:val="none"/>
      </w:rPr>
    </w:lvl>
    <w:lvl w:ilvl="5" w:tplc="045C9CB2">
      <w:start w:val="1"/>
      <w:numFmt w:val="bullet"/>
      <w:lvlText w:val="■"/>
      <w:lvlJc w:val="left"/>
      <w:pPr>
        <w:ind w:left="4320" w:hanging="360"/>
      </w:pPr>
      <w:rPr>
        <w:u w:val="none"/>
      </w:rPr>
    </w:lvl>
    <w:lvl w:ilvl="6" w:tplc="F89C3D94">
      <w:start w:val="1"/>
      <w:numFmt w:val="bullet"/>
      <w:lvlText w:val="●"/>
      <w:lvlJc w:val="left"/>
      <w:pPr>
        <w:ind w:left="5040" w:hanging="360"/>
      </w:pPr>
      <w:rPr>
        <w:u w:val="none"/>
      </w:rPr>
    </w:lvl>
    <w:lvl w:ilvl="7" w:tplc="AFD2A99A">
      <w:start w:val="1"/>
      <w:numFmt w:val="bullet"/>
      <w:lvlText w:val="○"/>
      <w:lvlJc w:val="left"/>
      <w:pPr>
        <w:ind w:left="5760" w:hanging="360"/>
      </w:pPr>
      <w:rPr>
        <w:u w:val="none"/>
      </w:rPr>
    </w:lvl>
    <w:lvl w:ilvl="8" w:tplc="E2185ECE">
      <w:start w:val="1"/>
      <w:numFmt w:val="bullet"/>
      <w:lvlText w:val="■"/>
      <w:lvlJc w:val="left"/>
      <w:pPr>
        <w:ind w:left="6480" w:hanging="360"/>
      </w:pPr>
      <w:rPr>
        <w:u w:val="none"/>
      </w:rPr>
    </w:lvl>
  </w:abstractNum>
  <w:abstractNum w:abstractNumId="8" w15:restartNumberingAfterBreak="0">
    <w:nsid w:val="00000008"/>
    <w:multiLevelType w:val="hybridMultilevel"/>
    <w:tmpl w:val="00000000"/>
    <w:lvl w:ilvl="0" w:tplc="EE724B98">
      <w:start w:val="1"/>
      <w:numFmt w:val="bullet"/>
      <w:lvlText w:val="●"/>
      <w:lvlJc w:val="left"/>
      <w:pPr>
        <w:ind w:left="720" w:hanging="360"/>
      </w:pPr>
      <w:rPr>
        <w:u w:val="none"/>
      </w:rPr>
    </w:lvl>
    <w:lvl w:ilvl="1" w:tplc="83363D16">
      <w:start w:val="1"/>
      <w:numFmt w:val="bullet"/>
      <w:lvlText w:val="○"/>
      <w:lvlJc w:val="left"/>
      <w:pPr>
        <w:ind w:left="1440" w:hanging="360"/>
      </w:pPr>
      <w:rPr>
        <w:u w:val="none"/>
      </w:rPr>
    </w:lvl>
    <w:lvl w:ilvl="2" w:tplc="CD1C405E">
      <w:start w:val="1"/>
      <w:numFmt w:val="bullet"/>
      <w:lvlText w:val="■"/>
      <w:lvlJc w:val="left"/>
      <w:pPr>
        <w:ind w:left="2160" w:hanging="360"/>
      </w:pPr>
      <w:rPr>
        <w:u w:val="none"/>
      </w:rPr>
    </w:lvl>
    <w:lvl w:ilvl="3" w:tplc="C504CBA2">
      <w:start w:val="1"/>
      <w:numFmt w:val="bullet"/>
      <w:lvlText w:val="●"/>
      <w:lvlJc w:val="left"/>
      <w:pPr>
        <w:ind w:left="2880" w:hanging="360"/>
      </w:pPr>
      <w:rPr>
        <w:u w:val="none"/>
      </w:rPr>
    </w:lvl>
    <w:lvl w:ilvl="4" w:tplc="9208B11E">
      <w:start w:val="1"/>
      <w:numFmt w:val="bullet"/>
      <w:lvlText w:val="○"/>
      <w:lvlJc w:val="left"/>
      <w:pPr>
        <w:ind w:left="3600" w:hanging="360"/>
      </w:pPr>
      <w:rPr>
        <w:u w:val="none"/>
      </w:rPr>
    </w:lvl>
    <w:lvl w:ilvl="5" w:tplc="4AD2C516">
      <w:start w:val="1"/>
      <w:numFmt w:val="bullet"/>
      <w:lvlText w:val="■"/>
      <w:lvlJc w:val="left"/>
      <w:pPr>
        <w:ind w:left="4320" w:hanging="360"/>
      </w:pPr>
      <w:rPr>
        <w:u w:val="none"/>
      </w:rPr>
    </w:lvl>
    <w:lvl w:ilvl="6" w:tplc="5A0E6528">
      <w:start w:val="1"/>
      <w:numFmt w:val="bullet"/>
      <w:lvlText w:val="●"/>
      <w:lvlJc w:val="left"/>
      <w:pPr>
        <w:ind w:left="5040" w:hanging="360"/>
      </w:pPr>
      <w:rPr>
        <w:u w:val="none"/>
      </w:rPr>
    </w:lvl>
    <w:lvl w:ilvl="7" w:tplc="0434BEF2">
      <w:start w:val="1"/>
      <w:numFmt w:val="bullet"/>
      <w:lvlText w:val="○"/>
      <w:lvlJc w:val="left"/>
      <w:pPr>
        <w:ind w:left="5760" w:hanging="360"/>
      </w:pPr>
      <w:rPr>
        <w:u w:val="none"/>
      </w:rPr>
    </w:lvl>
    <w:lvl w:ilvl="8" w:tplc="D6AABBDE">
      <w:start w:val="1"/>
      <w:numFmt w:val="bullet"/>
      <w:lvlText w:val="■"/>
      <w:lvlJc w:val="left"/>
      <w:pPr>
        <w:ind w:left="6480" w:hanging="360"/>
      </w:pPr>
      <w:rPr>
        <w:u w:val="none"/>
      </w:rPr>
    </w:lvl>
  </w:abstractNum>
  <w:abstractNum w:abstractNumId="9" w15:restartNumberingAfterBreak="0">
    <w:nsid w:val="00000009"/>
    <w:multiLevelType w:val="hybridMultilevel"/>
    <w:tmpl w:val="00000000"/>
    <w:lvl w:ilvl="0" w:tplc="36A02574">
      <w:start w:val="1"/>
      <w:numFmt w:val="bullet"/>
      <w:lvlText w:val="●"/>
      <w:lvlJc w:val="left"/>
      <w:pPr>
        <w:ind w:left="720" w:hanging="360"/>
      </w:pPr>
      <w:rPr>
        <w:u w:val="none"/>
      </w:rPr>
    </w:lvl>
    <w:lvl w:ilvl="1" w:tplc="295E6CE4">
      <w:start w:val="1"/>
      <w:numFmt w:val="bullet"/>
      <w:lvlText w:val="○"/>
      <w:lvlJc w:val="left"/>
      <w:pPr>
        <w:ind w:left="1440" w:hanging="360"/>
      </w:pPr>
      <w:rPr>
        <w:u w:val="none"/>
      </w:rPr>
    </w:lvl>
    <w:lvl w:ilvl="2" w:tplc="D4CE8AAC">
      <w:start w:val="1"/>
      <w:numFmt w:val="bullet"/>
      <w:lvlText w:val="■"/>
      <w:lvlJc w:val="left"/>
      <w:pPr>
        <w:ind w:left="2160" w:hanging="360"/>
      </w:pPr>
      <w:rPr>
        <w:u w:val="none"/>
      </w:rPr>
    </w:lvl>
    <w:lvl w:ilvl="3" w:tplc="7D64C6CC">
      <w:start w:val="1"/>
      <w:numFmt w:val="bullet"/>
      <w:lvlText w:val="●"/>
      <w:lvlJc w:val="left"/>
      <w:pPr>
        <w:ind w:left="2880" w:hanging="360"/>
      </w:pPr>
      <w:rPr>
        <w:u w:val="none"/>
      </w:rPr>
    </w:lvl>
    <w:lvl w:ilvl="4" w:tplc="FDDCA6F0">
      <w:start w:val="1"/>
      <w:numFmt w:val="bullet"/>
      <w:lvlText w:val="○"/>
      <w:lvlJc w:val="left"/>
      <w:pPr>
        <w:ind w:left="3600" w:hanging="360"/>
      </w:pPr>
      <w:rPr>
        <w:u w:val="none"/>
      </w:rPr>
    </w:lvl>
    <w:lvl w:ilvl="5" w:tplc="DCE4BEB2">
      <w:start w:val="1"/>
      <w:numFmt w:val="bullet"/>
      <w:lvlText w:val="■"/>
      <w:lvlJc w:val="left"/>
      <w:pPr>
        <w:ind w:left="4320" w:hanging="360"/>
      </w:pPr>
      <w:rPr>
        <w:u w:val="none"/>
      </w:rPr>
    </w:lvl>
    <w:lvl w:ilvl="6" w:tplc="6ABADA7E">
      <w:start w:val="1"/>
      <w:numFmt w:val="bullet"/>
      <w:lvlText w:val="●"/>
      <w:lvlJc w:val="left"/>
      <w:pPr>
        <w:ind w:left="5040" w:hanging="360"/>
      </w:pPr>
      <w:rPr>
        <w:u w:val="none"/>
      </w:rPr>
    </w:lvl>
    <w:lvl w:ilvl="7" w:tplc="A4361C9E">
      <w:start w:val="1"/>
      <w:numFmt w:val="bullet"/>
      <w:lvlText w:val="○"/>
      <w:lvlJc w:val="left"/>
      <w:pPr>
        <w:ind w:left="5760" w:hanging="360"/>
      </w:pPr>
      <w:rPr>
        <w:u w:val="none"/>
      </w:rPr>
    </w:lvl>
    <w:lvl w:ilvl="8" w:tplc="2AAED5EE">
      <w:start w:val="1"/>
      <w:numFmt w:val="bullet"/>
      <w:lvlText w:val="■"/>
      <w:lvlJc w:val="left"/>
      <w:pPr>
        <w:ind w:left="6480" w:hanging="360"/>
      </w:pPr>
      <w:rPr>
        <w:u w:val="none"/>
      </w:rPr>
    </w:lvl>
  </w:abstractNum>
  <w:abstractNum w:abstractNumId="10" w15:restartNumberingAfterBreak="0">
    <w:nsid w:val="0000000A"/>
    <w:multiLevelType w:val="hybridMultilevel"/>
    <w:tmpl w:val="00000000"/>
    <w:lvl w:ilvl="0" w:tplc="21F87812">
      <w:start w:val="1"/>
      <w:numFmt w:val="bullet"/>
      <w:lvlText w:val="●"/>
      <w:lvlJc w:val="left"/>
      <w:pPr>
        <w:ind w:left="720" w:hanging="360"/>
      </w:pPr>
      <w:rPr>
        <w:u w:val="none"/>
      </w:rPr>
    </w:lvl>
    <w:lvl w:ilvl="1" w:tplc="E032772E">
      <w:start w:val="1"/>
      <w:numFmt w:val="bullet"/>
      <w:lvlText w:val="○"/>
      <w:lvlJc w:val="left"/>
      <w:pPr>
        <w:ind w:left="1440" w:hanging="360"/>
      </w:pPr>
      <w:rPr>
        <w:u w:val="none"/>
      </w:rPr>
    </w:lvl>
    <w:lvl w:ilvl="2" w:tplc="84EA72DE">
      <w:start w:val="1"/>
      <w:numFmt w:val="bullet"/>
      <w:lvlText w:val="■"/>
      <w:lvlJc w:val="left"/>
      <w:pPr>
        <w:ind w:left="2160" w:hanging="360"/>
      </w:pPr>
      <w:rPr>
        <w:u w:val="none"/>
      </w:rPr>
    </w:lvl>
    <w:lvl w:ilvl="3" w:tplc="24A2D3DC">
      <w:start w:val="1"/>
      <w:numFmt w:val="bullet"/>
      <w:lvlText w:val="●"/>
      <w:lvlJc w:val="left"/>
      <w:pPr>
        <w:ind w:left="2880" w:hanging="360"/>
      </w:pPr>
      <w:rPr>
        <w:u w:val="none"/>
      </w:rPr>
    </w:lvl>
    <w:lvl w:ilvl="4" w:tplc="199CD3BE">
      <w:start w:val="1"/>
      <w:numFmt w:val="bullet"/>
      <w:lvlText w:val="○"/>
      <w:lvlJc w:val="left"/>
      <w:pPr>
        <w:ind w:left="3600" w:hanging="360"/>
      </w:pPr>
      <w:rPr>
        <w:u w:val="none"/>
      </w:rPr>
    </w:lvl>
    <w:lvl w:ilvl="5" w:tplc="B23E7550">
      <w:start w:val="1"/>
      <w:numFmt w:val="bullet"/>
      <w:lvlText w:val="■"/>
      <w:lvlJc w:val="left"/>
      <w:pPr>
        <w:ind w:left="4320" w:hanging="360"/>
      </w:pPr>
      <w:rPr>
        <w:u w:val="none"/>
      </w:rPr>
    </w:lvl>
    <w:lvl w:ilvl="6" w:tplc="D85CF6BC">
      <w:start w:val="1"/>
      <w:numFmt w:val="bullet"/>
      <w:lvlText w:val="●"/>
      <w:lvlJc w:val="left"/>
      <w:pPr>
        <w:ind w:left="5040" w:hanging="360"/>
      </w:pPr>
      <w:rPr>
        <w:u w:val="none"/>
      </w:rPr>
    </w:lvl>
    <w:lvl w:ilvl="7" w:tplc="43F43C38">
      <w:start w:val="1"/>
      <w:numFmt w:val="bullet"/>
      <w:lvlText w:val="○"/>
      <w:lvlJc w:val="left"/>
      <w:pPr>
        <w:ind w:left="5760" w:hanging="360"/>
      </w:pPr>
      <w:rPr>
        <w:u w:val="none"/>
      </w:rPr>
    </w:lvl>
    <w:lvl w:ilvl="8" w:tplc="AAE6E00E">
      <w:start w:val="1"/>
      <w:numFmt w:val="bullet"/>
      <w:lvlText w:val="■"/>
      <w:lvlJc w:val="left"/>
      <w:pPr>
        <w:ind w:left="6480" w:hanging="360"/>
      </w:pPr>
      <w:rPr>
        <w:u w:val="none"/>
      </w:rPr>
    </w:lvl>
  </w:abstractNum>
  <w:num w:numId="1" w16cid:durableId="1647466109">
    <w:abstractNumId w:val="2"/>
  </w:num>
  <w:num w:numId="2" w16cid:durableId="1122115717">
    <w:abstractNumId w:val="7"/>
  </w:num>
  <w:num w:numId="3" w16cid:durableId="716660644">
    <w:abstractNumId w:val="8"/>
  </w:num>
  <w:num w:numId="4" w16cid:durableId="796681602">
    <w:abstractNumId w:val="10"/>
  </w:num>
  <w:num w:numId="5" w16cid:durableId="1066301775">
    <w:abstractNumId w:val="0"/>
  </w:num>
  <w:num w:numId="6" w16cid:durableId="485171947">
    <w:abstractNumId w:val="4"/>
  </w:num>
  <w:num w:numId="7" w16cid:durableId="1149516765">
    <w:abstractNumId w:val="5"/>
  </w:num>
  <w:num w:numId="8" w16cid:durableId="287275250">
    <w:abstractNumId w:val="1"/>
  </w:num>
  <w:num w:numId="9" w16cid:durableId="488714012">
    <w:abstractNumId w:val="6"/>
  </w:num>
  <w:num w:numId="10" w16cid:durableId="1696155958">
    <w:abstractNumId w:val="3"/>
  </w:num>
  <w:num w:numId="11" w16cid:durableId="113806475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814"/>
    <w:rsid w:val="00430CAC"/>
    <w:rsid w:val="007178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docId w15:val="{6627EE6F-F36B-4A45-A453-789BE617BF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uiPriority w:val="9"/>
    <w:qFormat/>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uiPriority w:val="9"/>
    <w:semiHidden/>
    <w:unhideWhenUsed/>
    <w:qFormat/>
    <w:pPr>
      <w:keepNext/>
      <w:keepLines/>
      <w:spacing w:before="360" w:after="120"/>
      <w:outlineLvl w:val="1"/>
    </w:pPr>
    <w:rPr>
      <w:sz w:val="32"/>
      <w:szCs w:val="32"/>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pPr>
      <w:keepNext/>
      <w:keepLines/>
      <w:spacing w:before="240" w:after="80"/>
      <w:outlineLvl w:val="4"/>
    </w:pPr>
    <w:rPr>
      <w:color w:val="666666"/>
    </w:rPr>
  </w:style>
  <w:style w:type="paragraph" w:styleId="Heading6">
    <w:name w:val="heading 6"/>
    <w:basedOn w:val="Normal1"/>
    <w:next w:val="Normal1"/>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uiPriority w:val="10"/>
    <w:qFormat/>
    <w:pPr>
      <w:keepNext/>
      <w:keepLines/>
      <w:spacing w:after="60"/>
    </w:pPr>
    <w:rPr>
      <w:sz w:val="52"/>
      <w:szCs w:val="52"/>
    </w:rPr>
  </w:style>
  <w:style w:type="paragraph" w:styleId="Subtitle">
    <w:name w:val="Subtitle"/>
    <w:basedOn w:val="Normal1"/>
    <w:next w:val="Normal1"/>
    <w:uiPriority w:val="11"/>
    <w:qFormat/>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 w:type="table" w:customStyle="1" w:styleId="Table5">
    <w:name w:val="Table5"/>
    <w:basedOn w:val="TableNormal1"/>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rPr>
      <w:sz w:val="16"/>
      <w:szCs w:val="16"/>
    </w:rPr>
  </w:style>
  <w:style w:type="paragraph" w:styleId="BalloonText">
    <w:name w:val="Balloon Text"/>
    <w:basedOn w:val="Normal"/>
    <w:link w:val="BalloonTextChar"/>
    <w:uiPriority w:val="9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paragraph" w:styleId="Header">
    <w:name w:val="header"/>
    <w:basedOn w:val="Normal"/>
    <w:link w:val="HeaderChar"/>
    <w:uiPriority w:val="99"/>
    <w:pPr>
      <w:tabs>
        <w:tab w:val="center" w:pos="4680"/>
        <w:tab w:val="right" w:pos="9360"/>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qFormat/>
    <w:pPr>
      <w:spacing w:before="480" w:after="0" w:line="276" w:lineRule="auto"/>
      <w:jc w:val="left"/>
      <w:outlineLvl w:val="9"/>
    </w:pPr>
    <w:rPr>
      <w:rFonts w:ascii="Calibri" w:eastAsia="SimSun" w:hAnsi="Calibri" w:cs="SimSun"/>
      <w:bCs/>
      <w:color w:val="365F91"/>
      <w:szCs w:val="28"/>
      <w:lang w:val="en-US"/>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theglobaleconomy.com/Canada/wb_political_stability/"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nibusinessinfo.co.uk/content/business-growth-through-diversification" TargetMode="Externa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ctvnews.ca/business/who-s-to-blame-for-rising-food-prices-in-canada-1.6599960" TargetMode="External" /><Relationship Id="rId5" Type="http://schemas.openxmlformats.org/officeDocument/2006/relationships/webSettings" Target="webSettings.xml" /><Relationship Id="rId15" Type="http://schemas.openxmlformats.org/officeDocument/2006/relationships/footer" Target="footer1.xml" /><Relationship Id="rId10" Type="http://schemas.openxmlformats.org/officeDocument/2006/relationships/hyperlink" Target="https://www.investcanada.ca/industries/technology"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tradingeconomics.com/canada/gdp"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33D309-FEBA-47D4-84B6-738476FE0DB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2177</Words>
  <Characters>12415</Characters>
  <Application>Microsoft Office Word</Application>
  <DocSecurity>0</DocSecurity>
  <Lines>103</Lines>
  <Paragraphs>29</Paragraphs>
  <ScaleCrop>false</ScaleCrop>
  <Company/>
  <LinksUpToDate>false</LinksUpToDate>
  <CharactersWithSpaces>14563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Jaskaran Jaskaran (2230229)</cp:lastModifiedBy>
  <cp:revision>2</cp:revision>
  <dcterms:created xsi:type="dcterms:W3CDTF">2023-12-03T08:22:00Z</dcterms:created>
  <dcterms:modified xsi:type="dcterms:W3CDTF">2023-12-03T08:22:00Z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cf0cc27ed0aa4735a4fd2d5fcc659855</vt:lpwstr>
  </property>
</Properties>
</file>