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32A2CE" w14:textId="77777777" w:rsidR="00ED436D" w:rsidRDefault="00ED436D" w:rsidP="00653F15">
      <w:pPr>
        <w:jc w:val="center"/>
        <w:rPr>
          <w:lang w:val="en-US"/>
        </w:rPr>
      </w:pPr>
    </w:p>
    <w:p w14:paraId="279CAEC6" w14:textId="77777777" w:rsidR="00ED436D" w:rsidRDefault="00ED436D" w:rsidP="00653F15">
      <w:pPr>
        <w:jc w:val="center"/>
        <w:rPr>
          <w:lang w:val="en-US"/>
        </w:rPr>
      </w:pPr>
    </w:p>
    <w:p w14:paraId="40E9B82C" w14:textId="77777777" w:rsidR="00ED436D" w:rsidRDefault="00ED436D" w:rsidP="00653F15">
      <w:pPr>
        <w:jc w:val="center"/>
        <w:rPr>
          <w:lang w:val="en-US"/>
        </w:rPr>
      </w:pPr>
    </w:p>
    <w:p w14:paraId="614B4C72" w14:textId="77777777" w:rsidR="00ED436D" w:rsidRDefault="00ED436D" w:rsidP="00653F15">
      <w:pPr>
        <w:rPr>
          <w:lang w:val="en-US"/>
        </w:rPr>
      </w:pPr>
    </w:p>
    <w:p w14:paraId="20C090CD" w14:textId="77777777" w:rsidR="00ED436D" w:rsidRDefault="00ED436D" w:rsidP="00653F15">
      <w:pPr>
        <w:jc w:val="center"/>
        <w:rPr>
          <w:lang w:val="en-US"/>
        </w:rPr>
      </w:pPr>
    </w:p>
    <w:p w14:paraId="167FC4B8" w14:textId="77777777" w:rsidR="00ED436D" w:rsidRDefault="00BE3EBC" w:rsidP="00653F15">
      <w:pPr>
        <w:jc w:val="center"/>
        <w:rPr>
          <w:lang w:val="en-US"/>
        </w:rPr>
      </w:pPr>
      <w:r w:rsidRPr="00ED436D">
        <w:rPr>
          <w:lang w:val="en-US"/>
        </w:rPr>
        <w:t>SEPARATION OF POWERS AND POLICE POWERS</w:t>
      </w:r>
    </w:p>
    <w:p w14:paraId="3EAA7BD2" w14:textId="05A757DC" w:rsidR="00653F15" w:rsidRDefault="00653F15" w:rsidP="00653F15">
      <w:pPr>
        <w:jc w:val="center"/>
        <w:rPr>
          <w:lang w:val="en-US"/>
        </w:rPr>
      </w:pPr>
      <w:r>
        <w:rPr>
          <w:lang w:val="en-US"/>
        </w:rPr>
        <w:t>By</w:t>
      </w:r>
    </w:p>
    <w:p w14:paraId="7FE23CCE" w14:textId="5CA8D1BA" w:rsidR="001F38C2" w:rsidRPr="00ED436D" w:rsidRDefault="001F38C2" w:rsidP="00653F15">
      <w:pPr>
        <w:jc w:val="center"/>
        <w:rPr>
          <w:lang w:val="en-US"/>
        </w:rPr>
      </w:pPr>
      <w:proofErr w:type="spellStart"/>
      <w:r>
        <w:rPr>
          <w:lang w:val="en-US"/>
        </w:rPr>
        <w:t>Adelajda</w:t>
      </w:r>
      <w:proofErr w:type="spellEnd"/>
      <w:r>
        <w:rPr>
          <w:lang w:val="en-US"/>
        </w:rPr>
        <w:t xml:space="preserve"> Anna </w:t>
      </w:r>
      <w:proofErr w:type="spellStart"/>
      <w:r>
        <w:rPr>
          <w:lang w:val="en-US"/>
        </w:rPr>
        <w:t>Bachleda</w:t>
      </w:r>
      <w:proofErr w:type="spellEnd"/>
    </w:p>
    <w:p w14:paraId="2D5CEAE0" w14:textId="77777777" w:rsidR="00ED436D" w:rsidRDefault="00ED436D" w:rsidP="00653F15">
      <w:pPr>
        <w:jc w:val="center"/>
        <w:rPr>
          <w:lang w:val="en-US"/>
        </w:rPr>
      </w:pPr>
    </w:p>
    <w:p w14:paraId="60AB6711" w14:textId="77777777" w:rsidR="00653F15" w:rsidRDefault="00653F15" w:rsidP="00653F15">
      <w:pPr>
        <w:jc w:val="center"/>
        <w:rPr>
          <w:lang w:val="en-US"/>
        </w:rPr>
      </w:pPr>
    </w:p>
    <w:p w14:paraId="2A9DF342" w14:textId="77777777" w:rsidR="00653F15" w:rsidRDefault="00653F15" w:rsidP="00653F15">
      <w:pPr>
        <w:jc w:val="center"/>
        <w:rPr>
          <w:lang w:val="en-US"/>
        </w:rPr>
      </w:pPr>
    </w:p>
    <w:p w14:paraId="0889FD07" w14:textId="77777777" w:rsidR="00653F15" w:rsidRDefault="00653F15" w:rsidP="00653F15">
      <w:pPr>
        <w:jc w:val="center"/>
        <w:rPr>
          <w:lang w:val="en-US"/>
        </w:rPr>
      </w:pPr>
    </w:p>
    <w:p w14:paraId="30BCA50C" w14:textId="77777777" w:rsidR="00653F15" w:rsidRDefault="00653F15" w:rsidP="00653F15">
      <w:pPr>
        <w:jc w:val="center"/>
        <w:rPr>
          <w:lang w:val="en-US"/>
        </w:rPr>
      </w:pPr>
    </w:p>
    <w:p w14:paraId="50149D58" w14:textId="77777777" w:rsidR="00653F15" w:rsidRDefault="00653F15" w:rsidP="00653F15">
      <w:pPr>
        <w:jc w:val="center"/>
        <w:rPr>
          <w:lang w:val="en-US"/>
        </w:rPr>
      </w:pPr>
    </w:p>
    <w:p w14:paraId="41E50698" w14:textId="77777777" w:rsidR="00653F15" w:rsidRDefault="00653F15" w:rsidP="00653F15">
      <w:pPr>
        <w:jc w:val="center"/>
        <w:rPr>
          <w:lang w:val="en-US"/>
        </w:rPr>
      </w:pPr>
    </w:p>
    <w:p w14:paraId="0A3AD5F4" w14:textId="77777777" w:rsidR="00653F15" w:rsidRDefault="00653F15" w:rsidP="00653F15">
      <w:pPr>
        <w:jc w:val="center"/>
        <w:rPr>
          <w:lang w:val="en-US"/>
        </w:rPr>
      </w:pPr>
    </w:p>
    <w:p w14:paraId="0E2EB83A" w14:textId="77777777" w:rsidR="00653F15" w:rsidRDefault="00653F15" w:rsidP="00653F15">
      <w:pPr>
        <w:jc w:val="center"/>
        <w:rPr>
          <w:lang w:val="en-US"/>
        </w:rPr>
      </w:pPr>
    </w:p>
    <w:p w14:paraId="315E4098" w14:textId="77777777" w:rsidR="00653F15" w:rsidRDefault="00653F15" w:rsidP="00653F15">
      <w:pPr>
        <w:jc w:val="center"/>
        <w:rPr>
          <w:lang w:val="en-US"/>
        </w:rPr>
      </w:pPr>
    </w:p>
    <w:p w14:paraId="07E0D18D" w14:textId="77777777" w:rsidR="00653F15" w:rsidRDefault="00653F15" w:rsidP="00653F15">
      <w:pPr>
        <w:jc w:val="center"/>
        <w:rPr>
          <w:lang w:val="en-US"/>
        </w:rPr>
      </w:pPr>
    </w:p>
    <w:p w14:paraId="56D3C8E4" w14:textId="77777777" w:rsidR="00653F15" w:rsidRDefault="00653F15" w:rsidP="00653F15">
      <w:pPr>
        <w:jc w:val="center"/>
        <w:rPr>
          <w:lang w:val="en-US"/>
        </w:rPr>
      </w:pPr>
    </w:p>
    <w:p w14:paraId="15CEB549" w14:textId="77777777" w:rsidR="00653F15" w:rsidRDefault="00653F15" w:rsidP="00653F15">
      <w:pPr>
        <w:jc w:val="center"/>
        <w:rPr>
          <w:lang w:val="en-US"/>
        </w:rPr>
      </w:pPr>
    </w:p>
    <w:p w14:paraId="7C7626B5" w14:textId="77777777" w:rsidR="009379DE" w:rsidRPr="00653F15" w:rsidRDefault="00EF75DC" w:rsidP="00653F15">
      <w:pPr>
        <w:jc w:val="center"/>
        <w:rPr>
          <w:b/>
          <w:lang w:val="en-US"/>
        </w:rPr>
      </w:pPr>
      <w:bookmarkStart w:id="0" w:name="_GoBack"/>
      <w:bookmarkEnd w:id="0"/>
      <w:r w:rsidRPr="00653F15">
        <w:rPr>
          <w:b/>
          <w:lang w:val="en-US"/>
        </w:rPr>
        <w:t>Separation of Powers and Police Powers</w:t>
      </w:r>
    </w:p>
    <w:p w14:paraId="5BB7E197" w14:textId="77777777" w:rsidR="00F57F3D" w:rsidRPr="00653F15" w:rsidRDefault="00F57F3D" w:rsidP="00653F15">
      <w:pPr>
        <w:rPr>
          <w:b/>
          <w:lang w:val="en-US"/>
        </w:rPr>
      </w:pPr>
      <w:r w:rsidRPr="00653F15">
        <w:rPr>
          <w:b/>
          <w:lang w:val="en-US"/>
        </w:rPr>
        <w:t xml:space="preserve">Part One </w:t>
      </w:r>
    </w:p>
    <w:p w14:paraId="3856572A" w14:textId="77777777" w:rsidR="00E14B63" w:rsidRDefault="0031754E" w:rsidP="00653F15">
      <w:pPr>
        <w:rPr>
          <w:lang w:val="en-US"/>
        </w:rPr>
      </w:pPr>
      <w:r>
        <w:rPr>
          <w:lang w:val="en-US"/>
        </w:rPr>
        <w:tab/>
      </w:r>
      <w:r w:rsidR="001839E4">
        <w:rPr>
          <w:lang w:val="en-US"/>
        </w:rPr>
        <w:t>Broadly</w:t>
      </w:r>
      <w:r w:rsidR="001B4DE1">
        <w:rPr>
          <w:lang w:val="en-US"/>
        </w:rPr>
        <w:t>, history has</w:t>
      </w:r>
      <w:r w:rsidR="001839E4">
        <w:rPr>
          <w:lang w:val="en-US"/>
        </w:rPr>
        <w:t xml:space="preserve"> severally</w:t>
      </w:r>
      <w:r w:rsidR="001B4DE1">
        <w:rPr>
          <w:lang w:val="en-US"/>
        </w:rPr>
        <w:t xml:space="preserve"> indicated </w:t>
      </w:r>
      <w:r w:rsidR="00505121">
        <w:rPr>
          <w:lang w:val="en-US"/>
        </w:rPr>
        <w:t xml:space="preserve">the possession of </w:t>
      </w:r>
      <w:r w:rsidR="001839E4">
        <w:rPr>
          <w:lang w:val="en-US"/>
        </w:rPr>
        <w:t>unlimited</w:t>
      </w:r>
      <w:r w:rsidR="00505121">
        <w:rPr>
          <w:lang w:val="en-US"/>
        </w:rPr>
        <w:t xml:space="preserve"> </w:t>
      </w:r>
      <w:r w:rsidR="001839E4">
        <w:rPr>
          <w:lang w:val="en-US"/>
        </w:rPr>
        <w:t>power by a group or a person has always led to the suppression of others or curtailing of oth</w:t>
      </w:r>
      <w:r w:rsidR="0047629E">
        <w:rPr>
          <w:lang w:val="en-US"/>
        </w:rPr>
        <w:t xml:space="preserve">er powers. From </w:t>
      </w:r>
      <w:r w:rsidR="0047629E">
        <w:rPr>
          <w:lang w:val="en-US"/>
        </w:rPr>
        <w:lastRenderedPageBreak/>
        <w:t xml:space="preserve">this basis, there has always been a need </w:t>
      </w:r>
      <w:r w:rsidR="008B3468">
        <w:rPr>
          <w:lang w:val="en-US"/>
        </w:rPr>
        <w:t>for</w:t>
      </w:r>
      <w:r>
        <w:rPr>
          <w:lang w:val="en-US"/>
        </w:rPr>
        <w:t xml:space="preserve"> the provision of checks and balances</w:t>
      </w:r>
      <w:r w:rsidR="008B3468" w:rsidRPr="008B3468">
        <w:rPr>
          <w:lang w:val="en-US"/>
        </w:rPr>
        <w:t xml:space="preserve"> </w:t>
      </w:r>
      <w:r w:rsidR="008B3468">
        <w:rPr>
          <w:lang w:val="en-US"/>
        </w:rPr>
        <w:t>to prevent the concentration of power</w:t>
      </w:r>
      <w:r>
        <w:rPr>
          <w:lang w:val="en-US"/>
        </w:rPr>
        <w:t xml:space="preserve">. </w:t>
      </w:r>
      <w:proofErr w:type="gramStart"/>
      <w:r w:rsidR="00B27453">
        <w:rPr>
          <w:lang w:val="en-US"/>
        </w:rPr>
        <w:t>Therefore</w:t>
      </w:r>
      <w:proofErr w:type="gramEnd"/>
      <w:r w:rsidR="00B27453">
        <w:rPr>
          <w:lang w:val="en-US"/>
        </w:rPr>
        <w:t xml:space="preserve"> the separation of powers theory is a legal doctrine where the </w:t>
      </w:r>
      <w:r w:rsidR="0048185D">
        <w:rPr>
          <w:lang w:val="en-US"/>
        </w:rPr>
        <w:t xml:space="preserve">legislative, executive, and judicial arms of the government are kept separate. </w:t>
      </w:r>
      <w:r w:rsidR="000A6925">
        <w:rPr>
          <w:lang w:val="en-US"/>
        </w:rPr>
        <w:t xml:space="preserve">While the applicability of the separate powers in the British constitution has been skeptical </w:t>
      </w:r>
      <w:r w:rsidR="00EB40D1">
        <w:rPr>
          <w:lang w:val="en-US"/>
        </w:rPr>
        <w:t xml:space="preserve">due to the claims on fusion of powers, the doctrine of separate powers is evident </w:t>
      </w:r>
      <w:r w:rsidR="0044645A">
        <w:rPr>
          <w:lang w:val="en-US"/>
        </w:rPr>
        <w:t xml:space="preserve">in the independence of executive, legislature and judiciary. </w:t>
      </w:r>
    </w:p>
    <w:p w14:paraId="635AC304" w14:textId="77777777" w:rsidR="00117F13" w:rsidRDefault="00117F13" w:rsidP="00653F15">
      <w:pPr>
        <w:rPr>
          <w:lang w:val="en-US"/>
        </w:rPr>
      </w:pPr>
      <w:r>
        <w:rPr>
          <w:lang w:val="en-US"/>
        </w:rPr>
        <w:tab/>
        <w:t>To begin with, the</w:t>
      </w:r>
      <w:r w:rsidR="00CE0271">
        <w:rPr>
          <w:lang w:val="en-US"/>
        </w:rPr>
        <w:t>re is an apparent</w:t>
      </w:r>
      <w:r>
        <w:rPr>
          <w:lang w:val="en-US"/>
        </w:rPr>
        <w:t xml:space="preserve"> </w:t>
      </w:r>
      <w:r w:rsidR="0062001D">
        <w:rPr>
          <w:lang w:val="en-US"/>
        </w:rPr>
        <w:t xml:space="preserve">separation of powers between the executive </w:t>
      </w:r>
      <w:r w:rsidR="00CE0271">
        <w:rPr>
          <w:lang w:val="en-US"/>
        </w:rPr>
        <w:t xml:space="preserve">and legislature in the </w:t>
      </w:r>
      <w:r w:rsidR="0088540C">
        <w:rPr>
          <w:lang w:val="en-US"/>
        </w:rPr>
        <w:t xml:space="preserve">British constitution. Initially, the executive and the legislature have always had a close relationship which </w:t>
      </w:r>
      <w:r w:rsidR="003732F8">
        <w:rPr>
          <w:lang w:val="en-US"/>
        </w:rPr>
        <w:t>to the declaration of Walter Bagehot about the fusion of roles for both arms of the government in the 1800s</w:t>
      </w:r>
      <w:r w:rsidR="00BA5789">
        <w:rPr>
          <w:lang w:val="en-US"/>
        </w:rPr>
        <w:t xml:space="preserve"> (</w:t>
      </w:r>
      <w:proofErr w:type="spellStart"/>
      <w:r w:rsidR="00BA5789">
        <w:rPr>
          <w:lang w:val="en-US"/>
        </w:rPr>
        <w:t>Benwell</w:t>
      </w:r>
      <w:proofErr w:type="spellEnd"/>
      <w:r w:rsidR="00BA5789">
        <w:rPr>
          <w:lang w:val="en-US"/>
        </w:rPr>
        <w:t xml:space="preserve"> &amp; Gay</w:t>
      </w:r>
      <w:r w:rsidR="00DE7A90">
        <w:rPr>
          <w:lang w:val="en-US"/>
        </w:rPr>
        <w:t xml:space="preserve"> 2011, p. 12)</w:t>
      </w:r>
      <w:r w:rsidR="003732F8">
        <w:rPr>
          <w:lang w:val="en-US"/>
        </w:rPr>
        <w:t xml:space="preserve">. </w:t>
      </w:r>
      <w:r w:rsidR="00722820">
        <w:rPr>
          <w:lang w:val="en-US"/>
        </w:rPr>
        <w:t xml:space="preserve">Nonetheless, there have been several </w:t>
      </w:r>
      <w:proofErr w:type="gramStart"/>
      <w:r w:rsidR="00722820">
        <w:rPr>
          <w:lang w:val="en-US"/>
        </w:rPr>
        <w:t>legislation</w:t>
      </w:r>
      <w:proofErr w:type="gramEnd"/>
      <w:r w:rsidR="00722820">
        <w:rPr>
          <w:lang w:val="en-US"/>
        </w:rPr>
        <w:t xml:space="preserve"> that have been enacted to </w:t>
      </w:r>
      <w:r w:rsidR="0019754B">
        <w:rPr>
          <w:lang w:val="en-US"/>
        </w:rPr>
        <w:t xml:space="preserve">ensure the distinctiveness of roles between the executive and the legislative. One important legislation is the House of Commons Disqualification Act of 1975 which is aimed at </w:t>
      </w:r>
      <w:r w:rsidR="00935874">
        <w:rPr>
          <w:lang w:val="en-US"/>
        </w:rPr>
        <w:t xml:space="preserve">preventing certain members of the government from being members of the House of Commons. </w:t>
      </w:r>
      <w:r w:rsidR="00A34079">
        <w:rPr>
          <w:lang w:val="en-US"/>
        </w:rPr>
        <w:t xml:space="preserve">The categories disqualified were civil servants, members of armed forces, judges, </w:t>
      </w:r>
      <w:r w:rsidR="004E2773">
        <w:rPr>
          <w:lang w:val="en-US"/>
        </w:rPr>
        <w:t xml:space="preserve">and holders of diplomatic and administrative offices. </w:t>
      </w:r>
      <w:r w:rsidR="0046078A">
        <w:rPr>
          <w:lang w:val="en-US"/>
        </w:rPr>
        <w:t>Another legislation is the Parliamentary Voting System and Constituencies Act of 2011</w:t>
      </w:r>
      <w:r w:rsidR="00D51047">
        <w:rPr>
          <w:lang w:val="en-US"/>
        </w:rPr>
        <w:t xml:space="preserve"> which was aimed </w:t>
      </w:r>
      <w:r w:rsidR="00321564">
        <w:rPr>
          <w:lang w:val="en-US"/>
        </w:rPr>
        <w:t xml:space="preserve">at bringing together the constitutional objectives of </w:t>
      </w:r>
      <w:r w:rsidR="002361C1">
        <w:rPr>
          <w:lang w:val="en-US"/>
        </w:rPr>
        <w:t xml:space="preserve">liberal democrat-conservative coalition </w:t>
      </w:r>
      <w:proofErr w:type="gramStart"/>
      <w:r w:rsidR="002361C1">
        <w:rPr>
          <w:lang w:val="en-US"/>
        </w:rPr>
        <w:t>as a means to</w:t>
      </w:r>
      <w:proofErr w:type="gramEnd"/>
      <w:r w:rsidR="002361C1">
        <w:rPr>
          <w:lang w:val="en-US"/>
        </w:rPr>
        <w:t xml:space="preserve"> strengthen the legislature. </w:t>
      </w:r>
    </w:p>
    <w:p w14:paraId="2BF86BB6" w14:textId="77777777" w:rsidR="00F94D93" w:rsidRDefault="00585152" w:rsidP="00653F15">
      <w:pPr>
        <w:rPr>
          <w:lang w:val="en-US"/>
        </w:rPr>
      </w:pPr>
      <w:r>
        <w:rPr>
          <w:lang w:val="en-US"/>
        </w:rPr>
        <w:tab/>
        <w:t>Secondly, the legislature</w:t>
      </w:r>
      <w:r w:rsidR="00F12693">
        <w:rPr>
          <w:lang w:val="en-US"/>
        </w:rPr>
        <w:t xml:space="preserve"> and the judiciary </w:t>
      </w:r>
      <w:r w:rsidR="0002633D">
        <w:rPr>
          <w:lang w:val="en-US"/>
        </w:rPr>
        <w:t xml:space="preserve">uphold to the separation of powers doctrine through their distinctive roles. This can be </w:t>
      </w:r>
      <w:r w:rsidR="006B2CA1">
        <w:rPr>
          <w:lang w:val="en-US"/>
        </w:rPr>
        <w:t xml:space="preserve">indicated by the </w:t>
      </w:r>
      <w:r>
        <w:rPr>
          <w:lang w:val="en-US"/>
        </w:rPr>
        <w:t xml:space="preserve">Constitutional Reform of 2005 which was meant to </w:t>
      </w:r>
      <w:r w:rsidR="00DC61BC">
        <w:rPr>
          <w:lang w:val="en-US"/>
        </w:rPr>
        <w:t xml:space="preserve">establish a Supreme Court in taking over the judicial function of the House of Lords and </w:t>
      </w:r>
      <w:r w:rsidR="00A235FB">
        <w:rPr>
          <w:lang w:val="en-US"/>
        </w:rPr>
        <w:t xml:space="preserve">remove the Chancellor from the role of heading the judiciary. </w:t>
      </w:r>
      <w:r w:rsidR="00985FDE">
        <w:rPr>
          <w:lang w:val="en-US"/>
        </w:rPr>
        <w:t xml:space="preserve">It is important to consider the contribution of </w:t>
      </w:r>
      <w:r w:rsidR="00985FDE" w:rsidRPr="00985FDE">
        <w:rPr>
          <w:i/>
          <w:lang w:val="en-US"/>
        </w:rPr>
        <w:t>R (Jackson) v Attorney General</w:t>
      </w:r>
      <w:r w:rsidR="00985FDE">
        <w:rPr>
          <w:lang w:val="en-US"/>
        </w:rPr>
        <w:t xml:space="preserve"> (2005)</w:t>
      </w:r>
      <w:r w:rsidR="00535578">
        <w:rPr>
          <w:lang w:val="en-US"/>
        </w:rPr>
        <w:t xml:space="preserve"> in separating judiciary from legislature. This case enabled the judiciary to act their official capacity with </w:t>
      </w:r>
      <w:r w:rsidR="00535578">
        <w:rPr>
          <w:lang w:val="en-US"/>
        </w:rPr>
        <w:lastRenderedPageBreak/>
        <w:t>the suggestion of restraints over th</w:t>
      </w:r>
      <w:r w:rsidR="00C8411B">
        <w:rPr>
          <w:lang w:val="en-US"/>
        </w:rPr>
        <w:t xml:space="preserve">e sovereignty of the parliament in the case of undermining the democratic legitimacy. </w:t>
      </w:r>
    </w:p>
    <w:p w14:paraId="7448F73C" w14:textId="77777777" w:rsidR="00C8411B" w:rsidRDefault="00C8411B" w:rsidP="00653F15">
      <w:pPr>
        <w:rPr>
          <w:lang w:val="en-US"/>
        </w:rPr>
      </w:pPr>
      <w:r>
        <w:rPr>
          <w:lang w:val="en-US"/>
        </w:rPr>
        <w:tab/>
        <w:t xml:space="preserve">More importantly, </w:t>
      </w:r>
      <w:r w:rsidR="00A51C09">
        <w:rPr>
          <w:lang w:val="en-US"/>
        </w:rPr>
        <w:t xml:space="preserve">there exists distinctive roles between the executive and the judiciary which are showed by </w:t>
      </w:r>
      <w:r w:rsidR="005934BC">
        <w:rPr>
          <w:lang w:val="en-US"/>
        </w:rPr>
        <w:t xml:space="preserve">legal cases and legislative acts. </w:t>
      </w:r>
      <w:r w:rsidR="00193215">
        <w:rPr>
          <w:lang w:val="en-US"/>
        </w:rPr>
        <w:t>I</w:t>
      </w:r>
      <w:r w:rsidR="000212D2">
        <w:rPr>
          <w:lang w:val="en-US"/>
        </w:rPr>
        <w:t xml:space="preserve">n the case </w:t>
      </w:r>
      <w:r w:rsidR="000212D2" w:rsidRPr="000212D2">
        <w:rPr>
          <w:i/>
          <w:lang w:val="en-US"/>
        </w:rPr>
        <w:t>R v Secretary of State for the Home Department</w:t>
      </w:r>
      <w:r w:rsidR="000212D2">
        <w:rPr>
          <w:lang w:val="en-US"/>
        </w:rPr>
        <w:t xml:space="preserve"> (2004), it i</w:t>
      </w:r>
      <w:r w:rsidR="0004368E">
        <w:rPr>
          <w:lang w:val="en-US"/>
        </w:rPr>
        <w:t>s evident how the Home Secretary, who is a member of the Executive, was stri</w:t>
      </w:r>
      <w:r w:rsidR="00874EA8">
        <w:rPr>
          <w:lang w:val="en-US"/>
        </w:rPr>
        <w:t xml:space="preserve">pped off sentencing powers, which were later conferred to the judiciary. </w:t>
      </w:r>
      <w:r w:rsidR="00CF120D">
        <w:rPr>
          <w:lang w:val="en-US"/>
        </w:rPr>
        <w:t>The separation of the</w:t>
      </w:r>
      <w:r w:rsidR="00765E24">
        <w:rPr>
          <w:lang w:val="en-US"/>
        </w:rPr>
        <w:t xml:space="preserve"> executive and the judiciary was also facilitated by </w:t>
      </w:r>
      <w:r w:rsidR="00765E24" w:rsidRPr="00765E24">
        <w:rPr>
          <w:i/>
          <w:lang w:val="en-US"/>
        </w:rPr>
        <w:t>McGo</w:t>
      </w:r>
      <w:r w:rsidR="00765E24">
        <w:rPr>
          <w:i/>
          <w:lang w:val="en-US"/>
        </w:rPr>
        <w:t>n</w:t>
      </w:r>
      <w:r w:rsidR="00765E24" w:rsidRPr="00765E24">
        <w:rPr>
          <w:i/>
          <w:lang w:val="en-US"/>
        </w:rPr>
        <w:t>nell v United Kingdom</w:t>
      </w:r>
      <w:r w:rsidR="00765E24">
        <w:rPr>
          <w:lang w:val="en-US"/>
        </w:rPr>
        <w:t xml:space="preserve"> (2000)</w:t>
      </w:r>
      <w:r w:rsidR="00DA41E2">
        <w:rPr>
          <w:lang w:val="en-US"/>
        </w:rPr>
        <w:t xml:space="preserve"> where the right to fair trial was impeded by the </w:t>
      </w:r>
      <w:r w:rsidR="00F142A7">
        <w:rPr>
          <w:lang w:val="en-US"/>
        </w:rPr>
        <w:t xml:space="preserve">fact that judge presiding over the case was found to have executive roles. In this regard, </w:t>
      </w:r>
      <w:r w:rsidR="004A549E">
        <w:rPr>
          <w:lang w:val="en-US"/>
        </w:rPr>
        <w:t xml:space="preserve">the executive and judicial role of the judge did not prescribe impartiality and independence as stipulated by Article 6. </w:t>
      </w:r>
    </w:p>
    <w:p w14:paraId="2E41BBFF" w14:textId="77777777" w:rsidR="004A549E" w:rsidRDefault="004A549E" w:rsidP="00653F15">
      <w:pPr>
        <w:rPr>
          <w:lang w:val="en-US"/>
        </w:rPr>
      </w:pPr>
      <w:r>
        <w:rPr>
          <w:lang w:val="en-US"/>
        </w:rPr>
        <w:tab/>
      </w:r>
      <w:r w:rsidR="00106026">
        <w:rPr>
          <w:lang w:val="en-US"/>
        </w:rPr>
        <w:t xml:space="preserve">In conclusion, the separation of </w:t>
      </w:r>
      <w:r w:rsidR="005C49BA">
        <w:rPr>
          <w:lang w:val="en-US"/>
        </w:rPr>
        <w:t>powers is an important doctrine in upholding democracy in the United Kingdom</w:t>
      </w:r>
      <w:r w:rsidR="006F2686">
        <w:rPr>
          <w:lang w:val="en-US"/>
        </w:rPr>
        <w:t xml:space="preserve">. The need for checks and balances is a crucial cornerstone to ensure the various arms of government are executing their distinctive roles without suppressing democracy. Through the </w:t>
      </w:r>
      <w:r w:rsidR="00B55124">
        <w:rPr>
          <w:lang w:val="en-US"/>
        </w:rPr>
        <w:t xml:space="preserve">enactment of legislative acts and rulings, the separation of powers in the United Kingdom </w:t>
      </w:r>
      <w:r w:rsidR="006F7F65">
        <w:rPr>
          <w:lang w:val="en-US"/>
        </w:rPr>
        <w:t xml:space="preserve">has prevented the concentration of power and democratic exercise of the constitution. </w:t>
      </w:r>
    </w:p>
    <w:p w14:paraId="2AD60193" w14:textId="77777777" w:rsidR="00D26CC8" w:rsidRDefault="00D26CC8" w:rsidP="00653F15">
      <w:pPr>
        <w:rPr>
          <w:lang w:val="en-US"/>
        </w:rPr>
      </w:pPr>
    </w:p>
    <w:p w14:paraId="6F07395E" w14:textId="77777777" w:rsidR="00D26CC8" w:rsidRPr="00BA5789" w:rsidRDefault="00BA5789" w:rsidP="00BA5789">
      <w:pPr>
        <w:jc w:val="center"/>
        <w:rPr>
          <w:b/>
          <w:lang w:val="en-US"/>
        </w:rPr>
      </w:pPr>
      <w:r w:rsidRPr="00BA5789">
        <w:rPr>
          <w:b/>
          <w:lang w:val="en-US"/>
        </w:rPr>
        <w:t>Reference List</w:t>
      </w:r>
    </w:p>
    <w:p w14:paraId="0330CA9B" w14:textId="77777777" w:rsidR="00D26CC8" w:rsidRPr="00D26CC8" w:rsidRDefault="00D26CC8" w:rsidP="00BA5789">
      <w:pPr>
        <w:ind w:left="567" w:hanging="567"/>
        <w:jc w:val="both"/>
      </w:pPr>
      <w:proofErr w:type="spellStart"/>
      <w:r w:rsidRPr="00D26CC8">
        <w:t>Benwell</w:t>
      </w:r>
      <w:proofErr w:type="spellEnd"/>
      <w:r w:rsidRPr="00D26CC8">
        <w:t>, R. and Gay, O., 2011. </w:t>
      </w:r>
      <w:r w:rsidRPr="00D26CC8">
        <w:rPr>
          <w:i/>
          <w:iCs/>
        </w:rPr>
        <w:t>The Separation of Powers</w:t>
      </w:r>
      <w:r w:rsidRPr="00D26CC8">
        <w:t>. House of Commons Library.</w:t>
      </w:r>
    </w:p>
    <w:p w14:paraId="01D94EBD" w14:textId="77777777" w:rsidR="00D26CC8" w:rsidRPr="00D26CC8" w:rsidRDefault="00D26CC8" w:rsidP="00BA5789">
      <w:pPr>
        <w:ind w:left="567" w:hanging="567"/>
        <w:jc w:val="both"/>
        <w:rPr>
          <w:iCs/>
        </w:rPr>
      </w:pPr>
      <w:r w:rsidRPr="00D26CC8">
        <w:rPr>
          <w:iCs/>
        </w:rPr>
        <w:t xml:space="preserve">Webb, T. E. (2020) ‘Jackson v hm attorney general [2005] </w:t>
      </w:r>
      <w:proofErr w:type="spellStart"/>
      <w:r w:rsidRPr="00D26CC8">
        <w:rPr>
          <w:iCs/>
        </w:rPr>
        <w:t>ukhl</w:t>
      </w:r>
      <w:proofErr w:type="spellEnd"/>
      <w:r w:rsidRPr="00D26CC8">
        <w:rPr>
          <w:iCs/>
        </w:rPr>
        <w:t xml:space="preserve"> 56, house of lords’, in Webb, </w:t>
      </w:r>
      <w:r w:rsidRPr="00D26CC8">
        <w:rPr>
          <w:iCs/>
        </w:rPr>
        <w:tab/>
        <w:t>T. E., </w:t>
      </w:r>
      <w:r w:rsidRPr="00D26CC8">
        <w:rPr>
          <w:i/>
          <w:iCs/>
        </w:rPr>
        <w:t>Essential Cases: Public Law</w:t>
      </w:r>
      <w:r w:rsidRPr="00D26CC8">
        <w:rPr>
          <w:iCs/>
        </w:rPr>
        <w:t xml:space="preserve">. Oxford University Press. </w:t>
      </w:r>
    </w:p>
    <w:p w14:paraId="08AE6582" w14:textId="77777777" w:rsidR="00D26CC8" w:rsidRPr="00D26CC8" w:rsidRDefault="00D26CC8" w:rsidP="00BA5789">
      <w:pPr>
        <w:ind w:left="567" w:hanging="567"/>
        <w:jc w:val="both"/>
        <w:rPr>
          <w:iCs/>
        </w:rPr>
      </w:pPr>
      <w:r w:rsidRPr="00D26CC8">
        <w:rPr>
          <w:iCs/>
        </w:rPr>
        <w:tab/>
      </w:r>
      <w:proofErr w:type="spellStart"/>
      <w:r w:rsidRPr="00D26CC8">
        <w:rPr>
          <w:iCs/>
        </w:rPr>
        <w:t>doi</w:t>
      </w:r>
      <w:proofErr w:type="spellEnd"/>
      <w:r w:rsidRPr="00D26CC8">
        <w:rPr>
          <w:iCs/>
        </w:rPr>
        <w:t xml:space="preserve">: 10.1093/he/9780191897689.003.0021.  </w:t>
      </w:r>
    </w:p>
    <w:p w14:paraId="2578E339" w14:textId="77777777" w:rsidR="00D26CC8" w:rsidRPr="00D26CC8" w:rsidRDefault="00D26CC8" w:rsidP="00BA5789">
      <w:pPr>
        <w:ind w:left="567" w:hanging="567"/>
        <w:jc w:val="both"/>
        <w:rPr>
          <w:iCs/>
        </w:rPr>
      </w:pPr>
      <w:r w:rsidRPr="00D26CC8">
        <w:rPr>
          <w:iCs/>
        </w:rPr>
        <w:lastRenderedPageBreak/>
        <w:t xml:space="preserve">Webb, T. E. (2019) ‘A (And others) v secretary of state for the home department [2004] </w:t>
      </w:r>
      <w:proofErr w:type="spellStart"/>
      <w:r w:rsidRPr="00D26CC8">
        <w:rPr>
          <w:iCs/>
        </w:rPr>
        <w:t>ukhl</w:t>
      </w:r>
      <w:proofErr w:type="spellEnd"/>
      <w:r w:rsidRPr="00D26CC8">
        <w:rPr>
          <w:iCs/>
        </w:rPr>
        <w:t xml:space="preserve"> </w:t>
      </w:r>
      <w:r w:rsidRPr="00D26CC8">
        <w:rPr>
          <w:iCs/>
        </w:rPr>
        <w:tab/>
        <w:t>56, house of lords’, in Webb, T. E., </w:t>
      </w:r>
      <w:r w:rsidRPr="00D26CC8">
        <w:rPr>
          <w:i/>
          <w:iCs/>
        </w:rPr>
        <w:t>Essential Cases: Public Law</w:t>
      </w:r>
      <w:r w:rsidRPr="00D26CC8">
        <w:rPr>
          <w:iCs/>
        </w:rPr>
        <w:t xml:space="preserve">. Oxford University </w:t>
      </w:r>
      <w:r w:rsidRPr="00D26CC8">
        <w:rPr>
          <w:iCs/>
        </w:rPr>
        <w:tab/>
        <w:t xml:space="preserve">Press. </w:t>
      </w:r>
      <w:proofErr w:type="spellStart"/>
      <w:r w:rsidRPr="00D26CC8">
        <w:rPr>
          <w:iCs/>
        </w:rPr>
        <w:t>doi</w:t>
      </w:r>
      <w:proofErr w:type="spellEnd"/>
      <w:r w:rsidRPr="00D26CC8">
        <w:rPr>
          <w:iCs/>
        </w:rPr>
        <w:t xml:space="preserve">: 10.1093/he/9780191868306.003.0001. </w:t>
      </w:r>
    </w:p>
    <w:p w14:paraId="29B1BA00" w14:textId="77777777" w:rsidR="00D26CC8" w:rsidRPr="00D26CC8" w:rsidRDefault="00D26CC8" w:rsidP="00BA5789">
      <w:pPr>
        <w:ind w:left="567" w:hanging="567"/>
        <w:jc w:val="both"/>
      </w:pPr>
      <w:r w:rsidRPr="00D26CC8">
        <w:rPr>
          <w:i/>
          <w:iCs/>
        </w:rPr>
        <w:t>Constitutional reform act </w:t>
      </w:r>
      <w:r w:rsidRPr="00D26CC8">
        <w:t xml:space="preserve">(2005). Available at: </w:t>
      </w:r>
      <w:r w:rsidRPr="00D26CC8">
        <w:tab/>
      </w:r>
      <w:hyperlink r:id="rId6" w:history="1">
        <w:r w:rsidRPr="00D26CC8">
          <w:rPr>
            <w:rStyle w:val="Hyperlink"/>
          </w:rPr>
          <w:t>https://www.legislation.gov.uk/ukpga/2005/4/contents</w:t>
        </w:r>
      </w:hyperlink>
      <w:r w:rsidRPr="00D26CC8">
        <w:t xml:space="preserve">. </w:t>
      </w:r>
    </w:p>
    <w:p w14:paraId="22394D6C" w14:textId="77777777" w:rsidR="00D26CC8" w:rsidRPr="00D26CC8" w:rsidRDefault="00D26CC8" w:rsidP="00BA5789">
      <w:pPr>
        <w:ind w:left="567" w:hanging="567"/>
        <w:jc w:val="both"/>
      </w:pPr>
      <w:r w:rsidRPr="00D26CC8">
        <w:rPr>
          <w:i/>
          <w:iCs/>
        </w:rPr>
        <w:t>House of Commons disqualification act </w:t>
      </w:r>
      <w:r w:rsidRPr="00D26CC8">
        <w:t xml:space="preserve">(1975). Available at: </w:t>
      </w:r>
      <w:r w:rsidRPr="00D26CC8">
        <w:tab/>
      </w:r>
      <w:hyperlink r:id="rId7" w:history="1">
        <w:r w:rsidRPr="00D26CC8">
          <w:rPr>
            <w:rStyle w:val="Hyperlink"/>
          </w:rPr>
          <w:t>https://www.legislation.gov.uk/ukpga/1975/24/contents/enacted</w:t>
        </w:r>
      </w:hyperlink>
      <w:r w:rsidRPr="00D26CC8">
        <w:t xml:space="preserve">. </w:t>
      </w:r>
    </w:p>
    <w:p w14:paraId="0B5BDD4A" w14:textId="77777777" w:rsidR="00D26CC8" w:rsidRPr="00D26CC8" w:rsidRDefault="00D26CC8" w:rsidP="00BA5789">
      <w:pPr>
        <w:ind w:left="567" w:hanging="567"/>
        <w:jc w:val="both"/>
        <w:rPr>
          <w:lang w:val="en-US"/>
        </w:rPr>
      </w:pPr>
      <w:r w:rsidRPr="00D26CC8">
        <w:rPr>
          <w:i/>
          <w:iCs/>
        </w:rPr>
        <w:t xml:space="preserve">House of Lords - Davidson (Ap) (Original respondent and cross-appellant) v. Scottish </w:t>
      </w:r>
      <w:r w:rsidRPr="00D26CC8">
        <w:rPr>
          <w:i/>
          <w:iCs/>
        </w:rPr>
        <w:tab/>
        <w:t>ministers (Original appellants and cross-respondents)</w:t>
      </w:r>
      <w:r w:rsidRPr="00D26CC8">
        <w:t xml:space="preserve"> (no date). Available at: </w:t>
      </w:r>
      <w:r w:rsidRPr="00D26CC8">
        <w:tab/>
      </w:r>
      <w:hyperlink r:id="rId8" w:history="1">
        <w:r w:rsidRPr="00D26CC8">
          <w:rPr>
            <w:rStyle w:val="Hyperlink"/>
          </w:rPr>
          <w:t>https://publications.parliament.uk/pa/ld200304/ldjudgmt/jd040715/david-3.htm</w:t>
        </w:r>
      </w:hyperlink>
      <w:r w:rsidRPr="00D26CC8">
        <w:t xml:space="preserve"> </w:t>
      </w:r>
    </w:p>
    <w:p w14:paraId="5E450412" w14:textId="77777777" w:rsidR="00D26CC8" w:rsidRPr="00D26CC8" w:rsidRDefault="00D26CC8" w:rsidP="00BA5789">
      <w:pPr>
        <w:ind w:left="567" w:hanging="567"/>
        <w:jc w:val="both"/>
      </w:pPr>
      <w:r w:rsidRPr="00D26CC8">
        <w:rPr>
          <w:i/>
          <w:iCs/>
        </w:rPr>
        <w:t>Parliamentary voting system and constituencies act </w:t>
      </w:r>
      <w:r w:rsidRPr="00D26CC8">
        <w:t xml:space="preserve">(2011). Available at: </w:t>
      </w:r>
      <w:r w:rsidRPr="00D26CC8">
        <w:tab/>
      </w:r>
      <w:hyperlink r:id="rId9" w:history="1">
        <w:r w:rsidRPr="00D26CC8">
          <w:rPr>
            <w:rStyle w:val="Hyperlink"/>
          </w:rPr>
          <w:t>https://www.legislation.gov.uk/ukpga/2011/1/contents</w:t>
        </w:r>
      </w:hyperlink>
      <w:r w:rsidRPr="00D26CC8">
        <w:t xml:space="preserve">. </w:t>
      </w:r>
    </w:p>
    <w:p w14:paraId="18BA1C7B" w14:textId="77777777" w:rsidR="0089507C" w:rsidRDefault="0089507C" w:rsidP="00653F15">
      <w:pPr>
        <w:rPr>
          <w:lang w:val="en-US"/>
        </w:rPr>
      </w:pPr>
    </w:p>
    <w:p w14:paraId="36E34A6A" w14:textId="77777777" w:rsidR="00BA5789" w:rsidRDefault="00BA5789" w:rsidP="00653F15">
      <w:pPr>
        <w:rPr>
          <w:lang w:val="en-US"/>
        </w:rPr>
      </w:pPr>
    </w:p>
    <w:p w14:paraId="48AA9308" w14:textId="77777777" w:rsidR="0089507C" w:rsidRPr="00BA5789" w:rsidRDefault="00F57F3D" w:rsidP="00653F15">
      <w:pPr>
        <w:rPr>
          <w:b/>
          <w:lang w:val="en-US"/>
        </w:rPr>
      </w:pPr>
      <w:r w:rsidRPr="00BA5789">
        <w:rPr>
          <w:b/>
          <w:lang w:val="en-US"/>
        </w:rPr>
        <w:t>Part Two</w:t>
      </w:r>
    </w:p>
    <w:p w14:paraId="52D78188" w14:textId="77777777" w:rsidR="0041211E" w:rsidRPr="00BA5789" w:rsidRDefault="0041211E" w:rsidP="00653F15">
      <w:pPr>
        <w:rPr>
          <w:b/>
          <w:lang w:val="en-US"/>
        </w:rPr>
      </w:pPr>
      <w:r w:rsidRPr="00BA5789">
        <w:rPr>
          <w:b/>
          <w:lang w:val="en-US"/>
        </w:rPr>
        <w:t>a)</w:t>
      </w:r>
    </w:p>
    <w:p w14:paraId="30912044" w14:textId="77777777" w:rsidR="00B97B2F" w:rsidRDefault="005A5BD4" w:rsidP="00653F15">
      <w:pPr>
        <w:rPr>
          <w:lang w:val="en-US"/>
        </w:rPr>
      </w:pPr>
      <w:r>
        <w:rPr>
          <w:lang w:val="en-US"/>
        </w:rPr>
        <w:tab/>
      </w:r>
      <w:proofErr w:type="gramStart"/>
      <w:r w:rsidR="000D34F6">
        <w:rPr>
          <w:lang w:val="en-US"/>
        </w:rPr>
        <w:t>In regards to</w:t>
      </w:r>
      <w:proofErr w:type="gramEnd"/>
      <w:r w:rsidR="000D34F6">
        <w:rPr>
          <w:lang w:val="en-US"/>
        </w:rPr>
        <w:t xml:space="preserve"> the case scenario, the Chief Constable is endowed with powers to control the intended march</w:t>
      </w:r>
      <w:r w:rsidR="008D2FD3">
        <w:rPr>
          <w:lang w:val="en-US"/>
        </w:rPr>
        <w:t xml:space="preserve"> in accordance to the Public Order Act of 1986. This i</w:t>
      </w:r>
      <w:r w:rsidR="00435183">
        <w:rPr>
          <w:lang w:val="en-US"/>
        </w:rPr>
        <w:t xml:space="preserve">s an act meant to prevent common law offences of unlawful assembly, riot, and rout. The law is also meant to control public assemblies and processions. </w:t>
      </w:r>
      <w:r>
        <w:rPr>
          <w:lang w:val="en-US"/>
        </w:rPr>
        <w:t>Considering the fact of the scenario, it is ev</w:t>
      </w:r>
      <w:r w:rsidR="00DD4299">
        <w:rPr>
          <w:lang w:val="en-US"/>
        </w:rPr>
        <w:t>ident that the march would affect the shop owners</w:t>
      </w:r>
      <w:r w:rsidR="00F63851">
        <w:rPr>
          <w:lang w:val="en-US"/>
        </w:rPr>
        <w:t xml:space="preserve"> as a result of the disruption and thus</w:t>
      </w:r>
      <w:r w:rsidR="00BF07D6">
        <w:rPr>
          <w:lang w:val="en-US"/>
        </w:rPr>
        <w:t>, it is the responsibility of the Chief Cons</w:t>
      </w:r>
      <w:r w:rsidR="00F63851">
        <w:rPr>
          <w:lang w:val="en-US"/>
        </w:rPr>
        <w:t xml:space="preserve">table to control the march. </w:t>
      </w:r>
      <w:r w:rsidR="00477FC0">
        <w:rPr>
          <w:lang w:val="en-US"/>
        </w:rPr>
        <w:t xml:space="preserve">Also given the nature of crowds, there is a possibility for chaos and violence which may further lead to destruction of public property, thereby necessity of the Chief Constable to implement his powers to prohibit the march. On the other hand, the Chief Constable may not exercise his power </w:t>
      </w:r>
      <w:r w:rsidR="00F97F93">
        <w:rPr>
          <w:lang w:val="en-US"/>
        </w:rPr>
        <w:t xml:space="preserve">since the </w:t>
      </w:r>
      <w:proofErr w:type="spellStart"/>
      <w:proofErr w:type="gramStart"/>
      <w:r w:rsidR="00F97F93">
        <w:rPr>
          <w:lang w:val="en-US"/>
        </w:rPr>
        <w:t>Menna</w:t>
      </w:r>
      <w:proofErr w:type="spellEnd"/>
      <w:proofErr w:type="gramEnd"/>
      <w:r w:rsidR="00F97F93">
        <w:rPr>
          <w:lang w:val="en-US"/>
        </w:rPr>
        <w:t xml:space="preserve"> </w:t>
      </w:r>
      <w:r w:rsidR="00F97F93">
        <w:rPr>
          <w:lang w:val="en-US"/>
        </w:rPr>
        <w:lastRenderedPageBreak/>
        <w:t xml:space="preserve">and the protestors are less than 50 which makes compliant of Seditious Meetings Act of 1817 under Section 23. </w:t>
      </w:r>
    </w:p>
    <w:p w14:paraId="4A8F8CB8" w14:textId="77777777" w:rsidR="00B97B2F" w:rsidRPr="00BA5789" w:rsidRDefault="00B97B2F" w:rsidP="00653F15">
      <w:pPr>
        <w:rPr>
          <w:b/>
          <w:lang w:val="en-US"/>
        </w:rPr>
      </w:pPr>
      <w:r w:rsidRPr="00BA5789">
        <w:rPr>
          <w:b/>
          <w:lang w:val="en-US"/>
        </w:rPr>
        <w:t>b)</w:t>
      </w:r>
    </w:p>
    <w:p w14:paraId="00165BA5" w14:textId="77777777" w:rsidR="00B97B2F" w:rsidRDefault="00527194" w:rsidP="00653F15">
      <w:pPr>
        <w:rPr>
          <w:lang w:val="en-US"/>
        </w:rPr>
      </w:pPr>
      <w:r>
        <w:rPr>
          <w:lang w:val="en-US"/>
        </w:rPr>
        <w:tab/>
      </w:r>
      <w:r w:rsidR="00386AED">
        <w:rPr>
          <w:lang w:val="en-US"/>
        </w:rPr>
        <w:t xml:space="preserve">There exists a controversy in the legality of PC Hemp’s action in arresting </w:t>
      </w:r>
      <w:r>
        <w:rPr>
          <w:lang w:val="en-US"/>
        </w:rPr>
        <w:t xml:space="preserve">Tim over the claims of using abusive language. While PC Hemp may be right about Tim using abusive language, the only form of evidence </w:t>
      </w:r>
      <w:r w:rsidR="00A42A27">
        <w:rPr>
          <w:lang w:val="en-US"/>
        </w:rPr>
        <w:t>to validate criminal liability is PC Hemp’</w:t>
      </w:r>
      <w:r w:rsidR="00A65956">
        <w:rPr>
          <w:lang w:val="en-US"/>
        </w:rPr>
        <w:t xml:space="preserve">s word. According to the Police and Criminal Evidence Act of 1984, PC Hemp cannot arrest </w:t>
      </w:r>
      <w:r w:rsidR="00E71138">
        <w:rPr>
          <w:lang w:val="en-US"/>
        </w:rPr>
        <w:t xml:space="preserve">Tim as it requires convincing evidence such as tangible exhibits which are obtained through searches. </w:t>
      </w:r>
      <w:r w:rsidR="00D434BA">
        <w:rPr>
          <w:lang w:val="en-US"/>
        </w:rPr>
        <w:t xml:space="preserve">Without tangible evidence that implicates Tim, PC Hemp is required to release Tim on legal grounds. On the other hand, this gap in the </w:t>
      </w:r>
      <w:r w:rsidR="009379DE">
        <w:rPr>
          <w:lang w:val="en-US"/>
        </w:rPr>
        <w:t xml:space="preserve">act may allow for protestors to verbally intimidate law enforcement without any consequences. </w:t>
      </w:r>
    </w:p>
    <w:p w14:paraId="74C67286" w14:textId="77777777" w:rsidR="00D26CC8" w:rsidRDefault="00D26CC8" w:rsidP="00653F15">
      <w:pPr>
        <w:rPr>
          <w:lang w:val="en-US"/>
        </w:rPr>
      </w:pPr>
    </w:p>
    <w:p w14:paraId="7C24779D" w14:textId="77777777" w:rsidR="007247A2" w:rsidRPr="00BA5789" w:rsidRDefault="00BA5789" w:rsidP="00653F15">
      <w:pPr>
        <w:jc w:val="center"/>
        <w:rPr>
          <w:b/>
          <w:lang w:val="en-US"/>
        </w:rPr>
      </w:pPr>
      <w:r w:rsidRPr="00BA5789">
        <w:rPr>
          <w:b/>
          <w:lang w:val="en-US"/>
        </w:rPr>
        <w:t>Reference List</w:t>
      </w:r>
    </w:p>
    <w:p w14:paraId="1E0DB01B" w14:textId="77777777" w:rsidR="00356073" w:rsidRDefault="00356073" w:rsidP="00BA5789">
      <w:pPr>
        <w:ind w:left="567" w:hanging="567"/>
        <w:jc w:val="both"/>
      </w:pPr>
      <w:r>
        <w:rPr>
          <w:i/>
          <w:iCs/>
        </w:rPr>
        <w:t>Public order act</w:t>
      </w:r>
      <w:r w:rsidRPr="00356073">
        <w:t xml:space="preserve"> (1986). Available at: </w:t>
      </w:r>
      <w:hyperlink r:id="rId10" w:history="1">
        <w:r w:rsidRPr="00A1062F">
          <w:rPr>
            <w:rStyle w:val="Hyperlink"/>
          </w:rPr>
          <w:t>https://www.legislation.gov.uk/ukpga/1986/64</w:t>
        </w:r>
      </w:hyperlink>
      <w:r w:rsidRPr="00356073">
        <w:t>.</w:t>
      </w:r>
      <w:r>
        <w:t xml:space="preserve"> </w:t>
      </w:r>
    </w:p>
    <w:p w14:paraId="0E29CF35" w14:textId="77777777" w:rsidR="00356073" w:rsidRDefault="00356073" w:rsidP="00BA5789">
      <w:pPr>
        <w:ind w:left="567" w:hanging="567"/>
        <w:jc w:val="both"/>
      </w:pPr>
      <w:r w:rsidRPr="00356073">
        <w:rPr>
          <w:i/>
          <w:iCs/>
        </w:rPr>
        <w:t>Police and criminal evidence act </w:t>
      </w:r>
      <w:r w:rsidRPr="00356073">
        <w:t xml:space="preserve">(1984). Available at: </w:t>
      </w:r>
      <w:r>
        <w:tab/>
      </w:r>
      <w:hyperlink r:id="rId11" w:history="1">
        <w:r w:rsidRPr="00A1062F">
          <w:rPr>
            <w:rStyle w:val="Hyperlink"/>
          </w:rPr>
          <w:t>https://www.legislation.gov.uk/ukpga/1984/60/contents</w:t>
        </w:r>
      </w:hyperlink>
      <w:r w:rsidRPr="00356073">
        <w:t>.</w:t>
      </w:r>
      <w:r>
        <w:t xml:space="preserve"> </w:t>
      </w:r>
    </w:p>
    <w:p w14:paraId="74FEDE18" w14:textId="77777777" w:rsidR="002E1182" w:rsidRPr="00BF132A" w:rsidRDefault="002E1182" w:rsidP="00653F15">
      <w:pPr>
        <w:rPr>
          <w:lang w:val="en-US"/>
        </w:rPr>
      </w:pPr>
    </w:p>
    <w:sectPr w:rsidR="002E1182" w:rsidRPr="00BF132A">
      <w:headerReference w:type="default" r:id="rId1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EBC40A" w14:textId="77777777" w:rsidR="00504C85" w:rsidRDefault="00504C85" w:rsidP="00EF75DC">
      <w:pPr>
        <w:spacing w:line="240" w:lineRule="auto"/>
      </w:pPr>
      <w:r>
        <w:separator/>
      </w:r>
    </w:p>
  </w:endnote>
  <w:endnote w:type="continuationSeparator" w:id="0">
    <w:p w14:paraId="1F023717" w14:textId="77777777" w:rsidR="00504C85" w:rsidRDefault="00504C85" w:rsidP="00EF75D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D25E23" w14:textId="77777777" w:rsidR="00504C85" w:rsidRDefault="00504C85" w:rsidP="00EF75DC">
      <w:pPr>
        <w:spacing w:line="240" w:lineRule="auto"/>
      </w:pPr>
      <w:r>
        <w:separator/>
      </w:r>
    </w:p>
  </w:footnote>
  <w:footnote w:type="continuationSeparator" w:id="0">
    <w:p w14:paraId="2F5D36A7" w14:textId="77777777" w:rsidR="00504C85" w:rsidRDefault="00504C85" w:rsidP="00EF75D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7440382"/>
      <w:docPartObj>
        <w:docPartGallery w:val="Page Numbers (Top of Page)"/>
        <w:docPartUnique/>
      </w:docPartObj>
    </w:sdtPr>
    <w:sdtEndPr>
      <w:rPr>
        <w:noProof/>
      </w:rPr>
    </w:sdtEndPr>
    <w:sdtContent>
      <w:p w14:paraId="010D047A" w14:textId="77777777" w:rsidR="00EF75DC" w:rsidRDefault="00ED436D">
        <w:pPr>
          <w:pStyle w:val="Header"/>
          <w:jc w:val="right"/>
        </w:pPr>
        <w:r>
          <w:t xml:space="preserve">Separation of Powers and Police Powers </w:t>
        </w:r>
        <w:r w:rsidR="00EF75DC">
          <w:fldChar w:fldCharType="begin"/>
        </w:r>
        <w:r w:rsidR="00EF75DC">
          <w:instrText xml:space="preserve"> PAGE   \* MERGEFORMAT </w:instrText>
        </w:r>
        <w:r w:rsidR="00EF75DC">
          <w:fldChar w:fldCharType="separate"/>
        </w:r>
        <w:r w:rsidR="00A85A65">
          <w:rPr>
            <w:noProof/>
          </w:rPr>
          <w:t>1</w:t>
        </w:r>
        <w:r w:rsidR="00EF75DC">
          <w:rPr>
            <w:noProof/>
          </w:rPr>
          <w:fldChar w:fldCharType="end"/>
        </w:r>
      </w:p>
    </w:sdtContent>
  </w:sdt>
  <w:p w14:paraId="6B7167C7" w14:textId="77777777" w:rsidR="00EF75DC" w:rsidRDefault="00EF75D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4B63"/>
    <w:rsid w:val="000212D2"/>
    <w:rsid w:val="0002633D"/>
    <w:rsid w:val="0004368E"/>
    <w:rsid w:val="000A6925"/>
    <w:rsid w:val="000B7798"/>
    <w:rsid w:val="000D34F6"/>
    <w:rsid w:val="000F69A1"/>
    <w:rsid w:val="00100590"/>
    <w:rsid w:val="00106026"/>
    <w:rsid w:val="00117F13"/>
    <w:rsid w:val="00155458"/>
    <w:rsid w:val="001839E4"/>
    <w:rsid w:val="00193215"/>
    <w:rsid w:val="0019754B"/>
    <w:rsid w:val="001B4DE1"/>
    <w:rsid w:val="001C67D1"/>
    <w:rsid w:val="001F38C2"/>
    <w:rsid w:val="0020708E"/>
    <w:rsid w:val="0023212B"/>
    <w:rsid w:val="002361C1"/>
    <w:rsid w:val="002E1182"/>
    <w:rsid w:val="0031754E"/>
    <w:rsid w:val="00321564"/>
    <w:rsid w:val="00356073"/>
    <w:rsid w:val="003732F8"/>
    <w:rsid w:val="00386AED"/>
    <w:rsid w:val="0041211E"/>
    <w:rsid w:val="00435183"/>
    <w:rsid w:val="0044645A"/>
    <w:rsid w:val="0046078A"/>
    <w:rsid w:val="0047629E"/>
    <w:rsid w:val="00477FC0"/>
    <w:rsid w:val="0048185D"/>
    <w:rsid w:val="004A549E"/>
    <w:rsid w:val="004E2773"/>
    <w:rsid w:val="00504C85"/>
    <w:rsid w:val="00505121"/>
    <w:rsid w:val="00527194"/>
    <w:rsid w:val="00535578"/>
    <w:rsid w:val="00585152"/>
    <w:rsid w:val="005934BC"/>
    <w:rsid w:val="005A5BD4"/>
    <w:rsid w:val="005C49BA"/>
    <w:rsid w:val="0062001D"/>
    <w:rsid w:val="00653F15"/>
    <w:rsid w:val="00672E7B"/>
    <w:rsid w:val="00693F95"/>
    <w:rsid w:val="006B2CA1"/>
    <w:rsid w:val="006F2686"/>
    <w:rsid w:val="006F7F65"/>
    <w:rsid w:val="00722820"/>
    <w:rsid w:val="00723ADC"/>
    <w:rsid w:val="007247A2"/>
    <w:rsid w:val="00765E24"/>
    <w:rsid w:val="00824476"/>
    <w:rsid w:val="00874EA8"/>
    <w:rsid w:val="0088540C"/>
    <w:rsid w:val="0089507C"/>
    <w:rsid w:val="008B3468"/>
    <w:rsid w:val="008D2FD3"/>
    <w:rsid w:val="00935874"/>
    <w:rsid w:val="009379DE"/>
    <w:rsid w:val="00940B05"/>
    <w:rsid w:val="00985FDE"/>
    <w:rsid w:val="00A235FB"/>
    <w:rsid w:val="00A34079"/>
    <w:rsid w:val="00A42A27"/>
    <w:rsid w:val="00A51C09"/>
    <w:rsid w:val="00A65956"/>
    <w:rsid w:val="00A85A65"/>
    <w:rsid w:val="00B27453"/>
    <w:rsid w:val="00B55124"/>
    <w:rsid w:val="00B97B2F"/>
    <w:rsid w:val="00BA5789"/>
    <w:rsid w:val="00BE3EBC"/>
    <w:rsid w:val="00BF07D6"/>
    <w:rsid w:val="00BF132A"/>
    <w:rsid w:val="00C06347"/>
    <w:rsid w:val="00C47CD6"/>
    <w:rsid w:val="00C8411B"/>
    <w:rsid w:val="00C957A7"/>
    <w:rsid w:val="00CE0271"/>
    <w:rsid w:val="00CF120D"/>
    <w:rsid w:val="00CF460B"/>
    <w:rsid w:val="00D26CC8"/>
    <w:rsid w:val="00D434BA"/>
    <w:rsid w:val="00D51047"/>
    <w:rsid w:val="00D765EB"/>
    <w:rsid w:val="00DA41E2"/>
    <w:rsid w:val="00DC61BC"/>
    <w:rsid w:val="00DD4299"/>
    <w:rsid w:val="00DE7A90"/>
    <w:rsid w:val="00E14B63"/>
    <w:rsid w:val="00E71138"/>
    <w:rsid w:val="00EA7716"/>
    <w:rsid w:val="00EB40D1"/>
    <w:rsid w:val="00ED436D"/>
    <w:rsid w:val="00EF75DC"/>
    <w:rsid w:val="00F12693"/>
    <w:rsid w:val="00F142A7"/>
    <w:rsid w:val="00F57F3D"/>
    <w:rsid w:val="00F63851"/>
    <w:rsid w:val="00F94D93"/>
    <w:rsid w:val="00F97F93"/>
    <w:rsid w:val="00FF1B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D6A0AF"/>
  <w15:chartTrackingRefBased/>
  <w15:docId w15:val="{EFFD5D6D-9312-4791-98B9-72CBBE7E16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2"/>
        <w:lang w:val="en-GB" w:eastAsia="en-US" w:bidi="ar-SA"/>
      </w:rPr>
    </w:rPrDefault>
    <w:pPrDefault>
      <w:pPr>
        <w:spacing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3212B"/>
    <w:pPr>
      <w:keepNext/>
      <w:keepLines/>
      <w:spacing w:before="240"/>
      <w:outlineLvl w:val="0"/>
    </w:pPr>
    <w:rPr>
      <w:rFonts w:eastAsiaTheme="majorEastAsia" w:cstheme="majorBidi"/>
      <w:b/>
      <w:color w:val="000000" w:themeColor="text1"/>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212B"/>
    <w:rPr>
      <w:rFonts w:eastAsiaTheme="majorEastAsia" w:cstheme="majorBidi"/>
      <w:b/>
      <w:color w:val="000000" w:themeColor="text1"/>
      <w:szCs w:val="32"/>
      <w:lang w:val="en-US"/>
    </w:rPr>
  </w:style>
  <w:style w:type="paragraph" w:styleId="Header">
    <w:name w:val="header"/>
    <w:basedOn w:val="Normal"/>
    <w:link w:val="HeaderChar"/>
    <w:uiPriority w:val="99"/>
    <w:unhideWhenUsed/>
    <w:rsid w:val="00EF75DC"/>
    <w:pPr>
      <w:tabs>
        <w:tab w:val="center" w:pos="4513"/>
        <w:tab w:val="right" w:pos="9026"/>
      </w:tabs>
      <w:spacing w:line="240" w:lineRule="auto"/>
    </w:pPr>
  </w:style>
  <w:style w:type="character" w:customStyle="1" w:styleId="HeaderChar">
    <w:name w:val="Header Char"/>
    <w:basedOn w:val="DefaultParagraphFont"/>
    <w:link w:val="Header"/>
    <w:uiPriority w:val="99"/>
    <w:rsid w:val="00EF75DC"/>
  </w:style>
  <w:style w:type="paragraph" w:styleId="Footer">
    <w:name w:val="footer"/>
    <w:basedOn w:val="Normal"/>
    <w:link w:val="FooterChar"/>
    <w:uiPriority w:val="99"/>
    <w:unhideWhenUsed/>
    <w:rsid w:val="00EF75DC"/>
    <w:pPr>
      <w:tabs>
        <w:tab w:val="center" w:pos="4513"/>
        <w:tab w:val="right" w:pos="9026"/>
      </w:tabs>
      <w:spacing w:line="240" w:lineRule="auto"/>
    </w:pPr>
  </w:style>
  <w:style w:type="character" w:customStyle="1" w:styleId="FooterChar">
    <w:name w:val="Footer Char"/>
    <w:basedOn w:val="DefaultParagraphFont"/>
    <w:link w:val="Footer"/>
    <w:uiPriority w:val="99"/>
    <w:rsid w:val="00EF75DC"/>
  </w:style>
  <w:style w:type="character" w:styleId="Hyperlink">
    <w:name w:val="Hyperlink"/>
    <w:basedOn w:val="DefaultParagraphFont"/>
    <w:uiPriority w:val="99"/>
    <w:unhideWhenUsed/>
    <w:rsid w:val="001C67D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lications.parliament.uk/pa/ld200304/ldjudgmt/jd040715/david-3.htm"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legislation.gov.uk/ukpga/1975/24/contents/enacted"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egislation.gov.uk/ukpga/2005/4/contents" TargetMode="External"/><Relationship Id="rId11" Type="http://schemas.openxmlformats.org/officeDocument/2006/relationships/hyperlink" Target="https://www.legislation.gov.uk/ukpga/1984/60/contents" TargetMode="External"/><Relationship Id="rId5" Type="http://schemas.openxmlformats.org/officeDocument/2006/relationships/endnotes" Target="endnotes.xml"/><Relationship Id="rId10" Type="http://schemas.openxmlformats.org/officeDocument/2006/relationships/hyperlink" Target="https://www.legislation.gov.uk/ukpga/1986/64" TargetMode="External"/><Relationship Id="rId4" Type="http://schemas.openxmlformats.org/officeDocument/2006/relationships/footnotes" Target="footnotes.xml"/><Relationship Id="rId9" Type="http://schemas.openxmlformats.org/officeDocument/2006/relationships/hyperlink" Target="https://www.legislation.gov.uk/ukpga/2011/1/content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1069</Words>
  <Characters>6097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Donovan Waweru</dc:creator>
  <cp:keywords/>
  <dc:description/>
  <cp:lastModifiedBy>Ada</cp:lastModifiedBy>
  <cp:revision>3</cp:revision>
  <dcterms:created xsi:type="dcterms:W3CDTF">2021-06-29T09:07:00Z</dcterms:created>
  <dcterms:modified xsi:type="dcterms:W3CDTF">2021-06-29T11:30:00Z</dcterms:modified>
</cp:coreProperties>
</file>