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charts/chart2.xml" ContentType="application/vnd.openxmlformats-officedocument.drawingml.chart+xml"/>
  <Override PartName="/word/charts/chart3.xml" ContentType="application/vnd.openxmlformats-officedocument.drawingml.chart+xml"/>
  <Override PartName="/word/fontTable.xml" ContentType="application/vnd.openxmlformats-officedocument.wordprocessingml.fontTable+xml"/>
  <Override PartName="/word/webSettings.xml" ContentType="application/vnd.openxmlformats-officedocument.wordprocessingml.webSettings+xml"/>
  <Override PartName="/word/charts/chart1.xml" ContentType="application/vnd.openxmlformats-officedocument.drawingml.char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rPr>
          <w:rFonts w:asciiTheme="majorHAnsi" w:eastAsiaTheme="majorEastAsia" w:hAnsiTheme="majorHAnsi" w:cstheme="majorBidi"/>
          <w:caps/>
        </w:rPr>
        <w:id w:val="13061583"/>
        <w:docPartObj>
          <w:docPartGallery w:val="Cover Pages"/>
          <w:docPartUnique/>
        </w:docPartObj>
      </w:sdtPr>
      <w:sdtEndPr>
        <w:rPr>
          <w:rFonts w:asciiTheme="minorHAnsi" w:eastAsiaTheme="minorHAnsi" w:hAnsiTheme="minorHAnsi" w:cstheme="minorBidi"/>
          <w:b/>
          <w:bCs/>
          <w:caps w:val="0"/>
        </w:rPr>
      </w:sdtEndPr>
      <w:sdtContent>
        <w:tbl>
          <w:tblPr>
            <w:tblW w:w="5000" w:type="pct"/>
            <w:jc w:val="center"/>
            <w:tblLook w:val="04A0"/>
          </w:tblPr>
          <w:tblGrid>
            <w:gridCol w:w="9576"/>
          </w:tblGrid>
          <w:tr w:rsidR="009D3DCF">
            <w:trPr>
              <w:trHeight w:val="2880"/>
              <w:jc w:val="center"/>
            </w:trPr>
            <w:tc>
              <w:tcPr>
                <w:tcW w:w="5000" w:type="pct"/>
              </w:tcPr>
              <w:p w:rsidR="009D3DCF" w:rsidRDefault="009D3DCF" w:rsidP="009D3DCF">
                <w:pPr>
                  <w:pStyle w:val="NoSpacing"/>
                  <w:rPr>
                    <w:rFonts w:asciiTheme="majorHAnsi" w:eastAsiaTheme="majorEastAsia" w:hAnsiTheme="majorHAnsi" w:cstheme="majorBidi"/>
                    <w:caps/>
                  </w:rPr>
                </w:pPr>
              </w:p>
            </w:tc>
          </w:tr>
          <w:tr w:rsidR="009D3DCF">
            <w:trPr>
              <w:trHeight w:val="1440"/>
              <w:jc w:val="center"/>
            </w:trPr>
            <w:sdt>
              <w:sdtPr>
                <w:rPr>
                  <w:rFonts w:ascii="Times New Roman" w:hAnsi="Times New Roman" w:cs="Times New Roman"/>
                  <w:b/>
                  <w:bCs/>
                  <w:color w:val="002060"/>
                  <w:sz w:val="40"/>
                  <w:szCs w:val="40"/>
                </w:rPr>
                <w:alias w:val="Title"/>
                <w:id w:val="15524250"/>
                <w:dataBinding w:prefixMappings="xmlns:ns0='http://schemas.openxmlformats.org/package/2006/metadata/core-properties' xmlns:ns1='http://purl.org/dc/elements/1.1/'" w:xpath="/ns0:coreProperties[1]/ns1:title[1]" w:storeItemID="{6C3C8BC8-F283-45AE-878A-BAB7291924A1}"/>
                <w:text/>
              </w:sdtPr>
              <w:sdtContent>
                <w:tc>
                  <w:tcPr>
                    <w:tcW w:w="5000" w:type="pct"/>
                    <w:tcBorders>
                      <w:bottom w:val="single" w:sz="4" w:space="0" w:color="4F81BD" w:themeColor="accent1"/>
                    </w:tcBorders>
                    <w:vAlign w:val="center"/>
                  </w:tcPr>
                  <w:p w:rsidR="009D3DCF" w:rsidRPr="009D3DCF" w:rsidRDefault="006D6317" w:rsidP="009D3DCF">
                    <w:pPr>
                      <w:pStyle w:val="NoSpacing"/>
                      <w:jc w:val="center"/>
                      <w:rPr>
                        <w:rFonts w:asciiTheme="majorHAnsi" w:eastAsiaTheme="majorEastAsia" w:hAnsiTheme="majorHAnsi" w:cstheme="majorBidi"/>
                        <w:b/>
                        <w:sz w:val="40"/>
                        <w:szCs w:val="40"/>
                      </w:rPr>
                    </w:pPr>
                    <w:r w:rsidRPr="006D6317">
                      <w:rPr>
                        <w:rFonts w:ascii="Times New Roman" w:hAnsi="Times New Roman" w:cs="Times New Roman"/>
                        <w:b/>
                        <w:bCs/>
                        <w:color w:val="002060"/>
                        <w:sz w:val="40"/>
                        <w:szCs w:val="40"/>
                      </w:rPr>
                      <w:t>Corporate Financial Analysis CW</w:t>
                    </w:r>
                  </w:p>
                </w:tc>
              </w:sdtContent>
            </w:sdt>
          </w:tr>
          <w:tr w:rsidR="009D3DCF">
            <w:trPr>
              <w:trHeight w:val="720"/>
              <w:jc w:val="center"/>
            </w:trPr>
            <w:sdt>
              <w:sdtPr>
                <w:rPr>
                  <w:rFonts w:ascii="Times New Roman" w:eastAsiaTheme="majorEastAsia" w:hAnsi="Times New Roman" w:cs="Times New Roman"/>
                  <w:b/>
                  <w:color w:val="002060"/>
                  <w:sz w:val="40"/>
                  <w:szCs w:val="40"/>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tc>
                  <w:tcPr>
                    <w:tcW w:w="5000" w:type="pct"/>
                    <w:tcBorders>
                      <w:top w:val="single" w:sz="4" w:space="0" w:color="4F81BD" w:themeColor="accent1"/>
                    </w:tcBorders>
                    <w:vAlign w:val="center"/>
                  </w:tcPr>
                  <w:p w:rsidR="009D3DCF" w:rsidRPr="009D3DCF" w:rsidRDefault="009D3DCF" w:rsidP="009D3DCF">
                    <w:pPr>
                      <w:pStyle w:val="NoSpacing"/>
                      <w:jc w:val="center"/>
                      <w:rPr>
                        <w:rFonts w:asciiTheme="majorHAnsi" w:eastAsiaTheme="majorEastAsia" w:hAnsiTheme="majorHAnsi" w:cstheme="majorBidi"/>
                        <w:b/>
                        <w:sz w:val="40"/>
                        <w:szCs w:val="40"/>
                      </w:rPr>
                    </w:pPr>
                    <w:r w:rsidRPr="006D6317">
                      <w:rPr>
                        <w:rFonts w:ascii="Times New Roman" w:eastAsiaTheme="majorEastAsia" w:hAnsi="Times New Roman" w:cs="Times New Roman"/>
                        <w:b/>
                        <w:color w:val="002060"/>
                        <w:sz w:val="40"/>
                        <w:szCs w:val="40"/>
                      </w:rPr>
                      <w:t xml:space="preserve">GlaxoSmithKline Plc </w:t>
                    </w:r>
                  </w:p>
                </w:tc>
              </w:sdtContent>
            </w:sdt>
          </w:tr>
        </w:tbl>
        <w:p w:rsidR="009D3DCF" w:rsidRDefault="009D3DCF"/>
        <w:p w:rsidR="009D3DCF" w:rsidRDefault="009D3DCF"/>
        <w:p w:rsidR="009D3DCF" w:rsidRDefault="009D3DCF"/>
        <w:p w:rsidR="00E55919" w:rsidRDefault="00E55919">
          <w:pPr>
            <w:rPr>
              <w:b/>
              <w:bCs/>
            </w:rPr>
          </w:pPr>
          <w:r>
            <w:rPr>
              <w:b/>
              <w:bCs/>
            </w:rPr>
            <w:t xml:space="preserve"> </w:t>
          </w:r>
        </w:p>
        <w:p w:rsidR="00E55919" w:rsidRDefault="00E55919">
          <w:pPr>
            <w:rPr>
              <w:b/>
              <w:bCs/>
            </w:rPr>
          </w:pPr>
        </w:p>
        <w:tbl>
          <w:tblPr>
            <w:tblStyle w:val="TableGrid"/>
            <w:tblW w:w="10484" w:type="dxa"/>
            <w:tblLook w:val="04A0"/>
          </w:tblPr>
          <w:tblGrid>
            <w:gridCol w:w="3666"/>
            <w:gridCol w:w="6818"/>
          </w:tblGrid>
          <w:tr w:rsidR="00E55919" w:rsidRPr="00BF6BA8" w:rsidTr="00A62782">
            <w:trPr>
              <w:trHeight w:val="444"/>
            </w:trPr>
            <w:tc>
              <w:tcPr>
                <w:tcW w:w="3666"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 xml:space="preserve"> Name                   :-</w:t>
                </w:r>
              </w:p>
            </w:tc>
            <w:tc>
              <w:tcPr>
                <w:tcW w:w="6818" w:type="dxa"/>
                <w:tcBorders>
                  <w:top w:val="nil"/>
                  <w:left w:val="nil"/>
                  <w:bottom w:val="nil"/>
                  <w:right w:val="nil"/>
                </w:tcBorders>
              </w:tcPr>
              <w:p w:rsidR="00E55919" w:rsidRPr="00E55919" w:rsidRDefault="00E55919" w:rsidP="00A62782">
                <w:pPr>
                  <w:rPr>
                    <w:rFonts w:cs="Times New Roman"/>
                    <w:color w:val="002060"/>
                    <w:sz w:val="36"/>
                    <w:szCs w:val="36"/>
                  </w:rPr>
                </w:pPr>
                <w:proofErr w:type="spellStart"/>
                <w:r w:rsidRPr="00E55919">
                  <w:rPr>
                    <w:rFonts w:cs="Times New Roman"/>
                    <w:color w:val="002060"/>
                    <w:sz w:val="36"/>
                    <w:szCs w:val="36"/>
                  </w:rPr>
                  <w:t>Survin</w:t>
                </w:r>
                <w:proofErr w:type="spellEnd"/>
                <w:r w:rsidRPr="00E55919">
                  <w:rPr>
                    <w:rFonts w:cs="Times New Roman"/>
                    <w:color w:val="002060"/>
                    <w:sz w:val="36"/>
                    <w:szCs w:val="36"/>
                  </w:rPr>
                  <w:t xml:space="preserve"> Patel</w:t>
                </w:r>
              </w:p>
            </w:tc>
          </w:tr>
          <w:tr w:rsidR="00E55919" w:rsidRPr="00BF6BA8" w:rsidTr="00A62782">
            <w:trPr>
              <w:trHeight w:val="444"/>
            </w:trPr>
            <w:tc>
              <w:tcPr>
                <w:tcW w:w="3666"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Id                           :-</w:t>
                </w:r>
              </w:p>
            </w:tc>
            <w:tc>
              <w:tcPr>
                <w:tcW w:w="6818"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1704873</w:t>
                </w:r>
              </w:p>
            </w:tc>
          </w:tr>
          <w:tr w:rsidR="00E55919" w:rsidRPr="00BF6BA8" w:rsidTr="00A62782">
            <w:trPr>
              <w:trHeight w:val="444"/>
            </w:trPr>
            <w:tc>
              <w:tcPr>
                <w:tcW w:w="3666"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Module Title        :-</w:t>
                </w:r>
              </w:p>
            </w:tc>
            <w:tc>
              <w:tcPr>
                <w:tcW w:w="6818"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Corporate Financial Analysis CW</w:t>
                </w:r>
              </w:p>
            </w:tc>
          </w:tr>
          <w:tr w:rsidR="00E55919" w:rsidRPr="00BF6BA8" w:rsidTr="00A62782">
            <w:trPr>
              <w:trHeight w:val="531"/>
            </w:trPr>
            <w:tc>
              <w:tcPr>
                <w:tcW w:w="3666"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Assignment Title :-</w:t>
                </w:r>
              </w:p>
            </w:tc>
            <w:tc>
              <w:tcPr>
                <w:tcW w:w="6818"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 xml:space="preserve">Financial Management </w:t>
                </w:r>
              </w:p>
            </w:tc>
          </w:tr>
          <w:tr w:rsidR="00E55919" w:rsidRPr="00BF6BA8" w:rsidTr="00A62782">
            <w:trPr>
              <w:trHeight w:val="444"/>
            </w:trPr>
            <w:tc>
              <w:tcPr>
                <w:tcW w:w="3666"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 xml:space="preserve">Lecture Name      :-  </w:t>
                </w:r>
              </w:p>
            </w:tc>
            <w:tc>
              <w:tcPr>
                <w:tcW w:w="6818" w:type="dxa"/>
                <w:tcBorders>
                  <w:top w:val="nil"/>
                  <w:left w:val="nil"/>
                  <w:bottom w:val="nil"/>
                  <w:right w:val="nil"/>
                </w:tcBorders>
              </w:tcPr>
              <w:p w:rsidR="00E55919" w:rsidRPr="00E55919" w:rsidRDefault="00E55919" w:rsidP="00A62782">
                <w:pPr>
                  <w:rPr>
                    <w:rFonts w:cs="Times New Roman"/>
                    <w:color w:val="002060"/>
                    <w:sz w:val="36"/>
                    <w:szCs w:val="36"/>
                  </w:rPr>
                </w:pPr>
                <w:proofErr w:type="spellStart"/>
                <w:r w:rsidRPr="00E55919">
                  <w:rPr>
                    <w:rFonts w:cs="Times New Roman"/>
                    <w:color w:val="002060"/>
                    <w:sz w:val="36"/>
                    <w:szCs w:val="36"/>
                  </w:rPr>
                  <w:t>Jio</w:t>
                </w:r>
                <w:proofErr w:type="spellEnd"/>
                <w:r w:rsidRPr="00E55919">
                  <w:rPr>
                    <w:rFonts w:cs="Times New Roman"/>
                    <w:color w:val="002060"/>
                    <w:sz w:val="36"/>
                    <w:szCs w:val="36"/>
                  </w:rPr>
                  <w:t xml:space="preserve"> Miao</w:t>
                </w:r>
              </w:p>
            </w:tc>
          </w:tr>
          <w:tr w:rsidR="00E55919" w:rsidRPr="00BF6BA8" w:rsidTr="00A62782">
            <w:trPr>
              <w:trHeight w:val="444"/>
            </w:trPr>
            <w:tc>
              <w:tcPr>
                <w:tcW w:w="3666"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Subject Code        :-</w:t>
                </w:r>
              </w:p>
            </w:tc>
            <w:tc>
              <w:tcPr>
                <w:tcW w:w="6818" w:type="dxa"/>
                <w:tcBorders>
                  <w:top w:val="nil"/>
                  <w:left w:val="nil"/>
                  <w:bottom w:val="nil"/>
                  <w:right w:val="nil"/>
                </w:tcBorders>
              </w:tcPr>
              <w:p w:rsidR="00E55919" w:rsidRPr="00E55919" w:rsidRDefault="00E55919" w:rsidP="00A62782">
                <w:pPr>
                  <w:rPr>
                    <w:rFonts w:cs="Times New Roman"/>
                    <w:color w:val="002060"/>
                    <w:sz w:val="36"/>
                    <w:szCs w:val="36"/>
                  </w:rPr>
                </w:pPr>
                <w:r w:rsidRPr="00E55919">
                  <w:rPr>
                    <w:rFonts w:cs="Times New Roman"/>
                    <w:color w:val="002060"/>
                    <w:sz w:val="36"/>
                    <w:szCs w:val="36"/>
                  </w:rPr>
                  <w:t>SBMA7100</w:t>
                </w:r>
              </w:p>
            </w:tc>
          </w:tr>
        </w:tbl>
        <w:p w:rsidR="00E55919" w:rsidRPr="00E55919" w:rsidRDefault="00E55919">
          <w:pPr>
            <w:rPr>
              <w:rFonts w:ascii="Times New Roman" w:hAnsi="Times New Roman" w:cs="Times New Roman"/>
              <w:b/>
              <w:bCs/>
              <w:sz w:val="44"/>
              <w:szCs w:val="44"/>
            </w:rPr>
          </w:pPr>
        </w:p>
        <w:p w:rsidR="00E55919" w:rsidRPr="00E55919" w:rsidRDefault="00E55919">
          <w:pPr>
            <w:rPr>
              <w:rFonts w:ascii="Times New Roman" w:hAnsi="Times New Roman" w:cs="Times New Roman"/>
              <w:b/>
              <w:bCs/>
              <w:sz w:val="44"/>
              <w:szCs w:val="44"/>
            </w:rPr>
          </w:pPr>
        </w:p>
        <w:p w:rsidR="00E55919" w:rsidRPr="00E55919" w:rsidRDefault="00E55919">
          <w:pPr>
            <w:rPr>
              <w:rFonts w:ascii="Times New Roman" w:hAnsi="Times New Roman" w:cs="Times New Roman"/>
              <w:b/>
              <w:bCs/>
              <w:sz w:val="44"/>
              <w:szCs w:val="44"/>
            </w:rPr>
          </w:pPr>
        </w:p>
        <w:p w:rsidR="009D3DCF" w:rsidRDefault="009D3DCF">
          <w:r w:rsidRPr="00E55919">
            <w:rPr>
              <w:rFonts w:ascii="Times New Roman" w:hAnsi="Times New Roman" w:cs="Times New Roman"/>
              <w:b/>
              <w:bCs/>
              <w:sz w:val="44"/>
              <w:szCs w:val="44"/>
            </w:rPr>
            <w:br w:type="page"/>
          </w:r>
        </w:p>
      </w:sdtContent>
    </w:sdt>
    <w:tbl>
      <w:tblPr>
        <w:tblStyle w:val="TableGrid"/>
        <w:tblpPr w:leftFromText="180" w:rightFromText="180" w:vertAnchor="text" w:tblpY="1"/>
        <w:tblOverlap w:val="never"/>
        <w:tblW w:w="0" w:type="auto"/>
        <w:tblLook w:val="04A0"/>
      </w:tblPr>
      <w:tblGrid>
        <w:gridCol w:w="751"/>
        <w:gridCol w:w="6543"/>
        <w:gridCol w:w="1432"/>
      </w:tblGrid>
      <w:tr w:rsidR="006D6317" w:rsidTr="006D6317">
        <w:trPr>
          <w:trHeight w:val="302"/>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lastRenderedPageBreak/>
              <w:t>No</w:t>
            </w:r>
          </w:p>
        </w:tc>
        <w:tc>
          <w:tcPr>
            <w:tcW w:w="6543"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Content</w:t>
            </w:r>
          </w:p>
        </w:tc>
        <w:tc>
          <w:tcPr>
            <w:tcW w:w="1432" w:type="dxa"/>
          </w:tcPr>
          <w:p w:rsidR="006D6317" w:rsidRPr="00196642" w:rsidRDefault="006D6317" w:rsidP="006D6317">
            <w:pPr>
              <w:rPr>
                <w:rFonts w:ascii="Times New Roman" w:hAnsi="Times New Roman" w:cs="Times New Roman"/>
                <w:sz w:val="28"/>
                <w:szCs w:val="28"/>
              </w:rPr>
            </w:pPr>
            <w:r w:rsidRPr="00196642">
              <w:rPr>
                <w:rFonts w:ascii="Times New Roman" w:hAnsi="Times New Roman" w:cs="Times New Roman"/>
                <w:sz w:val="28"/>
                <w:szCs w:val="28"/>
              </w:rPr>
              <w:t>Page No</w:t>
            </w:r>
          </w:p>
        </w:tc>
      </w:tr>
      <w:tr w:rsidR="006D6317" w:rsidTr="006D6317">
        <w:trPr>
          <w:trHeight w:val="370"/>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w:t>
            </w:r>
          </w:p>
        </w:tc>
        <w:tc>
          <w:tcPr>
            <w:tcW w:w="6543"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noProof/>
                <w:sz w:val="28"/>
                <w:szCs w:val="28"/>
              </w:rPr>
              <w:t>Introduction:</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03</w:t>
            </w:r>
          </w:p>
        </w:tc>
      </w:tr>
      <w:tr w:rsidR="006D6317" w:rsidTr="006D6317">
        <w:trPr>
          <w:trHeight w:val="370"/>
        </w:trPr>
        <w:tc>
          <w:tcPr>
            <w:tcW w:w="751" w:type="dxa"/>
          </w:tcPr>
          <w:p w:rsidR="006D6317" w:rsidRPr="006D6317" w:rsidRDefault="006D6317" w:rsidP="006D6317">
            <w:pPr>
              <w:rPr>
                <w:rFonts w:ascii="Times New Roman" w:hAnsi="Times New Roman" w:cs="Times New Roman"/>
                <w:sz w:val="28"/>
                <w:szCs w:val="28"/>
              </w:rPr>
            </w:pP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Part A:</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04</w:t>
            </w:r>
          </w:p>
        </w:tc>
      </w:tr>
      <w:tr w:rsidR="006D6317" w:rsidTr="006D6317">
        <w:trPr>
          <w:trHeight w:val="370"/>
        </w:trPr>
        <w:tc>
          <w:tcPr>
            <w:tcW w:w="751" w:type="dxa"/>
          </w:tcPr>
          <w:p w:rsidR="006D6317" w:rsidRPr="006D6317" w:rsidRDefault="006D6317" w:rsidP="006D6317">
            <w:pPr>
              <w:rPr>
                <w:rFonts w:ascii="Times New Roman" w:hAnsi="Times New Roman" w:cs="Times New Roman"/>
                <w:sz w:val="28"/>
                <w:szCs w:val="28"/>
              </w:rPr>
            </w:pP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Brief Overview of the company:</w:t>
            </w:r>
          </w:p>
        </w:tc>
        <w:tc>
          <w:tcPr>
            <w:tcW w:w="1432" w:type="dxa"/>
          </w:tcPr>
          <w:p w:rsidR="006D6317" w:rsidRPr="006D6317" w:rsidRDefault="006D6317" w:rsidP="006D6317">
            <w:pPr>
              <w:rPr>
                <w:rFonts w:ascii="Times New Roman" w:hAnsi="Times New Roman" w:cs="Times New Roman"/>
                <w:sz w:val="28"/>
                <w:szCs w:val="28"/>
              </w:rPr>
            </w:pP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Part B</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08</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2)</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Calculation of the Financial Performance measures</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08</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2.1)</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Calculation of the Profitability ratio</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08</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2.2)</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Calculation of the Liquidity  ratio</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11</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2.3</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Calculation of the Efficiency  Ratios of GlaxoSmithKline Plc</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12</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2.4</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Calculation of Gearing ratio of GlaxoSmithKline Plc</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13</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3)</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A critical Analysis of the ratios calculated</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14</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4)</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Explanation of the changes of the ratio over the years</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17</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4.1)</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Explanation of the Changes in the profitability ratio</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17</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4.2)</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Explanation of the changes in Efficiency ratios</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18</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4.3)</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Explanation of the changes of the Gearing Ratio</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19</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4.4)</w:t>
            </w:r>
          </w:p>
        </w:tc>
        <w:tc>
          <w:tcPr>
            <w:tcW w:w="6543" w:type="dxa"/>
          </w:tcPr>
          <w:p w:rsidR="006D6317" w:rsidRPr="006D6317" w:rsidRDefault="006D6317" w:rsidP="006D6317">
            <w:pPr>
              <w:pStyle w:val="Heading2"/>
              <w:outlineLvl w:val="1"/>
              <w:rPr>
                <w:rFonts w:ascii="Times New Roman" w:hAnsi="Times New Roman" w:cs="Times New Roman"/>
                <w:b w:val="0"/>
                <w:bCs w:val="0"/>
                <w:color w:val="auto"/>
                <w:sz w:val="28"/>
                <w:szCs w:val="28"/>
              </w:rPr>
            </w:pPr>
            <w:r w:rsidRPr="006D6317">
              <w:rPr>
                <w:rFonts w:ascii="Times New Roman" w:hAnsi="Times New Roman" w:cs="Times New Roman"/>
                <w:b w:val="0"/>
                <w:bCs w:val="0"/>
                <w:color w:val="auto"/>
                <w:sz w:val="28"/>
                <w:szCs w:val="28"/>
              </w:rPr>
              <w:t xml:space="preserve">Explanation of the changes of the Gearing Ratio: </w:t>
            </w:r>
          </w:p>
          <w:p w:rsidR="006D6317" w:rsidRPr="006D6317" w:rsidRDefault="006D6317" w:rsidP="006D6317">
            <w:pPr>
              <w:rPr>
                <w:rFonts w:ascii="Times New Roman" w:hAnsi="Times New Roman" w:cs="Times New Roman"/>
                <w:noProof/>
                <w:sz w:val="28"/>
                <w:szCs w:val="28"/>
              </w:rPr>
            </w:pP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20</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5)</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A comparative analysis against its major competitor</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21</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6)</w:t>
            </w: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 xml:space="preserve"> Advantages and Limitations of Using Financial Ratio Analysis for evaluating financial performance</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28</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rPr>
              <w:t>References</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32</w:t>
            </w:r>
          </w:p>
        </w:tc>
      </w:tr>
      <w:tr w:rsidR="006D6317" w:rsidTr="006D6317">
        <w:trPr>
          <w:trHeight w:val="386"/>
        </w:trPr>
        <w:tc>
          <w:tcPr>
            <w:tcW w:w="751" w:type="dxa"/>
          </w:tcPr>
          <w:p w:rsidR="006D6317" w:rsidRPr="006D6317" w:rsidRDefault="006D6317" w:rsidP="006D6317">
            <w:pPr>
              <w:rPr>
                <w:rFonts w:ascii="Times New Roman" w:hAnsi="Times New Roman" w:cs="Times New Roman"/>
                <w:sz w:val="28"/>
                <w:szCs w:val="28"/>
              </w:rPr>
            </w:pPr>
          </w:p>
        </w:tc>
        <w:tc>
          <w:tcPr>
            <w:tcW w:w="6543" w:type="dxa"/>
          </w:tcPr>
          <w:p w:rsidR="006D6317" w:rsidRPr="006D6317" w:rsidRDefault="006D6317" w:rsidP="006D6317">
            <w:pPr>
              <w:rPr>
                <w:rFonts w:ascii="Times New Roman" w:hAnsi="Times New Roman" w:cs="Times New Roman"/>
                <w:noProof/>
                <w:sz w:val="28"/>
                <w:szCs w:val="28"/>
              </w:rPr>
            </w:pPr>
            <w:r w:rsidRPr="006D6317">
              <w:rPr>
                <w:rFonts w:ascii="Times New Roman" w:hAnsi="Times New Roman" w:cs="Times New Roman"/>
                <w:noProof/>
                <w:sz w:val="28"/>
                <w:szCs w:val="28"/>
                <w:shd w:val="clear" w:color="auto" w:fill="FFFFFF"/>
              </w:rPr>
              <w:t>Appendix</w:t>
            </w:r>
          </w:p>
        </w:tc>
        <w:tc>
          <w:tcPr>
            <w:tcW w:w="1432" w:type="dxa"/>
          </w:tcPr>
          <w:p w:rsidR="006D6317" w:rsidRPr="006D6317" w:rsidRDefault="006D6317" w:rsidP="006D6317">
            <w:pPr>
              <w:rPr>
                <w:rFonts w:ascii="Times New Roman" w:hAnsi="Times New Roman" w:cs="Times New Roman"/>
                <w:sz w:val="28"/>
                <w:szCs w:val="28"/>
              </w:rPr>
            </w:pPr>
            <w:r w:rsidRPr="006D6317">
              <w:rPr>
                <w:rFonts w:ascii="Times New Roman" w:hAnsi="Times New Roman" w:cs="Times New Roman"/>
                <w:sz w:val="28"/>
                <w:szCs w:val="28"/>
              </w:rPr>
              <w:t>35</w:t>
            </w:r>
          </w:p>
        </w:tc>
      </w:tr>
    </w:tbl>
    <w:p w:rsidR="00B05D71" w:rsidRDefault="006D6317" w:rsidP="00304155">
      <w:pPr>
        <w:pStyle w:val="TOCHeading"/>
      </w:pPr>
      <w:r>
        <w:br w:type="textWrapping" w:clear="all"/>
      </w:r>
    </w:p>
    <w:p w:rsidR="00B622B7" w:rsidRDefault="00B05D71" w:rsidP="00B05D71">
      <w:pPr>
        <w:tabs>
          <w:tab w:val="left" w:pos="4208"/>
        </w:tabs>
      </w:pPr>
      <w:r>
        <w:tab/>
      </w:r>
    </w:p>
    <w:p w:rsidR="00B622B7" w:rsidRDefault="00B622B7" w:rsidP="003C3077">
      <w:pPr>
        <w:pStyle w:val="Heading1"/>
      </w:pPr>
    </w:p>
    <w:p w:rsidR="003F71B6" w:rsidRDefault="003F71B6" w:rsidP="003F71B6"/>
    <w:p w:rsidR="003F71B6" w:rsidRDefault="003F71B6" w:rsidP="003F71B6"/>
    <w:p w:rsidR="005E14FB" w:rsidRDefault="005E14FB" w:rsidP="003F71B6"/>
    <w:p w:rsidR="005E14FB" w:rsidRPr="003F71B6" w:rsidRDefault="005E14FB" w:rsidP="003F71B6"/>
    <w:p w:rsidR="003C3077" w:rsidRPr="00A62782" w:rsidRDefault="003C3077" w:rsidP="003C3077">
      <w:pPr>
        <w:pStyle w:val="Heading1"/>
        <w:rPr>
          <w:rFonts w:ascii="Times New Roman" w:hAnsi="Times New Roman" w:cs="Times New Roman"/>
          <w:sz w:val="32"/>
          <w:szCs w:val="32"/>
        </w:rPr>
      </w:pPr>
      <w:bookmarkStart w:id="0" w:name="_Toc502272990"/>
      <w:r w:rsidRPr="00A62782">
        <w:rPr>
          <w:rFonts w:ascii="Times New Roman" w:hAnsi="Times New Roman" w:cs="Times New Roman"/>
          <w:sz w:val="32"/>
          <w:szCs w:val="32"/>
        </w:rPr>
        <w:lastRenderedPageBreak/>
        <w:t>1) Introduction:</w:t>
      </w:r>
      <w:bookmarkEnd w:id="0"/>
    </w:p>
    <w:p w:rsidR="003C3077" w:rsidRDefault="003C3077" w:rsidP="003C3077">
      <w:pPr>
        <w:spacing w:line="360" w:lineRule="auto"/>
        <w:jc w:val="both"/>
        <w:rPr>
          <w:rFonts w:ascii="Times New Roman" w:hAnsi="Times New Roman" w:cs="Times New Roman"/>
          <w:sz w:val="28"/>
          <w:szCs w:val="28"/>
        </w:rPr>
      </w:pPr>
      <w:r w:rsidRPr="00A62782">
        <w:rPr>
          <w:rFonts w:ascii="Times New Roman" w:hAnsi="Times New Roman" w:cs="Times New Roman"/>
          <w:sz w:val="28"/>
          <w:szCs w:val="28"/>
        </w:rPr>
        <w:t xml:space="preserve">In this report, a brief description of the GlaxoSmithKline Plc has been provided in detail which will allow </w:t>
      </w:r>
      <w:proofErr w:type="gramStart"/>
      <w:r w:rsidRPr="00A62782">
        <w:rPr>
          <w:rFonts w:ascii="Times New Roman" w:hAnsi="Times New Roman" w:cs="Times New Roman"/>
          <w:sz w:val="28"/>
          <w:szCs w:val="28"/>
        </w:rPr>
        <w:t>to get</w:t>
      </w:r>
      <w:proofErr w:type="gramEnd"/>
      <w:r w:rsidRPr="00A62782">
        <w:rPr>
          <w:rFonts w:ascii="Times New Roman" w:hAnsi="Times New Roman" w:cs="Times New Roman"/>
          <w:sz w:val="28"/>
          <w:szCs w:val="28"/>
        </w:rPr>
        <w:t xml:space="preserve"> a comprehensive idea of the size and scope of the business operation of the company. Moreover, a history of the company has been also provided in this company along with the current overview of the company. Moreover, the report also presents </w:t>
      </w:r>
      <w:proofErr w:type="gramStart"/>
      <w:r w:rsidRPr="00A62782">
        <w:rPr>
          <w:rFonts w:ascii="Times New Roman" w:hAnsi="Times New Roman" w:cs="Times New Roman"/>
          <w:sz w:val="28"/>
          <w:szCs w:val="28"/>
        </w:rPr>
        <w:t>the a</w:t>
      </w:r>
      <w:proofErr w:type="gramEnd"/>
      <w:r w:rsidRPr="00A62782">
        <w:rPr>
          <w:rFonts w:ascii="Times New Roman" w:hAnsi="Times New Roman" w:cs="Times New Roman"/>
          <w:sz w:val="28"/>
          <w:szCs w:val="28"/>
        </w:rPr>
        <w:t xml:space="preserve"> comprehensive calculation of different financial ratio which will allow to estimate the financial performance of the company. This financial ratio has been calculated so as to evaluate the profitability, liquidity, efficiency and the gearing of this pharmaceutical company. It is in addition to it, a critical analysis of the financial ratios that has been used for calculation of the various ratios has also been provided which will enable to understand </w:t>
      </w:r>
      <w:proofErr w:type="gramStart"/>
      <w:r w:rsidRPr="00A62782">
        <w:rPr>
          <w:rFonts w:ascii="Times New Roman" w:hAnsi="Times New Roman" w:cs="Times New Roman"/>
          <w:sz w:val="28"/>
          <w:szCs w:val="28"/>
        </w:rPr>
        <w:t>the  various</w:t>
      </w:r>
      <w:proofErr w:type="gramEnd"/>
      <w:r w:rsidRPr="00A62782">
        <w:rPr>
          <w:rFonts w:ascii="Times New Roman" w:hAnsi="Times New Roman" w:cs="Times New Roman"/>
          <w:sz w:val="28"/>
          <w:szCs w:val="28"/>
        </w:rPr>
        <w:t xml:space="preserve"> dynamics of each of the ratio. The report also depicts a comparative analysis of the financial performance with respect to its one of the major competitor in the </w:t>
      </w:r>
      <w:proofErr w:type="gramStart"/>
      <w:r w:rsidRPr="00A62782">
        <w:rPr>
          <w:rFonts w:ascii="Times New Roman" w:hAnsi="Times New Roman" w:cs="Times New Roman"/>
          <w:sz w:val="28"/>
          <w:szCs w:val="28"/>
        </w:rPr>
        <w:t>industry ,</w:t>
      </w:r>
      <w:proofErr w:type="gramEnd"/>
      <w:r w:rsidRPr="00A62782">
        <w:rPr>
          <w:rFonts w:ascii="Times New Roman" w:hAnsi="Times New Roman" w:cs="Times New Roman"/>
          <w:sz w:val="28"/>
          <w:szCs w:val="28"/>
        </w:rPr>
        <w:t xml:space="preserve"> namely, AstraZeneca Plc which also operates in the pharmaceutical industry at global level. Finally, disadvantages and limitations of using ratio analysis for measuring financial performance </w:t>
      </w:r>
      <w:proofErr w:type="gramStart"/>
      <w:r w:rsidRPr="00A62782">
        <w:rPr>
          <w:rFonts w:ascii="Times New Roman" w:hAnsi="Times New Roman" w:cs="Times New Roman"/>
          <w:sz w:val="28"/>
          <w:szCs w:val="28"/>
        </w:rPr>
        <w:t>has</w:t>
      </w:r>
      <w:proofErr w:type="gramEnd"/>
      <w:r w:rsidRPr="00A62782">
        <w:rPr>
          <w:rFonts w:ascii="Times New Roman" w:hAnsi="Times New Roman" w:cs="Times New Roman"/>
          <w:sz w:val="28"/>
          <w:szCs w:val="28"/>
        </w:rPr>
        <w:t xml:space="preserve"> also been provided in this report. </w:t>
      </w:r>
    </w:p>
    <w:p w:rsidR="00A62782" w:rsidRDefault="00A62782" w:rsidP="003C3077">
      <w:pPr>
        <w:spacing w:line="360" w:lineRule="auto"/>
        <w:jc w:val="both"/>
        <w:rPr>
          <w:rFonts w:ascii="Times New Roman" w:hAnsi="Times New Roman" w:cs="Times New Roman"/>
          <w:sz w:val="28"/>
          <w:szCs w:val="28"/>
        </w:rPr>
      </w:pPr>
    </w:p>
    <w:p w:rsidR="00A62782" w:rsidRDefault="00A62782" w:rsidP="003C3077">
      <w:pPr>
        <w:spacing w:line="360" w:lineRule="auto"/>
        <w:jc w:val="both"/>
        <w:rPr>
          <w:rFonts w:ascii="Times New Roman" w:hAnsi="Times New Roman" w:cs="Times New Roman"/>
          <w:sz w:val="28"/>
          <w:szCs w:val="28"/>
        </w:rPr>
      </w:pPr>
    </w:p>
    <w:p w:rsidR="00A62782" w:rsidRDefault="00A62782" w:rsidP="003C3077">
      <w:pPr>
        <w:spacing w:line="360" w:lineRule="auto"/>
        <w:jc w:val="both"/>
        <w:rPr>
          <w:rFonts w:ascii="Times New Roman" w:hAnsi="Times New Roman" w:cs="Times New Roman"/>
          <w:sz w:val="28"/>
          <w:szCs w:val="28"/>
        </w:rPr>
      </w:pPr>
    </w:p>
    <w:p w:rsidR="00A62782" w:rsidRDefault="00A62782" w:rsidP="003C3077">
      <w:pPr>
        <w:spacing w:line="360" w:lineRule="auto"/>
        <w:jc w:val="both"/>
        <w:rPr>
          <w:rFonts w:ascii="Times New Roman" w:hAnsi="Times New Roman" w:cs="Times New Roman"/>
          <w:sz w:val="28"/>
          <w:szCs w:val="28"/>
        </w:rPr>
      </w:pPr>
    </w:p>
    <w:p w:rsidR="00A62782" w:rsidRDefault="00A62782" w:rsidP="003C3077">
      <w:pPr>
        <w:spacing w:line="360" w:lineRule="auto"/>
        <w:jc w:val="both"/>
        <w:rPr>
          <w:rFonts w:ascii="Times New Roman" w:hAnsi="Times New Roman" w:cs="Times New Roman"/>
          <w:sz w:val="28"/>
          <w:szCs w:val="28"/>
        </w:rPr>
      </w:pPr>
    </w:p>
    <w:p w:rsidR="00A62782" w:rsidRPr="00A62782" w:rsidRDefault="00A62782" w:rsidP="003C3077">
      <w:pPr>
        <w:spacing w:line="360" w:lineRule="auto"/>
        <w:jc w:val="both"/>
        <w:rPr>
          <w:rFonts w:ascii="Times New Roman" w:hAnsi="Times New Roman" w:cs="Times New Roman"/>
          <w:sz w:val="28"/>
          <w:szCs w:val="28"/>
        </w:rPr>
      </w:pPr>
    </w:p>
    <w:p w:rsidR="0026289A" w:rsidRPr="00A62782" w:rsidRDefault="00226E3E" w:rsidP="0026289A">
      <w:pPr>
        <w:pStyle w:val="Heading1"/>
        <w:rPr>
          <w:rFonts w:ascii="Times New Roman" w:hAnsi="Times New Roman" w:cs="Times New Roman"/>
          <w:sz w:val="32"/>
          <w:szCs w:val="32"/>
        </w:rPr>
      </w:pPr>
      <w:bookmarkStart w:id="1" w:name="_Toc502272991"/>
      <w:r w:rsidRPr="00A62782">
        <w:rPr>
          <w:rFonts w:ascii="Times New Roman" w:hAnsi="Times New Roman" w:cs="Times New Roman"/>
          <w:sz w:val="32"/>
          <w:szCs w:val="32"/>
        </w:rPr>
        <w:lastRenderedPageBreak/>
        <w:t>Part A:</w:t>
      </w:r>
      <w:bookmarkEnd w:id="1"/>
    </w:p>
    <w:p w:rsidR="0026289A" w:rsidRPr="00A62782" w:rsidRDefault="0026289A" w:rsidP="0026289A">
      <w:pPr>
        <w:pStyle w:val="Heading1"/>
        <w:rPr>
          <w:rFonts w:ascii="Times New Roman" w:hAnsi="Times New Roman" w:cs="Times New Roman"/>
          <w:sz w:val="32"/>
          <w:szCs w:val="32"/>
        </w:rPr>
      </w:pPr>
      <w:bookmarkStart w:id="2" w:name="_Toc502272992"/>
      <w:r w:rsidRPr="00A62782">
        <w:rPr>
          <w:rFonts w:ascii="Times New Roman" w:hAnsi="Times New Roman" w:cs="Times New Roman"/>
          <w:sz w:val="32"/>
          <w:szCs w:val="32"/>
        </w:rPr>
        <w:t>Brief Overview of the company:</w:t>
      </w:r>
      <w:bookmarkEnd w:id="2"/>
      <w:r w:rsidRPr="00A62782">
        <w:rPr>
          <w:rFonts w:ascii="Times New Roman" w:hAnsi="Times New Roman" w:cs="Times New Roman"/>
          <w:sz w:val="32"/>
          <w:szCs w:val="32"/>
        </w:rPr>
        <w:t xml:space="preserve"> </w:t>
      </w:r>
    </w:p>
    <w:p w:rsidR="0026289A" w:rsidRPr="00A62782" w:rsidRDefault="0026289A" w:rsidP="0026289A">
      <w:pPr>
        <w:rPr>
          <w:rFonts w:ascii="Times New Roman" w:hAnsi="Times New Roman" w:cs="Times New Roman"/>
          <w:sz w:val="28"/>
          <w:szCs w:val="28"/>
        </w:rPr>
      </w:pPr>
    </w:p>
    <w:p w:rsidR="0026289A" w:rsidRPr="00A62782" w:rsidRDefault="0026289A" w:rsidP="0026289A">
      <w:pPr>
        <w:spacing w:line="360" w:lineRule="auto"/>
        <w:jc w:val="both"/>
        <w:rPr>
          <w:rFonts w:ascii="Times New Roman" w:hAnsi="Times New Roman"/>
          <w:sz w:val="28"/>
          <w:szCs w:val="28"/>
        </w:rPr>
      </w:pPr>
      <w:r w:rsidRPr="00A62782">
        <w:rPr>
          <w:rFonts w:ascii="Times New Roman" w:hAnsi="Times New Roman"/>
          <w:noProof/>
          <w:sz w:val="28"/>
          <w:szCs w:val="28"/>
        </w:rPr>
        <w:t>GlaxoSmithKline</w:t>
      </w:r>
      <w:r w:rsidRPr="00A62782">
        <w:rPr>
          <w:rFonts w:ascii="Times New Roman" w:hAnsi="Times New Roman"/>
          <w:sz w:val="28"/>
          <w:szCs w:val="28"/>
        </w:rPr>
        <w:t xml:space="preserve"> </w:t>
      </w:r>
      <w:r w:rsidRPr="00A62782">
        <w:rPr>
          <w:rFonts w:ascii="Times New Roman" w:hAnsi="Times New Roman"/>
          <w:noProof/>
          <w:sz w:val="28"/>
          <w:szCs w:val="28"/>
        </w:rPr>
        <w:t>Plc</w:t>
      </w:r>
      <w:r w:rsidRPr="00A62782">
        <w:rPr>
          <w:rFonts w:ascii="Times New Roman" w:hAnsi="Times New Roman"/>
          <w:sz w:val="28"/>
          <w:szCs w:val="28"/>
        </w:rPr>
        <w:t xml:space="preserve">. is a global healthcare company with its three segments:  vaccines, Pharmaceuticals and consumers’ health. The company is headquartered in </w:t>
      </w:r>
      <w:proofErr w:type="spellStart"/>
      <w:r w:rsidRPr="00A62782">
        <w:rPr>
          <w:rFonts w:ascii="Times New Roman" w:hAnsi="Times New Roman"/>
          <w:sz w:val="28"/>
          <w:szCs w:val="28"/>
        </w:rPr>
        <w:t>Brentford</w:t>
      </w:r>
      <w:proofErr w:type="spellEnd"/>
      <w:r w:rsidRPr="00A62782">
        <w:rPr>
          <w:rFonts w:ascii="Times New Roman" w:hAnsi="Times New Roman"/>
          <w:sz w:val="28"/>
          <w:szCs w:val="28"/>
        </w:rPr>
        <w:t xml:space="preserve">, London.  </w:t>
      </w:r>
      <w:r w:rsidRPr="00A62782">
        <w:rPr>
          <w:rFonts w:ascii="Times New Roman" w:hAnsi="Times New Roman"/>
          <w:noProof/>
          <w:sz w:val="28"/>
          <w:szCs w:val="28"/>
        </w:rPr>
        <w:t>GlaxoSmithKline</w:t>
      </w:r>
      <w:r w:rsidRPr="00A62782">
        <w:rPr>
          <w:rFonts w:ascii="Times New Roman" w:hAnsi="Times New Roman"/>
          <w:sz w:val="28"/>
          <w:szCs w:val="28"/>
        </w:rPr>
        <w:t xml:space="preserve"> is the sixth largest pharmaceutical company with its 99, 3000 employees. As per the </w:t>
      </w:r>
      <w:r w:rsidRPr="00A62782">
        <w:rPr>
          <w:rFonts w:ascii="Times New Roman" w:hAnsi="Times New Roman"/>
          <w:noProof/>
          <w:sz w:val="28"/>
          <w:szCs w:val="28"/>
        </w:rPr>
        <w:t>statistical analysis</w:t>
      </w:r>
      <w:r w:rsidRPr="00A62782">
        <w:rPr>
          <w:rFonts w:ascii="Times New Roman" w:hAnsi="Times New Roman"/>
          <w:sz w:val="28"/>
          <w:szCs w:val="28"/>
        </w:rPr>
        <w:t xml:space="preserve"> of 2016, the revenue of the company is 27.889 billion pound and operating income is 2.598 billion pound (</w:t>
      </w:r>
      <w:proofErr w:type="spellStart"/>
      <w:r w:rsidRPr="00A62782">
        <w:rPr>
          <w:rFonts w:ascii="Times New Roman" w:hAnsi="Times New Roman"/>
          <w:color w:val="222222"/>
          <w:sz w:val="28"/>
          <w:szCs w:val="28"/>
          <w:shd w:val="clear" w:color="auto" w:fill="FFFFFF"/>
        </w:rPr>
        <w:t>Nisen</w:t>
      </w:r>
      <w:proofErr w:type="spellEnd"/>
      <w:r w:rsidRPr="00A62782">
        <w:rPr>
          <w:rFonts w:ascii="Times New Roman" w:hAnsi="Times New Roman"/>
          <w:color w:val="222222"/>
          <w:sz w:val="28"/>
          <w:szCs w:val="28"/>
          <w:shd w:val="clear" w:color="auto" w:fill="FFFFFF"/>
        </w:rPr>
        <w:t xml:space="preserve"> and </w:t>
      </w:r>
      <w:proofErr w:type="spellStart"/>
      <w:r w:rsidRPr="00A62782">
        <w:rPr>
          <w:rFonts w:ascii="Times New Roman" w:hAnsi="Times New Roman"/>
          <w:color w:val="222222"/>
          <w:sz w:val="28"/>
          <w:szCs w:val="28"/>
          <w:shd w:val="clear" w:color="auto" w:fill="FFFFFF"/>
        </w:rPr>
        <w:t>Rockhold</w:t>
      </w:r>
      <w:proofErr w:type="spellEnd"/>
      <w:r w:rsidRPr="00A62782">
        <w:rPr>
          <w:rFonts w:ascii="Times New Roman" w:hAnsi="Times New Roman"/>
          <w:color w:val="222222"/>
          <w:sz w:val="28"/>
          <w:szCs w:val="28"/>
          <w:shd w:val="clear" w:color="auto" w:fill="FFFFFF"/>
        </w:rPr>
        <w:t>, 2013</w:t>
      </w:r>
      <w:r w:rsidRPr="00A62782">
        <w:rPr>
          <w:rFonts w:ascii="Times New Roman" w:hAnsi="Times New Roman"/>
          <w:sz w:val="28"/>
          <w:szCs w:val="28"/>
        </w:rPr>
        <w:t xml:space="preserve">). FY16 discloses company’s net income </w:t>
      </w:r>
      <w:r w:rsidRPr="00A62782">
        <w:rPr>
          <w:rFonts w:ascii="Times New Roman" w:hAnsi="Times New Roman"/>
          <w:noProof/>
          <w:sz w:val="28"/>
          <w:szCs w:val="28"/>
        </w:rPr>
        <w:t>of</w:t>
      </w:r>
      <w:r w:rsidRPr="00A62782">
        <w:rPr>
          <w:rFonts w:ascii="Times New Roman" w:hAnsi="Times New Roman"/>
          <w:sz w:val="28"/>
          <w:szCs w:val="28"/>
        </w:rPr>
        <w:t xml:space="preserve"> 1.062 billion </w:t>
      </w:r>
      <w:r w:rsidRPr="00A62782">
        <w:rPr>
          <w:rFonts w:ascii="Times New Roman" w:hAnsi="Times New Roman"/>
          <w:noProof/>
          <w:sz w:val="28"/>
          <w:szCs w:val="28"/>
        </w:rPr>
        <w:t>pounds</w:t>
      </w:r>
      <w:r w:rsidRPr="00A62782">
        <w:rPr>
          <w:rFonts w:ascii="Times New Roman" w:hAnsi="Times New Roman"/>
          <w:sz w:val="28"/>
          <w:szCs w:val="28"/>
        </w:rPr>
        <w:t xml:space="preserve">. The pharmaceutical business discovers and commercializes medicines for treating patients </w:t>
      </w:r>
      <w:r w:rsidRPr="00A62782">
        <w:rPr>
          <w:rFonts w:ascii="Times New Roman" w:hAnsi="Times New Roman"/>
          <w:noProof/>
          <w:sz w:val="28"/>
          <w:szCs w:val="28"/>
        </w:rPr>
        <w:t>with</w:t>
      </w:r>
      <w:r w:rsidRPr="00A62782">
        <w:rPr>
          <w:rFonts w:ascii="Times New Roman" w:hAnsi="Times New Roman"/>
          <w:sz w:val="28"/>
          <w:szCs w:val="28"/>
        </w:rPr>
        <w:t xml:space="preserve"> the </w:t>
      </w:r>
      <w:r w:rsidRPr="00A62782">
        <w:rPr>
          <w:rFonts w:ascii="Times New Roman" w:hAnsi="Times New Roman"/>
          <w:noProof/>
          <w:sz w:val="28"/>
          <w:szCs w:val="28"/>
        </w:rPr>
        <w:t>chronic and acute disorder</w:t>
      </w:r>
      <w:r w:rsidRPr="00A62782">
        <w:rPr>
          <w:rFonts w:ascii="Times New Roman" w:hAnsi="Times New Roman"/>
          <w:sz w:val="28"/>
          <w:szCs w:val="28"/>
        </w:rPr>
        <w:t xml:space="preserve">. The company already has a </w:t>
      </w:r>
      <w:r w:rsidRPr="00A62782">
        <w:rPr>
          <w:rFonts w:ascii="Times New Roman" w:hAnsi="Times New Roman"/>
          <w:noProof/>
          <w:sz w:val="28"/>
          <w:szCs w:val="28"/>
        </w:rPr>
        <w:t>broad profile</w:t>
      </w:r>
      <w:r w:rsidRPr="00A62782">
        <w:rPr>
          <w:rFonts w:ascii="Times New Roman" w:hAnsi="Times New Roman"/>
          <w:sz w:val="28"/>
          <w:szCs w:val="28"/>
        </w:rPr>
        <w:t xml:space="preserve"> for creating innovative medicines for HIV and respiratory system. </w:t>
      </w:r>
      <w:r w:rsidRPr="00A62782">
        <w:rPr>
          <w:rFonts w:ascii="Times New Roman" w:hAnsi="Times New Roman"/>
          <w:noProof/>
          <w:sz w:val="28"/>
          <w:szCs w:val="28"/>
        </w:rPr>
        <w:t>The entire world</w:t>
      </w:r>
      <w:r w:rsidRPr="00A62782">
        <w:rPr>
          <w:rFonts w:ascii="Times New Roman" w:hAnsi="Times New Roman"/>
          <w:sz w:val="28"/>
          <w:szCs w:val="28"/>
        </w:rPr>
        <w:t xml:space="preserve"> has been suffering from HIV and infectious disease and GSK </w:t>
      </w:r>
      <w:r w:rsidRPr="00A62782">
        <w:rPr>
          <w:rFonts w:ascii="Times New Roman" w:hAnsi="Times New Roman"/>
          <w:noProof/>
          <w:sz w:val="28"/>
          <w:szCs w:val="28"/>
        </w:rPr>
        <w:t>are</w:t>
      </w:r>
      <w:r w:rsidRPr="00A62782">
        <w:rPr>
          <w:rFonts w:ascii="Times New Roman" w:hAnsi="Times New Roman"/>
          <w:sz w:val="28"/>
          <w:szCs w:val="28"/>
        </w:rPr>
        <w:t xml:space="preserve"> trying to prevent this disease by inventing medicines.</w:t>
      </w:r>
    </w:p>
    <w:p w:rsidR="0026289A" w:rsidRPr="00A62782" w:rsidRDefault="0026289A" w:rsidP="0026289A">
      <w:pPr>
        <w:spacing w:line="360" w:lineRule="auto"/>
        <w:jc w:val="both"/>
        <w:rPr>
          <w:rFonts w:ascii="Times New Roman" w:hAnsi="Times New Roman"/>
          <w:sz w:val="28"/>
          <w:szCs w:val="28"/>
        </w:rPr>
      </w:pPr>
      <w:r w:rsidRPr="00A62782">
        <w:rPr>
          <w:rFonts w:ascii="Times New Roman" w:hAnsi="Times New Roman"/>
          <w:sz w:val="28"/>
          <w:szCs w:val="28"/>
        </w:rPr>
        <w:t xml:space="preserve">In 2016, the organization has invested 3.6 billion pound in Research and Development expenditure in three businesses for inventing medicines. GSK has good communication with </w:t>
      </w:r>
      <w:r w:rsidRPr="00A62782">
        <w:rPr>
          <w:rFonts w:ascii="Times New Roman" w:hAnsi="Times New Roman"/>
          <w:noProof/>
          <w:sz w:val="28"/>
          <w:szCs w:val="28"/>
        </w:rPr>
        <w:t>the external</w:t>
      </w:r>
      <w:r w:rsidRPr="00A62782">
        <w:rPr>
          <w:rFonts w:ascii="Times New Roman" w:hAnsi="Times New Roman"/>
          <w:sz w:val="28"/>
          <w:szCs w:val="28"/>
        </w:rPr>
        <w:t xml:space="preserve"> partners and collaborators, which enables the organization to access knowledge and increase understanding in new areas of science (</w:t>
      </w:r>
      <w:proofErr w:type="spellStart"/>
      <w:r w:rsidRPr="00A62782">
        <w:rPr>
          <w:rFonts w:ascii="Times New Roman" w:hAnsi="Times New Roman"/>
          <w:color w:val="222222"/>
          <w:sz w:val="28"/>
          <w:szCs w:val="28"/>
          <w:shd w:val="clear" w:color="auto" w:fill="FFFFFF"/>
        </w:rPr>
        <w:t>Khagi</w:t>
      </w:r>
      <w:proofErr w:type="spellEnd"/>
      <w:r w:rsidRPr="00A62782">
        <w:rPr>
          <w:rFonts w:ascii="Times New Roman" w:hAnsi="Times New Roman"/>
          <w:color w:val="222222"/>
          <w:sz w:val="28"/>
          <w:szCs w:val="28"/>
          <w:shd w:val="clear" w:color="auto" w:fill="FFFFFF"/>
        </w:rPr>
        <w:t xml:space="preserve"> and Cochran, 2015</w:t>
      </w:r>
      <w:r w:rsidRPr="00A62782">
        <w:rPr>
          <w:rFonts w:ascii="Times New Roman" w:hAnsi="Times New Roman"/>
          <w:sz w:val="28"/>
          <w:szCs w:val="28"/>
        </w:rPr>
        <w:t xml:space="preserve">). Besides, the company is focusing on their research across six core rural and urban areas. In the era of technological advancement, the organization is going to use </w:t>
      </w:r>
      <w:r w:rsidRPr="00A62782">
        <w:rPr>
          <w:rFonts w:ascii="Times New Roman" w:hAnsi="Times New Roman"/>
          <w:noProof/>
          <w:sz w:val="28"/>
          <w:szCs w:val="28"/>
        </w:rPr>
        <w:t>next-gen</w:t>
      </w:r>
      <w:r w:rsidRPr="00A62782">
        <w:rPr>
          <w:rFonts w:ascii="Times New Roman" w:hAnsi="Times New Roman"/>
          <w:sz w:val="28"/>
          <w:szCs w:val="28"/>
        </w:rPr>
        <w:t xml:space="preserve"> technology for developing new approaches towards disease control and disease management.</w:t>
      </w:r>
    </w:p>
    <w:p w:rsidR="0026289A" w:rsidRPr="00A62782" w:rsidRDefault="0026289A" w:rsidP="0026289A">
      <w:pPr>
        <w:spacing w:line="360" w:lineRule="auto"/>
        <w:jc w:val="both"/>
        <w:rPr>
          <w:rFonts w:ascii="Times New Roman" w:hAnsi="Times New Roman"/>
          <w:iCs/>
          <w:color w:val="222222"/>
          <w:sz w:val="32"/>
          <w:szCs w:val="32"/>
          <w:shd w:val="clear" w:color="auto" w:fill="FFFFFF"/>
        </w:rPr>
      </w:pPr>
      <w:r w:rsidRPr="00A62782">
        <w:rPr>
          <w:rFonts w:ascii="Times New Roman" w:hAnsi="Times New Roman"/>
          <w:sz w:val="28"/>
          <w:szCs w:val="28"/>
        </w:rPr>
        <w:t xml:space="preserve">Besides, improving Research and Development Team, the organization is focusing on encouraging workplace diversity as well. </w:t>
      </w:r>
      <w:r w:rsidRPr="00A62782">
        <w:rPr>
          <w:rFonts w:ascii="Times New Roman" w:hAnsi="Times New Roman"/>
          <w:noProof/>
          <w:sz w:val="28"/>
          <w:szCs w:val="28"/>
        </w:rPr>
        <w:t>The aim</w:t>
      </w:r>
      <w:r w:rsidRPr="00A62782">
        <w:rPr>
          <w:rFonts w:ascii="Times New Roman" w:hAnsi="Times New Roman"/>
          <w:sz w:val="28"/>
          <w:szCs w:val="28"/>
        </w:rPr>
        <w:t xml:space="preserve"> of the organization is the </w:t>
      </w:r>
      <w:r w:rsidRPr="00A62782">
        <w:rPr>
          <w:rFonts w:ascii="Times New Roman" w:hAnsi="Times New Roman"/>
          <w:sz w:val="28"/>
          <w:szCs w:val="28"/>
        </w:rPr>
        <w:lastRenderedPageBreak/>
        <w:t xml:space="preserve">engage female employees for empowering their position in society. GSK Vaccines business is known to have the biggest portfolio. They provide vaccines for all stages of the lives of people including the infants, teenagers, and adults. The company is also known to dispense around 2 million vaccines every day to people in around 160 countries. The company has its operation in more than 150 markets. It has more than 100,000 employees worldwide. The company also has around 80 manufacturing sites worldwide. The company </w:t>
      </w:r>
      <w:r w:rsidRPr="00A62782">
        <w:rPr>
          <w:rFonts w:ascii="Times New Roman" w:hAnsi="Times New Roman"/>
          <w:noProof/>
          <w:sz w:val="28"/>
          <w:szCs w:val="28"/>
        </w:rPr>
        <w:t>also sells</w:t>
      </w:r>
      <w:r w:rsidRPr="00A62782">
        <w:rPr>
          <w:rFonts w:ascii="Times New Roman" w:hAnsi="Times New Roman"/>
          <w:sz w:val="28"/>
          <w:szCs w:val="28"/>
        </w:rPr>
        <w:t xml:space="preserve"> pharmaceutical products and more than 15 of their recommended medicines produce sale of over £100 million each. According to a survey report, the company accounted for 20% of pharmaceuticals sales in 2016 (</w:t>
      </w:r>
      <w:proofErr w:type="spellStart"/>
      <w:r w:rsidRPr="00A62782">
        <w:rPr>
          <w:rFonts w:ascii="Times New Roman" w:hAnsi="Times New Roman"/>
          <w:color w:val="222222"/>
          <w:sz w:val="28"/>
          <w:szCs w:val="28"/>
          <w:shd w:val="clear" w:color="auto" w:fill="FFFFFF"/>
        </w:rPr>
        <w:t>Muslimah</w:t>
      </w:r>
      <w:proofErr w:type="spellEnd"/>
      <w:r w:rsidRPr="00A62782">
        <w:rPr>
          <w:rFonts w:ascii="Times New Roman" w:hAnsi="Times New Roman"/>
          <w:color w:val="222222"/>
          <w:sz w:val="28"/>
          <w:szCs w:val="28"/>
          <w:shd w:val="clear" w:color="auto" w:fill="FFFFFF"/>
        </w:rPr>
        <w:t xml:space="preserve"> and </w:t>
      </w:r>
      <w:proofErr w:type="spellStart"/>
      <w:r w:rsidRPr="00A62782">
        <w:rPr>
          <w:rFonts w:ascii="Times New Roman" w:hAnsi="Times New Roman"/>
          <w:color w:val="222222"/>
          <w:sz w:val="28"/>
          <w:szCs w:val="28"/>
          <w:shd w:val="clear" w:color="auto" w:fill="FFFFFF"/>
        </w:rPr>
        <w:t>Simatupang</w:t>
      </w:r>
      <w:proofErr w:type="spellEnd"/>
      <w:r w:rsidRPr="00A62782">
        <w:rPr>
          <w:rFonts w:ascii="Times New Roman" w:hAnsi="Times New Roman"/>
          <w:color w:val="222222"/>
          <w:sz w:val="28"/>
          <w:szCs w:val="28"/>
          <w:shd w:val="clear" w:color="auto" w:fill="FFFFFF"/>
        </w:rPr>
        <w:t>, 2014</w:t>
      </w:r>
      <w:r w:rsidRPr="00A62782">
        <w:rPr>
          <w:rFonts w:ascii="Times New Roman" w:hAnsi="Times New Roman"/>
          <w:sz w:val="28"/>
          <w:szCs w:val="28"/>
        </w:rPr>
        <w:t xml:space="preserve">). The company also beat the entry to medicine in 2016. GSK counted within the top 5% of its sector in the Dow Jones Sustainability Index in 2016, and are also recorded in both the World and Europe Indexes.  </w:t>
      </w:r>
      <w:r w:rsidRPr="00A62782">
        <w:rPr>
          <w:rFonts w:ascii="Times New Roman" w:hAnsi="Times New Roman"/>
          <w:noProof/>
          <w:sz w:val="28"/>
          <w:szCs w:val="28"/>
        </w:rPr>
        <w:t>One-third</w:t>
      </w:r>
      <w:r w:rsidRPr="00A62782">
        <w:rPr>
          <w:rFonts w:ascii="Times New Roman" w:hAnsi="Times New Roman"/>
          <w:sz w:val="28"/>
          <w:szCs w:val="28"/>
        </w:rPr>
        <w:t xml:space="preserve"> of the company’s vaccines are used in the development target diseases. The company is always searching the modern ways of improving the </w:t>
      </w:r>
      <w:r w:rsidRPr="00A62782">
        <w:rPr>
          <w:rFonts w:ascii="Times New Roman" w:hAnsi="Times New Roman"/>
          <w:noProof/>
          <w:sz w:val="28"/>
          <w:szCs w:val="28"/>
        </w:rPr>
        <w:t>health</w:t>
      </w:r>
      <w:r w:rsidRPr="00A62782">
        <w:rPr>
          <w:rFonts w:ascii="Times New Roman" w:hAnsi="Times New Roman"/>
          <w:sz w:val="28"/>
          <w:szCs w:val="28"/>
        </w:rPr>
        <w:t xml:space="preserve"> of the people. The company strictly believe in save children target due to which, there is a development of child-friendly medicines, increases the approach to the </w:t>
      </w:r>
      <w:r w:rsidRPr="00A62782">
        <w:rPr>
          <w:rFonts w:ascii="Times New Roman" w:hAnsi="Times New Roman"/>
          <w:noProof/>
          <w:sz w:val="28"/>
          <w:szCs w:val="28"/>
        </w:rPr>
        <w:t>vaccine</w:t>
      </w:r>
      <w:r w:rsidRPr="00A62782">
        <w:rPr>
          <w:rFonts w:ascii="Times New Roman" w:hAnsi="Times New Roman"/>
          <w:sz w:val="28"/>
          <w:szCs w:val="28"/>
        </w:rPr>
        <w:t xml:space="preserve"> and also improved the training session by </w:t>
      </w:r>
      <w:r w:rsidRPr="00A62782">
        <w:rPr>
          <w:rFonts w:ascii="Times New Roman" w:hAnsi="Times New Roman"/>
          <w:sz w:val="32"/>
          <w:szCs w:val="32"/>
        </w:rPr>
        <w:t xml:space="preserve">increasing investment </w:t>
      </w:r>
      <w:r w:rsidRPr="00A62782">
        <w:rPr>
          <w:rFonts w:ascii="Times New Roman" w:hAnsi="Times New Roman"/>
          <w:iCs/>
          <w:color w:val="222222"/>
          <w:sz w:val="32"/>
          <w:szCs w:val="32"/>
          <w:shd w:val="clear" w:color="auto" w:fill="FFFFFF"/>
        </w:rPr>
        <w:t>in training sessions in some poorest societies.</w:t>
      </w:r>
    </w:p>
    <w:p w:rsidR="0026289A" w:rsidRPr="00A62782" w:rsidRDefault="0026289A" w:rsidP="0026289A">
      <w:pPr>
        <w:spacing w:line="360" w:lineRule="auto"/>
        <w:jc w:val="both"/>
        <w:rPr>
          <w:rFonts w:ascii="Times New Roman" w:hAnsi="Times New Roman"/>
          <w:iCs/>
          <w:color w:val="222222"/>
          <w:sz w:val="28"/>
          <w:szCs w:val="28"/>
          <w:shd w:val="clear" w:color="auto" w:fill="FFFFFF"/>
        </w:rPr>
      </w:pPr>
      <w:r w:rsidRPr="00A62782">
        <w:rPr>
          <w:rFonts w:ascii="Times New Roman" w:hAnsi="Times New Roman"/>
          <w:sz w:val="28"/>
          <w:szCs w:val="28"/>
          <w:shd w:val="clear" w:color="auto" w:fill="FFFFFF"/>
        </w:rPr>
        <w:t xml:space="preserve">According to a survey report, GSK had an operating profit of around 7.8 billion British pounds. Further, a report in 2012 reported that the generated revenue of GSK was 6.7 billion in Europe.  The company has shown a clear progress in recent years also. According to the annual report framed in 2016, it has been reported that the company’s Global sale account up to </w:t>
      </w:r>
      <w:r w:rsidRPr="00A62782">
        <w:rPr>
          <w:rFonts w:ascii="Times New Roman" w:hAnsi="Times New Roman"/>
          <w:iCs/>
          <w:color w:val="222222"/>
          <w:sz w:val="28"/>
          <w:szCs w:val="28"/>
          <w:shd w:val="clear" w:color="auto" w:fill="FFFFFF"/>
        </w:rPr>
        <w:t>£27.9 billion up by 17% AER and 6% CER (</w:t>
      </w:r>
      <w:proofErr w:type="spellStart"/>
      <w:r w:rsidRPr="00A62782">
        <w:rPr>
          <w:rFonts w:ascii="Times New Roman" w:hAnsi="Times New Roman"/>
          <w:color w:val="222222"/>
          <w:sz w:val="28"/>
          <w:szCs w:val="28"/>
          <w:shd w:val="clear" w:color="auto" w:fill="FFFFFF"/>
        </w:rPr>
        <w:t>Awasthi</w:t>
      </w:r>
      <w:proofErr w:type="spellEnd"/>
      <w:r w:rsidRPr="00A62782">
        <w:rPr>
          <w:rFonts w:ascii="Times New Roman" w:hAnsi="Times New Roman"/>
          <w:color w:val="222222"/>
          <w:sz w:val="28"/>
          <w:szCs w:val="28"/>
          <w:shd w:val="clear" w:color="auto" w:fill="FFFFFF"/>
        </w:rPr>
        <w:t xml:space="preserve"> and Friedman, 2014</w:t>
      </w:r>
      <w:r w:rsidRPr="00A62782">
        <w:rPr>
          <w:rFonts w:ascii="Times New Roman" w:hAnsi="Times New Roman"/>
          <w:iCs/>
          <w:color w:val="222222"/>
          <w:sz w:val="28"/>
          <w:szCs w:val="28"/>
          <w:shd w:val="clear" w:color="auto" w:fill="FFFFFF"/>
        </w:rPr>
        <w:t xml:space="preserve">). The company has enhanced its main operating advantage through all of its three </w:t>
      </w:r>
      <w:proofErr w:type="gramStart"/>
      <w:r w:rsidRPr="00A62782">
        <w:rPr>
          <w:rFonts w:ascii="Times New Roman" w:hAnsi="Times New Roman"/>
          <w:iCs/>
          <w:color w:val="222222"/>
          <w:sz w:val="28"/>
          <w:szCs w:val="28"/>
          <w:shd w:val="clear" w:color="auto" w:fill="FFFFFF"/>
        </w:rPr>
        <w:t>business</w:t>
      </w:r>
      <w:proofErr w:type="gramEnd"/>
      <w:r w:rsidRPr="00A62782">
        <w:rPr>
          <w:rFonts w:ascii="Times New Roman" w:hAnsi="Times New Roman"/>
          <w:iCs/>
          <w:color w:val="222222"/>
          <w:sz w:val="28"/>
          <w:szCs w:val="28"/>
          <w:shd w:val="clear" w:color="auto" w:fill="FFFFFF"/>
        </w:rPr>
        <w:t xml:space="preserve">. The main reason for the continuous growth of the company is that it </w:t>
      </w:r>
      <w:r w:rsidRPr="00A62782">
        <w:rPr>
          <w:rFonts w:ascii="Times New Roman" w:hAnsi="Times New Roman"/>
          <w:iCs/>
          <w:noProof/>
          <w:color w:val="222222"/>
          <w:sz w:val="28"/>
          <w:szCs w:val="28"/>
          <w:shd w:val="clear" w:color="auto" w:fill="FFFFFF"/>
        </w:rPr>
        <w:t>believes</w:t>
      </w:r>
      <w:r w:rsidRPr="00A62782">
        <w:rPr>
          <w:rFonts w:ascii="Times New Roman" w:hAnsi="Times New Roman"/>
          <w:iCs/>
          <w:color w:val="222222"/>
          <w:sz w:val="28"/>
          <w:szCs w:val="28"/>
          <w:shd w:val="clear" w:color="auto" w:fill="FFFFFF"/>
        </w:rPr>
        <w:t xml:space="preserve"> in being responsible </w:t>
      </w:r>
      <w:r w:rsidRPr="00A62782">
        <w:rPr>
          <w:rFonts w:ascii="Times New Roman" w:hAnsi="Times New Roman"/>
          <w:iCs/>
          <w:noProof/>
          <w:color w:val="222222"/>
          <w:sz w:val="28"/>
          <w:szCs w:val="28"/>
          <w:shd w:val="clear" w:color="auto" w:fill="FFFFFF"/>
        </w:rPr>
        <w:t>for</w:t>
      </w:r>
      <w:r w:rsidRPr="00A62782">
        <w:rPr>
          <w:rFonts w:ascii="Times New Roman" w:hAnsi="Times New Roman"/>
          <w:iCs/>
          <w:color w:val="222222"/>
          <w:sz w:val="28"/>
          <w:szCs w:val="28"/>
          <w:shd w:val="clear" w:color="auto" w:fill="FFFFFF"/>
        </w:rPr>
        <w:t xml:space="preserve"> its </w:t>
      </w:r>
      <w:r w:rsidRPr="00A62782">
        <w:rPr>
          <w:rFonts w:ascii="Times New Roman" w:hAnsi="Times New Roman"/>
          <w:iCs/>
          <w:color w:val="222222"/>
          <w:sz w:val="28"/>
          <w:szCs w:val="28"/>
          <w:shd w:val="clear" w:color="auto" w:fill="FFFFFF"/>
        </w:rPr>
        <w:lastRenderedPageBreak/>
        <w:t xml:space="preserve">business and they know being responsible will help the company in generating large-scale profit as well as success. It has shown expansion in all of its business and due to this, the company has shown a continuous profit year after year. </w:t>
      </w:r>
    </w:p>
    <w:p w:rsidR="0026289A" w:rsidRPr="00A62782" w:rsidRDefault="0026289A" w:rsidP="0026289A">
      <w:pPr>
        <w:spacing w:line="360" w:lineRule="auto"/>
        <w:jc w:val="both"/>
        <w:rPr>
          <w:rFonts w:ascii="Times New Roman" w:hAnsi="Times New Roman"/>
          <w:iCs/>
          <w:color w:val="222222"/>
          <w:sz w:val="28"/>
          <w:szCs w:val="28"/>
          <w:shd w:val="clear" w:color="auto" w:fill="FFFFFF"/>
        </w:rPr>
      </w:pPr>
      <w:r w:rsidRPr="00A62782">
        <w:rPr>
          <w:rFonts w:ascii="Times New Roman" w:hAnsi="Times New Roman"/>
          <w:sz w:val="28"/>
          <w:szCs w:val="28"/>
        </w:rPr>
        <w:t xml:space="preserve">GSK is known to a leading company in respiratory and has been at the front of study in this area for more than 45 years. Its respiratory products and portfolio is the largest funder </w:t>
      </w:r>
      <w:r w:rsidRPr="00A62782">
        <w:rPr>
          <w:rFonts w:ascii="Times New Roman" w:hAnsi="Times New Roman"/>
          <w:noProof/>
          <w:sz w:val="28"/>
          <w:szCs w:val="28"/>
        </w:rPr>
        <w:t>of</w:t>
      </w:r>
      <w:r w:rsidRPr="00A62782">
        <w:rPr>
          <w:rFonts w:ascii="Times New Roman" w:hAnsi="Times New Roman"/>
          <w:sz w:val="28"/>
          <w:szCs w:val="28"/>
        </w:rPr>
        <w:t xml:space="preserve"> pharmaceuticals. The company’s worldwide HIV business is coped through </w:t>
      </w:r>
      <w:proofErr w:type="spellStart"/>
      <w:r w:rsidRPr="00A62782">
        <w:rPr>
          <w:rFonts w:ascii="Times New Roman" w:hAnsi="Times New Roman"/>
          <w:sz w:val="28"/>
          <w:szCs w:val="28"/>
        </w:rPr>
        <w:t>ViiV</w:t>
      </w:r>
      <w:proofErr w:type="spellEnd"/>
      <w:r w:rsidRPr="00A62782">
        <w:rPr>
          <w:rFonts w:ascii="Times New Roman" w:hAnsi="Times New Roman"/>
          <w:sz w:val="28"/>
          <w:szCs w:val="28"/>
        </w:rPr>
        <w:t xml:space="preserve"> Healthcare and its 78.3% share is owned by GSK, with Pfizer and Shionogi the other known shareholders. The annual report of GSK in 2016 reported that the pharmaceutical sales were </w:t>
      </w:r>
      <w:r w:rsidRPr="00A62782">
        <w:rPr>
          <w:rFonts w:ascii="Times New Roman" w:hAnsi="Times New Roman"/>
          <w:iCs/>
          <w:color w:val="222222"/>
          <w:sz w:val="28"/>
          <w:szCs w:val="28"/>
          <w:shd w:val="clear" w:color="auto" w:fill="FFFFFF"/>
        </w:rPr>
        <w:t>£16,104 million, which was 14% up from the actual rates and 3% up from CER. The return to growth of this company is also seen increased by 2%. This complete overview of the company’s pharmaceuticals growth and revenue completely shows that the company is leading the market of respiratory.</w:t>
      </w:r>
    </w:p>
    <w:p w:rsidR="0026289A" w:rsidRPr="00A62782" w:rsidRDefault="0026289A" w:rsidP="0026289A">
      <w:pPr>
        <w:spacing w:line="360" w:lineRule="auto"/>
        <w:jc w:val="both"/>
        <w:rPr>
          <w:rFonts w:ascii="Times New Roman" w:hAnsi="Times New Roman"/>
          <w:iCs/>
          <w:color w:val="222222"/>
          <w:sz w:val="28"/>
          <w:szCs w:val="28"/>
          <w:shd w:val="clear" w:color="auto" w:fill="FFFFFF"/>
        </w:rPr>
      </w:pPr>
      <w:r w:rsidRPr="00A62782">
        <w:rPr>
          <w:rFonts w:ascii="Times New Roman" w:hAnsi="Times New Roman"/>
          <w:iCs/>
          <w:color w:val="222222"/>
          <w:sz w:val="28"/>
          <w:szCs w:val="28"/>
          <w:shd w:val="clear" w:color="auto" w:fill="FFFFFF"/>
        </w:rPr>
        <w:t xml:space="preserve">From the report of the </w:t>
      </w:r>
      <w:r w:rsidRPr="00A62782">
        <w:rPr>
          <w:rFonts w:ascii="Times New Roman" w:hAnsi="Times New Roman"/>
          <w:iCs/>
          <w:noProof/>
          <w:color w:val="222222"/>
          <w:sz w:val="28"/>
          <w:szCs w:val="28"/>
          <w:shd w:val="clear" w:color="auto" w:fill="FFFFFF"/>
        </w:rPr>
        <w:t>financial</w:t>
      </w:r>
      <w:r w:rsidRPr="00A62782">
        <w:rPr>
          <w:rFonts w:ascii="Times New Roman" w:hAnsi="Times New Roman"/>
          <w:iCs/>
          <w:color w:val="222222"/>
          <w:sz w:val="28"/>
          <w:szCs w:val="28"/>
          <w:shd w:val="clear" w:color="auto" w:fill="FFFFFF"/>
        </w:rPr>
        <w:t xml:space="preserve"> year 2016, it has been seen that </w:t>
      </w:r>
      <w:proofErr w:type="spellStart"/>
      <w:r w:rsidRPr="00A62782">
        <w:rPr>
          <w:rFonts w:ascii="Times New Roman" w:hAnsi="Times New Roman"/>
          <w:iCs/>
          <w:color w:val="222222"/>
          <w:sz w:val="28"/>
          <w:szCs w:val="28"/>
          <w:shd w:val="clear" w:color="auto" w:fill="FFFFFF"/>
        </w:rPr>
        <w:t>pharma</w:t>
      </w:r>
      <w:proofErr w:type="spellEnd"/>
      <w:r w:rsidRPr="00A62782">
        <w:rPr>
          <w:rFonts w:ascii="Times New Roman" w:hAnsi="Times New Roman"/>
          <w:iCs/>
          <w:color w:val="222222"/>
          <w:sz w:val="28"/>
          <w:szCs w:val="28"/>
          <w:shd w:val="clear" w:color="auto" w:fill="FFFFFF"/>
        </w:rPr>
        <w:t xml:space="preserve"> giant like GSK is starting to take the corner. </w:t>
      </w:r>
      <w:r w:rsidRPr="00A62782">
        <w:rPr>
          <w:rFonts w:ascii="Times New Roman" w:hAnsi="Times New Roman"/>
          <w:iCs/>
          <w:noProof/>
          <w:color w:val="222222"/>
          <w:sz w:val="28"/>
          <w:szCs w:val="28"/>
          <w:shd w:val="clear" w:color="auto" w:fill="FFFFFF"/>
        </w:rPr>
        <w:t>Except for</w:t>
      </w:r>
      <w:r w:rsidRPr="00A62782">
        <w:rPr>
          <w:rFonts w:ascii="Times New Roman" w:hAnsi="Times New Roman"/>
          <w:iCs/>
          <w:color w:val="222222"/>
          <w:sz w:val="28"/>
          <w:szCs w:val="28"/>
          <w:shd w:val="clear" w:color="auto" w:fill="FFFFFF"/>
        </w:rPr>
        <w:t xml:space="preserve"> pharmaceutical segment, vaccines and consumer healthcare are seeing potential growth; the </w:t>
      </w:r>
      <w:r w:rsidRPr="00A62782">
        <w:rPr>
          <w:rFonts w:ascii="Times New Roman" w:hAnsi="Times New Roman"/>
          <w:iCs/>
          <w:noProof/>
          <w:color w:val="222222"/>
          <w:sz w:val="28"/>
          <w:szCs w:val="28"/>
          <w:shd w:val="clear" w:color="auto" w:fill="FFFFFF"/>
        </w:rPr>
        <w:t>only pharmaceutical segment</w:t>
      </w:r>
      <w:r w:rsidRPr="00A62782">
        <w:rPr>
          <w:rFonts w:ascii="Times New Roman" w:hAnsi="Times New Roman"/>
          <w:iCs/>
          <w:color w:val="222222"/>
          <w:sz w:val="28"/>
          <w:szCs w:val="28"/>
          <w:shd w:val="clear" w:color="auto" w:fill="FFFFFF"/>
        </w:rPr>
        <w:t xml:space="preserve"> is facing heavy loss due to generic competition. Improving cash flow rate is showing that company will cover the dividend with FCF (</w:t>
      </w:r>
      <w:r w:rsidRPr="00A62782">
        <w:rPr>
          <w:rFonts w:ascii="Times New Roman" w:hAnsi="Times New Roman"/>
          <w:color w:val="222222"/>
          <w:sz w:val="28"/>
          <w:szCs w:val="28"/>
          <w:shd w:val="clear" w:color="auto" w:fill="FFFFFF"/>
        </w:rPr>
        <w:t xml:space="preserve">Macdonald and </w:t>
      </w:r>
      <w:proofErr w:type="spellStart"/>
      <w:r w:rsidRPr="00A62782">
        <w:rPr>
          <w:rFonts w:ascii="Times New Roman" w:hAnsi="Times New Roman"/>
          <w:color w:val="222222"/>
          <w:sz w:val="28"/>
          <w:szCs w:val="28"/>
          <w:shd w:val="clear" w:color="auto" w:fill="FFFFFF"/>
        </w:rPr>
        <w:t>McInally</w:t>
      </w:r>
      <w:proofErr w:type="spellEnd"/>
      <w:r w:rsidRPr="00A62782">
        <w:rPr>
          <w:rFonts w:ascii="Times New Roman" w:hAnsi="Times New Roman"/>
          <w:color w:val="222222"/>
          <w:sz w:val="28"/>
          <w:szCs w:val="28"/>
          <w:shd w:val="clear" w:color="auto" w:fill="FFFFFF"/>
        </w:rPr>
        <w:t>, 2016</w:t>
      </w:r>
      <w:r w:rsidRPr="00A62782">
        <w:rPr>
          <w:rFonts w:ascii="Times New Roman" w:hAnsi="Times New Roman"/>
          <w:iCs/>
          <w:color w:val="222222"/>
          <w:sz w:val="28"/>
          <w:szCs w:val="28"/>
          <w:shd w:val="clear" w:color="auto" w:fill="FFFFFF"/>
        </w:rPr>
        <w:t xml:space="preserve">). Recent few years are quite interesting for GSK despite facing several issues. Emma </w:t>
      </w:r>
      <w:proofErr w:type="spellStart"/>
      <w:r w:rsidRPr="00A62782">
        <w:rPr>
          <w:rFonts w:ascii="Times New Roman" w:hAnsi="Times New Roman"/>
          <w:iCs/>
          <w:color w:val="222222"/>
          <w:sz w:val="28"/>
          <w:szCs w:val="28"/>
          <w:shd w:val="clear" w:color="auto" w:fill="FFFFFF"/>
        </w:rPr>
        <w:t>Walmsley</w:t>
      </w:r>
      <w:proofErr w:type="spellEnd"/>
      <w:r w:rsidRPr="00A62782">
        <w:rPr>
          <w:rFonts w:ascii="Times New Roman" w:hAnsi="Times New Roman"/>
          <w:iCs/>
          <w:color w:val="222222"/>
          <w:sz w:val="28"/>
          <w:szCs w:val="28"/>
          <w:shd w:val="clear" w:color="auto" w:fill="FFFFFF"/>
        </w:rPr>
        <w:t xml:space="preserve">, chief executive of GSK, reported that first quarter of 2017 exceeded market expectations because sales </w:t>
      </w:r>
      <w:r w:rsidRPr="00A62782">
        <w:rPr>
          <w:rFonts w:ascii="Times New Roman" w:hAnsi="Times New Roman"/>
          <w:iCs/>
          <w:noProof/>
          <w:color w:val="222222"/>
          <w:sz w:val="28"/>
          <w:szCs w:val="28"/>
          <w:shd w:val="clear" w:color="auto" w:fill="FFFFFF"/>
        </w:rPr>
        <w:t>have</w:t>
      </w:r>
      <w:r w:rsidRPr="00A62782">
        <w:rPr>
          <w:rFonts w:ascii="Times New Roman" w:hAnsi="Times New Roman"/>
          <w:iCs/>
          <w:color w:val="222222"/>
          <w:sz w:val="28"/>
          <w:szCs w:val="28"/>
          <w:shd w:val="clear" w:color="auto" w:fill="FFFFFF"/>
        </w:rPr>
        <w:t xml:space="preserve"> been </w:t>
      </w:r>
      <w:proofErr w:type="gramStart"/>
      <w:r w:rsidRPr="00A62782">
        <w:rPr>
          <w:rFonts w:ascii="Times New Roman" w:hAnsi="Times New Roman"/>
          <w:iCs/>
          <w:color w:val="222222"/>
          <w:sz w:val="28"/>
          <w:szCs w:val="28"/>
          <w:shd w:val="clear" w:color="auto" w:fill="FFFFFF"/>
        </w:rPr>
        <w:t>risen</w:t>
      </w:r>
      <w:proofErr w:type="gramEnd"/>
      <w:r w:rsidRPr="00A62782">
        <w:rPr>
          <w:rFonts w:ascii="Times New Roman" w:hAnsi="Times New Roman"/>
          <w:iCs/>
          <w:color w:val="222222"/>
          <w:sz w:val="28"/>
          <w:szCs w:val="28"/>
          <w:shd w:val="clear" w:color="auto" w:fill="FFFFFF"/>
        </w:rPr>
        <w:t xml:space="preserve"> by 20%. The first quarter of the sales of 2017 is 7.4 </w:t>
      </w:r>
      <w:proofErr w:type="spellStart"/>
      <w:r w:rsidRPr="00A62782">
        <w:rPr>
          <w:rFonts w:ascii="Times New Roman" w:hAnsi="Times New Roman"/>
          <w:iCs/>
          <w:color w:val="222222"/>
          <w:sz w:val="28"/>
          <w:szCs w:val="28"/>
          <w:shd w:val="clear" w:color="auto" w:fill="FFFFFF"/>
        </w:rPr>
        <w:t>bn</w:t>
      </w:r>
      <w:proofErr w:type="spellEnd"/>
      <w:r w:rsidRPr="00A62782">
        <w:rPr>
          <w:rFonts w:ascii="Times New Roman" w:hAnsi="Times New Roman"/>
          <w:iCs/>
          <w:color w:val="222222"/>
          <w:sz w:val="28"/>
          <w:szCs w:val="28"/>
          <w:shd w:val="clear" w:color="auto" w:fill="FFFFFF"/>
        </w:rPr>
        <w:t xml:space="preserve"> </w:t>
      </w:r>
      <w:proofErr w:type="gramStart"/>
      <w:r w:rsidRPr="00A62782">
        <w:rPr>
          <w:rFonts w:ascii="Times New Roman" w:hAnsi="Times New Roman"/>
          <w:iCs/>
          <w:color w:val="222222"/>
          <w:sz w:val="28"/>
          <w:szCs w:val="28"/>
          <w:shd w:val="clear" w:color="auto" w:fill="FFFFFF"/>
        </w:rPr>
        <w:t>pound</w:t>
      </w:r>
      <w:proofErr w:type="gramEnd"/>
      <w:r w:rsidRPr="00A62782">
        <w:rPr>
          <w:rFonts w:ascii="Times New Roman" w:hAnsi="Times New Roman"/>
          <w:iCs/>
          <w:color w:val="222222"/>
          <w:sz w:val="28"/>
          <w:szCs w:val="28"/>
          <w:shd w:val="clear" w:color="auto" w:fill="FFFFFF"/>
        </w:rPr>
        <w:t xml:space="preserve">, this is slightly above analysts’ expectations up to 7.27 </w:t>
      </w:r>
      <w:proofErr w:type="spellStart"/>
      <w:r w:rsidRPr="00A62782">
        <w:rPr>
          <w:rFonts w:ascii="Times New Roman" w:hAnsi="Times New Roman"/>
          <w:iCs/>
          <w:color w:val="222222"/>
          <w:sz w:val="28"/>
          <w:szCs w:val="28"/>
          <w:shd w:val="clear" w:color="auto" w:fill="FFFFFF"/>
        </w:rPr>
        <w:t>bn</w:t>
      </w:r>
      <w:proofErr w:type="spellEnd"/>
      <w:r w:rsidRPr="00A62782">
        <w:rPr>
          <w:rFonts w:ascii="Times New Roman" w:hAnsi="Times New Roman"/>
          <w:iCs/>
          <w:color w:val="222222"/>
          <w:sz w:val="28"/>
          <w:szCs w:val="28"/>
          <w:shd w:val="clear" w:color="auto" w:fill="FFFFFF"/>
        </w:rPr>
        <w:t xml:space="preserve"> pound.</w:t>
      </w:r>
    </w:p>
    <w:p w:rsidR="0026289A" w:rsidRDefault="0026289A" w:rsidP="0026289A">
      <w:pPr>
        <w:spacing w:line="360" w:lineRule="auto"/>
        <w:jc w:val="both"/>
        <w:rPr>
          <w:rFonts w:ascii="Times New Roman" w:hAnsi="Times New Roman"/>
          <w:sz w:val="24"/>
          <w:szCs w:val="24"/>
        </w:rPr>
      </w:pPr>
      <w:r>
        <w:rPr>
          <w:rFonts w:ascii="Times New Roman" w:hAnsi="Times New Roman"/>
          <w:noProof/>
          <w:sz w:val="24"/>
          <w:szCs w:val="24"/>
          <w:lang w:bidi="gu-IN"/>
        </w:rPr>
        <w:lastRenderedPageBreak/>
        <w:drawing>
          <wp:inline distT="0" distB="0" distL="0" distR="0">
            <wp:extent cx="5937885" cy="1816735"/>
            <wp:effectExtent l="19050" t="0" r="5715" b="0"/>
            <wp:docPr id="1" name="Picture 2" descr="Description: https://static.seekingalpha.com/uploads/2017/2/36971276_14869967054759_rId11_thumb.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escription: https://static.seekingalpha.com/uploads/2017/2/36971276_14869967054759_rId11_thumb.jpg"/>
                    <pic:cNvPicPr>
                      <a:picLocks noChangeAspect="1" noChangeArrowheads="1"/>
                    </pic:cNvPicPr>
                  </pic:nvPicPr>
                  <pic:blipFill>
                    <a:blip r:embed="rId6"/>
                    <a:srcRect/>
                    <a:stretch>
                      <a:fillRect/>
                    </a:stretch>
                  </pic:blipFill>
                  <pic:spPr bwMode="auto">
                    <a:xfrm>
                      <a:off x="0" y="0"/>
                      <a:ext cx="5937885" cy="1816735"/>
                    </a:xfrm>
                    <a:prstGeom prst="rect">
                      <a:avLst/>
                    </a:prstGeom>
                    <a:noFill/>
                    <a:ln w="9525">
                      <a:noFill/>
                      <a:miter lim="800000"/>
                      <a:headEnd/>
                      <a:tailEnd/>
                    </a:ln>
                  </pic:spPr>
                </pic:pic>
              </a:graphicData>
            </a:graphic>
          </wp:inline>
        </w:drawing>
      </w:r>
    </w:p>
    <w:p w:rsidR="0026289A" w:rsidRPr="00A62782" w:rsidRDefault="0026289A" w:rsidP="0026289A">
      <w:pPr>
        <w:spacing w:line="360" w:lineRule="auto"/>
        <w:jc w:val="both"/>
        <w:rPr>
          <w:rFonts w:ascii="Times New Roman" w:hAnsi="Times New Roman"/>
          <w:sz w:val="28"/>
          <w:szCs w:val="28"/>
        </w:rPr>
      </w:pPr>
      <w:r w:rsidRPr="00A62782">
        <w:rPr>
          <w:rFonts w:ascii="Times New Roman" w:hAnsi="Times New Roman"/>
          <w:sz w:val="28"/>
          <w:szCs w:val="28"/>
        </w:rPr>
        <w:t xml:space="preserve">Above two charts are about the segment revenue growth and operating income growth and from the analysis of these </w:t>
      </w:r>
      <w:r w:rsidRPr="00A62782">
        <w:rPr>
          <w:rFonts w:ascii="Times New Roman" w:hAnsi="Times New Roman"/>
          <w:noProof/>
          <w:sz w:val="28"/>
          <w:szCs w:val="28"/>
        </w:rPr>
        <w:t>two</w:t>
      </w:r>
      <w:r w:rsidRPr="00A62782">
        <w:rPr>
          <w:rFonts w:ascii="Times New Roman" w:hAnsi="Times New Roman"/>
          <w:sz w:val="28"/>
          <w:szCs w:val="28"/>
        </w:rPr>
        <w:t xml:space="preserve"> graphs, it has been understood that in 2016, the company has seen a remarkable growth in three sectors.</w:t>
      </w:r>
    </w:p>
    <w:p w:rsidR="00541F2B" w:rsidRDefault="00541F2B"/>
    <w:p w:rsidR="00A62782" w:rsidRDefault="00A62782"/>
    <w:p w:rsidR="00A62782" w:rsidRDefault="00A62782"/>
    <w:p w:rsidR="00A62782" w:rsidRDefault="00A62782"/>
    <w:p w:rsidR="00A62782" w:rsidRDefault="00A62782"/>
    <w:p w:rsidR="00A62782" w:rsidRDefault="00A62782"/>
    <w:p w:rsidR="00A62782" w:rsidRDefault="00A62782"/>
    <w:p w:rsidR="00A62782" w:rsidRDefault="00A62782"/>
    <w:p w:rsidR="00A62782" w:rsidRDefault="00A62782"/>
    <w:p w:rsidR="00A62782" w:rsidRDefault="00A62782"/>
    <w:p w:rsidR="00A62782" w:rsidRDefault="00A62782"/>
    <w:p w:rsidR="00A62782" w:rsidRDefault="00A62782"/>
    <w:p w:rsidR="00A62782" w:rsidRDefault="00A62782"/>
    <w:p w:rsidR="00A62782" w:rsidRDefault="00A62782"/>
    <w:p w:rsidR="00541F2B" w:rsidRPr="00A62782" w:rsidRDefault="00541F2B" w:rsidP="00541F2B">
      <w:pPr>
        <w:pStyle w:val="Heading1"/>
        <w:rPr>
          <w:rFonts w:ascii="Times New Roman" w:hAnsi="Times New Roman" w:cs="Times New Roman"/>
          <w:sz w:val="32"/>
          <w:szCs w:val="32"/>
        </w:rPr>
      </w:pPr>
      <w:bookmarkStart w:id="3" w:name="_Toc502272993"/>
      <w:r w:rsidRPr="00A62782">
        <w:rPr>
          <w:rFonts w:ascii="Times New Roman" w:hAnsi="Times New Roman" w:cs="Times New Roman"/>
          <w:sz w:val="32"/>
          <w:szCs w:val="32"/>
        </w:rPr>
        <w:lastRenderedPageBreak/>
        <w:t>Part B:</w:t>
      </w:r>
      <w:bookmarkEnd w:id="3"/>
      <w:r w:rsidRPr="00A62782">
        <w:rPr>
          <w:rFonts w:ascii="Times New Roman" w:hAnsi="Times New Roman" w:cs="Times New Roman"/>
          <w:sz w:val="32"/>
          <w:szCs w:val="32"/>
        </w:rPr>
        <w:t xml:space="preserve"> </w:t>
      </w:r>
    </w:p>
    <w:p w:rsidR="00541F2B" w:rsidRPr="00A62782" w:rsidRDefault="00541F2B" w:rsidP="009851F1">
      <w:pPr>
        <w:pStyle w:val="Heading1"/>
        <w:rPr>
          <w:rFonts w:ascii="Times New Roman" w:hAnsi="Times New Roman" w:cs="Times New Roman"/>
          <w:sz w:val="32"/>
          <w:szCs w:val="32"/>
        </w:rPr>
      </w:pPr>
      <w:bookmarkStart w:id="4" w:name="_Toc502272994"/>
      <w:r w:rsidRPr="00A62782">
        <w:rPr>
          <w:rFonts w:ascii="Times New Roman" w:hAnsi="Times New Roman" w:cs="Times New Roman"/>
          <w:sz w:val="32"/>
          <w:szCs w:val="32"/>
        </w:rPr>
        <w:t xml:space="preserve">2) </w:t>
      </w:r>
      <w:r w:rsidR="009851F1" w:rsidRPr="00A62782">
        <w:rPr>
          <w:rFonts w:ascii="Times New Roman" w:hAnsi="Times New Roman" w:cs="Times New Roman"/>
          <w:sz w:val="32"/>
          <w:szCs w:val="32"/>
        </w:rPr>
        <w:t>C</w:t>
      </w:r>
      <w:r w:rsidRPr="00A62782">
        <w:rPr>
          <w:rFonts w:ascii="Times New Roman" w:hAnsi="Times New Roman" w:cs="Times New Roman"/>
          <w:sz w:val="32"/>
          <w:szCs w:val="32"/>
        </w:rPr>
        <w:t>alculation of the Financial Performance measures:</w:t>
      </w:r>
      <w:bookmarkEnd w:id="4"/>
    </w:p>
    <w:p w:rsidR="00BD3463" w:rsidRPr="00A62782" w:rsidRDefault="00BD3463" w:rsidP="00BD3463">
      <w:pPr>
        <w:rPr>
          <w:rFonts w:ascii="Times New Roman" w:hAnsi="Times New Roman" w:cs="Times New Roman"/>
          <w:sz w:val="28"/>
          <w:szCs w:val="28"/>
        </w:rPr>
      </w:pPr>
    </w:p>
    <w:p w:rsidR="00541F2B" w:rsidRPr="00A62782" w:rsidRDefault="00541F2B" w:rsidP="00BD3463">
      <w:pPr>
        <w:spacing w:line="360" w:lineRule="auto"/>
        <w:jc w:val="both"/>
        <w:rPr>
          <w:rFonts w:ascii="Times New Roman" w:hAnsi="Times New Roman" w:cs="Times New Roman"/>
          <w:sz w:val="28"/>
          <w:szCs w:val="28"/>
        </w:rPr>
      </w:pPr>
      <w:r w:rsidRPr="00A62782">
        <w:rPr>
          <w:rFonts w:ascii="Times New Roman" w:hAnsi="Times New Roman" w:cs="Times New Roman"/>
          <w:sz w:val="28"/>
          <w:szCs w:val="28"/>
        </w:rPr>
        <w:t xml:space="preserve">In this section various ratios of the pharmaceutical company GSK Plc has been </w:t>
      </w:r>
      <w:proofErr w:type="gramStart"/>
      <w:r w:rsidRPr="00A62782">
        <w:rPr>
          <w:rFonts w:ascii="Times New Roman" w:hAnsi="Times New Roman" w:cs="Times New Roman"/>
          <w:sz w:val="28"/>
          <w:szCs w:val="28"/>
        </w:rPr>
        <w:t>calculated  such</w:t>
      </w:r>
      <w:proofErr w:type="gramEnd"/>
      <w:r w:rsidRPr="00A62782">
        <w:rPr>
          <w:rFonts w:ascii="Times New Roman" w:hAnsi="Times New Roman" w:cs="Times New Roman"/>
          <w:sz w:val="28"/>
          <w:szCs w:val="28"/>
        </w:rPr>
        <w:t xml:space="preserve"> as profitability, liquidity, gearing and efficiency ratios for the past 5 years based on the published financial results of the company. The details of the calculation of the various ratios are presented below. </w:t>
      </w:r>
    </w:p>
    <w:p w:rsidR="00E55919" w:rsidRDefault="00E55919" w:rsidP="00BD3463">
      <w:pPr>
        <w:spacing w:line="360" w:lineRule="auto"/>
        <w:jc w:val="both"/>
        <w:rPr>
          <w:rFonts w:ascii="Times New Roman" w:hAnsi="Times New Roman" w:cs="Times New Roman"/>
          <w:sz w:val="24"/>
          <w:szCs w:val="24"/>
        </w:rPr>
      </w:pPr>
    </w:p>
    <w:p w:rsidR="00541F2B" w:rsidRPr="00A62782" w:rsidRDefault="00541F2B" w:rsidP="00541F2B">
      <w:pPr>
        <w:pStyle w:val="Heading2"/>
        <w:rPr>
          <w:rFonts w:ascii="Times New Roman" w:hAnsi="Times New Roman" w:cs="Times New Roman"/>
          <w:sz w:val="32"/>
          <w:szCs w:val="32"/>
        </w:rPr>
      </w:pPr>
      <w:bookmarkStart w:id="5" w:name="_Toc502272995"/>
      <w:r w:rsidRPr="00A62782">
        <w:rPr>
          <w:rFonts w:ascii="Times New Roman" w:hAnsi="Times New Roman" w:cs="Times New Roman"/>
          <w:sz w:val="32"/>
          <w:szCs w:val="32"/>
        </w:rPr>
        <w:t>2.1) Calculation of the Profitability ratio:</w:t>
      </w:r>
      <w:bookmarkEnd w:id="5"/>
      <w:r w:rsidRPr="00A62782">
        <w:rPr>
          <w:rFonts w:ascii="Times New Roman" w:hAnsi="Times New Roman" w:cs="Times New Roman"/>
          <w:sz w:val="32"/>
          <w:szCs w:val="32"/>
        </w:rPr>
        <w:t xml:space="preserve"> </w:t>
      </w:r>
    </w:p>
    <w:p w:rsidR="00BD3463" w:rsidRPr="00A62782" w:rsidRDefault="00BD3463" w:rsidP="00BD3463">
      <w:pPr>
        <w:rPr>
          <w:sz w:val="24"/>
          <w:szCs w:val="24"/>
        </w:rPr>
      </w:pPr>
    </w:p>
    <w:p w:rsidR="00E55919" w:rsidRPr="00A62782" w:rsidRDefault="00541F2B" w:rsidP="00E55919">
      <w:pPr>
        <w:spacing w:line="360" w:lineRule="auto"/>
        <w:jc w:val="both"/>
        <w:rPr>
          <w:rFonts w:ascii="Times New Roman" w:hAnsi="Times New Roman" w:cs="Times New Roman"/>
          <w:sz w:val="28"/>
          <w:szCs w:val="28"/>
        </w:rPr>
      </w:pPr>
      <w:r w:rsidRPr="00A62782">
        <w:rPr>
          <w:rFonts w:ascii="Times New Roman" w:hAnsi="Times New Roman" w:cs="Times New Roman"/>
          <w:sz w:val="28"/>
          <w:szCs w:val="28"/>
        </w:rPr>
        <w:t xml:space="preserve">This section comprises of the calculation of the profitability ratios of last 5 years of GSK plc based on the on the financial information </w:t>
      </w:r>
      <w:r w:rsidR="00BD3463" w:rsidRPr="00A62782">
        <w:rPr>
          <w:rFonts w:ascii="Times New Roman" w:hAnsi="Times New Roman" w:cs="Times New Roman"/>
          <w:sz w:val="28"/>
          <w:szCs w:val="28"/>
        </w:rPr>
        <w:t xml:space="preserve">available in the different financial statements such as income statement , balance sheet and cash flow statement. </w:t>
      </w:r>
    </w:p>
    <w:p w:rsidR="00541F2B" w:rsidRPr="00A62782" w:rsidRDefault="00A47DE1">
      <w:pPr>
        <w:rPr>
          <w:rFonts w:ascii="Times New Roman" w:hAnsi="Times New Roman" w:cs="Times New Roman"/>
          <w:b/>
          <w:sz w:val="28"/>
          <w:szCs w:val="28"/>
        </w:rPr>
      </w:pPr>
      <w:r w:rsidRPr="00A62782">
        <w:rPr>
          <w:rFonts w:ascii="Times New Roman" w:hAnsi="Times New Roman" w:cs="Times New Roman"/>
          <w:b/>
          <w:sz w:val="28"/>
          <w:szCs w:val="28"/>
        </w:rPr>
        <w:t xml:space="preserve">Calculation of </w:t>
      </w:r>
      <w:r w:rsidR="00541F2B" w:rsidRPr="00A62782">
        <w:rPr>
          <w:rFonts w:ascii="Times New Roman" w:hAnsi="Times New Roman" w:cs="Times New Roman"/>
          <w:b/>
          <w:sz w:val="28"/>
          <w:szCs w:val="28"/>
        </w:rPr>
        <w:t xml:space="preserve">Gross Profit margin: </w:t>
      </w:r>
    </w:p>
    <w:p w:rsidR="00E55919" w:rsidRPr="00BD3463" w:rsidRDefault="00E55919">
      <w:pPr>
        <w:rPr>
          <w:rFonts w:ascii="Times New Roman" w:hAnsi="Times New Roman" w:cs="Times New Roman"/>
          <w:b/>
          <w:sz w:val="24"/>
          <w:szCs w:val="24"/>
        </w:rPr>
      </w:pPr>
    </w:p>
    <w:tbl>
      <w:tblPr>
        <w:tblW w:w="9395" w:type="dxa"/>
        <w:tblInd w:w="85" w:type="dxa"/>
        <w:tblLook w:val="04A0"/>
      </w:tblPr>
      <w:tblGrid>
        <w:gridCol w:w="4082"/>
        <w:gridCol w:w="996"/>
        <w:gridCol w:w="996"/>
        <w:gridCol w:w="996"/>
        <w:gridCol w:w="996"/>
        <w:gridCol w:w="1329"/>
      </w:tblGrid>
      <w:tr w:rsidR="00541F2B" w:rsidRPr="00541F2B" w:rsidTr="00541F2B">
        <w:trPr>
          <w:trHeight w:val="279"/>
        </w:trPr>
        <w:tc>
          <w:tcPr>
            <w:tcW w:w="9394"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jc w:val="center"/>
              <w:rPr>
                <w:rFonts w:ascii="Times New Roman" w:eastAsia="Times New Roman" w:hAnsi="Times New Roman" w:cs="Times New Roman"/>
                <w:b/>
                <w:bCs/>
                <w:color w:val="000000"/>
                <w:sz w:val="24"/>
                <w:szCs w:val="24"/>
              </w:rPr>
            </w:pPr>
            <w:r w:rsidRPr="00541F2B">
              <w:rPr>
                <w:rFonts w:ascii="Times New Roman" w:eastAsia="Times New Roman" w:hAnsi="Times New Roman" w:cs="Times New Roman"/>
                <w:b/>
                <w:bCs/>
                <w:color w:val="000000"/>
                <w:sz w:val="24"/>
                <w:szCs w:val="24"/>
              </w:rPr>
              <w:t xml:space="preserve">Gross profit margin of GlaxoSmithKline Plc </w:t>
            </w:r>
          </w:p>
        </w:tc>
      </w:tr>
      <w:tr w:rsidR="00541F2B" w:rsidRPr="00541F2B" w:rsidTr="00541F2B">
        <w:trPr>
          <w:trHeight w:val="279"/>
        </w:trPr>
        <w:tc>
          <w:tcPr>
            <w:tcW w:w="9394"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jc w:val="center"/>
              <w:rPr>
                <w:rFonts w:ascii="Times New Roman" w:eastAsia="Times New Roman" w:hAnsi="Times New Roman" w:cs="Times New Roman"/>
                <w:b/>
                <w:bCs/>
                <w:color w:val="000000"/>
                <w:sz w:val="24"/>
                <w:szCs w:val="24"/>
              </w:rPr>
            </w:pPr>
            <w:r w:rsidRPr="00541F2B">
              <w:rPr>
                <w:rFonts w:ascii="Times New Roman" w:eastAsia="Times New Roman" w:hAnsi="Times New Roman" w:cs="Times New Roman"/>
                <w:b/>
                <w:bCs/>
                <w:color w:val="000000"/>
                <w:sz w:val="24"/>
                <w:szCs w:val="24"/>
              </w:rPr>
              <w:t>Gross profit margin (in %)= (Gross Profit/ Revenue)*100</w:t>
            </w:r>
          </w:p>
        </w:tc>
      </w:tr>
      <w:tr w:rsidR="00541F2B" w:rsidRPr="00541F2B" w:rsidTr="00541F2B">
        <w:trPr>
          <w:trHeight w:val="279"/>
        </w:trPr>
        <w:tc>
          <w:tcPr>
            <w:tcW w:w="4082" w:type="dxa"/>
            <w:tcBorders>
              <w:top w:val="nil"/>
              <w:left w:val="single" w:sz="4" w:space="0" w:color="auto"/>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rPr>
                <w:rFonts w:ascii="Times New Roman" w:eastAsia="Times New Roman" w:hAnsi="Times New Roman" w:cs="Times New Roman"/>
                <w:b/>
                <w:bCs/>
                <w:color w:val="000000"/>
                <w:sz w:val="24"/>
                <w:szCs w:val="24"/>
              </w:rPr>
            </w:pPr>
            <w:r w:rsidRPr="00541F2B">
              <w:rPr>
                <w:rFonts w:ascii="Times New Roman" w:eastAsia="Times New Roman" w:hAnsi="Times New Roman" w:cs="Times New Roman"/>
                <w:b/>
                <w:bCs/>
                <w:color w:val="000000"/>
                <w:sz w:val="24"/>
                <w:szCs w:val="24"/>
              </w:rPr>
              <w:t>Year</w:t>
            </w:r>
          </w:p>
        </w:tc>
        <w:tc>
          <w:tcPr>
            <w:tcW w:w="996" w:type="dxa"/>
            <w:tcBorders>
              <w:top w:val="nil"/>
              <w:left w:val="nil"/>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jc w:val="right"/>
              <w:rPr>
                <w:rFonts w:ascii="Times New Roman" w:eastAsia="Times New Roman" w:hAnsi="Times New Roman" w:cs="Times New Roman"/>
                <w:b/>
                <w:bCs/>
                <w:color w:val="000000"/>
                <w:sz w:val="24"/>
                <w:szCs w:val="24"/>
              </w:rPr>
            </w:pPr>
            <w:r w:rsidRPr="00541F2B">
              <w:rPr>
                <w:rFonts w:ascii="Times New Roman" w:eastAsia="Times New Roman" w:hAnsi="Times New Roman" w:cs="Times New Roman"/>
                <w:b/>
                <w:bCs/>
                <w:color w:val="000000"/>
                <w:sz w:val="24"/>
                <w:szCs w:val="24"/>
              </w:rPr>
              <w:t>2016</w:t>
            </w:r>
          </w:p>
        </w:tc>
        <w:tc>
          <w:tcPr>
            <w:tcW w:w="996" w:type="dxa"/>
            <w:tcBorders>
              <w:top w:val="nil"/>
              <w:left w:val="nil"/>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jc w:val="right"/>
              <w:rPr>
                <w:rFonts w:ascii="Times New Roman" w:eastAsia="Times New Roman" w:hAnsi="Times New Roman" w:cs="Times New Roman"/>
                <w:b/>
                <w:bCs/>
                <w:color w:val="000000"/>
                <w:sz w:val="24"/>
                <w:szCs w:val="24"/>
              </w:rPr>
            </w:pPr>
            <w:r w:rsidRPr="00541F2B">
              <w:rPr>
                <w:rFonts w:ascii="Times New Roman" w:eastAsia="Times New Roman" w:hAnsi="Times New Roman" w:cs="Times New Roman"/>
                <w:b/>
                <w:bCs/>
                <w:color w:val="000000"/>
                <w:sz w:val="24"/>
                <w:szCs w:val="24"/>
              </w:rPr>
              <w:t>2015</w:t>
            </w:r>
          </w:p>
        </w:tc>
        <w:tc>
          <w:tcPr>
            <w:tcW w:w="996" w:type="dxa"/>
            <w:tcBorders>
              <w:top w:val="nil"/>
              <w:left w:val="nil"/>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jc w:val="right"/>
              <w:rPr>
                <w:rFonts w:ascii="Times New Roman" w:eastAsia="Times New Roman" w:hAnsi="Times New Roman" w:cs="Times New Roman"/>
                <w:b/>
                <w:bCs/>
                <w:color w:val="000000"/>
                <w:sz w:val="24"/>
                <w:szCs w:val="24"/>
              </w:rPr>
            </w:pPr>
            <w:r w:rsidRPr="00541F2B">
              <w:rPr>
                <w:rFonts w:ascii="Times New Roman" w:eastAsia="Times New Roman" w:hAnsi="Times New Roman" w:cs="Times New Roman"/>
                <w:b/>
                <w:bCs/>
                <w:color w:val="000000"/>
                <w:sz w:val="24"/>
                <w:szCs w:val="24"/>
              </w:rPr>
              <w:t>2014</w:t>
            </w:r>
          </w:p>
        </w:tc>
        <w:tc>
          <w:tcPr>
            <w:tcW w:w="996" w:type="dxa"/>
            <w:tcBorders>
              <w:top w:val="nil"/>
              <w:left w:val="nil"/>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jc w:val="right"/>
              <w:rPr>
                <w:rFonts w:ascii="Times New Roman" w:eastAsia="Times New Roman" w:hAnsi="Times New Roman" w:cs="Times New Roman"/>
                <w:b/>
                <w:bCs/>
                <w:color w:val="000000"/>
                <w:sz w:val="24"/>
                <w:szCs w:val="24"/>
              </w:rPr>
            </w:pPr>
            <w:r w:rsidRPr="00541F2B">
              <w:rPr>
                <w:rFonts w:ascii="Times New Roman" w:eastAsia="Times New Roman" w:hAnsi="Times New Roman" w:cs="Times New Roman"/>
                <w:b/>
                <w:bCs/>
                <w:color w:val="000000"/>
                <w:sz w:val="24"/>
                <w:szCs w:val="24"/>
              </w:rPr>
              <w:t>2013</w:t>
            </w:r>
          </w:p>
        </w:tc>
        <w:tc>
          <w:tcPr>
            <w:tcW w:w="1329" w:type="dxa"/>
            <w:tcBorders>
              <w:top w:val="nil"/>
              <w:left w:val="nil"/>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jc w:val="right"/>
              <w:rPr>
                <w:rFonts w:ascii="Times New Roman" w:eastAsia="Times New Roman" w:hAnsi="Times New Roman" w:cs="Times New Roman"/>
                <w:b/>
                <w:bCs/>
                <w:color w:val="000000"/>
                <w:sz w:val="24"/>
                <w:szCs w:val="24"/>
              </w:rPr>
            </w:pPr>
            <w:r w:rsidRPr="00541F2B">
              <w:rPr>
                <w:rFonts w:ascii="Times New Roman" w:eastAsia="Times New Roman" w:hAnsi="Times New Roman" w:cs="Times New Roman"/>
                <w:b/>
                <w:bCs/>
                <w:color w:val="000000"/>
                <w:sz w:val="24"/>
                <w:szCs w:val="24"/>
              </w:rPr>
              <w:t>2012</w:t>
            </w:r>
          </w:p>
        </w:tc>
      </w:tr>
      <w:tr w:rsidR="00541F2B" w:rsidRPr="00541F2B" w:rsidTr="00541F2B">
        <w:trPr>
          <w:trHeight w:val="279"/>
        </w:trPr>
        <w:tc>
          <w:tcPr>
            <w:tcW w:w="4082" w:type="dxa"/>
            <w:tcBorders>
              <w:top w:val="nil"/>
              <w:left w:val="single" w:sz="4" w:space="0" w:color="auto"/>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Revenue (in £ million)</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27889</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23923</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23006</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26505</w:t>
            </w:r>
          </w:p>
        </w:tc>
        <w:tc>
          <w:tcPr>
            <w:tcW w:w="1329"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26431</w:t>
            </w:r>
          </w:p>
        </w:tc>
      </w:tr>
      <w:tr w:rsidR="00541F2B" w:rsidRPr="00541F2B" w:rsidTr="00541F2B">
        <w:trPr>
          <w:trHeight w:val="279"/>
        </w:trPr>
        <w:tc>
          <w:tcPr>
            <w:tcW w:w="4082" w:type="dxa"/>
            <w:tcBorders>
              <w:top w:val="nil"/>
              <w:left w:val="single" w:sz="4" w:space="0" w:color="auto"/>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Cost of Sales  (in £ million)</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9290</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8853</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7323</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8585</w:t>
            </w:r>
          </w:p>
        </w:tc>
        <w:tc>
          <w:tcPr>
            <w:tcW w:w="1329"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7894</w:t>
            </w:r>
          </w:p>
        </w:tc>
      </w:tr>
      <w:tr w:rsidR="00541F2B" w:rsidRPr="00541F2B" w:rsidTr="00541F2B">
        <w:trPr>
          <w:trHeight w:val="279"/>
        </w:trPr>
        <w:tc>
          <w:tcPr>
            <w:tcW w:w="4082" w:type="dxa"/>
            <w:tcBorders>
              <w:top w:val="nil"/>
              <w:left w:val="single" w:sz="4" w:space="0" w:color="auto"/>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Gross Profit (in £ million)</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18599</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15070</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15683</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17920</w:t>
            </w:r>
          </w:p>
        </w:tc>
        <w:tc>
          <w:tcPr>
            <w:tcW w:w="1329"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18537</w:t>
            </w:r>
          </w:p>
        </w:tc>
      </w:tr>
      <w:tr w:rsidR="00541F2B" w:rsidRPr="00541F2B" w:rsidTr="00541F2B">
        <w:trPr>
          <w:trHeight w:val="279"/>
        </w:trPr>
        <w:tc>
          <w:tcPr>
            <w:tcW w:w="4082" w:type="dxa"/>
            <w:tcBorders>
              <w:top w:val="nil"/>
              <w:left w:val="single" w:sz="4" w:space="0" w:color="auto"/>
              <w:bottom w:val="single" w:sz="4" w:space="0" w:color="auto"/>
              <w:right w:val="single" w:sz="4" w:space="0" w:color="auto"/>
            </w:tcBorders>
            <w:shd w:val="clear" w:color="000000" w:fill="D7E4BC"/>
            <w:noWrap/>
            <w:vAlign w:val="bottom"/>
            <w:hideMark/>
          </w:tcPr>
          <w:p w:rsidR="00541F2B" w:rsidRPr="00541F2B" w:rsidRDefault="00541F2B" w:rsidP="00541F2B">
            <w:pPr>
              <w:spacing w:after="0" w:line="240" w:lineRule="auto"/>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Gross profit margin (in %)</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66.69</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62.99</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68.17</w:t>
            </w:r>
          </w:p>
        </w:tc>
        <w:tc>
          <w:tcPr>
            <w:tcW w:w="996"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67.61</w:t>
            </w:r>
          </w:p>
        </w:tc>
        <w:tc>
          <w:tcPr>
            <w:tcW w:w="1329" w:type="dxa"/>
            <w:tcBorders>
              <w:top w:val="nil"/>
              <w:left w:val="nil"/>
              <w:bottom w:val="single" w:sz="4" w:space="0" w:color="auto"/>
              <w:right w:val="single" w:sz="4" w:space="0" w:color="auto"/>
            </w:tcBorders>
            <w:shd w:val="clear" w:color="auto" w:fill="auto"/>
            <w:noWrap/>
            <w:vAlign w:val="bottom"/>
            <w:hideMark/>
          </w:tcPr>
          <w:p w:rsidR="00541F2B" w:rsidRPr="00541F2B" w:rsidRDefault="00541F2B" w:rsidP="00541F2B">
            <w:pPr>
              <w:spacing w:after="0" w:line="240" w:lineRule="auto"/>
              <w:jc w:val="right"/>
              <w:rPr>
                <w:rFonts w:ascii="Times New Roman" w:eastAsia="Times New Roman" w:hAnsi="Times New Roman" w:cs="Times New Roman"/>
                <w:color w:val="000000"/>
                <w:sz w:val="24"/>
                <w:szCs w:val="24"/>
              </w:rPr>
            </w:pPr>
            <w:r w:rsidRPr="00541F2B">
              <w:rPr>
                <w:rFonts w:ascii="Times New Roman" w:eastAsia="Times New Roman" w:hAnsi="Times New Roman" w:cs="Times New Roman"/>
                <w:color w:val="000000"/>
                <w:sz w:val="24"/>
                <w:szCs w:val="24"/>
              </w:rPr>
              <w:t>70.13356</w:t>
            </w:r>
          </w:p>
        </w:tc>
      </w:tr>
    </w:tbl>
    <w:p w:rsidR="00541F2B" w:rsidRPr="00BD3463" w:rsidRDefault="00541F2B">
      <w:pPr>
        <w:rPr>
          <w:rFonts w:ascii="Times New Roman" w:hAnsi="Times New Roman" w:cs="Times New Roman"/>
          <w:sz w:val="24"/>
          <w:szCs w:val="24"/>
        </w:rPr>
      </w:pPr>
    </w:p>
    <w:p w:rsidR="00A47DE1" w:rsidRPr="00BD3463" w:rsidRDefault="00A47DE1">
      <w:pPr>
        <w:rPr>
          <w:rFonts w:ascii="Times New Roman" w:hAnsi="Times New Roman" w:cs="Times New Roman"/>
          <w:sz w:val="24"/>
          <w:szCs w:val="24"/>
        </w:rPr>
      </w:pPr>
      <w:r w:rsidRPr="00BD3463">
        <w:rPr>
          <w:rFonts w:ascii="Times New Roman" w:hAnsi="Times New Roman" w:cs="Times New Roman"/>
          <w:noProof/>
          <w:sz w:val="24"/>
          <w:szCs w:val="24"/>
          <w:lang w:bidi="gu-IN"/>
        </w:rPr>
        <w:lastRenderedPageBreak/>
        <w:drawing>
          <wp:inline distT="0" distB="0" distL="0" distR="0">
            <wp:extent cx="5969000" cy="1741714"/>
            <wp:effectExtent l="19050" t="0" r="0" b="0"/>
            <wp:docPr id="2"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p>
    <w:p w:rsidR="00A47DE1" w:rsidRPr="00A62782" w:rsidRDefault="00A47DE1">
      <w:pPr>
        <w:rPr>
          <w:rFonts w:ascii="Times New Roman" w:hAnsi="Times New Roman" w:cs="Times New Roman"/>
          <w:sz w:val="32"/>
          <w:szCs w:val="32"/>
        </w:rPr>
      </w:pPr>
    </w:p>
    <w:p w:rsidR="00A47DE1" w:rsidRPr="00A62782" w:rsidRDefault="00A47DE1">
      <w:pPr>
        <w:rPr>
          <w:rFonts w:ascii="Times New Roman" w:hAnsi="Times New Roman" w:cs="Times New Roman"/>
          <w:b/>
          <w:sz w:val="32"/>
          <w:szCs w:val="32"/>
        </w:rPr>
      </w:pPr>
      <w:r w:rsidRPr="00A62782">
        <w:rPr>
          <w:rFonts w:ascii="Times New Roman" w:hAnsi="Times New Roman" w:cs="Times New Roman"/>
          <w:b/>
          <w:sz w:val="32"/>
          <w:szCs w:val="32"/>
        </w:rPr>
        <w:t xml:space="preserve">Calculation of Net profit margin: </w:t>
      </w:r>
    </w:p>
    <w:tbl>
      <w:tblPr>
        <w:tblW w:w="9876" w:type="dxa"/>
        <w:tblInd w:w="85" w:type="dxa"/>
        <w:tblLook w:val="04A0"/>
      </w:tblPr>
      <w:tblGrid>
        <w:gridCol w:w="4115"/>
        <w:gridCol w:w="1153"/>
        <w:gridCol w:w="1152"/>
        <w:gridCol w:w="1152"/>
        <w:gridCol w:w="1152"/>
        <w:gridCol w:w="1152"/>
      </w:tblGrid>
      <w:tr w:rsidR="00A47DE1" w:rsidRPr="00A47DE1" w:rsidTr="00A47DE1">
        <w:trPr>
          <w:trHeight w:val="381"/>
        </w:trPr>
        <w:tc>
          <w:tcPr>
            <w:tcW w:w="9875"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jc w:val="center"/>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 xml:space="preserve">Net profit margin of  GlaxoSmithKline  Plc </w:t>
            </w:r>
          </w:p>
        </w:tc>
      </w:tr>
      <w:tr w:rsidR="00A47DE1" w:rsidRPr="00A47DE1" w:rsidTr="00A47DE1">
        <w:trPr>
          <w:trHeight w:val="381"/>
        </w:trPr>
        <w:tc>
          <w:tcPr>
            <w:tcW w:w="9875"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jc w:val="center"/>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Net profit margin (in %)= (Net Profit/ Revenue)*100</w:t>
            </w:r>
          </w:p>
        </w:tc>
      </w:tr>
      <w:tr w:rsidR="00A47DE1" w:rsidRPr="00A47DE1" w:rsidTr="00A47DE1">
        <w:trPr>
          <w:trHeight w:val="381"/>
        </w:trPr>
        <w:tc>
          <w:tcPr>
            <w:tcW w:w="4115" w:type="dxa"/>
            <w:tcBorders>
              <w:top w:val="nil"/>
              <w:left w:val="single" w:sz="4" w:space="0" w:color="auto"/>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Year</w:t>
            </w:r>
          </w:p>
        </w:tc>
        <w:tc>
          <w:tcPr>
            <w:tcW w:w="1153" w:type="dxa"/>
            <w:tcBorders>
              <w:top w:val="nil"/>
              <w:left w:val="nil"/>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2016</w:t>
            </w:r>
          </w:p>
        </w:tc>
        <w:tc>
          <w:tcPr>
            <w:tcW w:w="1152" w:type="dxa"/>
            <w:tcBorders>
              <w:top w:val="nil"/>
              <w:left w:val="nil"/>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2015</w:t>
            </w:r>
          </w:p>
        </w:tc>
        <w:tc>
          <w:tcPr>
            <w:tcW w:w="1152" w:type="dxa"/>
            <w:tcBorders>
              <w:top w:val="nil"/>
              <w:left w:val="nil"/>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2014</w:t>
            </w:r>
          </w:p>
        </w:tc>
        <w:tc>
          <w:tcPr>
            <w:tcW w:w="1152" w:type="dxa"/>
            <w:tcBorders>
              <w:top w:val="nil"/>
              <w:left w:val="nil"/>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2013</w:t>
            </w:r>
          </w:p>
        </w:tc>
        <w:tc>
          <w:tcPr>
            <w:tcW w:w="1152" w:type="dxa"/>
            <w:tcBorders>
              <w:top w:val="nil"/>
              <w:left w:val="nil"/>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2012</w:t>
            </w:r>
          </w:p>
        </w:tc>
      </w:tr>
      <w:tr w:rsidR="00A47DE1" w:rsidRPr="00A47DE1" w:rsidTr="00A47DE1">
        <w:trPr>
          <w:trHeight w:val="381"/>
        </w:trPr>
        <w:tc>
          <w:tcPr>
            <w:tcW w:w="4115" w:type="dxa"/>
            <w:tcBorders>
              <w:top w:val="nil"/>
              <w:left w:val="single" w:sz="4" w:space="0" w:color="auto"/>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Revenue (in £ million)</w:t>
            </w:r>
          </w:p>
        </w:tc>
        <w:tc>
          <w:tcPr>
            <w:tcW w:w="1153"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27889</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23923</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23006</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26505</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26431</w:t>
            </w:r>
          </w:p>
        </w:tc>
      </w:tr>
      <w:tr w:rsidR="00A47DE1" w:rsidRPr="00A47DE1" w:rsidTr="00A47DE1">
        <w:trPr>
          <w:trHeight w:val="381"/>
        </w:trPr>
        <w:tc>
          <w:tcPr>
            <w:tcW w:w="4115" w:type="dxa"/>
            <w:tcBorders>
              <w:top w:val="nil"/>
              <w:left w:val="single" w:sz="4" w:space="0" w:color="auto"/>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Net profit  (in £ million)</w:t>
            </w:r>
          </w:p>
        </w:tc>
        <w:tc>
          <w:tcPr>
            <w:tcW w:w="1153"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1062</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8372</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2831</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5628</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4744</w:t>
            </w:r>
          </w:p>
        </w:tc>
      </w:tr>
      <w:tr w:rsidR="00A47DE1" w:rsidRPr="00A47DE1" w:rsidTr="00A47DE1">
        <w:trPr>
          <w:trHeight w:val="381"/>
        </w:trPr>
        <w:tc>
          <w:tcPr>
            <w:tcW w:w="4115" w:type="dxa"/>
            <w:tcBorders>
              <w:top w:val="nil"/>
              <w:left w:val="single" w:sz="4" w:space="0" w:color="auto"/>
              <w:bottom w:val="single" w:sz="4" w:space="0" w:color="auto"/>
              <w:right w:val="single" w:sz="4" w:space="0" w:color="auto"/>
            </w:tcBorders>
            <w:shd w:val="clear" w:color="000000" w:fill="D7E4BC"/>
            <w:noWrap/>
            <w:vAlign w:val="bottom"/>
            <w:hideMark/>
          </w:tcPr>
          <w:p w:rsidR="00A47DE1" w:rsidRPr="00A47DE1" w:rsidRDefault="00A47DE1" w:rsidP="00A47DE1">
            <w:pPr>
              <w:spacing w:after="0" w:line="240" w:lineRule="auto"/>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 xml:space="preserve">Net Profit </w:t>
            </w:r>
            <w:proofErr w:type="gramStart"/>
            <w:r w:rsidRPr="00A47DE1">
              <w:rPr>
                <w:rFonts w:ascii="Times New Roman" w:eastAsia="Times New Roman" w:hAnsi="Times New Roman" w:cs="Times New Roman"/>
                <w:color w:val="000000"/>
                <w:sz w:val="24"/>
                <w:szCs w:val="24"/>
              </w:rPr>
              <w:t>margin  (</w:t>
            </w:r>
            <w:proofErr w:type="gramEnd"/>
            <w:r w:rsidRPr="00A47DE1">
              <w:rPr>
                <w:rFonts w:ascii="Times New Roman" w:eastAsia="Times New Roman" w:hAnsi="Times New Roman" w:cs="Times New Roman"/>
                <w:color w:val="000000"/>
                <w:sz w:val="24"/>
                <w:szCs w:val="24"/>
              </w:rPr>
              <w:t>in %)</w:t>
            </w:r>
          </w:p>
        </w:tc>
        <w:tc>
          <w:tcPr>
            <w:tcW w:w="1153"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3.81</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35.00</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12.31</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21.23</w:t>
            </w:r>
          </w:p>
        </w:tc>
        <w:tc>
          <w:tcPr>
            <w:tcW w:w="1152" w:type="dxa"/>
            <w:tcBorders>
              <w:top w:val="nil"/>
              <w:left w:val="nil"/>
              <w:bottom w:val="single" w:sz="4" w:space="0" w:color="auto"/>
              <w:right w:val="single" w:sz="4" w:space="0" w:color="auto"/>
            </w:tcBorders>
            <w:shd w:val="clear" w:color="auto" w:fill="auto"/>
            <w:noWrap/>
            <w:vAlign w:val="bottom"/>
            <w:hideMark/>
          </w:tcPr>
          <w:p w:rsidR="00A47DE1" w:rsidRPr="00A47DE1" w:rsidRDefault="00A47DE1" w:rsidP="00A47DE1">
            <w:pPr>
              <w:spacing w:after="0" w:line="240" w:lineRule="auto"/>
              <w:jc w:val="right"/>
              <w:rPr>
                <w:rFonts w:ascii="Times New Roman" w:eastAsia="Times New Roman" w:hAnsi="Times New Roman" w:cs="Times New Roman"/>
                <w:color w:val="000000"/>
                <w:sz w:val="24"/>
                <w:szCs w:val="24"/>
              </w:rPr>
            </w:pPr>
            <w:r w:rsidRPr="00A47DE1">
              <w:rPr>
                <w:rFonts w:ascii="Times New Roman" w:eastAsia="Times New Roman" w:hAnsi="Times New Roman" w:cs="Times New Roman"/>
                <w:color w:val="000000"/>
                <w:sz w:val="24"/>
                <w:szCs w:val="24"/>
              </w:rPr>
              <w:t>17.95</w:t>
            </w:r>
          </w:p>
        </w:tc>
      </w:tr>
    </w:tbl>
    <w:p w:rsidR="00A47DE1" w:rsidRDefault="00476D38" w:rsidP="00476D38">
      <w:pPr>
        <w:tabs>
          <w:tab w:val="left" w:pos="5330"/>
        </w:tabs>
      </w:pPr>
      <w:r>
        <w:tab/>
      </w:r>
    </w:p>
    <w:p w:rsidR="00541F2B" w:rsidRDefault="00A47DE1">
      <w:r w:rsidRPr="00A47DE1">
        <w:rPr>
          <w:noProof/>
          <w:lang w:bidi="gu-IN"/>
        </w:rPr>
        <w:drawing>
          <wp:inline distT="0" distB="0" distL="0" distR="0">
            <wp:extent cx="6120493" cy="2467429"/>
            <wp:effectExtent l="1905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rsidR="009851F1" w:rsidRDefault="009851F1"/>
    <w:p w:rsidR="00A62782" w:rsidRDefault="00A62782"/>
    <w:p w:rsidR="00A62782" w:rsidRDefault="00A62782"/>
    <w:p w:rsidR="00BD3463" w:rsidRPr="00A62782" w:rsidRDefault="00BD3463">
      <w:pPr>
        <w:rPr>
          <w:rFonts w:ascii="Times New Roman" w:hAnsi="Times New Roman" w:cs="Times New Roman"/>
          <w:b/>
          <w:sz w:val="28"/>
          <w:szCs w:val="28"/>
        </w:rPr>
      </w:pPr>
      <w:r w:rsidRPr="00A62782">
        <w:rPr>
          <w:rFonts w:ascii="Times New Roman" w:hAnsi="Times New Roman" w:cs="Times New Roman"/>
          <w:b/>
          <w:sz w:val="28"/>
          <w:szCs w:val="28"/>
        </w:rPr>
        <w:lastRenderedPageBreak/>
        <w:t>Calculation of Return on Capital Employed:</w:t>
      </w:r>
    </w:p>
    <w:tbl>
      <w:tblPr>
        <w:tblW w:w="10221" w:type="dxa"/>
        <w:tblInd w:w="103" w:type="dxa"/>
        <w:tblLook w:val="04A0"/>
      </w:tblPr>
      <w:tblGrid>
        <w:gridCol w:w="5330"/>
        <w:gridCol w:w="979"/>
        <w:gridCol w:w="978"/>
        <w:gridCol w:w="978"/>
        <w:gridCol w:w="978"/>
        <w:gridCol w:w="978"/>
      </w:tblGrid>
      <w:tr w:rsidR="00BD3463" w:rsidRPr="00BD3463" w:rsidTr="009851F1">
        <w:trPr>
          <w:trHeight w:val="425"/>
        </w:trPr>
        <w:tc>
          <w:tcPr>
            <w:tcW w:w="10218"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jc w:val="center"/>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Return On Capital Employed of  GlaxoSmith</w:t>
            </w:r>
            <w:r w:rsidRPr="00A47DE1">
              <w:rPr>
                <w:rFonts w:ascii="Times New Roman" w:eastAsia="Times New Roman" w:hAnsi="Times New Roman" w:cs="Times New Roman"/>
                <w:color w:val="000000"/>
                <w:sz w:val="24"/>
                <w:szCs w:val="24"/>
              </w:rPr>
              <w:t>Kline  Plc</w:t>
            </w:r>
          </w:p>
        </w:tc>
      </w:tr>
      <w:tr w:rsidR="00BD3463" w:rsidRPr="00BD3463" w:rsidTr="009851F1">
        <w:trPr>
          <w:trHeight w:val="425"/>
        </w:trPr>
        <w:tc>
          <w:tcPr>
            <w:tcW w:w="10218"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jc w:val="center"/>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ROCE(in %)= {Net Profit / Total Equity</w:t>
            </w:r>
            <w:r>
              <w:rPr>
                <w:rFonts w:ascii="Times New Roman" w:eastAsia="Times New Roman" w:hAnsi="Times New Roman" w:cs="Times New Roman"/>
                <w:color w:val="000000"/>
                <w:sz w:val="24"/>
                <w:szCs w:val="24"/>
              </w:rPr>
              <w:t xml:space="preserve"> </w:t>
            </w:r>
            <w:r w:rsidRPr="00BD3463">
              <w:rPr>
                <w:rFonts w:ascii="Times New Roman" w:eastAsia="Times New Roman" w:hAnsi="Times New Roman" w:cs="Times New Roman"/>
                <w:color w:val="000000"/>
                <w:sz w:val="24"/>
                <w:szCs w:val="24"/>
              </w:rPr>
              <w:t>+</w:t>
            </w:r>
            <w:r>
              <w:rPr>
                <w:rFonts w:ascii="Times New Roman" w:eastAsia="Times New Roman" w:hAnsi="Times New Roman" w:cs="Times New Roman"/>
                <w:color w:val="000000"/>
                <w:sz w:val="24"/>
                <w:szCs w:val="24"/>
              </w:rPr>
              <w:t xml:space="preserve"> </w:t>
            </w:r>
            <w:r w:rsidRPr="00BD3463">
              <w:rPr>
                <w:rFonts w:ascii="Times New Roman" w:eastAsia="Times New Roman" w:hAnsi="Times New Roman" w:cs="Times New Roman"/>
                <w:color w:val="000000"/>
                <w:sz w:val="24"/>
                <w:szCs w:val="24"/>
              </w:rPr>
              <w:t xml:space="preserve">Total Debt)*100 </w:t>
            </w:r>
          </w:p>
        </w:tc>
      </w:tr>
      <w:tr w:rsidR="00BD3463" w:rsidRPr="00BD3463" w:rsidTr="009851F1">
        <w:trPr>
          <w:trHeight w:val="425"/>
        </w:trPr>
        <w:tc>
          <w:tcPr>
            <w:tcW w:w="5330" w:type="dxa"/>
            <w:tcBorders>
              <w:top w:val="nil"/>
              <w:left w:val="single" w:sz="4" w:space="0" w:color="auto"/>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jc w:val="center"/>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 xml:space="preserve">Year </w:t>
            </w:r>
          </w:p>
        </w:tc>
        <w:tc>
          <w:tcPr>
            <w:tcW w:w="979" w:type="dxa"/>
            <w:tcBorders>
              <w:top w:val="nil"/>
              <w:left w:val="nil"/>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2016</w:t>
            </w:r>
          </w:p>
        </w:tc>
        <w:tc>
          <w:tcPr>
            <w:tcW w:w="978" w:type="dxa"/>
            <w:tcBorders>
              <w:top w:val="nil"/>
              <w:left w:val="nil"/>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2015</w:t>
            </w:r>
          </w:p>
        </w:tc>
        <w:tc>
          <w:tcPr>
            <w:tcW w:w="978" w:type="dxa"/>
            <w:tcBorders>
              <w:top w:val="nil"/>
              <w:left w:val="nil"/>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2014</w:t>
            </w:r>
          </w:p>
        </w:tc>
        <w:tc>
          <w:tcPr>
            <w:tcW w:w="978" w:type="dxa"/>
            <w:tcBorders>
              <w:top w:val="nil"/>
              <w:left w:val="nil"/>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2013</w:t>
            </w:r>
          </w:p>
        </w:tc>
        <w:tc>
          <w:tcPr>
            <w:tcW w:w="978" w:type="dxa"/>
            <w:tcBorders>
              <w:top w:val="nil"/>
              <w:left w:val="nil"/>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2012</w:t>
            </w:r>
          </w:p>
        </w:tc>
      </w:tr>
      <w:tr w:rsidR="00BD3463" w:rsidRPr="00BD3463" w:rsidTr="009851F1">
        <w:trPr>
          <w:trHeight w:val="425"/>
        </w:trPr>
        <w:tc>
          <w:tcPr>
            <w:tcW w:w="5330" w:type="dxa"/>
            <w:tcBorders>
              <w:top w:val="nil"/>
              <w:left w:val="single" w:sz="4" w:space="0" w:color="auto"/>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Total Equity (in £ million)</w:t>
            </w:r>
          </w:p>
        </w:tc>
        <w:tc>
          <w:tcPr>
            <w:tcW w:w="979"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4963</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8878</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4936</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7812</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6747</w:t>
            </w:r>
          </w:p>
        </w:tc>
      </w:tr>
      <w:tr w:rsidR="00BD3463" w:rsidRPr="00BD3463" w:rsidTr="009851F1">
        <w:trPr>
          <w:trHeight w:val="425"/>
        </w:trPr>
        <w:tc>
          <w:tcPr>
            <w:tcW w:w="5330" w:type="dxa"/>
            <w:tcBorders>
              <w:top w:val="nil"/>
              <w:left w:val="single" w:sz="4" w:space="0" w:color="auto"/>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Total Long Term Debt (in £ million)</w:t>
            </w:r>
          </w:p>
        </w:tc>
        <w:tc>
          <w:tcPr>
            <w:tcW w:w="979"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14661</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15324</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15841</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15456</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14671</w:t>
            </w:r>
          </w:p>
        </w:tc>
      </w:tr>
      <w:tr w:rsidR="00BD3463" w:rsidRPr="00BD3463" w:rsidTr="009851F1">
        <w:trPr>
          <w:trHeight w:val="425"/>
        </w:trPr>
        <w:tc>
          <w:tcPr>
            <w:tcW w:w="5330" w:type="dxa"/>
            <w:tcBorders>
              <w:top w:val="nil"/>
              <w:left w:val="single" w:sz="4" w:space="0" w:color="auto"/>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Total Capital ((in £ million)</w:t>
            </w:r>
          </w:p>
        </w:tc>
        <w:tc>
          <w:tcPr>
            <w:tcW w:w="979"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19624</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24202</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20777</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23268</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21418</w:t>
            </w:r>
          </w:p>
        </w:tc>
      </w:tr>
      <w:tr w:rsidR="00BD3463" w:rsidRPr="00BD3463" w:rsidTr="009851F1">
        <w:trPr>
          <w:trHeight w:val="425"/>
        </w:trPr>
        <w:tc>
          <w:tcPr>
            <w:tcW w:w="5330" w:type="dxa"/>
            <w:tcBorders>
              <w:top w:val="nil"/>
              <w:left w:val="single" w:sz="4" w:space="0" w:color="auto"/>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Net profit (in times)</w:t>
            </w:r>
          </w:p>
        </w:tc>
        <w:tc>
          <w:tcPr>
            <w:tcW w:w="979"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1062</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8372</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2831</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5628</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4744</w:t>
            </w:r>
          </w:p>
        </w:tc>
      </w:tr>
      <w:tr w:rsidR="00BD3463" w:rsidRPr="00BD3463" w:rsidTr="009851F1">
        <w:trPr>
          <w:trHeight w:val="144"/>
        </w:trPr>
        <w:tc>
          <w:tcPr>
            <w:tcW w:w="5330" w:type="dxa"/>
            <w:tcBorders>
              <w:top w:val="nil"/>
              <w:left w:val="single" w:sz="4" w:space="0" w:color="auto"/>
              <w:bottom w:val="single" w:sz="4" w:space="0" w:color="auto"/>
              <w:right w:val="single" w:sz="4" w:space="0" w:color="auto"/>
            </w:tcBorders>
            <w:shd w:val="clear" w:color="000000" w:fill="D7E4BC"/>
            <w:noWrap/>
            <w:vAlign w:val="bottom"/>
            <w:hideMark/>
          </w:tcPr>
          <w:p w:rsidR="00BD3463" w:rsidRPr="00BD3463" w:rsidRDefault="00BD3463" w:rsidP="00BD3463">
            <w:pPr>
              <w:spacing w:after="0" w:line="240" w:lineRule="auto"/>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ROCE</w:t>
            </w:r>
          </w:p>
        </w:tc>
        <w:tc>
          <w:tcPr>
            <w:tcW w:w="979"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5.41</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34.59</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13.63</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24.19</w:t>
            </w:r>
          </w:p>
        </w:tc>
        <w:tc>
          <w:tcPr>
            <w:tcW w:w="978" w:type="dxa"/>
            <w:tcBorders>
              <w:top w:val="nil"/>
              <w:left w:val="nil"/>
              <w:bottom w:val="single" w:sz="4" w:space="0" w:color="auto"/>
              <w:right w:val="single" w:sz="4" w:space="0" w:color="auto"/>
            </w:tcBorders>
            <w:shd w:val="clear" w:color="auto" w:fill="auto"/>
            <w:noWrap/>
            <w:vAlign w:val="bottom"/>
            <w:hideMark/>
          </w:tcPr>
          <w:p w:rsidR="00BD3463" w:rsidRPr="00BD3463" w:rsidRDefault="00BD3463" w:rsidP="00BD3463">
            <w:pPr>
              <w:spacing w:after="0" w:line="240" w:lineRule="auto"/>
              <w:jc w:val="right"/>
              <w:rPr>
                <w:rFonts w:ascii="Times New Roman" w:eastAsia="Times New Roman" w:hAnsi="Times New Roman" w:cs="Times New Roman"/>
                <w:color w:val="000000"/>
                <w:sz w:val="24"/>
                <w:szCs w:val="24"/>
              </w:rPr>
            </w:pPr>
            <w:r w:rsidRPr="00BD3463">
              <w:rPr>
                <w:rFonts w:ascii="Times New Roman" w:eastAsia="Times New Roman" w:hAnsi="Times New Roman" w:cs="Times New Roman"/>
                <w:color w:val="000000"/>
                <w:sz w:val="24"/>
                <w:szCs w:val="24"/>
              </w:rPr>
              <w:t>22.15</w:t>
            </w:r>
          </w:p>
        </w:tc>
      </w:tr>
    </w:tbl>
    <w:p w:rsidR="009851F1" w:rsidRDefault="00BD3463" w:rsidP="00BD3463">
      <w:pPr>
        <w:pStyle w:val="Heading2"/>
        <w:rPr>
          <w:rFonts w:ascii="Times New Roman" w:hAnsi="Times New Roman" w:cs="Times New Roman"/>
          <w:sz w:val="24"/>
          <w:szCs w:val="24"/>
        </w:rPr>
      </w:pPr>
      <w:r>
        <w:rPr>
          <w:rFonts w:ascii="Times New Roman" w:hAnsi="Times New Roman" w:cs="Times New Roman"/>
          <w:sz w:val="24"/>
          <w:szCs w:val="24"/>
        </w:rPr>
        <w:t xml:space="preserve"> </w:t>
      </w:r>
    </w:p>
    <w:p w:rsidR="00BD3463" w:rsidRDefault="00BD3463" w:rsidP="00BD3463">
      <w:pPr>
        <w:pStyle w:val="Heading2"/>
        <w:rPr>
          <w:rFonts w:ascii="Times New Roman" w:hAnsi="Times New Roman" w:cs="Times New Roman"/>
          <w:sz w:val="24"/>
          <w:szCs w:val="24"/>
        </w:rPr>
      </w:pPr>
      <w:r w:rsidRPr="00BD3463">
        <w:rPr>
          <w:rFonts w:ascii="Times New Roman" w:hAnsi="Times New Roman" w:cs="Times New Roman"/>
          <w:noProof/>
          <w:sz w:val="24"/>
          <w:szCs w:val="24"/>
          <w:lang w:bidi="gu-IN"/>
        </w:rPr>
        <w:drawing>
          <wp:inline distT="0" distB="0" distL="0" distR="0">
            <wp:extent cx="6076950" cy="3686629"/>
            <wp:effectExtent l="1905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9851F1" w:rsidRDefault="009851F1" w:rsidP="009851F1"/>
    <w:p w:rsidR="009851F1" w:rsidRDefault="009851F1" w:rsidP="009851F1"/>
    <w:p w:rsidR="005A04C9" w:rsidRDefault="005A04C9" w:rsidP="009851F1"/>
    <w:p w:rsidR="005A04C9" w:rsidRDefault="005A04C9" w:rsidP="009851F1"/>
    <w:p w:rsidR="005A04C9" w:rsidRDefault="005A04C9" w:rsidP="009851F1"/>
    <w:p w:rsidR="00BD3463" w:rsidRPr="005A04C9" w:rsidRDefault="00BD3463" w:rsidP="00BD3463">
      <w:pPr>
        <w:pStyle w:val="Heading2"/>
        <w:rPr>
          <w:rFonts w:ascii="Times New Roman" w:hAnsi="Times New Roman" w:cs="Times New Roman"/>
          <w:sz w:val="32"/>
          <w:szCs w:val="32"/>
        </w:rPr>
      </w:pPr>
      <w:bookmarkStart w:id="6" w:name="_Toc502272996"/>
      <w:r w:rsidRPr="005A04C9">
        <w:rPr>
          <w:rFonts w:ascii="Times New Roman" w:hAnsi="Times New Roman" w:cs="Times New Roman"/>
          <w:sz w:val="32"/>
          <w:szCs w:val="32"/>
        </w:rPr>
        <w:lastRenderedPageBreak/>
        <w:t xml:space="preserve">2.2) Calculation of the </w:t>
      </w:r>
      <w:r w:rsidR="005A04C9" w:rsidRPr="005A04C9">
        <w:rPr>
          <w:rFonts w:ascii="Times New Roman" w:hAnsi="Times New Roman" w:cs="Times New Roman"/>
          <w:sz w:val="32"/>
          <w:szCs w:val="32"/>
        </w:rPr>
        <w:t>Liquidity ratio</w:t>
      </w:r>
      <w:r w:rsidRPr="005A04C9">
        <w:rPr>
          <w:rFonts w:ascii="Times New Roman" w:hAnsi="Times New Roman" w:cs="Times New Roman"/>
          <w:sz w:val="32"/>
          <w:szCs w:val="32"/>
        </w:rPr>
        <w:t>:</w:t>
      </w:r>
      <w:bookmarkEnd w:id="6"/>
      <w:r w:rsidRPr="005A04C9">
        <w:rPr>
          <w:rFonts w:ascii="Times New Roman" w:hAnsi="Times New Roman" w:cs="Times New Roman"/>
          <w:sz w:val="32"/>
          <w:szCs w:val="32"/>
        </w:rPr>
        <w:t xml:space="preserve"> </w:t>
      </w:r>
    </w:p>
    <w:p w:rsidR="00BD3463" w:rsidRPr="009851F1" w:rsidRDefault="00BD3463" w:rsidP="009851F1">
      <w:pPr>
        <w:jc w:val="both"/>
        <w:rPr>
          <w:rFonts w:ascii="Times New Roman" w:hAnsi="Times New Roman" w:cs="Times New Roman"/>
          <w:sz w:val="24"/>
          <w:szCs w:val="24"/>
        </w:rPr>
      </w:pPr>
    </w:p>
    <w:p w:rsidR="009851F1" w:rsidRPr="009851F1" w:rsidRDefault="009851F1" w:rsidP="009851F1">
      <w:pPr>
        <w:jc w:val="both"/>
        <w:rPr>
          <w:rFonts w:ascii="Times New Roman" w:hAnsi="Times New Roman" w:cs="Times New Roman"/>
          <w:sz w:val="24"/>
          <w:szCs w:val="24"/>
        </w:rPr>
      </w:pPr>
      <w:r w:rsidRPr="005A04C9">
        <w:rPr>
          <w:rFonts w:ascii="Times New Roman" w:hAnsi="Times New Roman" w:cs="Times New Roman"/>
          <w:sz w:val="28"/>
          <w:szCs w:val="28"/>
        </w:rPr>
        <w:t xml:space="preserve">This section consists of the calculation of liquidity ratios such as current ratio, quick ratio or acid test ratio and net working capital ratio of GlaxoSmithKline Plc. The </w:t>
      </w:r>
      <w:r w:rsidR="005A04C9" w:rsidRPr="005A04C9">
        <w:rPr>
          <w:rFonts w:ascii="Times New Roman" w:hAnsi="Times New Roman" w:cs="Times New Roman"/>
          <w:sz w:val="28"/>
          <w:szCs w:val="28"/>
        </w:rPr>
        <w:t>calculations have</w:t>
      </w:r>
      <w:r w:rsidRPr="005A04C9">
        <w:rPr>
          <w:rFonts w:ascii="Times New Roman" w:hAnsi="Times New Roman" w:cs="Times New Roman"/>
          <w:sz w:val="28"/>
          <w:szCs w:val="28"/>
        </w:rPr>
        <w:t xml:space="preserve"> been done based on the financial figures available in the published financial statements of GlaxoSmithKline </w:t>
      </w:r>
      <w:r w:rsidRPr="009851F1">
        <w:rPr>
          <w:rFonts w:ascii="Times New Roman" w:hAnsi="Times New Roman" w:cs="Times New Roman"/>
          <w:sz w:val="24"/>
          <w:szCs w:val="24"/>
        </w:rPr>
        <w:t xml:space="preserve">Plc. </w:t>
      </w:r>
    </w:p>
    <w:tbl>
      <w:tblPr>
        <w:tblW w:w="9051" w:type="dxa"/>
        <w:tblInd w:w="85" w:type="dxa"/>
        <w:tblLook w:val="04A0"/>
      </w:tblPr>
      <w:tblGrid>
        <w:gridCol w:w="4171"/>
        <w:gridCol w:w="976"/>
        <w:gridCol w:w="976"/>
        <w:gridCol w:w="976"/>
        <w:gridCol w:w="976"/>
        <w:gridCol w:w="976"/>
      </w:tblGrid>
      <w:tr w:rsidR="009851F1" w:rsidRPr="009851F1" w:rsidTr="009851F1">
        <w:trPr>
          <w:trHeight w:val="467"/>
        </w:trPr>
        <w:tc>
          <w:tcPr>
            <w:tcW w:w="9051"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16"/>
                <w:szCs w:val="16"/>
              </w:rPr>
            </w:pPr>
            <w:r w:rsidRPr="009851F1">
              <w:rPr>
                <w:rFonts w:ascii="Times New Roman" w:eastAsia="Times New Roman" w:hAnsi="Times New Roman" w:cs="Times New Roman"/>
                <w:color w:val="000000"/>
                <w:sz w:val="24"/>
                <w:szCs w:val="24"/>
              </w:rPr>
              <w:t>Current Ratio of</w:t>
            </w:r>
            <w:r w:rsidRPr="009851F1">
              <w:rPr>
                <w:rFonts w:ascii="Times New Roman" w:eastAsia="Times New Roman" w:hAnsi="Times New Roman" w:cs="Times New Roman"/>
                <w:color w:val="000000"/>
                <w:sz w:val="16"/>
                <w:szCs w:val="16"/>
              </w:rPr>
              <w:t xml:space="preserve">  </w:t>
            </w:r>
            <w:r w:rsidRPr="009851F1">
              <w:rPr>
                <w:rFonts w:ascii="Times New Roman" w:eastAsia="Times New Roman" w:hAnsi="Times New Roman" w:cs="Times New Roman"/>
                <w:color w:val="000000"/>
                <w:sz w:val="24"/>
                <w:szCs w:val="24"/>
              </w:rPr>
              <w:t>GlaxoSmith</w:t>
            </w:r>
            <w:r w:rsidRPr="00A47DE1">
              <w:rPr>
                <w:rFonts w:ascii="Times New Roman" w:eastAsia="Times New Roman" w:hAnsi="Times New Roman" w:cs="Times New Roman"/>
                <w:color w:val="000000"/>
                <w:sz w:val="24"/>
                <w:szCs w:val="24"/>
              </w:rPr>
              <w:t>Kline  Plc</w:t>
            </w:r>
          </w:p>
        </w:tc>
      </w:tr>
      <w:tr w:rsidR="009851F1" w:rsidRPr="009851F1" w:rsidTr="009851F1">
        <w:trPr>
          <w:trHeight w:val="391"/>
        </w:trPr>
        <w:tc>
          <w:tcPr>
            <w:tcW w:w="9051"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Current ratio (in times)=  Current Assets/ Current liabilities </w:t>
            </w:r>
          </w:p>
        </w:tc>
      </w:tr>
      <w:tr w:rsidR="009851F1" w:rsidRPr="009851F1" w:rsidTr="009851F1">
        <w:trPr>
          <w:trHeight w:val="391"/>
        </w:trPr>
        <w:tc>
          <w:tcPr>
            <w:tcW w:w="4171"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Year </w:t>
            </w:r>
          </w:p>
        </w:tc>
        <w:tc>
          <w:tcPr>
            <w:tcW w:w="97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2016</w:t>
            </w:r>
          </w:p>
        </w:tc>
        <w:tc>
          <w:tcPr>
            <w:tcW w:w="97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2015</w:t>
            </w:r>
          </w:p>
        </w:tc>
        <w:tc>
          <w:tcPr>
            <w:tcW w:w="97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2014</w:t>
            </w:r>
          </w:p>
        </w:tc>
        <w:tc>
          <w:tcPr>
            <w:tcW w:w="97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2013</w:t>
            </w:r>
          </w:p>
        </w:tc>
        <w:tc>
          <w:tcPr>
            <w:tcW w:w="97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2012</w:t>
            </w:r>
          </w:p>
        </w:tc>
      </w:tr>
      <w:tr w:rsidR="009851F1" w:rsidRPr="009851F1" w:rsidTr="009851F1">
        <w:trPr>
          <w:trHeight w:val="391"/>
        </w:trPr>
        <w:tc>
          <w:tcPr>
            <w:tcW w:w="4171"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Current Assets (in £ million)</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16711</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16587</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14678</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15227</w:t>
            </w:r>
          </w:p>
        </w:tc>
        <w:tc>
          <w:tcPr>
            <w:tcW w:w="97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13692</w:t>
            </w:r>
          </w:p>
        </w:tc>
      </w:tr>
      <w:tr w:rsidR="009851F1" w:rsidRPr="009851F1" w:rsidTr="009851F1">
        <w:trPr>
          <w:trHeight w:val="620"/>
        </w:trPr>
        <w:tc>
          <w:tcPr>
            <w:tcW w:w="4171"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Current Liability (in £ million)</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19001</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13417</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22420</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20597</w:t>
            </w:r>
          </w:p>
        </w:tc>
        <w:tc>
          <w:tcPr>
            <w:tcW w:w="97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13815</w:t>
            </w:r>
          </w:p>
        </w:tc>
      </w:tr>
      <w:tr w:rsidR="009851F1" w:rsidRPr="009851F1" w:rsidTr="009851F1">
        <w:trPr>
          <w:trHeight w:val="391"/>
        </w:trPr>
        <w:tc>
          <w:tcPr>
            <w:tcW w:w="4171"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Current ratio (in times)</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0.88</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1.24</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0.65</w:t>
            </w:r>
          </w:p>
        </w:tc>
        <w:tc>
          <w:tcPr>
            <w:tcW w:w="97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0.74</w:t>
            </w:r>
          </w:p>
        </w:tc>
        <w:tc>
          <w:tcPr>
            <w:tcW w:w="976" w:type="dxa"/>
            <w:tcBorders>
              <w:top w:val="single" w:sz="4" w:space="0" w:color="auto"/>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0.99</w:t>
            </w:r>
          </w:p>
        </w:tc>
      </w:tr>
    </w:tbl>
    <w:p w:rsidR="009851F1" w:rsidRDefault="009851F1"/>
    <w:p w:rsidR="009851F1" w:rsidRDefault="009851F1"/>
    <w:tbl>
      <w:tblPr>
        <w:tblW w:w="8775" w:type="dxa"/>
        <w:tblInd w:w="85" w:type="dxa"/>
        <w:tblLook w:val="04A0"/>
      </w:tblPr>
      <w:tblGrid>
        <w:gridCol w:w="4044"/>
        <w:gridCol w:w="946"/>
        <w:gridCol w:w="946"/>
        <w:gridCol w:w="946"/>
        <w:gridCol w:w="946"/>
        <w:gridCol w:w="947"/>
      </w:tblGrid>
      <w:tr w:rsidR="009851F1" w:rsidRPr="009851F1" w:rsidTr="009851F1">
        <w:trPr>
          <w:trHeight w:val="486"/>
        </w:trPr>
        <w:tc>
          <w:tcPr>
            <w:tcW w:w="8775"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Acid Test  Ratio of  GlaxoSmith</w:t>
            </w:r>
            <w:r w:rsidRPr="00A47DE1">
              <w:rPr>
                <w:rFonts w:ascii="Times New Roman" w:eastAsia="Times New Roman" w:hAnsi="Times New Roman" w:cs="Times New Roman"/>
                <w:color w:val="000000"/>
                <w:sz w:val="24"/>
                <w:szCs w:val="24"/>
              </w:rPr>
              <w:t>Kline  Plc</w:t>
            </w:r>
          </w:p>
        </w:tc>
      </w:tr>
      <w:tr w:rsidR="009851F1" w:rsidRPr="009851F1" w:rsidTr="009851F1">
        <w:trPr>
          <w:trHeight w:val="486"/>
        </w:trPr>
        <w:tc>
          <w:tcPr>
            <w:tcW w:w="8775"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Current ratio (in times)=  (Current Assets- Inventory)/ Current liabilities </w:t>
            </w:r>
          </w:p>
        </w:tc>
      </w:tr>
      <w:tr w:rsidR="009851F1" w:rsidRPr="009851F1" w:rsidTr="009851F1">
        <w:trPr>
          <w:trHeight w:val="486"/>
        </w:trPr>
        <w:tc>
          <w:tcPr>
            <w:tcW w:w="4044"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Year </w:t>
            </w:r>
          </w:p>
        </w:tc>
        <w:tc>
          <w:tcPr>
            <w:tcW w:w="94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2016</w:t>
            </w:r>
          </w:p>
        </w:tc>
        <w:tc>
          <w:tcPr>
            <w:tcW w:w="94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2015</w:t>
            </w:r>
          </w:p>
        </w:tc>
        <w:tc>
          <w:tcPr>
            <w:tcW w:w="94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2014</w:t>
            </w:r>
          </w:p>
        </w:tc>
        <w:tc>
          <w:tcPr>
            <w:tcW w:w="94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2013</w:t>
            </w:r>
          </w:p>
        </w:tc>
        <w:tc>
          <w:tcPr>
            <w:tcW w:w="94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2012</w:t>
            </w:r>
          </w:p>
        </w:tc>
      </w:tr>
      <w:tr w:rsidR="009851F1" w:rsidRPr="009851F1" w:rsidTr="009851F1">
        <w:trPr>
          <w:trHeight w:val="486"/>
        </w:trPr>
        <w:tc>
          <w:tcPr>
            <w:tcW w:w="4044"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Current Assets (in £ million)</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16711</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16587</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14678</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15227</w:t>
            </w:r>
          </w:p>
        </w:tc>
        <w:tc>
          <w:tcPr>
            <w:tcW w:w="94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13692</w:t>
            </w:r>
          </w:p>
        </w:tc>
      </w:tr>
      <w:tr w:rsidR="009851F1" w:rsidRPr="009851F1" w:rsidTr="009851F1">
        <w:trPr>
          <w:trHeight w:val="486"/>
        </w:trPr>
        <w:tc>
          <w:tcPr>
            <w:tcW w:w="4044"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Current Liability (in £ million)</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19001</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13417</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22420</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20597</w:t>
            </w:r>
          </w:p>
        </w:tc>
        <w:tc>
          <w:tcPr>
            <w:tcW w:w="94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13815</w:t>
            </w:r>
          </w:p>
        </w:tc>
      </w:tr>
      <w:tr w:rsidR="009851F1" w:rsidRPr="009851F1" w:rsidTr="009851F1">
        <w:trPr>
          <w:trHeight w:val="486"/>
        </w:trPr>
        <w:tc>
          <w:tcPr>
            <w:tcW w:w="4044"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Inventory</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5102</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4716</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4231</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3900</w:t>
            </w:r>
          </w:p>
        </w:tc>
        <w:tc>
          <w:tcPr>
            <w:tcW w:w="94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3969</w:t>
            </w:r>
          </w:p>
        </w:tc>
      </w:tr>
      <w:tr w:rsidR="009851F1" w:rsidRPr="009851F1" w:rsidTr="009851F1">
        <w:trPr>
          <w:trHeight w:val="486"/>
        </w:trPr>
        <w:tc>
          <w:tcPr>
            <w:tcW w:w="4044"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Acid Test  ratio (in times)</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0.61</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0.88</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0.47</w:t>
            </w:r>
          </w:p>
        </w:tc>
        <w:tc>
          <w:tcPr>
            <w:tcW w:w="9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0.55</w:t>
            </w:r>
          </w:p>
        </w:tc>
        <w:tc>
          <w:tcPr>
            <w:tcW w:w="946" w:type="dxa"/>
            <w:tcBorders>
              <w:top w:val="single" w:sz="4" w:space="0" w:color="auto"/>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0.70</w:t>
            </w:r>
          </w:p>
        </w:tc>
      </w:tr>
    </w:tbl>
    <w:p w:rsidR="009851F1" w:rsidRDefault="009851F1"/>
    <w:p w:rsidR="006552A1" w:rsidRDefault="006552A1"/>
    <w:p w:rsidR="006552A1" w:rsidRDefault="006552A1"/>
    <w:p w:rsidR="006552A1" w:rsidRDefault="006552A1"/>
    <w:p w:rsidR="005A04C9" w:rsidRDefault="005A04C9"/>
    <w:p w:rsidR="005A04C9" w:rsidRDefault="005A04C9"/>
    <w:tbl>
      <w:tblPr>
        <w:tblW w:w="9054" w:type="dxa"/>
        <w:tblInd w:w="85" w:type="dxa"/>
        <w:tblLook w:val="04A0"/>
      </w:tblPr>
      <w:tblGrid>
        <w:gridCol w:w="4763"/>
        <w:gridCol w:w="861"/>
        <w:gridCol w:w="846"/>
        <w:gridCol w:w="861"/>
        <w:gridCol w:w="861"/>
        <w:gridCol w:w="862"/>
      </w:tblGrid>
      <w:tr w:rsidR="009851F1" w:rsidRPr="009851F1" w:rsidTr="009851F1">
        <w:trPr>
          <w:trHeight w:val="355"/>
        </w:trPr>
        <w:tc>
          <w:tcPr>
            <w:tcW w:w="9052"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lastRenderedPageBreak/>
              <w:t>Net Working capital ratio of  GlaxoSmith</w:t>
            </w:r>
            <w:r w:rsidRPr="00A47DE1">
              <w:rPr>
                <w:rFonts w:ascii="Times New Roman" w:eastAsia="Times New Roman" w:hAnsi="Times New Roman" w:cs="Times New Roman"/>
                <w:color w:val="000000"/>
                <w:sz w:val="24"/>
                <w:szCs w:val="24"/>
              </w:rPr>
              <w:t>Kline  Plc</w:t>
            </w:r>
          </w:p>
        </w:tc>
      </w:tr>
      <w:tr w:rsidR="009851F1" w:rsidRPr="009851F1" w:rsidTr="009851F1">
        <w:trPr>
          <w:trHeight w:val="355"/>
        </w:trPr>
        <w:tc>
          <w:tcPr>
            <w:tcW w:w="9052"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Net Working Capital To Total Assets Ratio= (Current Assets - Current Liabilities)/ Total Assets</w:t>
            </w:r>
          </w:p>
        </w:tc>
      </w:tr>
      <w:tr w:rsidR="009851F1" w:rsidRPr="009851F1" w:rsidTr="009851F1">
        <w:trPr>
          <w:trHeight w:val="355"/>
        </w:trPr>
        <w:tc>
          <w:tcPr>
            <w:tcW w:w="4763"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Year </w:t>
            </w:r>
          </w:p>
        </w:tc>
        <w:tc>
          <w:tcPr>
            <w:tcW w:w="861"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2016</w:t>
            </w:r>
          </w:p>
        </w:tc>
        <w:tc>
          <w:tcPr>
            <w:tcW w:w="84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2015</w:t>
            </w:r>
          </w:p>
        </w:tc>
        <w:tc>
          <w:tcPr>
            <w:tcW w:w="861"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2014</w:t>
            </w:r>
          </w:p>
        </w:tc>
        <w:tc>
          <w:tcPr>
            <w:tcW w:w="861"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2013</w:t>
            </w:r>
          </w:p>
        </w:tc>
        <w:tc>
          <w:tcPr>
            <w:tcW w:w="862"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2012</w:t>
            </w:r>
          </w:p>
        </w:tc>
      </w:tr>
      <w:tr w:rsidR="009851F1" w:rsidRPr="009851F1" w:rsidTr="009851F1">
        <w:trPr>
          <w:trHeight w:val="355"/>
        </w:trPr>
        <w:tc>
          <w:tcPr>
            <w:tcW w:w="4763"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Current Assets (in £ million)</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16711</w:t>
            </w:r>
          </w:p>
        </w:tc>
        <w:tc>
          <w:tcPr>
            <w:tcW w:w="8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16587</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14678</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15227</w:t>
            </w:r>
          </w:p>
        </w:tc>
        <w:tc>
          <w:tcPr>
            <w:tcW w:w="86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13692</w:t>
            </w:r>
          </w:p>
        </w:tc>
      </w:tr>
      <w:tr w:rsidR="009851F1" w:rsidRPr="009851F1" w:rsidTr="009851F1">
        <w:trPr>
          <w:trHeight w:val="355"/>
        </w:trPr>
        <w:tc>
          <w:tcPr>
            <w:tcW w:w="4763"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Current Liability (in £ million)</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19001</w:t>
            </w:r>
          </w:p>
        </w:tc>
        <w:tc>
          <w:tcPr>
            <w:tcW w:w="8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13417</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22420</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20597</w:t>
            </w:r>
          </w:p>
        </w:tc>
        <w:tc>
          <w:tcPr>
            <w:tcW w:w="86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13815</w:t>
            </w:r>
          </w:p>
        </w:tc>
      </w:tr>
      <w:tr w:rsidR="009851F1" w:rsidRPr="009851F1" w:rsidTr="009851F1">
        <w:trPr>
          <w:trHeight w:val="355"/>
        </w:trPr>
        <w:tc>
          <w:tcPr>
            <w:tcW w:w="4763"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Net Working Capital(in </w:t>
            </w:r>
            <w:proofErr w:type="spellStart"/>
            <w:r w:rsidRPr="009851F1">
              <w:rPr>
                <w:rFonts w:ascii="Times New Roman" w:eastAsia="Times New Roman" w:hAnsi="Times New Roman" w:cs="Times New Roman"/>
                <w:color w:val="000000"/>
                <w:sz w:val="24"/>
                <w:szCs w:val="24"/>
              </w:rPr>
              <w:t>million</w:t>
            </w:r>
            <w:proofErr w:type="spellEnd"/>
            <w:r w:rsidRPr="009851F1">
              <w:rPr>
                <w:rFonts w:ascii="Times New Roman" w:eastAsia="Times New Roman" w:hAnsi="Times New Roman" w:cs="Times New Roman"/>
                <w:color w:val="000000"/>
                <w:sz w:val="24"/>
                <w:szCs w:val="24"/>
              </w:rPr>
              <w:t>)</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-2290</w:t>
            </w:r>
          </w:p>
        </w:tc>
        <w:tc>
          <w:tcPr>
            <w:tcW w:w="8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3170</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-7742</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-5370</w:t>
            </w:r>
          </w:p>
        </w:tc>
        <w:tc>
          <w:tcPr>
            <w:tcW w:w="86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-123</w:t>
            </w:r>
          </w:p>
        </w:tc>
      </w:tr>
      <w:tr w:rsidR="009851F1" w:rsidRPr="009851F1" w:rsidTr="009851F1">
        <w:trPr>
          <w:trHeight w:val="355"/>
        </w:trPr>
        <w:tc>
          <w:tcPr>
            <w:tcW w:w="4763" w:type="dxa"/>
            <w:tcBorders>
              <w:top w:val="nil"/>
              <w:left w:val="single" w:sz="4" w:space="0" w:color="auto"/>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Total Assets </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59081</w:t>
            </w:r>
          </w:p>
        </w:tc>
        <w:tc>
          <w:tcPr>
            <w:tcW w:w="8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53446</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40651</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42096</w:t>
            </w:r>
          </w:p>
        </w:tc>
        <w:tc>
          <w:tcPr>
            <w:tcW w:w="86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41475</w:t>
            </w:r>
          </w:p>
        </w:tc>
      </w:tr>
      <w:tr w:rsidR="009851F1" w:rsidRPr="009851F1" w:rsidTr="009851F1">
        <w:trPr>
          <w:trHeight w:val="550"/>
        </w:trPr>
        <w:tc>
          <w:tcPr>
            <w:tcW w:w="4763" w:type="dxa"/>
            <w:tcBorders>
              <w:top w:val="nil"/>
              <w:left w:val="single" w:sz="4" w:space="0" w:color="auto"/>
              <w:bottom w:val="single" w:sz="4" w:space="0" w:color="auto"/>
              <w:right w:val="single" w:sz="4" w:space="0" w:color="auto"/>
            </w:tcBorders>
            <w:shd w:val="clear" w:color="auto" w:fill="auto"/>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Net Working Capital To Total Assets Ratio (in times)</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-0.039</w:t>
            </w:r>
          </w:p>
        </w:tc>
        <w:tc>
          <w:tcPr>
            <w:tcW w:w="84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0.059</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-0.190</w:t>
            </w:r>
          </w:p>
        </w:tc>
        <w:tc>
          <w:tcPr>
            <w:tcW w:w="861"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-0.128</w:t>
            </w:r>
          </w:p>
        </w:tc>
        <w:tc>
          <w:tcPr>
            <w:tcW w:w="86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-0.003</w:t>
            </w:r>
          </w:p>
        </w:tc>
      </w:tr>
    </w:tbl>
    <w:p w:rsidR="009851F1" w:rsidRDefault="009851F1"/>
    <w:p w:rsidR="00E55919" w:rsidRDefault="00E55919"/>
    <w:p w:rsidR="009851F1" w:rsidRPr="005A04C9" w:rsidRDefault="009851F1" w:rsidP="009851F1">
      <w:pPr>
        <w:pStyle w:val="Heading2"/>
        <w:rPr>
          <w:rFonts w:ascii="Times New Roman" w:hAnsi="Times New Roman" w:cs="Times New Roman"/>
          <w:sz w:val="28"/>
          <w:szCs w:val="28"/>
        </w:rPr>
      </w:pPr>
      <w:bookmarkStart w:id="7" w:name="_Toc502272997"/>
      <w:r w:rsidRPr="005A04C9">
        <w:rPr>
          <w:rFonts w:ascii="Times New Roman" w:hAnsi="Times New Roman" w:cs="Times New Roman"/>
          <w:sz w:val="28"/>
          <w:szCs w:val="28"/>
        </w:rPr>
        <w:t xml:space="preserve">2.3) Calculation of the </w:t>
      </w:r>
      <w:r w:rsidR="005A04C9" w:rsidRPr="005A04C9">
        <w:rPr>
          <w:rFonts w:ascii="Times New Roman" w:hAnsi="Times New Roman" w:cs="Times New Roman"/>
          <w:sz w:val="28"/>
          <w:szCs w:val="28"/>
        </w:rPr>
        <w:t>Efficiency Ratios</w:t>
      </w:r>
      <w:r w:rsidRPr="005A04C9">
        <w:rPr>
          <w:rFonts w:ascii="Times New Roman" w:hAnsi="Times New Roman" w:cs="Times New Roman"/>
          <w:sz w:val="28"/>
          <w:szCs w:val="28"/>
        </w:rPr>
        <w:t xml:space="preserve"> of GlaxoSmithKline </w:t>
      </w:r>
      <w:proofErr w:type="gramStart"/>
      <w:r w:rsidRPr="005A04C9">
        <w:rPr>
          <w:rFonts w:ascii="Times New Roman" w:hAnsi="Times New Roman" w:cs="Times New Roman"/>
          <w:sz w:val="28"/>
          <w:szCs w:val="28"/>
        </w:rPr>
        <w:t>Plc :</w:t>
      </w:r>
      <w:bookmarkEnd w:id="7"/>
      <w:proofErr w:type="gramEnd"/>
      <w:r w:rsidRPr="005A04C9">
        <w:rPr>
          <w:rFonts w:ascii="Times New Roman" w:hAnsi="Times New Roman" w:cs="Times New Roman"/>
          <w:sz w:val="28"/>
          <w:szCs w:val="28"/>
        </w:rPr>
        <w:t xml:space="preserve"> </w:t>
      </w:r>
    </w:p>
    <w:p w:rsidR="00C34054" w:rsidRPr="00C34054" w:rsidRDefault="00C34054" w:rsidP="00C34054"/>
    <w:p w:rsidR="00C34054" w:rsidRPr="005A04C9" w:rsidRDefault="00C34054" w:rsidP="00C34054">
      <w:pPr>
        <w:jc w:val="both"/>
        <w:rPr>
          <w:rFonts w:ascii="Times New Roman" w:hAnsi="Times New Roman" w:cs="Times New Roman"/>
          <w:sz w:val="28"/>
          <w:szCs w:val="28"/>
        </w:rPr>
      </w:pPr>
      <w:r w:rsidRPr="005A04C9">
        <w:rPr>
          <w:rFonts w:ascii="Times New Roman" w:hAnsi="Times New Roman" w:cs="Times New Roman"/>
          <w:sz w:val="28"/>
          <w:szCs w:val="28"/>
        </w:rPr>
        <w:t xml:space="preserve">This section consists of the calculation of efficiency ratios such as stock turnover ratio, fixed asset turnover ratio, creditor’s ratio and </w:t>
      </w:r>
      <w:proofErr w:type="gramStart"/>
      <w:r w:rsidRPr="005A04C9">
        <w:rPr>
          <w:rFonts w:ascii="Times New Roman" w:hAnsi="Times New Roman" w:cs="Times New Roman"/>
          <w:sz w:val="28"/>
          <w:szCs w:val="28"/>
        </w:rPr>
        <w:t>debtors</w:t>
      </w:r>
      <w:proofErr w:type="gramEnd"/>
      <w:r w:rsidRPr="005A04C9">
        <w:rPr>
          <w:rFonts w:ascii="Times New Roman" w:hAnsi="Times New Roman" w:cs="Times New Roman"/>
          <w:sz w:val="28"/>
          <w:szCs w:val="28"/>
        </w:rPr>
        <w:t xml:space="preserve"> ratio of GlaxoSmithKline Plc. The </w:t>
      </w:r>
      <w:r w:rsidR="005A04C9" w:rsidRPr="005A04C9">
        <w:rPr>
          <w:rFonts w:ascii="Times New Roman" w:hAnsi="Times New Roman" w:cs="Times New Roman"/>
          <w:sz w:val="28"/>
          <w:szCs w:val="28"/>
        </w:rPr>
        <w:t>calculations have</w:t>
      </w:r>
      <w:r w:rsidRPr="005A04C9">
        <w:rPr>
          <w:rFonts w:ascii="Times New Roman" w:hAnsi="Times New Roman" w:cs="Times New Roman"/>
          <w:sz w:val="28"/>
          <w:szCs w:val="28"/>
        </w:rPr>
        <w:t xml:space="preserve"> been done based on the financial figures available in the published financial statements of GlaxoSmithKline Plc. </w:t>
      </w:r>
    </w:p>
    <w:p w:rsidR="009851F1" w:rsidRDefault="009851F1"/>
    <w:tbl>
      <w:tblPr>
        <w:tblW w:w="9268" w:type="dxa"/>
        <w:tblInd w:w="85" w:type="dxa"/>
        <w:tblLook w:val="04A0"/>
      </w:tblPr>
      <w:tblGrid>
        <w:gridCol w:w="4257"/>
        <w:gridCol w:w="1002"/>
        <w:gridCol w:w="1002"/>
        <w:gridCol w:w="1002"/>
        <w:gridCol w:w="1002"/>
        <w:gridCol w:w="1003"/>
      </w:tblGrid>
      <w:tr w:rsidR="009851F1" w:rsidRPr="009851F1" w:rsidTr="009851F1">
        <w:trPr>
          <w:trHeight w:val="318"/>
        </w:trPr>
        <w:tc>
          <w:tcPr>
            <w:tcW w:w="9268"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Stock Turnover ratio of  GlaxoSmith</w:t>
            </w:r>
            <w:r w:rsidRPr="00A47DE1">
              <w:rPr>
                <w:rFonts w:ascii="Times New Roman" w:eastAsia="Times New Roman" w:hAnsi="Times New Roman" w:cs="Times New Roman"/>
                <w:color w:val="000000"/>
                <w:sz w:val="24"/>
                <w:szCs w:val="24"/>
              </w:rPr>
              <w:t>Kline  Plc</w:t>
            </w:r>
          </w:p>
        </w:tc>
      </w:tr>
      <w:tr w:rsidR="009851F1" w:rsidRPr="009851F1" w:rsidTr="009851F1">
        <w:trPr>
          <w:trHeight w:val="318"/>
        </w:trPr>
        <w:tc>
          <w:tcPr>
            <w:tcW w:w="9268"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Stock Turnover Ratio = (Average Inventory/ Cost of Goods Sold) *365</w:t>
            </w:r>
          </w:p>
        </w:tc>
      </w:tr>
      <w:tr w:rsidR="009851F1" w:rsidRPr="009851F1" w:rsidTr="009851F1">
        <w:trPr>
          <w:trHeight w:val="318"/>
        </w:trPr>
        <w:tc>
          <w:tcPr>
            <w:tcW w:w="4257"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Year</w:t>
            </w:r>
          </w:p>
        </w:tc>
        <w:tc>
          <w:tcPr>
            <w:tcW w:w="1002"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2016</w:t>
            </w:r>
          </w:p>
        </w:tc>
        <w:tc>
          <w:tcPr>
            <w:tcW w:w="1002"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2015</w:t>
            </w:r>
          </w:p>
        </w:tc>
        <w:tc>
          <w:tcPr>
            <w:tcW w:w="1002"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2014</w:t>
            </w:r>
          </w:p>
        </w:tc>
        <w:tc>
          <w:tcPr>
            <w:tcW w:w="1002"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2013</w:t>
            </w:r>
          </w:p>
        </w:tc>
        <w:tc>
          <w:tcPr>
            <w:tcW w:w="1002"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2012</w:t>
            </w:r>
          </w:p>
        </w:tc>
      </w:tr>
      <w:tr w:rsidR="009851F1" w:rsidRPr="009851F1" w:rsidTr="009851F1">
        <w:trPr>
          <w:trHeight w:val="318"/>
        </w:trPr>
        <w:tc>
          <w:tcPr>
            <w:tcW w:w="4257"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Average Inventory (in £ million)</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4909</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4473.5</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4065.5</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3900</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3921</w:t>
            </w:r>
          </w:p>
        </w:tc>
      </w:tr>
      <w:tr w:rsidR="009851F1" w:rsidRPr="009851F1" w:rsidTr="009851F1">
        <w:trPr>
          <w:trHeight w:val="318"/>
        </w:trPr>
        <w:tc>
          <w:tcPr>
            <w:tcW w:w="4257"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Cost of Goods Sold(in £ million)</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9290</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8853</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7323</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8585</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7894</w:t>
            </w:r>
          </w:p>
        </w:tc>
      </w:tr>
      <w:tr w:rsidR="009851F1" w:rsidRPr="009851F1" w:rsidTr="009851F1">
        <w:trPr>
          <w:trHeight w:val="318"/>
        </w:trPr>
        <w:tc>
          <w:tcPr>
            <w:tcW w:w="4257"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Stock Turnover ratio (in times)</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192.87</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184.44</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202.64</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165.81</w:t>
            </w:r>
          </w:p>
        </w:tc>
        <w:tc>
          <w:tcPr>
            <w:tcW w:w="1002"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181.30</w:t>
            </w:r>
          </w:p>
        </w:tc>
      </w:tr>
    </w:tbl>
    <w:p w:rsidR="009851F1" w:rsidRDefault="009851F1"/>
    <w:tbl>
      <w:tblPr>
        <w:tblW w:w="9130" w:type="dxa"/>
        <w:tblInd w:w="85" w:type="dxa"/>
        <w:tblLook w:val="04A0"/>
      </w:tblPr>
      <w:tblGrid>
        <w:gridCol w:w="4200"/>
        <w:gridCol w:w="924"/>
        <w:gridCol w:w="924"/>
        <w:gridCol w:w="924"/>
        <w:gridCol w:w="924"/>
        <w:gridCol w:w="1234"/>
      </w:tblGrid>
      <w:tr w:rsidR="009851F1" w:rsidRPr="009851F1" w:rsidTr="009851F1">
        <w:trPr>
          <w:trHeight w:val="404"/>
        </w:trPr>
        <w:tc>
          <w:tcPr>
            <w:tcW w:w="9130"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Fixes Asset Turnover of  GlaxoSmith</w:t>
            </w:r>
            <w:r w:rsidRPr="00A47DE1">
              <w:rPr>
                <w:rFonts w:ascii="Times New Roman" w:eastAsia="Times New Roman" w:hAnsi="Times New Roman" w:cs="Times New Roman"/>
                <w:color w:val="000000"/>
                <w:sz w:val="24"/>
                <w:szCs w:val="24"/>
              </w:rPr>
              <w:t>Kline  Plc</w:t>
            </w:r>
          </w:p>
        </w:tc>
      </w:tr>
      <w:tr w:rsidR="009851F1" w:rsidRPr="009851F1" w:rsidTr="009851F1">
        <w:trPr>
          <w:trHeight w:val="404"/>
        </w:trPr>
        <w:tc>
          <w:tcPr>
            <w:tcW w:w="9130"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Fixed Assets Turnover Ratio (in times) = Net Revenue/ Fixed Assets </w:t>
            </w:r>
          </w:p>
        </w:tc>
      </w:tr>
      <w:tr w:rsidR="009851F1" w:rsidRPr="009851F1" w:rsidTr="009851F1">
        <w:trPr>
          <w:trHeight w:val="404"/>
        </w:trPr>
        <w:tc>
          <w:tcPr>
            <w:tcW w:w="4200"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Year</w:t>
            </w:r>
          </w:p>
        </w:tc>
        <w:tc>
          <w:tcPr>
            <w:tcW w:w="924"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2016</w:t>
            </w:r>
          </w:p>
        </w:tc>
        <w:tc>
          <w:tcPr>
            <w:tcW w:w="924"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2015</w:t>
            </w:r>
          </w:p>
        </w:tc>
        <w:tc>
          <w:tcPr>
            <w:tcW w:w="924"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2014</w:t>
            </w:r>
          </w:p>
        </w:tc>
        <w:tc>
          <w:tcPr>
            <w:tcW w:w="924"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2013</w:t>
            </w:r>
          </w:p>
        </w:tc>
        <w:tc>
          <w:tcPr>
            <w:tcW w:w="1234"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2012</w:t>
            </w:r>
          </w:p>
        </w:tc>
      </w:tr>
      <w:tr w:rsidR="009851F1" w:rsidRPr="009851F1" w:rsidTr="009851F1">
        <w:trPr>
          <w:trHeight w:val="404"/>
        </w:trPr>
        <w:tc>
          <w:tcPr>
            <w:tcW w:w="4200"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Total Fixed Assets (in £ million)</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42370</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36859</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25973</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26859</w:t>
            </w:r>
          </w:p>
        </w:tc>
        <w:tc>
          <w:tcPr>
            <w:tcW w:w="123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27783</w:t>
            </w:r>
          </w:p>
        </w:tc>
      </w:tr>
      <w:tr w:rsidR="009851F1" w:rsidRPr="009851F1" w:rsidTr="009851F1">
        <w:trPr>
          <w:trHeight w:val="404"/>
        </w:trPr>
        <w:tc>
          <w:tcPr>
            <w:tcW w:w="4200"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Revenue (in £ million) </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27889</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23923</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23006</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26505</w:t>
            </w:r>
          </w:p>
        </w:tc>
        <w:tc>
          <w:tcPr>
            <w:tcW w:w="123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26431</w:t>
            </w:r>
          </w:p>
        </w:tc>
      </w:tr>
      <w:tr w:rsidR="009851F1" w:rsidRPr="009851F1" w:rsidTr="009851F1">
        <w:trPr>
          <w:trHeight w:val="404"/>
        </w:trPr>
        <w:tc>
          <w:tcPr>
            <w:tcW w:w="4200"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Fixed Asset Turnover</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0.658</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0.649</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0.886</w:t>
            </w:r>
          </w:p>
        </w:tc>
        <w:tc>
          <w:tcPr>
            <w:tcW w:w="92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0.987</w:t>
            </w:r>
          </w:p>
        </w:tc>
        <w:tc>
          <w:tcPr>
            <w:tcW w:w="1234"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0.951</w:t>
            </w:r>
          </w:p>
        </w:tc>
      </w:tr>
    </w:tbl>
    <w:p w:rsidR="009851F1" w:rsidRDefault="009851F1"/>
    <w:p w:rsidR="009851F1" w:rsidRDefault="009851F1"/>
    <w:tbl>
      <w:tblPr>
        <w:tblW w:w="9108" w:type="dxa"/>
        <w:tblInd w:w="85" w:type="dxa"/>
        <w:tblLook w:val="04A0"/>
      </w:tblPr>
      <w:tblGrid>
        <w:gridCol w:w="4541"/>
        <w:gridCol w:w="913"/>
        <w:gridCol w:w="913"/>
        <w:gridCol w:w="913"/>
        <w:gridCol w:w="913"/>
        <w:gridCol w:w="915"/>
      </w:tblGrid>
      <w:tr w:rsidR="009851F1" w:rsidRPr="009851F1" w:rsidTr="009851F1">
        <w:trPr>
          <w:trHeight w:val="310"/>
        </w:trPr>
        <w:tc>
          <w:tcPr>
            <w:tcW w:w="9106"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Creditors Ratio of   GlaxoSmith</w:t>
            </w:r>
            <w:r w:rsidRPr="00A47DE1">
              <w:rPr>
                <w:rFonts w:ascii="Times New Roman" w:eastAsia="Times New Roman" w:hAnsi="Times New Roman" w:cs="Times New Roman"/>
                <w:color w:val="000000"/>
                <w:sz w:val="24"/>
                <w:szCs w:val="24"/>
              </w:rPr>
              <w:t>Kline  Plc</w:t>
            </w:r>
          </w:p>
        </w:tc>
      </w:tr>
      <w:tr w:rsidR="009851F1" w:rsidRPr="009851F1" w:rsidTr="009851F1">
        <w:trPr>
          <w:trHeight w:val="310"/>
        </w:trPr>
        <w:tc>
          <w:tcPr>
            <w:tcW w:w="9106"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Creditors Ratio (in days) = (Average Trade Payables/ Cost of </w:t>
            </w:r>
            <w:proofErr w:type="spellStart"/>
            <w:r w:rsidRPr="009851F1">
              <w:rPr>
                <w:rFonts w:ascii="Times New Roman" w:eastAsia="Times New Roman" w:hAnsi="Times New Roman" w:cs="Times New Roman"/>
                <w:color w:val="000000"/>
                <w:sz w:val="24"/>
                <w:szCs w:val="24"/>
              </w:rPr>
              <w:t>Good</w:t>
            </w:r>
            <w:proofErr w:type="spellEnd"/>
            <w:r w:rsidRPr="009851F1">
              <w:rPr>
                <w:rFonts w:ascii="Times New Roman" w:eastAsia="Times New Roman" w:hAnsi="Times New Roman" w:cs="Times New Roman"/>
                <w:color w:val="000000"/>
                <w:sz w:val="24"/>
                <w:szCs w:val="24"/>
              </w:rPr>
              <w:t xml:space="preserve"> Sold)*365</w:t>
            </w:r>
          </w:p>
        </w:tc>
      </w:tr>
      <w:tr w:rsidR="009851F1" w:rsidRPr="009851F1" w:rsidTr="009851F1">
        <w:trPr>
          <w:trHeight w:val="310"/>
        </w:trPr>
        <w:tc>
          <w:tcPr>
            <w:tcW w:w="4541"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Year </w:t>
            </w:r>
          </w:p>
        </w:tc>
        <w:tc>
          <w:tcPr>
            <w:tcW w:w="913"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2016</w:t>
            </w:r>
          </w:p>
        </w:tc>
        <w:tc>
          <w:tcPr>
            <w:tcW w:w="913"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2015</w:t>
            </w:r>
          </w:p>
        </w:tc>
        <w:tc>
          <w:tcPr>
            <w:tcW w:w="913"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2014</w:t>
            </w:r>
          </w:p>
        </w:tc>
        <w:tc>
          <w:tcPr>
            <w:tcW w:w="913"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2013</w:t>
            </w:r>
          </w:p>
        </w:tc>
        <w:tc>
          <w:tcPr>
            <w:tcW w:w="915"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2012</w:t>
            </w:r>
          </w:p>
        </w:tc>
      </w:tr>
      <w:tr w:rsidR="009851F1" w:rsidRPr="009851F1" w:rsidTr="009851F1">
        <w:trPr>
          <w:trHeight w:val="759"/>
        </w:trPr>
        <w:tc>
          <w:tcPr>
            <w:tcW w:w="4541" w:type="dxa"/>
            <w:tcBorders>
              <w:top w:val="nil"/>
              <w:left w:val="single" w:sz="4" w:space="0" w:color="auto"/>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Average Trade payables (in £ million)</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11964</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8885</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7958</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8317</w:t>
            </w:r>
          </w:p>
        </w:tc>
        <w:tc>
          <w:tcPr>
            <w:tcW w:w="915"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8054</w:t>
            </w:r>
          </w:p>
        </w:tc>
      </w:tr>
      <w:tr w:rsidR="009851F1" w:rsidRPr="009851F1" w:rsidTr="009851F1">
        <w:trPr>
          <w:trHeight w:val="310"/>
        </w:trPr>
        <w:tc>
          <w:tcPr>
            <w:tcW w:w="4541" w:type="dxa"/>
            <w:tcBorders>
              <w:top w:val="nil"/>
              <w:left w:val="single" w:sz="4" w:space="0" w:color="auto"/>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Cost of </w:t>
            </w:r>
            <w:proofErr w:type="spellStart"/>
            <w:r w:rsidRPr="009851F1">
              <w:rPr>
                <w:rFonts w:ascii="Times New Roman" w:eastAsia="Times New Roman" w:hAnsi="Times New Roman" w:cs="Times New Roman"/>
                <w:color w:val="000000"/>
                <w:sz w:val="24"/>
                <w:szCs w:val="24"/>
              </w:rPr>
              <w:t>Good</w:t>
            </w:r>
            <w:proofErr w:type="spellEnd"/>
            <w:r w:rsidRPr="009851F1">
              <w:rPr>
                <w:rFonts w:ascii="Times New Roman" w:eastAsia="Times New Roman" w:hAnsi="Times New Roman" w:cs="Times New Roman"/>
                <w:color w:val="000000"/>
                <w:sz w:val="24"/>
                <w:szCs w:val="24"/>
              </w:rPr>
              <w:t xml:space="preserve"> Sold  £ million) </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9290</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8853</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7323</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8585</w:t>
            </w:r>
          </w:p>
        </w:tc>
        <w:tc>
          <w:tcPr>
            <w:tcW w:w="915"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7894</w:t>
            </w:r>
          </w:p>
        </w:tc>
      </w:tr>
      <w:tr w:rsidR="009851F1" w:rsidRPr="009851F1" w:rsidTr="009851F1">
        <w:trPr>
          <w:trHeight w:val="310"/>
        </w:trPr>
        <w:tc>
          <w:tcPr>
            <w:tcW w:w="4541" w:type="dxa"/>
            <w:tcBorders>
              <w:top w:val="nil"/>
              <w:left w:val="single" w:sz="4" w:space="0" w:color="auto"/>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Creditors Ratio</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470.06</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366.32</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396.65</w:t>
            </w:r>
          </w:p>
        </w:tc>
        <w:tc>
          <w:tcPr>
            <w:tcW w:w="913"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353.61</w:t>
            </w:r>
          </w:p>
        </w:tc>
        <w:tc>
          <w:tcPr>
            <w:tcW w:w="915"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372.40</w:t>
            </w:r>
          </w:p>
        </w:tc>
      </w:tr>
    </w:tbl>
    <w:p w:rsidR="009851F1" w:rsidRDefault="009851F1"/>
    <w:p w:rsidR="009851F1" w:rsidRDefault="009851F1"/>
    <w:p w:rsidR="00417024" w:rsidRDefault="00417024"/>
    <w:tbl>
      <w:tblPr>
        <w:tblW w:w="9496" w:type="dxa"/>
        <w:tblInd w:w="85" w:type="dxa"/>
        <w:tblLook w:val="04A0"/>
      </w:tblPr>
      <w:tblGrid>
        <w:gridCol w:w="5073"/>
        <w:gridCol w:w="869"/>
        <w:gridCol w:w="869"/>
        <w:gridCol w:w="869"/>
        <w:gridCol w:w="869"/>
        <w:gridCol w:w="947"/>
      </w:tblGrid>
      <w:tr w:rsidR="009851F1" w:rsidRPr="009851F1" w:rsidTr="009851F1">
        <w:trPr>
          <w:trHeight w:val="374"/>
        </w:trPr>
        <w:tc>
          <w:tcPr>
            <w:tcW w:w="9495"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Debtors Ratio of  GlaxoSmith</w:t>
            </w:r>
            <w:r w:rsidRPr="00A47DE1">
              <w:rPr>
                <w:rFonts w:ascii="Times New Roman" w:eastAsia="Times New Roman" w:hAnsi="Times New Roman" w:cs="Times New Roman"/>
                <w:color w:val="000000"/>
                <w:sz w:val="24"/>
                <w:szCs w:val="24"/>
              </w:rPr>
              <w:t>Kline  Plc</w:t>
            </w:r>
          </w:p>
        </w:tc>
      </w:tr>
      <w:tr w:rsidR="009851F1" w:rsidRPr="009851F1" w:rsidTr="009851F1">
        <w:trPr>
          <w:trHeight w:val="374"/>
        </w:trPr>
        <w:tc>
          <w:tcPr>
            <w:tcW w:w="9495"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Debtors  Ratio (in days) = (Average Trade Receivables / Sales)*365</w:t>
            </w:r>
          </w:p>
        </w:tc>
      </w:tr>
      <w:tr w:rsidR="009851F1" w:rsidRPr="009851F1" w:rsidTr="009851F1">
        <w:trPr>
          <w:trHeight w:val="374"/>
        </w:trPr>
        <w:tc>
          <w:tcPr>
            <w:tcW w:w="5073"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Year </w:t>
            </w:r>
          </w:p>
        </w:tc>
        <w:tc>
          <w:tcPr>
            <w:tcW w:w="869"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2016</w:t>
            </w:r>
          </w:p>
        </w:tc>
        <w:tc>
          <w:tcPr>
            <w:tcW w:w="869"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2015</w:t>
            </w:r>
          </w:p>
        </w:tc>
        <w:tc>
          <w:tcPr>
            <w:tcW w:w="869"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2014</w:t>
            </w:r>
          </w:p>
        </w:tc>
        <w:tc>
          <w:tcPr>
            <w:tcW w:w="869"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2013</w:t>
            </w:r>
          </w:p>
        </w:tc>
        <w:tc>
          <w:tcPr>
            <w:tcW w:w="947"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2012</w:t>
            </w:r>
          </w:p>
        </w:tc>
      </w:tr>
      <w:tr w:rsidR="009851F1" w:rsidRPr="009851F1" w:rsidTr="009851F1">
        <w:trPr>
          <w:trHeight w:val="374"/>
        </w:trPr>
        <w:tc>
          <w:tcPr>
            <w:tcW w:w="5073"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Average Trade Receivables( in £ million)</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6026</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5615</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4600</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5442</w:t>
            </w:r>
          </w:p>
        </w:tc>
        <w:tc>
          <w:tcPr>
            <w:tcW w:w="947"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5242</w:t>
            </w:r>
          </w:p>
        </w:tc>
      </w:tr>
      <w:tr w:rsidR="009851F1" w:rsidRPr="009851F1" w:rsidTr="009851F1">
        <w:trPr>
          <w:trHeight w:val="374"/>
        </w:trPr>
        <w:tc>
          <w:tcPr>
            <w:tcW w:w="5073"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Revenue (in £ million) </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27889</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23923</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23006</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26505</w:t>
            </w:r>
          </w:p>
        </w:tc>
        <w:tc>
          <w:tcPr>
            <w:tcW w:w="947"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26431</w:t>
            </w:r>
          </w:p>
        </w:tc>
      </w:tr>
      <w:tr w:rsidR="009851F1" w:rsidRPr="009851F1" w:rsidTr="009851F1">
        <w:trPr>
          <w:trHeight w:val="374"/>
        </w:trPr>
        <w:tc>
          <w:tcPr>
            <w:tcW w:w="5073"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Debtors Ratio</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78.87</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85.67</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72.98</w:t>
            </w:r>
          </w:p>
        </w:tc>
        <w:tc>
          <w:tcPr>
            <w:tcW w:w="869"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74.94</w:t>
            </w:r>
          </w:p>
        </w:tc>
        <w:tc>
          <w:tcPr>
            <w:tcW w:w="947"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72.39</w:t>
            </w:r>
          </w:p>
        </w:tc>
      </w:tr>
    </w:tbl>
    <w:p w:rsidR="009851F1" w:rsidRDefault="009851F1"/>
    <w:p w:rsidR="009851F1" w:rsidRPr="005A04C9" w:rsidRDefault="009851F1">
      <w:pPr>
        <w:rPr>
          <w:sz w:val="28"/>
          <w:szCs w:val="28"/>
        </w:rPr>
      </w:pPr>
    </w:p>
    <w:p w:rsidR="00C34054" w:rsidRPr="005A04C9" w:rsidRDefault="009851F1" w:rsidP="00C34054">
      <w:pPr>
        <w:pStyle w:val="Heading2"/>
        <w:rPr>
          <w:sz w:val="32"/>
          <w:szCs w:val="32"/>
        </w:rPr>
      </w:pPr>
      <w:bookmarkStart w:id="8" w:name="_Toc502272998"/>
      <w:r w:rsidRPr="005A04C9">
        <w:rPr>
          <w:sz w:val="32"/>
          <w:szCs w:val="32"/>
        </w:rPr>
        <w:t>2.4) Calculation of Gearing ratio of GlaxoSmithKline Plc:</w:t>
      </w:r>
      <w:bookmarkEnd w:id="8"/>
      <w:r w:rsidRPr="005A04C9">
        <w:rPr>
          <w:sz w:val="32"/>
          <w:szCs w:val="32"/>
        </w:rPr>
        <w:t xml:space="preserve"> </w:t>
      </w:r>
    </w:p>
    <w:p w:rsidR="00C34054" w:rsidRDefault="00C34054" w:rsidP="00C34054">
      <w:pPr>
        <w:pStyle w:val="Heading2"/>
      </w:pPr>
    </w:p>
    <w:p w:rsidR="009851F1" w:rsidRPr="009851F1" w:rsidRDefault="009851F1" w:rsidP="00C34054">
      <w:pPr>
        <w:pStyle w:val="Heading2"/>
      </w:pPr>
      <w:r>
        <w:t xml:space="preserve"> </w:t>
      </w:r>
    </w:p>
    <w:tbl>
      <w:tblPr>
        <w:tblW w:w="9255" w:type="dxa"/>
        <w:tblInd w:w="85" w:type="dxa"/>
        <w:tblLook w:val="04A0"/>
      </w:tblPr>
      <w:tblGrid>
        <w:gridCol w:w="5075"/>
        <w:gridCol w:w="836"/>
        <w:gridCol w:w="836"/>
        <w:gridCol w:w="836"/>
        <w:gridCol w:w="836"/>
        <w:gridCol w:w="836"/>
      </w:tblGrid>
      <w:tr w:rsidR="009851F1" w:rsidRPr="009851F1" w:rsidTr="009851F1">
        <w:trPr>
          <w:trHeight w:val="372"/>
        </w:trPr>
        <w:tc>
          <w:tcPr>
            <w:tcW w:w="9255"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Debt ratio of  GlaxoSmith</w:t>
            </w:r>
            <w:r w:rsidRPr="00A47DE1">
              <w:rPr>
                <w:rFonts w:ascii="Times New Roman" w:eastAsia="Times New Roman" w:hAnsi="Times New Roman" w:cs="Times New Roman"/>
                <w:color w:val="000000"/>
                <w:sz w:val="24"/>
                <w:szCs w:val="24"/>
              </w:rPr>
              <w:t>Kline  Plc</w:t>
            </w:r>
          </w:p>
        </w:tc>
      </w:tr>
      <w:tr w:rsidR="009851F1" w:rsidRPr="009851F1" w:rsidTr="009851F1">
        <w:trPr>
          <w:trHeight w:val="372"/>
        </w:trPr>
        <w:tc>
          <w:tcPr>
            <w:tcW w:w="9255" w:type="dxa"/>
            <w:gridSpan w:val="6"/>
            <w:tcBorders>
              <w:top w:val="single" w:sz="4" w:space="0" w:color="auto"/>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center"/>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Debt Ratio = Total Debt / Total Assets</w:t>
            </w:r>
          </w:p>
        </w:tc>
      </w:tr>
      <w:tr w:rsidR="009851F1" w:rsidRPr="009851F1" w:rsidTr="009851F1">
        <w:trPr>
          <w:trHeight w:val="372"/>
        </w:trPr>
        <w:tc>
          <w:tcPr>
            <w:tcW w:w="5075"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Year</w:t>
            </w:r>
          </w:p>
        </w:tc>
        <w:tc>
          <w:tcPr>
            <w:tcW w:w="83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2016</w:t>
            </w:r>
          </w:p>
        </w:tc>
        <w:tc>
          <w:tcPr>
            <w:tcW w:w="83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2015</w:t>
            </w:r>
          </w:p>
        </w:tc>
        <w:tc>
          <w:tcPr>
            <w:tcW w:w="83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2014</w:t>
            </w:r>
          </w:p>
        </w:tc>
        <w:tc>
          <w:tcPr>
            <w:tcW w:w="83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2013</w:t>
            </w:r>
          </w:p>
        </w:tc>
        <w:tc>
          <w:tcPr>
            <w:tcW w:w="836" w:type="dxa"/>
            <w:tcBorders>
              <w:top w:val="nil"/>
              <w:left w:val="nil"/>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2012</w:t>
            </w:r>
          </w:p>
        </w:tc>
      </w:tr>
      <w:tr w:rsidR="009851F1" w:rsidRPr="009851F1" w:rsidTr="009851F1">
        <w:trPr>
          <w:trHeight w:val="372"/>
        </w:trPr>
        <w:tc>
          <w:tcPr>
            <w:tcW w:w="5075"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Total Long term Borrowings (in £ million)</w:t>
            </w:r>
          </w:p>
        </w:tc>
        <w:tc>
          <w:tcPr>
            <w:tcW w:w="83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14661</w:t>
            </w:r>
          </w:p>
        </w:tc>
        <w:tc>
          <w:tcPr>
            <w:tcW w:w="83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15324</w:t>
            </w:r>
          </w:p>
        </w:tc>
        <w:tc>
          <w:tcPr>
            <w:tcW w:w="83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15841</w:t>
            </w:r>
          </w:p>
        </w:tc>
        <w:tc>
          <w:tcPr>
            <w:tcW w:w="83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15456</w:t>
            </w:r>
          </w:p>
        </w:tc>
        <w:tc>
          <w:tcPr>
            <w:tcW w:w="836" w:type="dxa"/>
            <w:tcBorders>
              <w:top w:val="nil"/>
              <w:left w:val="nil"/>
              <w:bottom w:val="nil"/>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14671</w:t>
            </w:r>
          </w:p>
        </w:tc>
      </w:tr>
      <w:tr w:rsidR="009851F1" w:rsidRPr="009851F1" w:rsidTr="009851F1">
        <w:trPr>
          <w:trHeight w:val="372"/>
        </w:trPr>
        <w:tc>
          <w:tcPr>
            <w:tcW w:w="5075"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Total Short term Borrowings (</w:t>
            </w:r>
            <w:proofErr w:type="spellStart"/>
            <w:r w:rsidRPr="009851F1">
              <w:rPr>
                <w:rFonts w:ascii="Times New Roman" w:eastAsia="Times New Roman" w:hAnsi="Times New Roman" w:cs="Times New Roman"/>
                <w:color w:val="000000"/>
                <w:sz w:val="24"/>
                <w:szCs w:val="24"/>
              </w:rPr>
              <w:t>jn</w:t>
            </w:r>
            <w:proofErr w:type="spellEnd"/>
            <w:r w:rsidRPr="009851F1">
              <w:rPr>
                <w:rFonts w:ascii="Times New Roman" w:eastAsia="Times New Roman" w:hAnsi="Times New Roman" w:cs="Times New Roman"/>
                <w:color w:val="000000"/>
                <w:sz w:val="24"/>
                <w:szCs w:val="24"/>
              </w:rPr>
              <w:t xml:space="preserve"> £ million) </w:t>
            </w:r>
          </w:p>
        </w:tc>
        <w:tc>
          <w:tcPr>
            <w:tcW w:w="836" w:type="dxa"/>
            <w:tcBorders>
              <w:top w:val="single" w:sz="4" w:space="0" w:color="auto"/>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4129</w:t>
            </w:r>
          </w:p>
        </w:tc>
        <w:tc>
          <w:tcPr>
            <w:tcW w:w="836" w:type="dxa"/>
            <w:tcBorders>
              <w:top w:val="single" w:sz="4" w:space="0" w:color="auto"/>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1308</w:t>
            </w:r>
          </w:p>
        </w:tc>
        <w:tc>
          <w:tcPr>
            <w:tcW w:w="836" w:type="dxa"/>
            <w:tcBorders>
              <w:top w:val="single" w:sz="4" w:space="0" w:color="auto"/>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2943</w:t>
            </w:r>
          </w:p>
        </w:tc>
        <w:tc>
          <w:tcPr>
            <w:tcW w:w="836" w:type="dxa"/>
            <w:tcBorders>
              <w:top w:val="single" w:sz="4" w:space="0" w:color="auto"/>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2799</w:t>
            </w:r>
          </w:p>
        </w:tc>
        <w:tc>
          <w:tcPr>
            <w:tcW w:w="836" w:type="dxa"/>
            <w:tcBorders>
              <w:top w:val="single" w:sz="4" w:space="0" w:color="auto"/>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3631</w:t>
            </w:r>
          </w:p>
        </w:tc>
      </w:tr>
      <w:tr w:rsidR="009851F1" w:rsidRPr="009851F1" w:rsidTr="009851F1">
        <w:trPr>
          <w:trHeight w:val="372"/>
        </w:trPr>
        <w:tc>
          <w:tcPr>
            <w:tcW w:w="5075"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Total Debt (in £ million)</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18790</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16632</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18784</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18255</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18302</w:t>
            </w:r>
          </w:p>
        </w:tc>
      </w:tr>
      <w:tr w:rsidR="009851F1" w:rsidRPr="009851F1" w:rsidTr="009851F1">
        <w:trPr>
          <w:trHeight w:val="372"/>
        </w:trPr>
        <w:tc>
          <w:tcPr>
            <w:tcW w:w="5075"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 xml:space="preserve">Total Assets (in £million) </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59081</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53446</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40651</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42096</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41475</w:t>
            </w:r>
          </w:p>
        </w:tc>
      </w:tr>
      <w:tr w:rsidR="009851F1" w:rsidRPr="009851F1" w:rsidTr="009851F1">
        <w:trPr>
          <w:trHeight w:val="372"/>
        </w:trPr>
        <w:tc>
          <w:tcPr>
            <w:tcW w:w="5075" w:type="dxa"/>
            <w:tcBorders>
              <w:top w:val="nil"/>
              <w:left w:val="single" w:sz="4" w:space="0" w:color="auto"/>
              <w:bottom w:val="single" w:sz="4" w:space="0" w:color="auto"/>
              <w:right w:val="single" w:sz="4" w:space="0" w:color="auto"/>
            </w:tcBorders>
            <w:shd w:val="clear" w:color="000000" w:fill="D7E4BC"/>
            <w:noWrap/>
            <w:vAlign w:val="bottom"/>
            <w:hideMark/>
          </w:tcPr>
          <w:p w:rsidR="009851F1" w:rsidRPr="009851F1" w:rsidRDefault="009851F1" w:rsidP="009851F1">
            <w:pPr>
              <w:spacing w:after="0" w:line="240" w:lineRule="auto"/>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Debt Ratio</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0.32</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0.31</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0.46</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0.43</w:t>
            </w:r>
          </w:p>
        </w:tc>
        <w:tc>
          <w:tcPr>
            <w:tcW w:w="836" w:type="dxa"/>
            <w:tcBorders>
              <w:top w:val="nil"/>
              <w:left w:val="nil"/>
              <w:bottom w:val="single" w:sz="4" w:space="0" w:color="auto"/>
              <w:right w:val="single" w:sz="4" w:space="0" w:color="auto"/>
            </w:tcBorders>
            <w:shd w:val="clear" w:color="auto" w:fill="auto"/>
            <w:noWrap/>
            <w:vAlign w:val="bottom"/>
            <w:hideMark/>
          </w:tcPr>
          <w:p w:rsidR="009851F1" w:rsidRPr="009851F1" w:rsidRDefault="009851F1" w:rsidP="009851F1">
            <w:pPr>
              <w:spacing w:after="0" w:line="240" w:lineRule="auto"/>
              <w:jc w:val="right"/>
              <w:rPr>
                <w:rFonts w:ascii="Times New Roman" w:eastAsia="Times New Roman" w:hAnsi="Times New Roman" w:cs="Times New Roman"/>
                <w:color w:val="000000"/>
                <w:sz w:val="24"/>
                <w:szCs w:val="24"/>
              </w:rPr>
            </w:pPr>
            <w:r w:rsidRPr="009851F1">
              <w:rPr>
                <w:rFonts w:ascii="Times New Roman" w:eastAsia="Times New Roman" w:hAnsi="Times New Roman" w:cs="Times New Roman"/>
                <w:color w:val="000000"/>
                <w:sz w:val="24"/>
                <w:szCs w:val="24"/>
              </w:rPr>
              <w:t>0.44</w:t>
            </w:r>
          </w:p>
        </w:tc>
      </w:tr>
    </w:tbl>
    <w:p w:rsidR="00A62782" w:rsidRDefault="00A62782"/>
    <w:p w:rsidR="009851F1" w:rsidRPr="005A04C9" w:rsidRDefault="00C34054" w:rsidP="009851F1">
      <w:pPr>
        <w:pStyle w:val="Heading1"/>
        <w:rPr>
          <w:rFonts w:ascii="Times New Roman" w:hAnsi="Times New Roman" w:cs="Times New Roman"/>
          <w:sz w:val="32"/>
          <w:szCs w:val="32"/>
        </w:rPr>
      </w:pPr>
      <w:bookmarkStart w:id="9" w:name="_Toc502272999"/>
      <w:r w:rsidRPr="005A04C9">
        <w:rPr>
          <w:rFonts w:ascii="Times New Roman" w:hAnsi="Times New Roman" w:cs="Times New Roman"/>
          <w:sz w:val="32"/>
          <w:szCs w:val="32"/>
        </w:rPr>
        <w:lastRenderedPageBreak/>
        <w:t xml:space="preserve">3) </w:t>
      </w:r>
      <w:r w:rsidR="009851F1" w:rsidRPr="005A04C9">
        <w:rPr>
          <w:rFonts w:ascii="Times New Roman" w:hAnsi="Times New Roman" w:cs="Times New Roman"/>
          <w:sz w:val="32"/>
          <w:szCs w:val="32"/>
        </w:rPr>
        <w:t>A critical Analysis of the ratios calculated:</w:t>
      </w:r>
      <w:bookmarkEnd w:id="9"/>
    </w:p>
    <w:p w:rsidR="0026289A" w:rsidRPr="0026289A" w:rsidRDefault="0026289A" w:rsidP="0026289A"/>
    <w:p w:rsidR="0026289A" w:rsidRPr="005A04C9" w:rsidRDefault="0026289A" w:rsidP="003A2A63">
      <w:pPr>
        <w:spacing w:line="360" w:lineRule="auto"/>
        <w:jc w:val="both"/>
        <w:rPr>
          <w:rFonts w:ascii="Times New Roman" w:hAnsi="Times New Roman" w:cs="Times New Roman"/>
          <w:sz w:val="32"/>
          <w:szCs w:val="32"/>
        </w:rPr>
      </w:pPr>
      <w:r w:rsidRPr="005A04C9">
        <w:rPr>
          <w:rFonts w:ascii="Times New Roman" w:hAnsi="Times New Roman" w:cs="Times New Roman"/>
          <w:sz w:val="32"/>
          <w:szCs w:val="32"/>
        </w:rPr>
        <w:t xml:space="preserve">Financial ratios are the mathematical ratios which enable to determine the financial performance of the companies. It is best suited as a comparative measure for different financial years of the same company or between two organizations within the similar industry or is of similar sizes. This report mainly depicts the critical analysis of the ratios that are calculated. </w:t>
      </w:r>
    </w:p>
    <w:p w:rsidR="0026289A" w:rsidRPr="005A04C9" w:rsidRDefault="0026289A" w:rsidP="003A2A63">
      <w:pPr>
        <w:spacing w:line="360" w:lineRule="auto"/>
        <w:jc w:val="both"/>
        <w:rPr>
          <w:rFonts w:ascii="Times New Roman" w:hAnsi="Times New Roman" w:cs="Times New Roman"/>
          <w:sz w:val="32"/>
          <w:szCs w:val="32"/>
        </w:rPr>
      </w:pPr>
      <w:r w:rsidRPr="005A04C9">
        <w:rPr>
          <w:rFonts w:ascii="Times New Roman" w:hAnsi="Times New Roman" w:cs="Times New Roman"/>
          <w:sz w:val="32"/>
          <w:szCs w:val="32"/>
        </w:rPr>
        <w:t xml:space="preserve">Net profit ratio is a ratio which measures the ratio of the net profit after deducting all the cost of the company and taxes and then dividing the value with the sales. So it helps in estimation of the net margin generated by the company in a particular period. It is important that this ratio must be compared for determining the profitability of different periods or with a different company for the similar time period. Gross profit margin is another measure of the profitability ratio. This ratio essentially provides the </w:t>
      </w:r>
      <w:r w:rsidR="003A2A63" w:rsidRPr="005A04C9">
        <w:rPr>
          <w:rFonts w:ascii="Times New Roman" w:hAnsi="Times New Roman" w:cs="Times New Roman"/>
          <w:sz w:val="32"/>
          <w:szCs w:val="32"/>
        </w:rPr>
        <w:t xml:space="preserve">profitability earned from the core business </w:t>
      </w:r>
      <w:proofErr w:type="gramStart"/>
      <w:r w:rsidR="003A2A63" w:rsidRPr="005A04C9">
        <w:rPr>
          <w:rFonts w:ascii="Times New Roman" w:hAnsi="Times New Roman" w:cs="Times New Roman"/>
          <w:sz w:val="32"/>
          <w:szCs w:val="32"/>
        </w:rPr>
        <w:t>So</w:t>
      </w:r>
      <w:proofErr w:type="gramEnd"/>
      <w:r w:rsidR="003A2A63" w:rsidRPr="005A04C9">
        <w:rPr>
          <w:rFonts w:ascii="Times New Roman" w:hAnsi="Times New Roman" w:cs="Times New Roman"/>
          <w:sz w:val="32"/>
          <w:szCs w:val="32"/>
        </w:rPr>
        <w:t xml:space="preserve"> it is absolutely very important to the users of the financial statements of the company and indicate the core financial performance of the firm. </w:t>
      </w:r>
    </w:p>
    <w:p w:rsidR="002F3BC1" w:rsidRPr="005A04C9" w:rsidRDefault="003A2A63" w:rsidP="003A2A63">
      <w:pPr>
        <w:spacing w:line="360" w:lineRule="auto"/>
        <w:jc w:val="both"/>
        <w:rPr>
          <w:rFonts w:ascii="Times New Roman" w:hAnsi="Times New Roman" w:cs="Times New Roman"/>
          <w:sz w:val="32"/>
          <w:szCs w:val="32"/>
        </w:rPr>
      </w:pPr>
      <w:r w:rsidRPr="005A04C9">
        <w:rPr>
          <w:rFonts w:ascii="Times New Roman" w:hAnsi="Times New Roman" w:cs="Times New Roman"/>
          <w:sz w:val="32"/>
          <w:szCs w:val="32"/>
        </w:rPr>
        <w:t xml:space="preserve">There are also various ratios which are generally used for evaluating the liquidity of firms. Analysis of liquidity is one of the key aspect </w:t>
      </w:r>
      <w:proofErr w:type="gramStart"/>
      <w:r w:rsidRPr="005A04C9">
        <w:rPr>
          <w:rFonts w:ascii="Times New Roman" w:hAnsi="Times New Roman" w:cs="Times New Roman"/>
          <w:sz w:val="32"/>
          <w:szCs w:val="32"/>
        </w:rPr>
        <w:t>of  an</w:t>
      </w:r>
      <w:proofErr w:type="gramEnd"/>
      <w:r w:rsidRPr="005A04C9">
        <w:rPr>
          <w:rFonts w:ascii="Times New Roman" w:hAnsi="Times New Roman" w:cs="Times New Roman"/>
          <w:sz w:val="32"/>
          <w:szCs w:val="32"/>
        </w:rPr>
        <w:t xml:space="preserve"> organization as it reflects the firm’s ability to repay the short term obligation from its current assets.  Current ratio is one of the most important </w:t>
      </w:r>
      <w:proofErr w:type="gramStart"/>
      <w:r w:rsidRPr="005A04C9">
        <w:rPr>
          <w:rFonts w:ascii="Times New Roman" w:hAnsi="Times New Roman" w:cs="Times New Roman"/>
          <w:sz w:val="32"/>
          <w:szCs w:val="32"/>
        </w:rPr>
        <w:t>measure</w:t>
      </w:r>
      <w:proofErr w:type="gramEnd"/>
      <w:r w:rsidRPr="005A04C9">
        <w:rPr>
          <w:rFonts w:ascii="Times New Roman" w:hAnsi="Times New Roman" w:cs="Times New Roman"/>
          <w:sz w:val="32"/>
          <w:szCs w:val="32"/>
        </w:rPr>
        <w:t xml:space="preserve"> to calculate the liquidity as mathematically in the </w:t>
      </w:r>
      <w:r w:rsidRPr="005A04C9">
        <w:rPr>
          <w:rFonts w:ascii="Times New Roman" w:hAnsi="Times New Roman" w:cs="Times New Roman"/>
          <w:sz w:val="32"/>
          <w:szCs w:val="32"/>
        </w:rPr>
        <w:lastRenderedPageBreak/>
        <w:t>ratio of the current assets to the current liability of the firm. So if the value is less than 1</w:t>
      </w:r>
      <w:r w:rsidR="004A0045" w:rsidRPr="005A04C9">
        <w:rPr>
          <w:rFonts w:ascii="Times New Roman" w:hAnsi="Times New Roman" w:cs="Times New Roman"/>
          <w:color w:val="222222"/>
          <w:sz w:val="32"/>
          <w:szCs w:val="32"/>
          <w:shd w:val="clear" w:color="auto" w:fill="FFFFFF"/>
        </w:rPr>
        <w:t xml:space="preserve"> (</w:t>
      </w:r>
      <w:proofErr w:type="spellStart"/>
      <w:r w:rsidR="004A0045" w:rsidRPr="005A04C9">
        <w:rPr>
          <w:rFonts w:ascii="Times New Roman" w:hAnsi="Times New Roman" w:cs="Times New Roman"/>
          <w:color w:val="222222"/>
          <w:sz w:val="32"/>
          <w:szCs w:val="32"/>
          <w:shd w:val="clear" w:color="auto" w:fill="FFFFFF"/>
        </w:rPr>
        <w:t>Krylov</w:t>
      </w:r>
      <w:proofErr w:type="spellEnd"/>
      <w:r w:rsidR="004A0045" w:rsidRPr="005A04C9">
        <w:rPr>
          <w:rFonts w:ascii="Times New Roman" w:hAnsi="Times New Roman" w:cs="Times New Roman"/>
          <w:color w:val="222222"/>
          <w:sz w:val="32"/>
          <w:szCs w:val="32"/>
          <w:shd w:val="clear" w:color="auto" w:fill="FFFFFF"/>
        </w:rPr>
        <w:t xml:space="preserve">, </w:t>
      </w:r>
      <w:proofErr w:type="gramStart"/>
      <w:r w:rsidR="004A0045" w:rsidRPr="005A04C9">
        <w:rPr>
          <w:rFonts w:ascii="Times New Roman" w:hAnsi="Times New Roman" w:cs="Times New Roman"/>
          <w:color w:val="222222"/>
          <w:sz w:val="32"/>
          <w:szCs w:val="32"/>
          <w:shd w:val="clear" w:color="auto" w:fill="FFFFFF"/>
        </w:rPr>
        <w:t>2015</w:t>
      </w:r>
      <w:r w:rsidRPr="005A04C9">
        <w:rPr>
          <w:rFonts w:ascii="Times New Roman" w:hAnsi="Times New Roman" w:cs="Times New Roman"/>
          <w:sz w:val="32"/>
          <w:szCs w:val="32"/>
        </w:rPr>
        <w:t xml:space="preserve"> </w:t>
      </w:r>
      <w:r w:rsidR="004A0045" w:rsidRPr="005A04C9">
        <w:rPr>
          <w:rFonts w:ascii="Times New Roman" w:hAnsi="Times New Roman" w:cs="Times New Roman"/>
          <w:sz w:val="32"/>
          <w:szCs w:val="32"/>
        </w:rPr>
        <w:t>)</w:t>
      </w:r>
      <w:proofErr w:type="gramEnd"/>
      <w:r w:rsidRPr="005A04C9">
        <w:rPr>
          <w:rFonts w:ascii="Times New Roman" w:hAnsi="Times New Roman" w:cs="Times New Roman"/>
          <w:sz w:val="32"/>
          <w:szCs w:val="32"/>
        </w:rPr>
        <w:t xml:space="preserve">, it indicates that the firm has lower amount of current liability than the levels of current assets. So hence the firm faces liquidity crisis as it becomes difficult for the firm to pay to the trade payables s for any purchase. Therefore it is important for business organizations to maintain a current ratio value more than 1. On the other hand, acid test ratio is another ratio which is also used for evaluating the liquidity of firm. It is basically a stringer form of current ratio as inventories are </w:t>
      </w:r>
      <w:r w:rsidR="008476BE" w:rsidRPr="005A04C9">
        <w:rPr>
          <w:rFonts w:ascii="Times New Roman" w:hAnsi="Times New Roman" w:cs="Times New Roman"/>
          <w:sz w:val="32"/>
          <w:szCs w:val="32"/>
        </w:rPr>
        <w:t xml:space="preserve">not considered as the part of the current assets. </w:t>
      </w:r>
      <w:proofErr w:type="gramStart"/>
      <w:r w:rsidR="008476BE" w:rsidRPr="005A04C9">
        <w:rPr>
          <w:rFonts w:ascii="Times New Roman" w:hAnsi="Times New Roman" w:cs="Times New Roman"/>
          <w:sz w:val="32"/>
          <w:szCs w:val="32"/>
        </w:rPr>
        <w:t>The main reason for not considering inventory in the current assets as sometimes inventories are obsolete and therefore could not be used for selling.</w:t>
      </w:r>
      <w:proofErr w:type="gramEnd"/>
      <w:r w:rsidR="008476BE" w:rsidRPr="005A04C9">
        <w:rPr>
          <w:rFonts w:ascii="Times New Roman" w:hAnsi="Times New Roman" w:cs="Times New Roman"/>
          <w:sz w:val="32"/>
          <w:szCs w:val="32"/>
        </w:rPr>
        <w:t xml:space="preserve"> So in essence some form of inventory lacks the ability of cash generation through sales. Therefore, it can be rightly said that in organizations with perishable products or low shelve </w:t>
      </w:r>
      <w:proofErr w:type="gramStart"/>
      <w:r w:rsidR="008476BE" w:rsidRPr="005A04C9">
        <w:rPr>
          <w:rFonts w:ascii="Times New Roman" w:hAnsi="Times New Roman" w:cs="Times New Roman"/>
          <w:sz w:val="32"/>
          <w:szCs w:val="32"/>
        </w:rPr>
        <w:t>life ,</w:t>
      </w:r>
      <w:proofErr w:type="gramEnd"/>
      <w:r w:rsidR="008476BE" w:rsidRPr="005A04C9">
        <w:rPr>
          <w:rFonts w:ascii="Times New Roman" w:hAnsi="Times New Roman" w:cs="Times New Roman"/>
          <w:sz w:val="32"/>
          <w:szCs w:val="32"/>
        </w:rPr>
        <w:t xml:space="preserve"> acid test ratio is the most appropriate form of evaluating the liquidity of the firm</w:t>
      </w:r>
      <w:r w:rsidR="004A0045" w:rsidRPr="005A04C9">
        <w:rPr>
          <w:rFonts w:ascii="Times New Roman" w:hAnsi="Times New Roman" w:cs="Times New Roman"/>
          <w:color w:val="222222"/>
          <w:sz w:val="32"/>
          <w:szCs w:val="32"/>
          <w:shd w:val="clear" w:color="auto" w:fill="FFFFFF"/>
        </w:rPr>
        <w:t xml:space="preserve"> (Nilsson, 2015)</w:t>
      </w:r>
      <w:r w:rsidR="008476BE" w:rsidRPr="005A04C9">
        <w:rPr>
          <w:rFonts w:ascii="Times New Roman" w:hAnsi="Times New Roman" w:cs="Times New Roman"/>
          <w:sz w:val="32"/>
          <w:szCs w:val="32"/>
        </w:rPr>
        <w:t>.</w:t>
      </w:r>
    </w:p>
    <w:p w:rsidR="008476BE" w:rsidRPr="005A04C9" w:rsidRDefault="008476BE" w:rsidP="003A2A63">
      <w:pPr>
        <w:spacing w:line="360" w:lineRule="auto"/>
        <w:jc w:val="both"/>
        <w:rPr>
          <w:rFonts w:ascii="Times New Roman" w:hAnsi="Times New Roman" w:cs="Times New Roman"/>
          <w:sz w:val="32"/>
          <w:szCs w:val="32"/>
        </w:rPr>
      </w:pPr>
      <w:r w:rsidRPr="005A04C9">
        <w:rPr>
          <w:rFonts w:ascii="Times New Roman" w:hAnsi="Times New Roman" w:cs="Times New Roman"/>
          <w:sz w:val="32"/>
          <w:szCs w:val="32"/>
        </w:rPr>
        <w:t>It is also important to analyze the efficiency of the firm. Efficiency of the firm reflects different aspect like the asset utilization rate, stock replenishment rate or quickness of cash collection and also rate of payment to the suppliers in number of days. These are important to evaluate as it reflect the efficiency of the certain operational aspect. Stock turnover as a ratio reflects the fastness of replenishing of the stock in cash generation</w:t>
      </w:r>
      <w:r w:rsidR="004A0045" w:rsidRPr="005A04C9">
        <w:rPr>
          <w:rFonts w:ascii="Times New Roman" w:hAnsi="Times New Roman" w:cs="Times New Roman"/>
          <w:color w:val="222222"/>
          <w:sz w:val="32"/>
          <w:szCs w:val="32"/>
          <w:shd w:val="clear" w:color="auto" w:fill="FFFFFF"/>
        </w:rPr>
        <w:t xml:space="preserve"> (</w:t>
      </w:r>
      <w:proofErr w:type="spellStart"/>
      <w:r w:rsidR="004A0045" w:rsidRPr="005A04C9">
        <w:rPr>
          <w:rFonts w:ascii="Times New Roman" w:hAnsi="Times New Roman" w:cs="Times New Roman"/>
          <w:color w:val="222222"/>
          <w:sz w:val="32"/>
          <w:szCs w:val="32"/>
          <w:shd w:val="clear" w:color="auto" w:fill="FFFFFF"/>
        </w:rPr>
        <w:t>Uechi</w:t>
      </w:r>
      <w:proofErr w:type="spellEnd"/>
      <w:r w:rsidR="004A0045" w:rsidRPr="005A04C9">
        <w:rPr>
          <w:rFonts w:ascii="Times New Roman" w:hAnsi="Times New Roman" w:cs="Times New Roman"/>
          <w:color w:val="222222"/>
          <w:sz w:val="32"/>
          <w:szCs w:val="32"/>
          <w:shd w:val="clear" w:color="auto" w:fill="FFFFFF"/>
        </w:rPr>
        <w:t xml:space="preserve"> &amp; et al, 2015)</w:t>
      </w:r>
      <w:r w:rsidRPr="005A04C9">
        <w:rPr>
          <w:rFonts w:ascii="Times New Roman" w:hAnsi="Times New Roman" w:cs="Times New Roman"/>
          <w:sz w:val="32"/>
          <w:szCs w:val="32"/>
        </w:rPr>
        <w:t xml:space="preserve">. So it is desirable that stock turnover ratio of the organization should be high which reflects the fact </w:t>
      </w:r>
      <w:r w:rsidRPr="005A04C9">
        <w:rPr>
          <w:rFonts w:ascii="Times New Roman" w:hAnsi="Times New Roman" w:cs="Times New Roman"/>
          <w:sz w:val="32"/>
          <w:szCs w:val="32"/>
        </w:rPr>
        <w:lastRenderedPageBreak/>
        <w:t xml:space="preserve">stocks are quickly replenished. On the other hand, fixed asset turnover </w:t>
      </w:r>
      <w:r w:rsidR="007D480D" w:rsidRPr="005A04C9">
        <w:rPr>
          <w:rFonts w:ascii="Times New Roman" w:hAnsi="Times New Roman" w:cs="Times New Roman"/>
          <w:sz w:val="32"/>
          <w:szCs w:val="32"/>
        </w:rPr>
        <w:t>reflects the efficiency through which the fixed assets are utilized. So it is desirable that the fixed asset turnover to be as high as possible which reflect better sales generation capacity from its fixed assets</w:t>
      </w:r>
      <w:r w:rsidR="00B622B7" w:rsidRPr="005A04C9">
        <w:rPr>
          <w:rFonts w:ascii="Times New Roman" w:hAnsi="Times New Roman" w:cs="Times New Roman"/>
          <w:color w:val="222222"/>
          <w:sz w:val="32"/>
          <w:szCs w:val="32"/>
          <w:shd w:val="clear" w:color="auto" w:fill="FFFFFF"/>
        </w:rPr>
        <w:t xml:space="preserve"> (</w:t>
      </w:r>
      <w:proofErr w:type="spellStart"/>
      <w:r w:rsidR="00B622B7" w:rsidRPr="005A04C9">
        <w:rPr>
          <w:rFonts w:ascii="Times New Roman" w:hAnsi="Times New Roman" w:cs="Times New Roman"/>
          <w:color w:val="222222"/>
          <w:sz w:val="32"/>
          <w:szCs w:val="32"/>
          <w:shd w:val="clear" w:color="auto" w:fill="FFFFFF"/>
        </w:rPr>
        <w:t>Baños</w:t>
      </w:r>
      <w:proofErr w:type="spellEnd"/>
      <w:r w:rsidR="00B622B7" w:rsidRPr="005A04C9">
        <w:rPr>
          <w:rFonts w:ascii="Times New Roman" w:hAnsi="Times New Roman" w:cs="Times New Roman"/>
          <w:color w:val="222222"/>
          <w:sz w:val="32"/>
          <w:szCs w:val="32"/>
          <w:shd w:val="clear" w:color="auto" w:fill="FFFFFF"/>
        </w:rPr>
        <w:t xml:space="preserve">-Caballero, </w:t>
      </w:r>
      <w:proofErr w:type="spellStart"/>
      <w:r w:rsidR="00B622B7" w:rsidRPr="005A04C9">
        <w:rPr>
          <w:rFonts w:ascii="Times New Roman" w:hAnsi="Times New Roman" w:cs="Times New Roman"/>
          <w:color w:val="222222"/>
          <w:sz w:val="32"/>
          <w:szCs w:val="32"/>
          <w:shd w:val="clear" w:color="auto" w:fill="FFFFFF"/>
        </w:rPr>
        <w:t>García-Teruel</w:t>
      </w:r>
      <w:proofErr w:type="spellEnd"/>
      <w:r w:rsidR="00B622B7" w:rsidRPr="005A04C9">
        <w:rPr>
          <w:rFonts w:ascii="Times New Roman" w:hAnsi="Times New Roman" w:cs="Times New Roman"/>
          <w:color w:val="222222"/>
          <w:sz w:val="32"/>
          <w:szCs w:val="32"/>
          <w:shd w:val="clear" w:color="auto" w:fill="FFFFFF"/>
        </w:rPr>
        <w:t>, and Martínez-Solano</w:t>
      </w:r>
      <w:proofErr w:type="gramStart"/>
      <w:r w:rsidR="00B622B7" w:rsidRPr="005A04C9">
        <w:rPr>
          <w:rFonts w:ascii="Times New Roman" w:hAnsi="Times New Roman" w:cs="Times New Roman"/>
          <w:color w:val="222222"/>
          <w:sz w:val="32"/>
          <w:szCs w:val="32"/>
          <w:shd w:val="clear" w:color="auto" w:fill="FFFFFF"/>
        </w:rPr>
        <w:t>,2014</w:t>
      </w:r>
      <w:proofErr w:type="gramEnd"/>
      <w:r w:rsidR="00B622B7" w:rsidRPr="005A04C9">
        <w:rPr>
          <w:rFonts w:ascii="Times New Roman" w:hAnsi="Times New Roman" w:cs="Times New Roman"/>
          <w:color w:val="222222"/>
          <w:sz w:val="32"/>
          <w:szCs w:val="32"/>
          <w:shd w:val="clear" w:color="auto" w:fill="FFFFFF"/>
        </w:rPr>
        <w:t>)</w:t>
      </w:r>
      <w:r w:rsidR="007D480D" w:rsidRPr="005A04C9">
        <w:rPr>
          <w:rFonts w:ascii="Times New Roman" w:hAnsi="Times New Roman" w:cs="Times New Roman"/>
          <w:sz w:val="32"/>
          <w:szCs w:val="32"/>
        </w:rPr>
        <w:t xml:space="preserve">. Creditor’s ratio is another ratio through which efficiency of creditor’s payment is measured. It is important to have a high </w:t>
      </w:r>
      <w:proofErr w:type="gramStart"/>
      <w:r w:rsidR="007D480D" w:rsidRPr="005A04C9">
        <w:rPr>
          <w:rFonts w:ascii="Times New Roman" w:hAnsi="Times New Roman" w:cs="Times New Roman"/>
          <w:sz w:val="32"/>
          <w:szCs w:val="32"/>
        </w:rPr>
        <w:t>creditors</w:t>
      </w:r>
      <w:proofErr w:type="gramEnd"/>
      <w:r w:rsidR="007D480D" w:rsidRPr="005A04C9">
        <w:rPr>
          <w:rFonts w:ascii="Times New Roman" w:hAnsi="Times New Roman" w:cs="Times New Roman"/>
          <w:sz w:val="32"/>
          <w:szCs w:val="32"/>
        </w:rPr>
        <w:t xml:space="preserve"> ratio as it reflects more </w:t>
      </w:r>
      <w:r w:rsidR="006211E1" w:rsidRPr="005A04C9">
        <w:rPr>
          <w:rFonts w:ascii="Times New Roman" w:hAnsi="Times New Roman" w:cs="Times New Roman"/>
          <w:sz w:val="32"/>
          <w:szCs w:val="32"/>
        </w:rPr>
        <w:t>time for payment to creditors of the company</w:t>
      </w:r>
      <w:r w:rsidR="004A0045" w:rsidRPr="005A04C9">
        <w:rPr>
          <w:rFonts w:ascii="Times New Roman" w:hAnsi="Times New Roman" w:cs="Times New Roman"/>
          <w:color w:val="222222"/>
          <w:sz w:val="32"/>
          <w:szCs w:val="32"/>
          <w:shd w:val="clear" w:color="auto" w:fill="FFFFFF"/>
        </w:rPr>
        <w:t xml:space="preserve"> (</w:t>
      </w:r>
      <w:proofErr w:type="spellStart"/>
      <w:r w:rsidR="004A0045" w:rsidRPr="005A04C9">
        <w:rPr>
          <w:rFonts w:ascii="Times New Roman" w:hAnsi="Times New Roman" w:cs="Times New Roman"/>
          <w:color w:val="222222"/>
          <w:sz w:val="32"/>
          <w:szCs w:val="32"/>
          <w:shd w:val="clear" w:color="auto" w:fill="FFFFFF"/>
        </w:rPr>
        <w:t>Krylov</w:t>
      </w:r>
      <w:proofErr w:type="spellEnd"/>
      <w:r w:rsidR="004A0045" w:rsidRPr="005A04C9">
        <w:rPr>
          <w:rFonts w:ascii="Times New Roman" w:hAnsi="Times New Roman" w:cs="Times New Roman"/>
          <w:color w:val="222222"/>
          <w:sz w:val="32"/>
          <w:szCs w:val="32"/>
          <w:shd w:val="clear" w:color="auto" w:fill="FFFFFF"/>
        </w:rPr>
        <w:t>, 2016)</w:t>
      </w:r>
      <w:r w:rsidR="006211E1" w:rsidRPr="005A04C9">
        <w:rPr>
          <w:rFonts w:ascii="Times New Roman" w:hAnsi="Times New Roman" w:cs="Times New Roman"/>
          <w:sz w:val="32"/>
          <w:szCs w:val="32"/>
        </w:rPr>
        <w:t xml:space="preserve">. The reason why more time period is considered as good as the company could use the financial resources in other productive activity. </w:t>
      </w:r>
    </w:p>
    <w:p w:rsidR="006211E1" w:rsidRPr="005A04C9" w:rsidRDefault="006211E1" w:rsidP="003A2A63">
      <w:pPr>
        <w:spacing w:line="360" w:lineRule="auto"/>
        <w:jc w:val="both"/>
        <w:rPr>
          <w:rFonts w:ascii="Times New Roman" w:hAnsi="Times New Roman" w:cs="Times New Roman"/>
          <w:sz w:val="32"/>
          <w:szCs w:val="32"/>
        </w:rPr>
      </w:pPr>
      <w:r w:rsidRPr="005A04C9">
        <w:rPr>
          <w:rFonts w:ascii="Times New Roman" w:hAnsi="Times New Roman" w:cs="Times New Roman"/>
          <w:sz w:val="32"/>
          <w:szCs w:val="32"/>
        </w:rPr>
        <w:t xml:space="preserve">Gearing is another important aspect that is needed for evaluation. It reflects the amount of debt capital that </w:t>
      </w:r>
      <w:proofErr w:type="gramStart"/>
      <w:r w:rsidRPr="005A04C9">
        <w:rPr>
          <w:rFonts w:ascii="Times New Roman" w:hAnsi="Times New Roman" w:cs="Times New Roman"/>
          <w:sz w:val="32"/>
          <w:szCs w:val="32"/>
        </w:rPr>
        <w:t>comprise</w:t>
      </w:r>
      <w:proofErr w:type="gramEnd"/>
      <w:r w:rsidRPr="005A04C9">
        <w:rPr>
          <w:rFonts w:ascii="Times New Roman" w:hAnsi="Times New Roman" w:cs="Times New Roman"/>
          <w:sz w:val="32"/>
          <w:szCs w:val="32"/>
        </w:rPr>
        <w:t xml:space="preserve"> the capital structure of the firm. Debt to </w:t>
      </w:r>
      <w:proofErr w:type="gramStart"/>
      <w:r w:rsidRPr="005A04C9">
        <w:rPr>
          <w:rFonts w:ascii="Times New Roman" w:hAnsi="Times New Roman" w:cs="Times New Roman"/>
          <w:sz w:val="32"/>
          <w:szCs w:val="32"/>
        </w:rPr>
        <w:t>Total</w:t>
      </w:r>
      <w:proofErr w:type="gramEnd"/>
      <w:r w:rsidRPr="005A04C9">
        <w:rPr>
          <w:rFonts w:ascii="Times New Roman" w:hAnsi="Times New Roman" w:cs="Times New Roman"/>
          <w:sz w:val="32"/>
          <w:szCs w:val="32"/>
        </w:rPr>
        <w:t xml:space="preserve"> asset ratio and debt to equity ratio are the two important measure the gearing of the firm. Debt to Total assets reflects amount of debt that has been used to finance the assets of the firm. On the other hand debt to equity ratio analyzes the amount of debt used to finance the assets compared to the usage of equity capital to finance the </w:t>
      </w:r>
      <w:r w:rsidR="004A0045" w:rsidRPr="005A04C9">
        <w:rPr>
          <w:rFonts w:ascii="Times New Roman" w:hAnsi="Times New Roman" w:cs="Times New Roman"/>
          <w:sz w:val="32"/>
          <w:szCs w:val="32"/>
        </w:rPr>
        <w:t>assets</w:t>
      </w:r>
      <w:r w:rsidR="004A0045" w:rsidRPr="005A04C9">
        <w:rPr>
          <w:rFonts w:ascii="Times New Roman" w:hAnsi="Times New Roman" w:cs="Times New Roman"/>
          <w:color w:val="222222"/>
          <w:sz w:val="32"/>
          <w:szCs w:val="32"/>
          <w:shd w:val="clear" w:color="auto" w:fill="FFFFFF"/>
        </w:rPr>
        <w:t xml:space="preserve"> (Hill</w:t>
      </w:r>
      <w:proofErr w:type="gramStart"/>
      <w:r w:rsidR="004A0045" w:rsidRPr="005A04C9">
        <w:rPr>
          <w:rFonts w:ascii="Times New Roman" w:hAnsi="Times New Roman" w:cs="Times New Roman"/>
          <w:color w:val="222222"/>
          <w:sz w:val="32"/>
          <w:szCs w:val="32"/>
          <w:shd w:val="clear" w:color="auto" w:fill="FFFFFF"/>
        </w:rPr>
        <w:t>,.,</w:t>
      </w:r>
      <w:proofErr w:type="gramEnd"/>
      <w:r w:rsidR="004A0045" w:rsidRPr="005A04C9">
        <w:rPr>
          <w:rFonts w:ascii="Times New Roman" w:hAnsi="Times New Roman" w:cs="Times New Roman"/>
          <w:color w:val="222222"/>
          <w:sz w:val="32"/>
          <w:szCs w:val="32"/>
          <w:shd w:val="clear" w:color="auto" w:fill="FFFFFF"/>
        </w:rPr>
        <w:t xml:space="preserve"> Jones,. and Schilling, 2014)</w:t>
      </w:r>
      <w:r w:rsidRPr="005A04C9">
        <w:rPr>
          <w:rFonts w:ascii="Times New Roman" w:hAnsi="Times New Roman" w:cs="Times New Roman"/>
          <w:sz w:val="32"/>
          <w:szCs w:val="32"/>
        </w:rPr>
        <w:t xml:space="preserve">. There is indeed nothing called a good or a bad ratio but very high gearing ratios are not desirable as </w:t>
      </w:r>
      <w:r w:rsidR="004A0045" w:rsidRPr="005A04C9">
        <w:rPr>
          <w:rFonts w:ascii="Times New Roman" w:hAnsi="Times New Roman" w:cs="Times New Roman"/>
          <w:sz w:val="32"/>
          <w:szCs w:val="32"/>
        </w:rPr>
        <w:t xml:space="preserve">it impacts profitability and creates </w:t>
      </w:r>
      <w:proofErr w:type="gramStart"/>
      <w:r w:rsidR="004A0045" w:rsidRPr="005A04C9">
        <w:rPr>
          <w:rFonts w:ascii="Times New Roman" w:hAnsi="Times New Roman" w:cs="Times New Roman"/>
          <w:sz w:val="32"/>
          <w:szCs w:val="32"/>
        </w:rPr>
        <w:t>a</w:t>
      </w:r>
      <w:proofErr w:type="gramEnd"/>
      <w:r w:rsidR="004A0045" w:rsidRPr="005A04C9">
        <w:rPr>
          <w:rFonts w:ascii="Times New Roman" w:hAnsi="Times New Roman" w:cs="Times New Roman"/>
          <w:sz w:val="32"/>
          <w:szCs w:val="32"/>
        </w:rPr>
        <w:t xml:space="preserve"> unnecessary pressure on the finances of the firms as these are absolute obligation to the firm. </w:t>
      </w:r>
    </w:p>
    <w:p w:rsidR="00CA3569" w:rsidRDefault="00CA3569" w:rsidP="003A2A63">
      <w:pPr>
        <w:jc w:val="both"/>
        <w:rPr>
          <w:rFonts w:ascii="Times New Roman" w:hAnsi="Times New Roman" w:cs="Times New Roman"/>
          <w:sz w:val="24"/>
          <w:szCs w:val="24"/>
        </w:rPr>
      </w:pPr>
    </w:p>
    <w:p w:rsidR="00417024" w:rsidRDefault="00417024">
      <w:pPr>
        <w:rPr>
          <w:rFonts w:ascii="Times New Roman" w:hAnsi="Times New Roman" w:cs="Times New Roman"/>
          <w:sz w:val="24"/>
          <w:szCs w:val="24"/>
        </w:rPr>
      </w:pPr>
    </w:p>
    <w:p w:rsidR="002F3BC1" w:rsidRPr="005A04C9" w:rsidRDefault="00961E14" w:rsidP="00467292">
      <w:pPr>
        <w:pStyle w:val="Heading1"/>
        <w:spacing w:line="360" w:lineRule="auto"/>
        <w:rPr>
          <w:rFonts w:ascii="Times New Roman" w:hAnsi="Times New Roman" w:cs="Times New Roman"/>
        </w:rPr>
      </w:pPr>
      <w:bookmarkStart w:id="10" w:name="_Toc502273000"/>
      <w:r w:rsidRPr="005A04C9">
        <w:rPr>
          <w:rFonts w:ascii="Times New Roman" w:hAnsi="Times New Roman" w:cs="Times New Roman"/>
          <w:sz w:val="32"/>
          <w:szCs w:val="32"/>
        </w:rPr>
        <w:lastRenderedPageBreak/>
        <w:t xml:space="preserve">4) </w:t>
      </w:r>
      <w:r w:rsidR="002F3BC1" w:rsidRPr="005A04C9">
        <w:rPr>
          <w:rFonts w:ascii="Times New Roman" w:hAnsi="Times New Roman" w:cs="Times New Roman"/>
          <w:sz w:val="32"/>
          <w:szCs w:val="32"/>
        </w:rPr>
        <w:t>Explanation of the changes of the ratio over the years:</w:t>
      </w:r>
      <w:bookmarkEnd w:id="10"/>
      <w:r w:rsidR="002F3BC1" w:rsidRPr="005A04C9">
        <w:rPr>
          <w:rFonts w:ascii="Times New Roman" w:hAnsi="Times New Roman" w:cs="Times New Roman"/>
        </w:rPr>
        <w:t xml:space="preserve"> </w:t>
      </w:r>
    </w:p>
    <w:p w:rsidR="003C6EE8" w:rsidRDefault="003C6EE8" w:rsidP="00467292">
      <w:pPr>
        <w:spacing w:line="360" w:lineRule="auto"/>
        <w:rPr>
          <w:rFonts w:ascii="Times New Roman" w:hAnsi="Times New Roman" w:cs="Times New Roman"/>
          <w:sz w:val="24"/>
          <w:szCs w:val="24"/>
        </w:rPr>
      </w:pPr>
    </w:p>
    <w:p w:rsidR="003C6EE8" w:rsidRPr="005A04C9" w:rsidRDefault="0082356B" w:rsidP="00467292">
      <w:pPr>
        <w:spacing w:line="360" w:lineRule="auto"/>
        <w:rPr>
          <w:rFonts w:ascii="Times New Roman" w:hAnsi="Times New Roman" w:cs="Times New Roman"/>
          <w:sz w:val="28"/>
          <w:szCs w:val="28"/>
        </w:rPr>
      </w:pPr>
      <w:r w:rsidRPr="005A04C9">
        <w:rPr>
          <w:rFonts w:ascii="Times New Roman" w:hAnsi="Times New Roman" w:cs="Times New Roman"/>
          <w:sz w:val="28"/>
          <w:szCs w:val="28"/>
        </w:rPr>
        <w:t xml:space="preserve">This </w:t>
      </w:r>
      <w:proofErr w:type="gramStart"/>
      <w:r w:rsidRPr="005A04C9">
        <w:rPr>
          <w:rFonts w:ascii="Times New Roman" w:hAnsi="Times New Roman" w:cs="Times New Roman"/>
          <w:sz w:val="28"/>
          <w:szCs w:val="28"/>
        </w:rPr>
        <w:t>sections</w:t>
      </w:r>
      <w:proofErr w:type="gramEnd"/>
      <w:r w:rsidRPr="005A04C9">
        <w:rPr>
          <w:rFonts w:ascii="Times New Roman" w:hAnsi="Times New Roman" w:cs="Times New Roman"/>
          <w:sz w:val="28"/>
          <w:szCs w:val="28"/>
        </w:rPr>
        <w:t xml:space="preserve"> portrays the possible explanation of the changes that has taken place in the various ratios of GSK. The detailed </w:t>
      </w:r>
      <w:proofErr w:type="gramStart"/>
      <w:r w:rsidRPr="005A04C9">
        <w:rPr>
          <w:rFonts w:ascii="Times New Roman" w:hAnsi="Times New Roman" w:cs="Times New Roman"/>
          <w:sz w:val="28"/>
          <w:szCs w:val="28"/>
        </w:rPr>
        <w:t>explanation of the changes in the various ratios are</w:t>
      </w:r>
      <w:proofErr w:type="gramEnd"/>
      <w:r w:rsidRPr="005A04C9">
        <w:rPr>
          <w:rFonts w:ascii="Times New Roman" w:hAnsi="Times New Roman" w:cs="Times New Roman"/>
          <w:sz w:val="28"/>
          <w:szCs w:val="28"/>
        </w:rPr>
        <w:t xml:space="preserve"> presented below with detail.</w:t>
      </w:r>
    </w:p>
    <w:p w:rsidR="0082356B" w:rsidRPr="005A04C9" w:rsidRDefault="00961E14" w:rsidP="00961E14">
      <w:pPr>
        <w:pStyle w:val="Heading2"/>
        <w:rPr>
          <w:sz w:val="32"/>
          <w:szCs w:val="32"/>
        </w:rPr>
      </w:pPr>
      <w:bookmarkStart w:id="11" w:name="_Toc502273001"/>
      <w:r w:rsidRPr="005A04C9">
        <w:rPr>
          <w:sz w:val="32"/>
          <w:szCs w:val="32"/>
        </w:rPr>
        <w:t xml:space="preserve">4.1) </w:t>
      </w:r>
      <w:r w:rsidR="00CA3569" w:rsidRPr="005A04C9">
        <w:rPr>
          <w:sz w:val="32"/>
          <w:szCs w:val="32"/>
        </w:rPr>
        <w:t xml:space="preserve">Explanation of the </w:t>
      </w:r>
      <w:r w:rsidR="0082356B" w:rsidRPr="005A04C9">
        <w:rPr>
          <w:sz w:val="32"/>
          <w:szCs w:val="32"/>
        </w:rPr>
        <w:t>Changes in the profitability ratio:</w:t>
      </w:r>
      <w:bookmarkEnd w:id="11"/>
    </w:p>
    <w:p w:rsidR="0082356B" w:rsidRDefault="0082356B" w:rsidP="00467292">
      <w:pPr>
        <w:spacing w:line="360" w:lineRule="auto"/>
        <w:jc w:val="both"/>
        <w:rPr>
          <w:rFonts w:ascii="Times New Roman" w:hAnsi="Times New Roman" w:cs="Times New Roman"/>
          <w:sz w:val="28"/>
          <w:szCs w:val="28"/>
        </w:rPr>
      </w:pPr>
      <w:r w:rsidRPr="005A04C9">
        <w:rPr>
          <w:rFonts w:ascii="Times New Roman" w:hAnsi="Times New Roman" w:cs="Times New Roman"/>
          <w:sz w:val="28"/>
          <w:szCs w:val="28"/>
        </w:rPr>
        <w:t xml:space="preserve">It can be observed for the in-depth analysis of the ratio analysis that GSK Plc’s gross profit margin has reduced from 67.61% in 2012 to 66.69% in 2016. Though the change is very slight, but it is due to increase in cost and company inability to transfer the cost to the consumers because of competition, the company’s gross profit has marginally reduced. Considering the change in the net profit margin of the company, it can be evaluated that the company’s net profit margin has significantly reduced from 17.95 in 2012 to 3.81% in 2016. The main reason of such as reduction is loss in other operating income. This has significantly reflected in overall net profit of the company. Though the other major expenses such as selling and administration expenses and research and development expenses is aligned with the figures of the previous years with some minor increment in these figures. Actually the company has faced a operating loss from income from other sources in tune of £3405 million as compared to a profit of £7715 </w:t>
      </w:r>
      <w:proofErr w:type="gramStart"/>
      <w:r w:rsidRPr="005A04C9">
        <w:rPr>
          <w:rFonts w:ascii="Times New Roman" w:hAnsi="Times New Roman" w:cs="Times New Roman"/>
          <w:sz w:val="28"/>
          <w:szCs w:val="28"/>
        </w:rPr>
        <w:t>million  in</w:t>
      </w:r>
      <w:proofErr w:type="gramEnd"/>
      <w:r w:rsidRPr="005A04C9">
        <w:rPr>
          <w:rFonts w:ascii="Times New Roman" w:hAnsi="Times New Roman" w:cs="Times New Roman"/>
          <w:sz w:val="28"/>
          <w:szCs w:val="28"/>
        </w:rPr>
        <w:t xml:space="preserve"> 2015. It is also because of this loss from other operating source the company’s Return on Capital Employed has been significant hurt as the ROCE reduced from 17.95% in 2012 to only 3.81% in 2012 </w:t>
      </w:r>
      <w:r w:rsidR="005A04C9" w:rsidRPr="005A04C9">
        <w:rPr>
          <w:rFonts w:ascii="Times New Roman" w:hAnsi="Times New Roman" w:cs="Times New Roman"/>
          <w:sz w:val="28"/>
          <w:szCs w:val="28"/>
        </w:rPr>
        <w:t>in spite</w:t>
      </w:r>
      <w:r w:rsidRPr="005A04C9">
        <w:rPr>
          <w:rFonts w:ascii="Times New Roman" w:hAnsi="Times New Roman" w:cs="Times New Roman"/>
          <w:sz w:val="28"/>
          <w:szCs w:val="28"/>
        </w:rPr>
        <w:t xml:space="preserve"> of </w:t>
      </w:r>
      <w:r w:rsidR="00CA3569" w:rsidRPr="005A04C9">
        <w:rPr>
          <w:rFonts w:ascii="Times New Roman" w:hAnsi="Times New Roman" w:cs="Times New Roman"/>
          <w:sz w:val="28"/>
          <w:szCs w:val="28"/>
        </w:rPr>
        <w:t xml:space="preserve">reduced level of capital due to lower long term debt of the company in 2016. </w:t>
      </w:r>
    </w:p>
    <w:p w:rsidR="005A04C9" w:rsidRPr="005A04C9" w:rsidRDefault="005A04C9" w:rsidP="00467292">
      <w:pPr>
        <w:spacing w:line="360" w:lineRule="auto"/>
        <w:jc w:val="both"/>
        <w:rPr>
          <w:rFonts w:ascii="Times New Roman" w:hAnsi="Times New Roman" w:cs="Times New Roman"/>
          <w:sz w:val="28"/>
          <w:szCs w:val="28"/>
        </w:rPr>
      </w:pPr>
    </w:p>
    <w:p w:rsidR="0082356B" w:rsidRDefault="005A04C9" w:rsidP="005A04C9">
      <w:pPr>
        <w:tabs>
          <w:tab w:val="left" w:pos="8565"/>
        </w:tabs>
        <w:spacing w:line="360" w:lineRule="auto"/>
        <w:jc w:val="both"/>
        <w:rPr>
          <w:rFonts w:ascii="Times New Roman" w:hAnsi="Times New Roman" w:cs="Times New Roman"/>
          <w:sz w:val="24"/>
          <w:szCs w:val="24"/>
        </w:rPr>
      </w:pPr>
      <w:r>
        <w:rPr>
          <w:rFonts w:ascii="Times New Roman" w:hAnsi="Times New Roman" w:cs="Times New Roman"/>
          <w:sz w:val="24"/>
          <w:szCs w:val="24"/>
        </w:rPr>
        <w:tab/>
      </w:r>
    </w:p>
    <w:p w:rsidR="003C6EE8" w:rsidRPr="005A04C9" w:rsidRDefault="00961E14" w:rsidP="00467292">
      <w:pPr>
        <w:spacing w:line="360" w:lineRule="auto"/>
        <w:rPr>
          <w:rFonts w:ascii="Times New Roman" w:hAnsi="Times New Roman" w:cs="Times New Roman"/>
          <w:b/>
          <w:color w:val="548DD4" w:themeColor="text2" w:themeTint="99"/>
          <w:sz w:val="32"/>
          <w:szCs w:val="32"/>
        </w:rPr>
      </w:pPr>
      <w:r w:rsidRPr="005A04C9">
        <w:rPr>
          <w:rFonts w:ascii="Times New Roman" w:hAnsi="Times New Roman" w:cs="Times New Roman"/>
          <w:b/>
          <w:color w:val="548DD4" w:themeColor="text2" w:themeTint="99"/>
          <w:sz w:val="32"/>
          <w:szCs w:val="32"/>
        </w:rPr>
        <w:lastRenderedPageBreak/>
        <w:t xml:space="preserve">4.2) </w:t>
      </w:r>
      <w:r w:rsidR="00CA3569" w:rsidRPr="005A04C9">
        <w:rPr>
          <w:rFonts w:ascii="Times New Roman" w:hAnsi="Times New Roman" w:cs="Times New Roman"/>
          <w:b/>
          <w:color w:val="548DD4" w:themeColor="text2" w:themeTint="99"/>
          <w:sz w:val="32"/>
          <w:szCs w:val="32"/>
        </w:rPr>
        <w:t>Explanation of the changes in Liquidity Ratio:</w:t>
      </w:r>
    </w:p>
    <w:p w:rsidR="00CA3569" w:rsidRPr="005A04C9" w:rsidRDefault="00CA3569" w:rsidP="00467292">
      <w:pPr>
        <w:spacing w:line="360" w:lineRule="auto"/>
        <w:jc w:val="both"/>
        <w:rPr>
          <w:rFonts w:ascii="Times New Roman" w:hAnsi="Times New Roman" w:cs="Times New Roman"/>
          <w:sz w:val="28"/>
          <w:szCs w:val="28"/>
        </w:rPr>
      </w:pPr>
      <w:r w:rsidRPr="005A04C9">
        <w:rPr>
          <w:rFonts w:ascii="Times New Roman" w:hAnsi="Times New Roman" w:cs="Times New Roman"/>
          <w:sz w:val="28"/>
          <w:szCs w:val="28"/>
        </w:rPr>
        <w:t xml:space="preserve">It can be observed from the calculation of the current ratio that GSK Plc’s current ratio has reduced from 0.99in 2012 to 0.88 in 2016.  Though the company fared well in </w:t>
      </w:r>
      <w:proofErr w:type="gramStart"/>
      <w:r w:rsidRPr="005A04C9">
        <w:rPr>
          <w:rFonts w:ascii="Times New Roman" w:hAnsi="Times New Roman" w:cs="Times New Roman"/>
          <w:sz w:val="28"/>
          <w:szCs w:val="28"/>
        </w:rPr>
        <w:t>2015  in</w:t>
      </w:r>
      <w:proofErr w:type="gramEnd"/>
      <w:r w:rsidRPr="005A04C9">
        <w:rPr>
          <w:rFonts w:ascii="Times New Roman" w:hAnsi="Times New Roman" w:cs="Times New Roman"/>
          <w:sz w:val="28"/>
          <w:szCs w:val="28"/>
        </w:rPr>
        <w:t xml:space="preserve"> terms of maintaining liquidity with a current ratio of 1.24, but it can be sated that the company’s performance in managing liquidity in 2016 is very bad due to a value of less than 1 with only 0.88 in 2016. The main reason which can be attributed to the </w:t>
      </w:r>
      <w:proofErr w:type="gramStart"/>
      <w:r w:rsidRPr="005A04C9">
        <w:rPr>
          <w:rFonts w:ascii="Times New Roman" w:hAnsi="Times New Roman" w:cs="Times New Roman"/>
          <w:sz w:val="28"/>
          <w:szCs w:val="28"/>
        </w:rPr>
        <w:t>fall  in</w:t>
      </w:r>
      <w:proofErr w:type="gramEnd"/>
      <w:r w:rsidRPr="005A04C9">
        <w:rPr>
          <w:rFonts w:ascii="Times New Roman" w:hAnsi="Times New Roman" w:cs="Times New Roman"/>
          <w:sz w:val="28"/>
          <w:szCs w:val="28"/>
        </w:rPr>
        <w:t xml:space="preserve"> liquidity of the company which can be ascertained trough current ratio is due to high short term lending in 2016 as compared to 2015 and also due to increase in trade payables from £8885 million in  2015 to £11964 million  in 2016. To be precise the short term borrowings also increased from £1308 million in 2015 to £4129 million in 2016. </w:t>
      </w:r>
    </w:p>
    <w:p w:rsidR="00CA3569" w:rsidRDefault="00CA3569" w:rsidP="00467292">
      <w:pPr>
        <w:spacing w:line="360" w:lineRule="auto"/>
        <w:jc w:val="both"/>
        <w:rPr>
          <w:rFonts w:ascii="Times New Roman" w:hAnsi="Times New Roman" w:cs="Times New Roman"/>
          <w:sz w:val="28"/>
          <w:szCs w:val="28"/>
        </w:rPr>
      </w:pPr>
      <w:r w:rsidRPr="005A04C9">
        <w:rPr>
          <w:rFonts w:ascii="Times New Roman" w:hAnsi="Times New Roman" w:cs="Times New Roman"/>
          <w:sz w:val="28"/>
          <w:szCs w:val="28"/>
        </w:rPr>
        <w:t xml:space="preserve">It is because of the above mentioned reason when acid test ratio is considered to evaluate the liquidity the company liquidity </w:t>
      </w:r>
      <w:r w:rsidR="000103FC" w:rsidRPr="005A04C9">
        <w:rPr>
          <w:rFonts w:ascii="Times New Roman" w:hAnsi="Times New Roman" w:cs="Times New Roman"/>
          <w:sz w:val="28"/>
          <w:szCs w:val="28"/>
        </w:rPr>
        <w:t xml:space="preserve">ratio turned out to be more pathetic. Moreover, it can also be analyzed that the inventory forms the major portion of the current assets of the company. </w:t>
      </w:r>
      <w:r w:rsidR="00245E04" w:rsidRPr="005A04C9">
        <w:rPr>
          <w:rFonts w:ascii="Times New Roman" w:hAnsi="Times New Roman" w:cs="Times New Roman"/>
          <w:sz w:val="28"/>
          <w:szCs w:val="28"/>
        </w:rPr>
        <w:t>It is because of the fact that inventory of the company is £5102 million, £4716 million, £4231 million , £3900 million and £3969 million respectively for 2016, 2015, 2014, 2013 and 2012 respectively. While the total current asset of the company is £16711</w:t>
      </w:r>
      <w:r w:rsidR="005A04C9" w:rsidRPr="005A04C9">
        <w:rPr>
          <w:rFonts w:ascii="Times New Roman" w:hAnsi="Times New Roman" w:cs="Times New Roman"/>
          <w:sz w:val="28"/>
          <w:szCs w:val="28"/>
        </w:rPr>
        <w:t>, £</w:t>
      </w:r>
      <w:r w:rsidR="00245E04" w:rsidRPr="005A04C9">
        <w:rPr>
          <w:rFonts w:ascii="Times New Roman" w:hAnsi="Times New Roman" w:cs="Times New Roman"/>
          <w:sz w:val="28"/>
          <w:szCs w:val="28"/>
        </w:rPr>
        <w:t xml:space="preserve">16587, £14678, £15227 and £13692 for 2016, 2015, 2014, 2013 and 2012 respectively. So with a high </w:t>
      </w:r>
      <w:proofErr w:type="gramStart"/>
      <w:r w:rsidR="00245E04" w:rsidRPr="005A04C9">
        <w:rPr>
          <w:rFonts w:ascii="Times New Roman" w:hAnsi="Times New Roman" w:cs="Times New Roman"/>
          <w:sz w:val="28"/>
          <w:szCs w:val="28"/>
        </w:rPr>
        <w:t>level  of</w:t>
      </w:r>
      <w:proofErr w:type="gramEnd"/>
      <w:r w:rsidR="00245E04" w:rsidRPr="005A04C9">
        <w:rPr>
          <w:rFonts w:ascii="Times New Roman" w:hAnsi="Times New Roman" w:cs="Times New Roman"/>
          <w:sz w:val="28"/>
          <w:szCs w:val="28"/>
        </w:rPr>
        <w:t xml:space="preserve"> inventory as a part of the current assets, the company is bound to rely on sales of the inventory for cash generation and payments to the various trade suppliers</w:t>
      </w:r>
      <w:r w:rsidR="004A0045" w:rsidRPr="005A04C9">
        <w:rPr>
          <w:rFonts w:ascii="Times New Roman" w:hAnsi="Times New Roman" w:cs="Times New Roman"/>
          <w:color w:val="222222"/>
          <w:sz w:val="28"/>
          <w:szCs w:val="28"/>
          <w:shd w:val="clear" w:color="auto" w:fill="FFFFFF"/>
        </w:rPr>
        <w:t xml:space="preserve"> (Brigham, and </w:t>
      </w:r>
      <w:proofErr w:type="spellStart"/>
      <w:r w:rsidR="004A0045" w:rsidRPr="005A04C9">
        <w:rPr>
          <w:rFonts w:ascii="Times New Roman" w:hAnsi="Times New Roman" w:cs="Times New Roman"/>
          <w:color w:val="222222"/>
          <w:sz w:val="28"/>
          <w:szCs w:val="28"/>
          <w:shd w:val="clear" w:color="auto" w:fill="FFFFFF"/>
        </w:rPr>
        <w:t>Ehrhardt</w:t>
      </w:r>
      <w:proofErr w:type="spellEnd"/>
      <w:r w:rsidR="004A0045" w:rsidRPr="005A04C9">
        <w:rPr>
          <w:rFonts w:ascii="Times New Roman" w:hAnsi="Times New Roman" w:cs="Times New Roman"/>
          <w:color w:val="222222"/>
          <w:sz w:val="28"/>
          <w:szCs w:val="28"/>
          <w:shd w:val="clear" w:color="auto" w:fill="FFFFFF"/>
        </w:rPr>
        <w:t>, 2013)</w:t>
      </w:r>
      <w:r w:rsidR="00245E04" w:rsidRPr="005A04C9">
        <w:rPr>
          <w:rFonts w:ascii="Times New Roman" w:hAnsi="Times New Roman" w:cs="Times New Roman"/>
          <w:sz w:val="28"/>
          <w:szCs w:val="28"/>
        </w:rPr>
        <w:t xml:space="preserve">. Therefore, it is strongly recommended that the company must emphasize on increase in short term assets such as cash levels and cash equivalents to improve the liquidity of the business. </w:t>
      </w:r>
    </w:p>
    <w:p w:rsidR="005707D3" w:rsidRPr="005A04C9" w:rsidRDefault="005707D3" w:rsidP="00467292">
      <w:pPr>
        <w:spacing w:line="360" w:lineRule="auto"/>
        <w:jc w:val="both"/>
        <w:rPr>
          <w:rFonts w:ascii="Times New Roman" w:hAnsi="Times New Roman" w:cs="Times New Roman"/>
          <w:sz w:val="28"/>
          <w:szCs w:val="28"/>
        </w:rPr>
      </w:pPr>
    </w:p>
    <w:p w:rsidR="003C6EE8" w:rsidRDefault="00961E14" w:rsidP="00961E14">
      <w:pPr>
        <w:pStyle w:val="Heading2"/>
        <w:rPr>
          <w:rFonts w:ascii="Times New Roman" w:hAnsi="Times New Roman" w:cs="Times New Roman"/>
          <w:sz w:val="32"/>
          <w:szCs w:val="32"/>
        </w:rPr>
      </w:pPr>
      <w:bookmarkStart w:id="12" w:name="_Toc502273002"/>
      <w:r w:rsidRPr="005707D3">
        <w:rPr>
          <w:rFonts w:ascii="Times New Roman" w:hAnsi="Times New Roman" w:cs="Times New Roman"/>
          <w:sz w:val="32"/>
          <w:szCs w:val="32"/>
        </w:rPr>
        <w:lastRenderedPageBreak/>
        <w:t>4.3</w:t>
      </w:r>
      <w:r w:rsidR="005707D3" w:rsidRPr="005707D3">
        <w:rPr>
          <w:rFonts w:ascii="Times New Roman" w:hAnsi="Times New Roman" w:cs="Times New Roman"/>
          <w:sz w:val="32"/>
          <w:szCs w:val="32"/>
        </w:rPr>
        <w:t>) Explanation</w:t>
      </w:r>
      <w:r w:rsidR="00226E3E" w:rsidRPr="005707D3">
        <w:rPr>
          <w:rFonts w:ascii="Times New Roman" w:hAnsi="Times New Roman" w:cs="Times New Roman"/>
          <w:sz w:val="32"/>
          <w:szCs w:val="32"/>
        </w:rPr>
        <w:t xml:space="preserve"> of the changes in Efficiency ratios:</w:t>
      </w:r>
      <w:bookmarkEnd w:id="12"/>
    </w:p>
    <w:p w:rsidR="005707D3" w:rsidRPr="005707D3" w:rsidRDefault="005707D3" w:rsidP="005707D3"/>
    <w:p w:rsidR="00226E3E" w:rsidRPr="005707D3" w:rsidRDefault="00226E3E" w:rsidP="00467292">
      <w:pPr>
        <w:spacing w:line="360" w:lineRule="auto"/>
        <w:jc w:val="both"/>
        <w:rPr>
          <w:rFonts w:ascii="Times New Roman" w:hAnsi="Times New Roman" w:cs="Times New Roman"/>
          <w:sz w:val="28"/>
          <w:szCs w:val="28"/>
        </w:rPr>
      </w:pPr>
      <w:r w:rsidRPr="005707D3">
        <w:rPr>
          <w:rFonts w:ascii="Times New Roman" w:hAnsi="Times New Roman" w:cs="Times New Roman"/>
          <w:sz w:val="28"/>
          <w:szCs w:val="28"/>
        </w:rPr>
        <w:t xml:space="preserve">It can be evaluated from calculation </w:t>
      </w:r>
      <w:proofErr w:type="gramStart"/>
      <w:r w:rsidRPr="005707D3">
        <w:rPr>
          <w:rFonts w:ascii="Times New Roman" w:hAnsi="Times New Roman" w:cs="Times New Roman"/>
          <w:sz w:val="28"/>
          <w:szCs w:val="28"/>
        </w:rPr>
        <w:t>of  the</w:t>
      </w:r>
      <w:proofErr w:type="gramEnd"/>
      <w:r w:rsidRPr="005707D3">
        <w:rPr>
          <w:rFonts w:ascii="Times New Roman" w:hAnsi="Times New Roman" w:cs="Times New Roman"/>
          <w:sz w:val="28"/>
          <w:szCs w:val="28"/>
        </w:rPr>
        <w:t xml:space="preserve"> ratio such as fixed asset turnover of GSK plc that the ratio decreased from 0.95 in 2012 to 0.65 in 2016. Therefore it can be evaluated that the fixed asset turnover of the company has reduced significantly over this period </w:t>
      </w:r>
      <w:proofErr w:type="gramStart"/>
      <w:r w:rsidRPr="005707D3">
        <w:rPr>
          <w:rFonts w:ascii="Times New Roman" w:hAnsi="Times New Roman" w:cs="Times New Roman"/>
          <w:sz w:val="28"/>
          <w:szCs w:val="28"/>
        </w:rPr>
        <w:t>of  5</w:t>
      </w:r>
      <w:proofErr w:type="gramEnd"/>
      <w:r w:rsidRPr="005707D3">
        <w:rPr>
          <w:rFonts w:ascii="Times New Roman" w:hAnsi="Times New Roman" w:cs="Times New Roman"/>
          <w:sz w:val="28"/>
          <w:szCs w:val="28"/>
        </w:rPr>
        <w:t xml:space="preserve"> years. It is desirable that fixed asset turnover to be high as this ratio indicate </w:t>
      </w:r>
      <w:proofErr w:type="gramStart"/>
      <w:r w:rsidRPr="005707D3">
        <w:rPr>
          <w:rFonts w:ascii="Times New Roman" w:hAnsi="Times New Roman" w:cs="Times New Roman"/>
          <w:sz w:val="28"/>
          <w:szCs w:val="28"/>
        </w:rPr>
        <w:t>a</w:t>
      </w:r>
      <w:proofErr w:type="gramEnd"/>
      <w:r w:rsidRPr="005707D3">
        <w:rPr>
          <w:rFonts w:ascii="Times New Roman" w:hAnsi="Times New Roman" w:cs="Times New Roman"/>
          <w:sz w:val="28"/>
          <w:szCs w:val="28"/>
        </w:rPr>
        <w:t xml:space="preserve"> asset utilization to generate sales. So higher the </w:t>
      </w:r>
      <w:proofErr w:type="gramStart"/>
      <w:r w:rsidRPr="005707D3">
        <w:rPr>
          <w:rFonts w:ascii="Times New Roman" w:hAnsi="Times New Roman" w:cs="Times New Roman"/>
          <w:sz w:val="28"/>
          <w:szCs w:val="28"/>
        </w:rPr>
        <w:t>ratio ,</w:t>
      </w:r>
      <w:proofErr w:type="gramEnd"/>
      <w:r w:rsidRPr="005707D3">
        <w:rPr>
          <w:rFonts w:ascii="Times New Roman" w:hAnsi="Times New Roman" w:cs="Times New Roman"/>
          <w:sz w:val="28"/>
          <w:szCs w:val="28"/>
        </w:rPr>
        <w:t xml:space="preserve"> higher is the utilization of assets to generate sales. The main reason which can be attributed to the </w:t>
      </w:r>
      <w:r w:rsidR="00C34054" w:rsidRPr="005707D3">
        <w:rPr>
          <w:rFonts w:ascii="Times New Roman" w:hAnsi="Times New Roman" w:cs="Times New Roman"/>
          <w:sz w:val="28"/>
          <w:szCs w:val="28"/>
        </w:rPr>
        <w:t xml:space="preserve">lowering of this ratio is because of increase in fixed assets from </w:t>
      </w:r>
      <w:r w:rsidR="00C34054" w:rsidRPr="005707D3">
        <w:rPr>
          <w:rFonts w:ascii="Calibri" w:hAnsi="Calibri" w:cs="Calibri"/>
          <w:sz w:val="28"/>
          <w:szCs w:val="28"/>
        </w:rPr>
        <w:t>£</w:t>
      </w:r>
      <w:r w:rsidR="00C34054" w:rsidRPr="005707D3">
        <w:rPr>
          <w:rFonts w:ascii="Times New Roman" w:hAnsi="Times New Roman" w:cs="Times New Roman"/>
          <w:sz w:val="28"/>
          <w:szCs w:val="28"/>
        </w:rPr>
        <w:t xml:space="preserve">27783 million in 2012 to </w:t>
      </w:r>
      <w:r w:rsidR="00C34054" w:rsidRPr="005707D3">
        <w:rPr>
          <w:rFonts w:ascii="Calibri" w:hAnsi="Calibri" w:cs="Calibri"/>
          <w:sz w:val="28"/>
          <w:szCs w:val="28"/>
        </w:rPr>
        <w:t>£</w:t>
      </w:r>
      <w:proofErr w:type="gramStart"/>
      <w:r w:rsidR="00C34054" w:rsidRPr="005707D3">
        <w:rPr>
          <w:rFonts w:ascii="Times New Roman" w:hAnsi="Times New Roman" w:cs="Times New Roman"/>
          <w:sz w:val="28"/>
          <w:szCs w:val="28"/>
        </w:rPr>
        <w:t>42370  million</w:t>
      </w:r>
      <w:proofErr w:type="gramEnd"/>
      <w:r w:rsidR="00C34054" w:rsidRPr="005707D3">
        <w:rPr>
          <w:rFonts w:ascii="Times New Roman" w:hAnsi="Times New Roman" w:cs="Times New Roman"/>
          <w:sz w:val="28"/>
          <w:szCs w:val="28"/>
        </w:rPr>
        <w:t xml:space="preserve"> in 2016. But the </w:t>
      </w:r>
      <w:proofErr w:type="gramStart"/>
      <w:r w:rsidR="00C34054" w:rsidRPr="005707D3">
        <w:rPr>
          <w:rFonts w:ascii="Times New Roman" w:hAnsi="Times New Roman" w:cs="Times New Roman"/>
          <w:sz w:val="28"/>
          <w:szCs w:val="28"/>
        </w:rPr>
        <w:t>sales has</w:t>
      </w:r>
      <w:proofErr w:type="gramEnd"/>
      <w:r w:rsidR="00C34054" w:rsidRPr="005707D3">
        <w:rPr>
          <w:rFonts w:ascii="Times New Roman" w:hAnsi="Times New Roman" w:cs="Times New Roman"/>
          <w:sz w:val="28"/>
          <w:szCs w:val="28"/>
        </w:rPr>
        <w:t xml:space="preserve"> only increased marginally from </w:t>
      </w:r>
      <w:r w:rsidR="00C34054" w:rsidRPr="005707D3">
        <w:rPr>
          <w:rFonts w:ascii="Calibri" w:hAnsi="Calibri" w:cs="Calibri"/>
          <w:sz w:val="28"/>
          <w:szCs w:val="28"/>
        </w:rPr>
        <w:t>£</w:t>
      </w:r>
      <w:r w:rsidR="00C34054" w:rsidRPr="005707D3">
        <w:rPr>
          <w:rFonts w:ascii="Times New Roman" w:hAnsi="Times New Roman" w:cs="Times New Roman"/>
          <w:sz w:val="28"/>
          <w:szCs w:val="28"/>
        </w:rPr>
        <w:t xml:space="preserve">26431 million in 2012 to </w:t>
      </w:r>
      <w:r w:rsidR="00C34054" w:rsidRPr="005707D3">
        <w:rPr>
          <w:rFonts w:ascii="Calibri" w:hAnsi="Calibri" w:cs="Calibri"/>
          <w:sz w:val="28"/>
          <w:szCs w:val="28"/>
        </w:rPr>
        <w:t>£</w:t>
      </w:r>
      <w:r w:rsidR="00C34054" w:rsidRPr="005707D3">
        <w:rPr>
          <w:rFonts w:ascii="Times New Roman" w:hAnsi="Times New Roman" w:cs="Times New Roman"/>
          <w:sz w:val="28"/>
          <w:szCs w:val="28"/>
        </w:rPr>
        <w:t>27889 million in 2016.</w:t>
      </w:r>
      <w:r w:rsidR="00467292" w:rsidRPr="005707D3">
        <w:rPr>
          <w:rFonts w:ascii="Times New Roman" w:hAnsi="Times New Roman" w:cs="Times New Roman"/>
          <w:sz w:val="28"/>
          <w:szCs w:val="28"/>
        </w:rPr>
        <w:t xml:space="preserve"> Therefore it is the inability of the company of increasing the sales as compared to the fixed assets of the company which resulted in the reduction of the fixed asset turnover of the company. </w:t>
      </w:r>
    </w:p>
    <w:p w:rsidR="00467292" w:rsidRDefault="00467292" w:rsidP="00467292">
      <w:pPr>
        <w:spacing w:line="360" w:lineRule="auto"/>
        <w:jc w:val="both"/>
        <w:rPr>
          <w:rFonts w:ascii="Times New Roman" w:hAnsi="Times New Roman" w:cs="Times New Roman"/>
          <w:sz w:val="28"/>
          <w:szCs w:val="28"/>
        </w:rPr>
      </w:pPr>
      <w:r w:rsidRPr="005707D3">
        <w:rPr>
          <w:rFonts w:ascii="Times New Roman" w:hAnsi="Times New Roman" w:cs="Times New Roman"/>
          <w:sz w:val="28"/>
          <w:szCs w:val="28"/>
        </w:rPr>
        <w:t xml:space="preserve">It is also evaluated from the calculation </w:t>
      </w:r>
      <w:r w:rsidR="005707D3" w:rsidRPr="005707D3">
        <w:rPr>
          <w:rFonts w:ascii="Times New Roman" w:hAnsi="Times New Roman" w:cs="Times New Roman"/>
          <w:sz w:val="28"/>
          <w:szCs w:val="28"/>
        </w:rPr>
        <w:t>that the</w:t>
      </w:r>
      <w:r w:rsidRPr="005707D3">
        <w:rPr>
          <w:rFonts w:ascii="Times New Roman" w:hAnsi="Times New Roman" w:cs="Times New Roman"/>
          <w:sz w:val="28"/>
          <w:szCs w:val="28"/>
        </w:rPr>
        <w:t xml:space="preserve"> calculation of the ratio such as creditors ratio that the company’s creditors ratio has increased from 372 days in </w:t>
      </w:r>
      <w:proofErr w:type="gramStart"/>
      <w:r w:rsidRPr="005707D3">
        <w:rPr>
          <w:rFonts w:ascii="Times New Roman" w:hAnsi="Times New Roman" w:cs="Times New Roman"/>
          <w:sz w:val="28"/>
          <w:szCs w:val="28"/>
        </w:rPr>
        <w:t>2012  to</w:t>
      </w:r>
      <w:proofErr w:type="gramEnd"/>
      <w:r w:rsidRPr="005707D3">
        <w:rPr>
          <w:rFonts w:ascii="Times New Roman" w:hAnsi="Times New Roman" w:cs="Times New Roman"/>
          <w:sz w:val="28"/>
          <w:szCs w:val="28"/>
        </w:rPr>
        <w:t xml:space="preserve"> 470 days in 2016.</w:t>
      </w:r>
      <w:r w:rsidR="00961E14" w:rsidRPr="005707D3">
        <w:rPr>
          <w:rFonts w:ascii="Times New Roman" w:hAnsi="Times New Roman" w:cs="Times New Roman"/>
          <w:sz w:val="28"/>
          <w:szCs w:val="28"/>
        </w:rPr>
        <w:t xml:space="preserve"> The main reason of the increase is because of high trade payables as compared to the cost of good sales of the company. This signifies that the company has been taking longer period to pay the creditors of the company. </w:t>
      </w:r>
    </w:p>
    <w:p w:rsidR="005707D3" w:rsidRDefault="005707D3" w:rsidP="00467292">
      <w:pPr>
        <w:spacing w:line="360" w:lineRule="auto"/>
        <w:jc w:val="both"/>
        <w:rPr>
          <w:rFonts w:ascii="Times New Roman" w:hAnsi="Times New Roman" w:cs="Times New Roman"/>
          <w:sz w:val="28"/>
          <w:szCs w:val="28"/>
        </w:rPr>
      </w:pPr>
    </w:p>
    <w:p w:rsidR="005707D3" w:rsidRDefault="005707D3" w:rsidP="00467292">
      <w:pPr>
        <w:spacing w:line="360" w:lineRule="auto"/>
        <w:jc w:val="both"/>
        <w:rPr>
          <w:rFonts w:ascii="Times New Roman" w:hAnsi="Times New Roman" w:cs="Times New Roman"/>
          <w:sz w:val="28"/>
          <w:szCs w:val="28"/>
        </w:rPr>
      </w:pPr>
    </w:p>
    <w:p w:rsidR="005707D3" w:rsidRDefault="005707D3" w:rsidP="00467292">
      <w:pPr>
        <w:spacing w:line="360" w:lineRule="auto"/>
        <w:jc w:val="both"/>
        <w:rPr>
          <w:rFonts w:ascii="Times New Roman" w:hAnsi="Times New Roman" w:cs="Times New Roman"/>
          <w:sz w:val="28"/>
          <w:szCs w:val="28"/>
        </w:rPr>
      </w:pPr>
    </w:p>
    <w:p w:rsidR="005707D3" w:rsidRDefault="005707D3" w:rsidP="00467292">
      <w:pPr>
        <w:spacing w:line="360" w:lineRule="auto"/>
        <w:jc w:val="both"/>
        <w:rPr>
          <w:rFonts w:ascii="Times New Roman" w:hAnsi="Times New Roman" w:cs="Times New Roman"/>
          <w:sz w:val="28"/>
          <w:szCs w:val="28"/>
        </w:rPr>
      </w:pPr>
    </w:p>
    <w:p w:rsidR="005707D3" w:rsidRPr="005707D3" w:rsidRDefault="005707D3" w:rsidP="00467292">
      <w:pPr>
        <w:spacing w:line="360" w:lineRule="auto"/>
        <w:jc w:val="both"/>
        <w:rPr>
          <w:rFonts w:ascii="Times New Roman" w:hAnsi="Times New Roman" w:cs="Times New Roman"/>
          <w:sz w:val="28"/>
          <w:szCs w:val="28"/>
        </w:rPr>
      </w:pPr>
    </w:p>
    <w:p w:rsidR="003C6EE8" w:rsidRPr="005707D3" w:rsidRDefault="00961E14" w:rsidP="00961E14">
      <w:pPr>
        <w:pStyle w:val="Heading2"/>
        <w:rPr>
          <w:rFonts w:ascii="Times New Roman" w:hAnsi="Times New Roman" w:cs="Times New Roman"/>
          <w:sz w:val="32"/>
          <w:szCs w:val="32"/>
        </w:rPr>
      </w:pPr>
      <w:bookmarkStart w:id="13" w:name="_Toc502273003"/>
      <w:r w:rsidRPr="005707D3">
        <w:rPr>
          <w:rFonts w:ascii="Times New Roman" w:hAnsi="Times New Roman" w:cs="Times New Roman"/>
          <w:sz w:val="32"/>
          <w:szCs w:val="32"/>
        </w:rPr>
        <w:lastRenderedPageBreak/>
        <w:t>4.4) Explanation of the changes of the Gearing Ratio:</w:t>
      </w:r>
      <w:bookmarkEnd w:id="13"/>
      <w:r w:rsidRPr="005707D3">
        <w:rPr>
          <w:rFonts w:ascii="Times New Roman" w:hAnsi="Times New Roman" w:cs="Times New Roman"/>
          <w:sz w:val="32"/>
          <w:szCs w:val="32"/>
        </w:rPr>
        <w:t xml:space="preserve"> </w:t>
      </w:r>
    </w:p>
    <w:p w:rsidR="00961E14" w:rsidRDefault="00961E14" w:rsidP="00961E14"/>
    <w:p w:rsidR="00224A0F" w:rsidRPr="005707D3" w:rsidRDefault="00224A0F" w:rsidP="00224A0F">
      <w:pPr>
        <w:spacing w:line="360" w:lineRule="auto"/>
        <w:jc w:val="both"/>
        <w:rPr>
          <w:rFonts w:ascii="Times New Roman" w:hAnsi="Times New Roman" w:cs="Times New Roman"/>
          <w:sz w:val="28"/>
          <w:szCs w:val="28"/>
        </w:rPr>
      </w:pPr>
      <w:r w:rsidRPr="005707D3">
        <w:rPr>
          <w:rFonts w:ascii="Times New Roman" w:hAnsi="Times New Roman" w:cs="Times New Roman"/>
          <w:sz w:val="28"/>
          <w:szCs w:val="28"/>
        </w:rPr>
        <w:t xml:space="preserve">Gearing ratio is basically the company’s debt component as compared to the assets of the company. It is evaluated from the calculation of the gearing ratio which reflects the company debt amount to the total assets of the company that the value of the ratio decreased from 0.44 in 2012 to 0.32 in 2016. The main reason which can be particularly attributed to the decreased in this ratio is because of the substantial increase in total </w:t>
      </w:r>
      <w:proofErr w:type="gramStart"/>
      <w:r w:rsidRPr="005707D3">
        <w:rPr>
          <w:rFonts w:ascii="Times New Roman" w:hAnsi="Times New Roman" w:cs="Times New Roman"/>
          <w:sz w:val="28"/>
          <w:szCs w:val="28"/>
        </w:rPr>
        <w:t>assets .</w:t>
      </w:r>
      <w:proofErr w:type="gramEnd"/>
      <w:r w:rsidRPr="005707D3">
        <w:rPr>
          <w:rFonts w:ascii="Times New Roman" w:hAnsi="Times New Roman" w:cs="Times New Roman"/>
          <w:sz w:val="28"/>
          <w:szCs w:val="28"/>
        </w:rPr>
        <w:t xml:space="preserve"> </w:t>
      </w:r>
      <w:proofErr w:type="gramStart"/>
      <w:r w:rsidRPr="005707D3">
        <w:rPr>
          <w:rFonts w:ascii="Times New Roman" w:hAnsi="Times New Roman" w:cs="Times New Roman"/>
          <w:sz w:val="28"/>
          <w:szCs w:val="28"/>
        </w:rPr>
        <w:t>Whereas the total debt has marginally increased from £18302 in 2012 to £18790 in 2016.</w:t>
      </w:r>
      <w:proofErr w:type="gramEnd"/>
      <w:r w:rsidRPr="005707D3">
        <w:rPr>
          <w:rFonts w:ascii="Times New Roman" w:hAnsi="Times New Roman" w:cs="Times New Roman"/>
          <w:sz w:val="28"/>
          <w:szCs w:val="28"/>
        </w:rPr>
        <w:t xml:space="preserve">  </w:t>
      </w:r>
      <w:proofErr w:type="gramStart"/>
      <w:r w:rsidRPr="005707D3">
        <w:rPr>
          <w:rFonts w:ascii="Times New Roman" w:hAnsi="Times New Roman" w:cs="Times New Roman"/>
          <w:sz w:val="28"/>
          <w:szCs w:val="28"/>
        </w:rPr>
        <w:t>Therefore ,</w:t>
      </w:r>
      <w:proofErr w:type="gramEnd"/>
      <w:r w:rsidRPr="005707D3">
        <w:rPr>
          <w:rFonts w:ascii="Times New Roman" w:hAnsi="Times New Roman" w:cs="Times New Roman"/>
          <w:sz w:val="28"/>
          <w:szCs w:val="28"/>
        </w:rPr>
        <w:t xml:space="preserve"> it can be rightly evaluated that the company has been using lesser debt to finance the fixed asset and relying on other source of finance such as retained profit and equity to finance the fixed assets of the company. </w:t>
      </w:r>
      <w:proofErr w:type="gramStart"/>
      <w:r w:rsidRPr="005707D3">
        <w:rPr>
          <w:rFonts w:ascii="Times New Roman" w:hAnsi="Times New Roman" w:cs="Times New Roman"/>
          <w:sz w:val="28"/>
          <w:szCs w:val="28"/>
        </w:rPr>
        <w:t>Though this is good as the company is reducing the debt burden as it may impact the net profitability due to increased finance charges.</w:t>
      </w:r>
      <w:proofErr w:type="gramEnd"/>
      <w:r w:rsidRPr="005707D3">
        <w:rPr>
          <w:rFonts w:ascii="Times New Roman" w:hAnsi="Times New Roman" w:cs="Times New Roman"/>
          <w:sz w:val="28"/>
          <w:szCs w:val="28"/>
        </w:rPr>
        <w:t xml:space="preserve">  </w:t>
      </w:r>
    </w:p>
    <w:p w:rsidR="0054137F" w:rsidRDefault="0054137F" w:rsidP="00224A0F">
      <w:pPr>
        <w:spacing w:line="360" w:lineRule="auto"/>
        <w:jc w:val="both"/>
        <w:rPr>
          <w:rFonts w:ascii="Times New Roman" w:hAnsi="Times New Roman" w:cs="Times New Roman"/>
          <w:sz w:val="24"/>
          <w:szCs w:val="24"/>
        </w:rPr>
      </w:pPr>
    </w:p>
    <w:p w:rsidR="005707D3" w:rsidRDefault="005707D3" w:rsidP="00224A0F">
      <w:pPr>
        <w:spacing w:line="360" w:lineRule="auto"/>
        <w:jc w:val="both"/>
        <w:rPr>
          <w:rFonts w:ascii="Times New Roman" w:hAnsi="Times New Roman" w:cs="Times New Roman"/>
          <w:sz w:val="24"/>
          <w:szCs w:val="24"/>
        </w:rPr>
      </w:pPr>
    </w:p>
    <w:p w:rsidR="005707D3" w:rsidRDefault="005707D3" w:rsidP="00224A0F">
      <w:pPr>
        <w:spacing w:line="360" w:lineRule="auto"/>
        <w:jc w:val="both"/>
        <w:rPr>
          <w:rFonts w:ascii="Times New Roman" w:hAnsi="Times New Roman" w:cs="Times New Roman"/>
          <w:sz w:val="24"/>
          <w:szCs w:val="24"/>
        </w:rPr>
      </w:pPr>
    </w:p>
    <w:p w:rsidR="005707D3" w:rsidRDefault="005707D3" w:rsidP="00224A0F">
      <w:pPr>
        <w:spacing w:line="360" w:lineRule="auto"/>
        <w:jc w:val="both"/>
        <w:rPr>
          <w:rFonts w:ascii="Times New Roman" w:hAnsi="Times New Roman" w:cs="Times New Roman"/>
          <w:sz w:val="24"/>
          <w:szCs w:val="24"/>
        </w:rPr>
      </w:pPr>
    </w:p>
    <w:p w:rsidR="005707D3" w:rsidRDefault="005707D3" w:rsidP="00224A0F">
      <w:pPr>
        <w:spacing w:line="360" w:lineRule="auto"/>
        <w:jc w:val="both"/>
        <w:rPr>
          <w:rFonts w:ascii="Times New Roman" w:hAnsi="Times New Roman" w:cs="Times New Roman"/>
          <w:sz w:val="24"/>
          <w:szCs w:val="24"/>
        </w:rPr>
      </w:pPr>
    </w:p>
    <w:p w:rsidR="005707D3" w:rsidRDefault="005707D3" w:rsidP="00224A0F">
      <w:pPr>
        <w:spacing w:line="360" w:lineRule="auto"/>
        <w:jc w:val="both"/>
        <w:rPr>
          <w:rFonts w:ascii="Times New Roman" w:hAnsi="Times New Roman" w:cs="Times New Roman"/>
          <w:sz w:val="24"/>
          <w:szCs w:val="24"/>
        </w:rPr>
      </w:pPr>
    </w:p>
    <w:p w:rsidR="005707D3" w:rsidRDefault="005707D3" w:rsidP="00224A0F">
      <w:pPr>
        <w:spacing w:line="360" w:lineRule="auto"/>
        <w:jc w:val="both"/>
        <w:rPr>
          <w:rFonts w:ascii="Times New Roman" w:hAnsi="Times New Roman" w:cs="Times New Roman"/>
          <w:sz w:val="24"/>
          <w:szCs w:val="24"/>
        </w:rPr>
      </w:pPr>
    </w:p>
    <w:p w:rsidR="005707D3" w:rsidRDefault="005707D3" w:rsidP="00224A0F">
      <w:pPr>
        <w:spacing w:line="360" w:lineRule="auto"/>
        <w:jc w:val="both"/>
        <w:rPr>
          <w:rFonts w:ascii="Times New Roman" w:hAnsi="Times New Roman" w:cs="Times New Roman"/>
          <w:sz w:val="24"/>
          <w:szCs w:val="24"/>
        </w:rPr>
      </w:pPr>
    </w:p>
    <w:p w:rsidR="005707D3" w:rsidRDefault="005707D3" w:rsidP="00224A0F">
      <w:pPr>
        <w:spacing w:line="360" w:lineRule="auto"/>
        <w:jc w:val="both"/>
        <w:rPr>
          <w:rFonts w:ascii="Times New Roman" w:hAnsi="Times New Roman" w:cs="Times New Roman"/>
          <w:sz w:val="24"/>
          <w:szCs w:val="24"/>
        </w:rPr>
      </w:pPr>
    </w:p>
    <w:p w:rsidR="005707D3" w:rsidRPr="005707D3" w:rsidRDefault="005707D3" w:rsidP="00224A0F">
      <w:pPr>
        <w:spacing w:line="360" w:lineRule="auto"/>
        <w:jc w:val="both"/>
        <w:rPr>
          <w:rFonts w:ascii="Times New Roman" w:hAnsi="Times New Roman" w:cs="Times New Roman"/>
          <w:sz w:val="28"/>
          <w:szCs w:val="28"/>
        </w:rPr>
      </w:pPr>
    </w:p>
    <w:p w:rsidR="003C6EE8" w:rsidRPr="005707D3" w:rsidRDefault="004E1B60" w:rsidP="00226E3E">
      <w:pPr>
        <w:pStyle w:val="Heading1"/>
        <w:rPr>
          <w:rFonts w:ascii="Times New Roman" w:hAnsi="Times New Roman" w:cs="Times New Roman"/>
          <w:sz w:val="36"/>
          <w:szCs w:val="36"/>
        </w:rPr>
      </w:pPr>
      <w:bookmarkStart w:id="14" w:name="_Toc502273004"/>
      <w:r w:rsidRPr="005707D3">
        <w:rPr>
          <w:rFonts w:ascii="Times New Roman" w:hAnsi="Times New Roman" w:cs="Times New Roman"/>
          <w:sz w:val="36"/>
          <w:szCs w:val="36"/>
        </w:rPr>
        <w:lastRenderedPageBreak/>
        <w:t xml:space="preserve">5) </w:t>
      </w:r>
      <w:r w:rsidR="003C6EE8" w:rsidRPr="005707D3">
        <w:rPr>
          <w:rFonts w:ascii="Times New Roman" w:hAnsi="Times New Roman" w:cs="Times New Roman"/>
          <w:sz w:val="36"/>
          <w:szCs w:val="36"/>
        </w:rPr>
        <w:t>A comparative analysis against its major competitor:</w:t>
      </w:r>
      <w:bookmarkEnd w:id="14"/>
      <w:r w:rsidR="003C6EE8" w:rsidRPr="005707D3">
        <w:rPr>
          <w:rFonts w:ascii="Times New Roman" w:hAnsi="Times New Roman" w:cs="Times New Roman"/>
          <w:sz w:val="36"/>
          <w:szCs w:val="36"/>
        </w:rPr>
        <w:t xml:space="preserve"> </w:t>
      </w:r>
    </w:p>
    <w:p w:rsidR="005707D3" w:rsidRPr="005707D3" w:rsidRDefault="005707D3" w:rsidP="005707D3">
      <w:pPr>
        <w:rPr>
          <w:sz w:val="24"/>
          <w:szCs w:val="24"/>
        </w:rPr>
      </w:pPr>
    </w:p>
    <w:p w:rsidR="00226E3E" w:rsidRPr="005707D3" w:rsidRDefault="00015733" w:rsidP="007D480D">
      <w:pPr>
        <w:spacing w:line="360" w:lineRule="auto"/>
        <w:jc w:val="both"/>
        <w:rPr>
          <w:rFonts w:ascii="Times New Roman" w:hAnsi="Times New Roman" w:cs="Times New Roman"/>
          <w:sz w:val="32"/>
          <w:szCs w:val="32"/>
        </w:rPr>
      </w:pPr>
      <w:r w:rsidRPr="005707D3">
        <w:rPr>
          <w:rFonts w:ascii="Times New Roman" w:hAnsi="Times New Roman" w:cs="Times New Roman"/>
          <w:sz w:val="32"/>
          <w:szCs w:val="32"/>
        </w:rPr>
        <w:t xml:space="preserve">In this section a comparative analysis of GSK plc has been conducted with ratio of another pharmaceutical giant name as AstraZeneca which operates globally. The comparative analysis has been done with the help of ratio analysis with respect through evaluation of various profitability, liquidity, efficiency and gearing ratio. </w:t>
      </w:r>
    </w:p>
    <w:p w:rsidR="00015733" w:rsidRPr="005707D3" w:rsidRDefault="00015733" w:rsidP="00015733">
      <w:pPr>
        <w:jc w:val="both"/>
        <w:rPr>
          <w:rFonts w:ascii="Times New Roman" w:hAnsi="Times New Roman" w:cs="Times New Roman"/>
          <w:sz w:val="28"/>
          <w:szCs w:val="28"/>
        </w:rPr>
      </w:pPr>
    </w:p>
    <w:p w:rsidR="00015733" w:rsidRPr="005707D3" w:rsidRDefault="00DA167B" w:rsidP="00015733">
      <w:pPr>
        <w:jc w:val="both"/>
        <w:rPr>
          <w:rFonts w:ascii="Times New Roman" w:hAnsi="Times New Roman" w:cs="Times New Roman"/>
          <w:b/>
          <w:sz w:val="28"/>
          <w:szCs w:val="28"/>
          <w:u w:val="single"/>
        </w:rPr>
      </w:pPr>
      <w:r w:rsidRPr="005707D3">
        <w:rPr>
          <w:rFonts w:ascii="Times New Roman" w:hAnsi="Times New Roman" w:cs="Times New Roman"/>
          <w:b/>
          <w:sz w:val="28"/>
          <w:szCs w:val="28"/>
          <w:u w:val="single"/>
        </w:rPr>
        <w:t xml:space="preserve">Comparative analysis of </w:t>
      </w:r>
      <w:r w:rsidR="00015733" w:rsidRPr="005707D3">
        <w:rPr>
          <w:rFonts w:ascii="Times New Roman" w:hAnsi="Times New Roman" w:cs="Times New Roman"/>
          <w:b/>
          <w:sz w:val="28"/>
          <w:szCs w:val="28"/>
          <w:u w:val="single"/>
        </w:rPr>
        <w:t xml:space="preserve">the Profitability of GSK plc with AstraZeneca Plc: </w:t>
      </w:r>
    </w:p>
    <w:p w:rsidR="00015733" w:rsidRPr="005707D3" w:rsidRDefault="00015733" w:rsidP="00015733">
      <w:pPr>
        <w:jc w:val="both"/>
        <w:rPr>
          <w:rFonts w:ascii="Times New Roman" w:hAnsi="Times New Roman" w:cs="Times New Roman"/>
          <w:sz w:val="32"/>
          <w:szCs w:val="32"/>
        </w:rPr>
      </w:pPr>
      <w:r w:rsidRPr="005707D3">
        <w:rPr>
          <w:rFonts w:ascii="Times New Roman" w:hAnsi="Times New Roman" w:cs="Times New Roman"/>
          <w:sz w:val="32"/>
          <w:szCs w:val="32"/>
        </w:rPr>
        <w:t xml:space="preserve">The below table provides the gross profit margin and the net profit margin values of GlaxoSmithKline and AstraZeneca plc. </w:t>
      </w:r>
    </w:p>
    <w:tbl>
      <w:tblPr>
        <w:tblW w:w="9413" w:type="dxa"/>
        <w:tblInd w:w="89" w:type="dxa"/>
        <w:tblLook w:val="04A0"/>
      </w:tblPr>
      <w:tblGrid>
        <w:gridCol w:w="3870"/>
        <w:gridCol w:w="1156"/>
        <w:gridCol w:w="918"/>
        <w:gridCol w:w="1156"/>
        <w:gridCol w:w="1156"/>
        <w:gridCol w:w="1157"/>
      </w:tblGrid>
      <w:tr w:rsidR="0054137F" w:rsidRPr="0054137F" w:rsidTr="0054137F">
        <w:trPr>
          <w:trHeight w:val="468"/>
        </w:trPr>
        <w:tc>
          <w:tcPr>
            <w:tcW w:w="9413" w:type="dxa"/>
            <w:gridSpan w:val="6"/>
            <w:tcBorders>
              <w:top w:val="single" w:sz="4" w:space="0" w:color="auto"/>
              <w:left w:val="single" w:sz="4" w:space="0" w:color="auto"/>
              <w:bottom w:val="single" w:sz="4" w:space="0" w:color="auto"/>
              <w:right w:val="single" w:sz="4" w:space="0" w:color="000000"/>
            </w:tcBorders>
            <w:shd w:val="clear" w:color="000000" w:fill="92D050"/>
            <w:noWrap/>
            <w:vAlign w:val="bottom"/>
            <w:hideMark/>
          </w:tcPr>
          <w:p w:rsidR="0054137F" w:rsidRPr="0054137F" w:rsidRDefault="0054137F" w:rsidP="0054137F">
            <w:pPr>
              <w:spacing w:after="0" w:line="240" w:lineRule="auto"/>
              <w:jc w:val="center"/>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Gross Profit margin (in %)</w:t>
            </w:r>
          </w:p>
        </w:tc>
      </w:tr>
      <w:tr w:rsidR="0054137F" w:rsidRPr="0054137F" w:rsidTr="00015733">
        <w:trPr>
          <w:trHeight w:val="468"/>
        </w:trPr>
        <w:tc>
          <w:tcPr>
            <w:tcW w:w="3870"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w:t>
            </w:r>
          </w:p>
        </w:tc>
        <w:tc>
          <w:tcPr>
            <w:tcW w:w="1156"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2016</w:t>
            </w:r>
          </w:p>
        </w:tc>
        <w:tc>
          <w:tcPr>
            <w:tcW w:w="918"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2015</w:t>
            </w:r>
          </w:p>
        </w:tc>
        <w:tc>
          <w:tcPr>
            <w:tcW w:w="1156"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2014</w:t>
            </w:r>
          </w:p>
        </w:tc>
        <w:tc>
          <w:tcPr>
            <w:tcW w:w="1156"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2013</w:t>
            </w:r>
          </w:p>
        </w:tc>
        <w:tc>
          <w:tcPr>
            <w:tcW w:w="1157"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2012</w:t>
            </w:r>
          </w:p>
        </w:tc>
      </w:tr>
      <w:tr w:rsidR="0054137F" w:rsidRPr="0054137F" w:rsidTr="00015733">
        <w:trPr>
          <w:trHeight w:val="468"/>
        </w:trPr>
        <w:tc>
          <w:tcPr>
            <w:tcW w:w="3870"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xml:space="preserve">GlaxoSmithKline Plc </w:t>
            </w:r>
          </w:p>
        </w:tc>
        <w:tc>
          <w:tcPr>
            <w:tcW w:w="115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66.69</w:t>
            </w:r>
          </w:p>
        </w:tc>
        <w:tc>
          <w:tcPr>
            <w:tcW w:w="918"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62.99</w:t>
            </w:r>
          </w:p>
        </w:tc>
        <w:tc>
          <w:tcPr>
            <w:tcW w:w="115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4.00</w:t>
            </w:r>
          </w:p>
        </w:tc>
        <w:tc>
          <w:tcPr>
            <w:tcW w:w="115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67.61</w:t>
            </w:r>
          </w:p>
        </w:tc>
        <w:tc>
          <w:tcPr>
            <w:tcW w:w="1157"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701.30</w:t>
            </w:r>
          </w:p>
        </w:tc>
      </w:tr>
      <w:tr w:rsidR="0054137F" w:rsidRPr="0054137F" w:rsidTr="00015733">
        <w:trPr>
          <w:trHeight w:val="468"/>
        </w:trPr>
        <w:tc>
          <w:tcPr>
            <w:tcW w:w="3870"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xml:space="preserve">AstraZeneca Plc </w:t>
            </w:r>
          </w:p>
        </w:tc>
        <w:tc>
          <w:tcPr>
            <w:tcW w:w="115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80.91</w:t>
            </w:r>
          </w:p>
        </w:tc>
        <w:tc>
          <w:tcPr>
            <w:tcW w:w="918"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81.2</w:t>
            </w:r>
          </w:p>
        </w:tc>
        <w:tc>
          <w:tcPr>
            <w:tcW w:w="115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77.99</w:t>
            </w:r>
          </w:p>
        </w:tc>
        <w:tc>
          <w:tcPr>
            <w:tcW w:w="115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79.61</w:t>
            </w:r>
          </w:p>
        </w:tc>
        <w:tc>
          <w:tcPr>
            <w:tcW w:w="1157"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80.72</w:t>
            </w:r>
          </w:p>
        </w:tc>
      </w:tr>
    </w:tbl>
    <w:p w:rsidR="00015733" w:rsidRDefault="00A03A51" w:rsidP="00015733">
      <w:r>
        <w:t>(Source: financials.morningstar</w:t>
      </w:r>
      <w:r w:rsidR="00015733">
        <w:t>.com for AstraZeneca Plc)</w:t>
      </w:r>
    </w:p>
    <w:p w:rsidR="0054137F" w:rsidRDefault="0054137F" w:rsidP="00226E3E"/>
    <w:tbl>
      <w:tblPr>
        <w:tblW w:w="9392" w:type="dxa"/>
        <w:tblInd w:w="89" w:type="dxa"/>
        <w:tblLook w:val="04A0"/>
      </w:tblPr>
      <w:tblGrid>
        <w:gridCol w:w="3963"/>
        <w:gridCol w:w="1183"/>
        <w:gridCol w:w="1183"/>
        <w:gridCol w:w="940"/>
        <w:gridCol w:w="940"/>
        <w:gridCol w:w="1183"/>
      </w:tblGrid>
      <w:tr w:rsidR="0054137F" w:rsidRPr="0054137F" w:rsidTr="0054137F">
        <w:trPr>
          <w:trHeight w:val="369"/>
        </w:trPr>
        <w:tc>
          <w:tcPr>
            <w:tcW w:w="9392" w:type="dxa"/>
            <w:gridSpan w:val="6"/>
            <w:tcBorders>
              <w:top w:val="single" w:sz="4" w:space="0" w:color="auto"/>
              <w:left w:val="single" w:sz="4" w:space="0" w:color="auto"/>
              <w:bottom w:val="single" w:sz="4" w:space="0" w:color="auto"/>
              <w:right w:val="single" w:sz="4" w:space="0" w:color="000000"/>
            </w:tcBorders>
            <w:shd w:val="clear" w:color="000000" w:fill="92D050"/>
            <w:noWrap/>
            <w:vAlign w:val="bottom"/>
            <w:hideMark/>
          </w:tcPr>
          <w:p w:rsidR="0054137F" w:rsidRPr="0054137F" w:rsidRDefault="0054137F" w:rsidP="0054137F">
            <w:pPr>
              <w:spacing w:after="0" w:line="240" w:lineRule="auto"/>
              <w:jc w:val="center"/>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Net Profit margin (in %)</w:t>
            </w:r>
          </w:p>
        </w:tc>
      </w:tr>
      <w:tr w:rsidR="0054137F" w:rsidRPr="0054137F" w:rsidTr="0054137F">
        <w:trPr>
          <w:trHeight w:val="369"/>
        </w:trPr>
        <w:tc>
          <w:tcPr>
            <w:tcW w:w="3963"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w:t>
            </w:r>
          </w:p>
        </w:tc>
        <w:tc>
          <w:tcPr>
            <w:tcW w:w="1183"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2016</w:t>
            </w:r>
          </w:p>
        </w:tc>
        <w:tc>
          <w:tcPr>
            <w:tcW w:w="1183"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2015</w:t>
            </w:r>
          </w:p>
        </w:tc>
        <w:tc>
          <w:tcPr>
            <w:tcW w:w="940"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2014</w:t>
            </w:r>
          </w:p>
        </w:tc>
        <w:tc>
          <w:tcPr>
            <w:tcW w:w="940"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2013</w:t>
            </w:r>
          </w:p>
        </w:tc>
        <w:tc>
          <w:tcPr>
            <w:tcW w:w="1183"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2012</w:t>
            </w:r>
          </w:p>
        </w:tc>
      </w:tr>
      <w:tr w:rsidR="0054137F" w:rsidRPr="0054137F" w:rsidTr="0054137F">
        <w:trPr>
          <w:trHeight w:val="369"/>
        </w:trPr>
        <w:tc>
          <w:tcPr>
            <w:tcW w:w="3963"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xml:space="preserve">GlaxoSmithKline Plc </w:t>
            </w:r>
          </w:p>
        </w:tc>
        <w:tc>
          <w:tcPr>
            <w:tcW w:w="1183"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3.81</w:t>
            </w:r>
          </w:p>
        </w:tc>
        <w:tc>
          <w:tcPr>
            <w:tcW w:w="1183"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3.00</w:t>
            </w:r>
          </w:p>
        </w:tc>
        <w:tc>
          <w:tcPr>
            <w:tcW w:w="940"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12.31</w:t>
            </w:r>
          </w:p>
        </w:tc>
        <w:tc>
          <w:tcPr>
            <w:tcW w:w="940"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21.23</w:t>
            </w:r>
          </w:p>
        </w:tc>
        <w:tc>
          <w:tcPr>
            <w:tcW w:w="1183"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17.95</w:t>
            </w:r>
          </w:p>
        </w:tc>
      </w:tr>
      <w:tr w:rsidR="0054137F" w:rsidRPr="0054137F" w:rsidTr="0054137F">
        <w:trPr>
          <w:trHeight w:val="369"/>
        </w:trPr>
        <w:tc>
          <w:tcPr>
            <w:tcW w:w="3963"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xml:space="preserve">AstraZeneca Plc </w:t>
            </w:r>
          </w:p>
        </w:tc>
        <w:tc>
          <w:tcPr>
            <w:tcW w:w="1183"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15.21</w:t>
            </w:r>
          </w:p>
        </w:tc>
        <w:tc>
          <w:tcPr>
            <w:tcW w:w="1183"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11.43</w:t>
            </w:r>
          </w:p>
        </w:tc>
        <w:tc>
          <w:tcPr>
            <w:tcW w:w="940"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4.73</w:t>
            </w:r>
          </w:p>
        </w:tc>
        <w:tc>
          <w:tcPr>
            <w:tcW w:w="940"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9.94</w:t>
            </w:r>
          </w:p>
        </w:tc>
        <w:tc>
          <w:tcPr>
            <w:tcW w:w="1183"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22.52</w:t>
            </w:r>
          </w:p>
        </w:tc>
      </w:tr>
    </w:tbl>
    <w:p w:rsidR="0054137F" w:rsidRDefault="00A03A51" w:rsidP="00226E3E">
      <w:r>
        <w:t>(Source: financials.morningstar</w:t>
      </w:r>
      <w:r w:rsidR="00015733">
        <w:t>.com for AstraZeneca Plc)</w:t>
      </w:r>
    </w:p>
    <w:p w:rsidR="005707D3" w:rsidRDefault="005707D3" w:rsidP="005844D9">
      <w:pPr>
        <w:spacing w:line="360" w:lineRule="auto"/>
        <w:jc w:val="both"/>
        <w:rPr>
          <w:rFonts w:ascii="Times New Roman" w:hAnsi="Times New Roman" w:cs="Times New Roman"/>
          <w:sz w:val="24"/>
          <w:szCs w:val="24"/>
        </w:rPr>
      </w:pPr>
    </w:p>
    <w:p w:rsidR="005707D3" w:rsidRDefault="005707D3" w:rsidP="005844D9">
      <w:pPr>
        <w:spacing w:line="360" w:lineRule="auto"/>
        <w:jc w:val="both"/>
        <w:rPr>
          <w:rFonts w:ascii="Times New Roman" w:hAnsi="Times New Roman" w:cs="Times New Roman"/>
          <w:sz w:val="24"/>
          <w:szCs w:val="24"/>
        </w:rPr>
      </w:pPr>
    </w:p>
    <w:p w:rsidR="005844D9" w:rsidRPr="005707D3" w:rsidRDefault="00015733" w:rsidP="005844D9">
      <w:pPr>
        <w:spacing w:line="360" w:lineRule="auto"/>
        <w:jc w:val="both"/>
        <w:rPr>
          <w:rFonts w:ascii="Times New Roman" w:hAnsi="Times New Roman" w:cs="Times New Roman"/>
          <w:sz w:val="28"/>
          <w:szCs w:val="28"/>
        </w:rPr>
      </w:pPr>
      <w:r w:rsidRPr="005707D3">
        <w:rPr>
          <w:rFonts w:ascii="Times New Roman" w:hAnsi="Times New Roman" w:cs="Times New Roman"/>
          <w:sz w:val="28"/>
          <w:szCs w:val="28"/>
        </w:rPr>
        <w:lastRenderedPageBreak/>
        <w:t xml:space="preserve">It can be evaluated from the values of gross profit margin of both the company that the Gross profit margin of AstraZeneca Plc has been consistently more than GSK Plc for all </w:t>
      </w:r>
      <w:proofErr w:type="gramStart"/>
      <w:r w:rsidRPr="005707D3">
        <w:rPr>
          <w:rFonts w:ascii="Times New Roman" w:hAnsi="Times New Roman" w:cs="Times New Roman"/>
          <w:sz w:val="28"/>
          <w:szCs w:val="28"/>
        </w:rPr>
        <w:t>the  consecutive</w:t>
      </w:r>
      <w:proofErr w:type="gramEnd"/>
      <w:r w:rsidRPr="005707D3">
        <w:rPr>
          <w:rFonts w:ascii="Times New Roman" w:hAnsi="Times New Roman" w:cs="Times New Roman"/>
          <w:sz w:val="28"/>
          <w:szCs w:val="28"/>
        </w:rPr>
        <w:t xml:space="preserve"> year from 2012 to 2016. Therefore it can be rightly inferred that AstraZeneca Plc has enabled to keep a cost of good sales lower with respect to sale as compared to GlaxoSmithKline. It is for this reason, AstraZeneca Plc as a company has a better gross profit margin than GSL plc. Moreover, it can also be evaluated that AstraZeneca Plc has also been successful in maintaining a better net profit margin during the </w:t>
      </w:r>
      <w:proofErr w:type="gramStart"/>
      <w:r w:rsidRPr="005707D3">
        <w:rPr>
          <w:rFonts w:ascii="Times New Roman" w:hAnsi="Times New Roman" w:cs="Times New Roman"/>
          <w:sz w:val="28"/>
          <w:szCs w:val="28"/>
        </w:rPr>
        <w:t>last  years</w:t>
      </w:r>
      <w:proofErr w:type="gramEnd"/>
      <w:r w:rsidRPr="005707D3">
        <w:rPr>
          <w:rFonts w:ascii="Times New Roman" w:hAnsi="Times New Roman" w:cs="Times New Roman"/>
          <w:sz w:val="28"/>
          <w:szCs w:val="28"/>
        </w:rPr>
        <w:t xml:space="preserve"> except in the year  2013 and 2014. Therefore from the overall profitability analysis, it can be rightly evaluated that AstraZeneca plc has been far successful than GSK plc in managing the net profitability for the shareholders of the company. Therefore, GSK plc as a company must </w:t>
      </w:r>
      <w:r w:rsidR="00DA167B" w:rsidRPr="005707D3">
        <w:rPr>
          <w:rFonts w:ascii="Times New Roman" w:hAnsi="Times New Roman" w:cs="Times New Roman"/>
          <w:sz w:val="28"/>
          <w:szCs w:val="28"/>
        </w:rPr>
        <w:t>emphasize to improve the overall net profitability and gross profit margin for improving the overall profitability of the company.</w:t>
      </w:r>
      <w:r w:rsidR="005844D9" w:rsidRPr="005707D3">
        <w:rPr>
          <w:rFonts w:ascii="Times New Roman" w:hAnsi="Times New Roman" w:cs="Times New Roman"/>
          <w:sz w:val="28"/>
          <w:szCs w:val="28"/>
        </w:rPr>
        <w:t xml:space="preserve"> In order to forecast the financial projections of a company, it is important to understand the current financial condition and the market scenario of the entire countries in which the company is successfully operating. The financial results of the company GlaxoSmithKline in the financial year 2016 has entailed that the company has secured degradable profitability rather than the past financial years. Though starting from the financial year 2013, the companies has secured effective revenue but have increased the revenue at a slow pace in the financial year 2016. It has been observed that the company is facing increased expenditure in maintaining the operations and thus the profitability of the company is gradually decreasing. It have been observed from the standpoint of liquidity that the company has not met the industry and the accounting standard of principles as it always revealed that a firm should encompass 1.5 times of liquidity balance for strengthening the working capital efficiency. Therefore, overall assessment of the financial standpoint leads to the inference that the company has to increase its revenue by at least 10% in the </w:t>
      </w:r>
      <w:r w:rsidR="005844D9" w:rsidRPr="005707D3">
        <w:rPr>
          <w:rFonts w:ascii="Times New Roman" w:hAnsi="Times New Roman" w:cs="Times New Roman"/>
          <w:sz w:val="28"/>
          <w:szCs w:val="28"/>
        </w:rPr>
        <w:lastRenderedPageBreak/>
        <w:t xml:space="preserve">next financial years in order to settle down entire business operations smoothly. Thus, the sales figure should be projected as 30677 in the next financial years so that the profit at the end of the year can be valued higher than the company has received in the financial year. The expenses borne by the organization should be reduced at 10% rate for determining excess profitability in the forthcoming business years. The significance observed from the liquidity standpoint has revealed that in order to increase the working capital efficiency, the liquidity balance should be 1.5 times in the forth-coming years. Thus, the company has to maintain effective stock valuation in order to </w:t>
      </w:r>
      <w:proofErr w:type="gramStart"/>
      <w:r w:rsidR="005844D9" w:rsidRPr="005707D3">
        <w:rPr>
          <w:rFonts w:ascii="Times New Roman" w:hAnsi="Times New Roman" w:cs="Times New Roman"/>
          <w:sz w:val="28"/>
          <w:szCs w:val="28"/>
        </w:rPr>
        <w:t>pertain</w:t>
      </w:r>
      <w:proofErr w:type="gramEnd"/>
      <w:r w:rsidR="005844D9" w:rsidRPr="005707D3">
        <w:rPr>
          <w:rFonts w:ascii="Times New Roman" w:hAnsi="Times New Roman" w:cs="Times New Roman"/>
          <w:sz w:val="28"/>
          <w:szCs w:val="28"/>
        </w:rPr>
        <w:t xml:space="preserve"> good working capital measurement in the upcoming financial year. The inventory clearance and the turnover should be reduced in order to compete with the other companies like AstraZeneca, </w:t>
      </w:r>
      <w:proofErr w:type="spellStart"/>
      <w:r w:rsidR="005844D9" w:rsidRPr="005707D3">
        <w:rPr>
          <w:rFonts w:ascii="Times New Roman" w:hAnsi="Times New Roman" w:cs="Times New Roman"/>
          <w:sz w:val="28"/>
          <w:szCs w:val="28"/>
        </w:rPr>
        <w:t>Alkem</w:t>
      </w:r>
      <w:proofErr w:type="spellEnd"/>
      <w:r w:rsidR="005844D9" w:rsidRPr="005707D3">
        <w:rPr>
          <w:rFonts w:ascii="Times New Roman" w:hAnsi="Times New Roman" w:cs="Times New Roman"/>
          <w:sz w:val="28"/>
          <w:szCs w:val="28"/>
        </w:rPr>
        <w:t xml:space="preserve"> in the world. Moreover, the debtor’s collection period should also be reduced in order to lower down the debts and proper payment of debt mechanism has to be enabled so as to strengthen the liquid cash of the firm in the future period. It has been observed from the financial data of the respective competitors of the company, that the liquidity is highly valued that has supported their efficiency in working capital in order to operate the business. However, in the mean time, in order to become market leader, the company GlaxoSmithKline has to enable successive potential to outlay important perspectives and effective decision-making process in the upcoming financial years for expanding business. </w:t>
      </w:r>
    </w:p>
    <w:p w:rsidR="00015733" w:rsidRPr="005707D3" w:rsidRDefault="00015733" w:rsidP="00A03A51">
      <w:pPr>
        <w:spacing w:line="360" w:lineRule="auto"/>
        <w:jc w:val="both"/>
        <w:rPr>
          <w:rFonts w:ascii="Times New Roman" w:hAnsi="Times New Roman" w:cs="Times New Roman"/>
          <w:sz w:val="28"/>
          <w:szCs w:val="28"/>
        </w:rPr>
      </w:pPr>
    </w:p>
    <w:p w:rsidR="00015733" w:rsidRDefault="00015733" w:rsidP="00226E3E"/>
    <w:p w:rsidR="005707D3" w:rsidRDefault="005707D3" w:rsidP="00226E3E"/>
    <w:p w:rsidR="005707D3" w:rsidRDefault="005707D3" w:rsidP="00226E3E"/>
    <w:p w:rsidR="005707D3" w:rsidRDefault="005707D3" w:rsidP="00226E3E"/>
    <w:p w:rsidR="005707D3" w:rsidRDefault="005707D3" w:rsidP="00226E3E"/>
    <w:p w:rsidR="00DA167B" w:rsidRDefault="00DA167B" w:rsidP="00DA167B">
      <w:pPr>
        <w:jc w:val="both"/>
        <w:rPr>
          <w:rFonts w:ascii="Times New Roman" w:hAnsi="Times New Roman" w:cs="Times New Roman"/>
          <w:b/>
          <w:sz w:val="24"/>
          <w:szCs w:val="24"/>
          <w:u w:val="single"/>
        </w:rPr>
      </w:pPr>
      <w:r w:rsidRPr="005707D3">
        <w:rPr>
          <w:rFonts w:ascii="Times New Roman" w:hAnsi="Times New Roman" w:cs="Times New Roman"/>
          <w:b/>
          <w:sz w:val="28"/>
          <w:szCs w:val="28"/>
          <w:u w:val="single"/>
        </w:rPr>
        <w:lastRenderedPageBreak/>
        <w:t>Comparative analysis of the Liquidity of GSK plc with AstraZeneca Plc:</w:t>
      </w:r>
      <w:r w:rsidRPr="00DA167B">
        <w:rPr>
          <w:rFonts w:ascii="Times New Roman" w:hAnsi="Times New Roman" w:cs="Times New Roman"/>
          <w:b/>
          <w:sz w:val="24"/>
          <w:szCs w:val="24"/>
          <w:u w:val="single"/>
        </w:rPr>
        <w:t xml:space="preserve"> </w:t>
      </w:r>
    </w:p>
    <w:p w:rsidR="00D92EA5" w:rsidRPr="00C71278" w:rsidRDefault="00A03A51" w:rsidP="00DA167B">
      <w:pPr>
        <w:jc w:val="both"/>
        <w:rPr>
          <w:rFonts w:ascii="Times New Roman" w:hAnsi="Times New Roman" w:cs="Times New Roman"/>
          <w:sz w:val="28"/>
          <w:szCs w:val="28"/>
        </w:rPr>
      </w:pPr>
      <w:r w:rsidRPr="00C71278">
        <w:rPr>
          <w:rFonts w:ascii="Times New Roman" w:hAnsi="Times New Roman" w:cs="Times New Roman"/>
          <w:sz w:val="28"/>
          <w:szCs w:val="28"/>
        </w:rPr>
        <w:t xml:space="preserve">The </w:t>
      </w:r>
      <w:r w:rsidR="005844D9" w:rsidRPr="00C71278">
        <w:rPr>
          <w:rFonts w:ascii="Times New Roman" w:hAnsi="Times New Roman" w:cs="Times New Roman"/>
          <w:sz w:val="28"/>
          <w:szCs w:val="28"/>
        </w:rPr>
        <w:t>below tables</w:t>
      </w:r>
      <w:r w:rsidRPr="00C71278">
        <w:rPr>
          <w:rFonts w:ascii="Times New Roman" w:hAnsi="Times New Roman" w:cs="Times New Roman"/>
          <w:sz w:val="28"/>
          <w:szCs w:val="28"/>
        </w:rPr>
        <w:t xml:space="preserve"> provides the current </w:t>
      </w:r>
      <w:proofErr w:type="gramStart"/>
      <w:r w:rsidRPr="00C71278">
        <w:rPr>
          <w:rFonts w:ascii="Times New Roman" w:hAnsi="Times New Roman" w:cs="Times New Roman"/>
          <w:sz w:val="28"/>
          <w:szCs w:val="28"/>
        </w:rPr>
        <w:t>ratio  and</w:t>
      </w:r>
      <w:proofErr w:type="gramEnd"/>
      <w:r w:rsidRPr="00C71278">
        <w:rPr>
          <w:rFonts w:ascii="Times New Roman" w:hAnsi="Times New Roman" w:cs="Times New Roman"/>
          <w:sz w:val="28"/>
          <w:szCs w:val="28"/>
        </w:rPr>
        <w:t xml:space="preserve"> acid test ratio  values of GlaxoSmithKline and AstraZeneca plc. </w:t>
      </w:r>
    </w:p>
    <w:tbl>
      <w:tblPr>
        <w:tblW w:w="9547" w:type="dxa"/>
        <w:tblInd w:w="89" w:type="dxa"/>
        <w:tblLook w:val="04A0"/>
      </w:tblPr>
      <w:tblGrid>
        <w:gridCol w:w="4366"/>
        <w:gridCol w:w="1036"/>
        <w:gridCol w:w="1036"/>
        <w:gridCol w:w="1036"/>
        <w:gridCol w:w="1036"/>
        <w:gridCol w:w="1037"/>
      </w:tblGrid>
      <w:tr w:rsidR="00A03A51" w:rsidRPr="00A03A51" w:rsidTr="00A03A51">
        <w:trPr>
          <w:trHeight w:val="462"/>
        </w:trPr>
        <w:tc>
          <w:tcPr>
            <w:tcW w:w="9547" w:type="dxa"/>
            <w:gridSpan w:val="6"/>
            <w:tcBorders>
              <w:top w:val="single" w:sz="4" w:space="0" w:color="auto"/>
              <w:left w:val="single" w:sz="4" w:space="0" w:color="auto"/>
              <w:bottom w:val="single" w:sz="4" w:space="0" w:color="auto"/>
              <w:right w:val="single" w:sz="4" w:space="0" w:color="000000"/>
            </w:tcBorders>
            <w:shd w:val="clear" w:color="000000" w:fill="92D050"/>
            <w:noWrap/>
            <w:vAlign w:val="bottom"/>
            <w:hideMark/>
          </w:tcPr>
          <w:p w:rsidR="00A03A51" w:rsidRPr="00A03A51" w:rsidRDefault="00A03A51" w:rsidP="00A03A51">
            <w:pPr>
              <w:spacing w:after="0" w:line="240" w:lineRule="auto"/>
              <w:jc w:val="center"/>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Current  ratio  (in times )</w:t>
            </w:r>
          </w:p>
        </w:tc>
      </w:tr>
      <w:tr w:rsidR="00A03A51" w:rsidRPr="00A03A51" w:rsidTr="00A03A51">
        <w:trPr>
          <w:trHeight w:val="462"/>
        </w:trPr>
        <w:tc>
          <w:tcPr>
            <w:tcW w:w="4366" w:type="dxa"/>
            <w:tcBorders>
              <w:top w:val="nil"/>
              <w:left w:val="single" w:sz="4" w:space="0" w:color="auto"/>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 </w:t>
            </w:r>
          </w:p>
        </w:tc>
        <w:tc>
          <w:tcPr>
            <w:tcW w:w="1036" w:type="dxa"/>
            <w:tcBorders>
              <w:top w:val="nil"/>
              <w:left w:val="nil"/>
              <w:bottom w:val="single" w:sz="4" w:space="0" w:color="auto"/>
              <w:right w:val="single" w:sz="4" w:space="0" w:color="auto"/>
            </w:tcBorders>
            <w:shd w:val="clear" w:color="000000" w:fill="D7E4BC"/>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2016</w:t>
            </w:r>
          </w:p>
        </w:tc>
        <w:tc>
          <w:tcPr>
            <w:tcW w:w="1036" w:type="dxa"/>
            <w:tcBorders>
              <w:top w:val="nil"/>
              <w:left w:val="nil"/>
              <w:bottom w:val="single" w:sz="4" w:space="0" w:color="auto"/>
              <w:right w:val="single" w:sz="4" w:space="0" w:color="auto"/>
            </w:tcBorders>
            <w:shd w:val="clear" w:color="000000" w:fill="D7E4BC"/>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2015</w:t>
            </w:r>
          </w:p>
        </w:tc>
        <w:tc>
          <w:tcPr>
            <w:tcW w:w="1036" w:type="dxa"/>
            <w:tcBorders>
              <w:top w:val="nil"/>
              <w:left w:val="nil"/>
              <w:bottom w:val="single" w:sz="4" w:space="0" w:color="auto"/>
              <w:right w:val="single" w:sz="4" w:space="0" w:color="auto"/>
            </w:tcBorders>
            <w:shd w:val="clear" w:color="000000" w:fill="D7E4BC"/>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2014</w:t>
            </w:r>
          </w:p>
        </w:tc>
        <w:tc>
          <w:tcPr>
            <w:tcW w:w="1036" w:type="dxa"/>
            <w:tcBorders>
              <w:top w:val="nil"/>
              <w:left w:val="nil"/>
              <w:bottom w:val="single" w:sz="4" w:space="0" w:color="auto"/>
              <w:right w:val="single" w:sz="4" w:space="0" w:color="auto"/>
            </w:tcBorders>
            <w:shd w:val="clear" w:color="000000" w:fill="D7E4BC"/>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2013</w:t>
            </w:r>
          </w:p>
        </w:tc>
        <w:tc>
          <w:tcPr>
            <w:tcW w:w="1036" w:type="dxa"/>
            <w:tcBorders>
              <w:top w:val="nil"/>
              <w:left w:val="nil"/>
              <w:bottom w:val="single" w:sz="4" w:space="0" w:color="auto"/>
              <w:right w:val="single" w:sz="4" w:space="0" w:color="auto"/>
            </w:tcBorders>
            <w:shd w:val="clear" w:color="000000" w:fill="D7E4BC"/>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2012</w:t>
            </w:r>
          </w:p>
        </w:tc>
      </w:tr>
      <w:tr w:rsidR="00A03A51" w:rsidRPr="00A03A51" w:rsidTr="00A03A51">
        <w:trPr>
          <w:trHeight w:val="462"/>
        </w:trPr>
        <w:tc>
          <w:tcPr>
            <w:tcW w:w="4366" w:type="dxa"/>
            <w:tcBorders>
              <w:top w:val="nil"/>
              <w:left w:val="single" w:sz="4" w:space="0" w:color="auto"/>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 xml:space="preserve">GlaxoSmithKline Plc </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0.88</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1.24</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0.65</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0.74</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0.99</w:t>
            </w:r>
          </w:p>
        </w:tc>
      </w:tr>
      <w:tr w:rsidR="00A03A51" w:rsidRPr="00A03A51" w:rsidTr="00A03A51">
        <w:trPr>
          <w:trHeight w:val="462"/>
        </w:trPr>
        <w:tc>
          <w:tcPr>
            <w:tcW w:w="4366" w:type="dxa"/>
            <w:tcBorders>
              <w:top w:val="nil"/>
              <w:left w:val="single" w:sz="4" w:space="0" w:color="auto"/>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 xml:space="preserve">AstraZeneca Plc </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0.87</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1.08</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0.96</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1.27</w:t>
            </w:r>
          </w:p>
        </w:tc>
        <w:tc>
          <w:tcPr>
            <w:tcW w:w="1036" w:type="dxa"/>
            <w:tcBorders>
              <w:top w:val="nil"/>
              <w:left w:val="nil"/>
              <w:bottom w:val="single" w:sz="4" w:space="0" w:color="auto"/>
              <w:right w:val="single" w:sz="4" w:space="0" w:color="auto"/>
            </w:tcBorders>
            <w:shd w:val="clear" w:color="auto" w:fill="auto"/>
            <w:noWrap/>
            <w:vAlign w:val="bottom"/>
            <w:hideMark/>
          </w:tcPr>
          <w:p w:rsidR="00A03A51" w:rsidRPr="00A03A51" w:rsidRDefault="00A03A51" w:rsidP="00A03A51">
            <w:pPr>
              <w:spacing w:after="0" w:line="240" w:lineRule="auto"/>
              <w:jc w:val="right"/>
              <w:rPr>
                <w:rFonts w:ascii="Times New Roman" w:eastAsia="Times New Roman" w:hAnsi="Times New Roman" w:cs="Times New Roman"/>
                <w:color w:val="000000"/>
                <w:sz w:val="24"/>
                <w:szCs w:val="24"/>
              </w:rPr>
            </w:pPr>
            <w:r w:rsidRPr="00A03A51">
              <w:rPr>
                <w:rFonts w:ascii="Times New Roman" w:eastAsia="Times New Roman" w:hAnsi="Times New Roman" w:cs="Times New Roman"/>
                <w:color w:val="000000"/>
                <w:sz w:val="24"/>
                <w:szCs w:val="24"/>
              </w:rPr>
              <w:t>1.37</w:t>
            </w:r>
          </w:p>
        </w:tc>
      </w:tr>
    </w:tbl>
    <w:p w:rsidR="00A03A51" w:rsidRDefault="00A03A51" w:rsidP="00A03A51">
      <w:r>
        <w:t>(Source: financials.morningstar.com for AstraZeneca Plc)</w:t>
      </w:r>
    </w:p>
    <w:p w:rsidR="00417024" w:rsidRDefault="00417024" w:rsidP="00A03A51"/>
    <w:p w:rsidR="00417024" w:rsidRPr="00A03A51" w:rsidRDefault="00417024" w:rsidP="00A03A51"/>
    <w:tbl>
      <w:tblPr>
        <w:tblW w:w="9547" w:type="dxa"/>
        <w:tblInd w:w="89" w:type="dxa"/>
        <w:tblLook w:val="04A0"/>
      </w:tblPr>
      <w:tblGrid>
        <w:gridCol w:w="4366"/>
        <w:gridCol w:w="1036"/>
        <w:gridCol w:w="1036"/>
        <w:gridCol w:w="1036"/>
        <w:gridCol w:w="1036"/>
        <w:gridCol w:w="1037"/>
      </w:tblGrid>
      <w:tr w:rsidR="0054137F" w:rsidRPr="0054137F" w:rsidTr="00015733">
        <w:trPr>
          <w:trHeight w:val="415"/>
        </w:trPr>
        <w:tc>
          <w:tcPr>
            <w:tcW w:w="9547" w:type="dxa"/>
            <w:gridSpan w:val="6"/>
            <w:tcBorders>
              <w:top w:val="single" w:sz="4" w:space="0" w:color="auto"/>
              <w:left w:val="single" w:sz="4" w:space="0" w:color="auto"/>
              <w:bottom w:val="single" w:sz="4" w:space="0" w:color="auto"/>
              <w:right w:val="single" w:sz="4" w:space="0" w:color="000000"/>
            </w:tcBorders>
            <w:shd w:val="clear" w:color="000000" w:fill="92D050"/>
            <w:noWrap/>
            <w:vAlign w:val="bottom"/>
            <w:hideMark/>
          </w:tcPr>
          <w:p w:rsidR="0054137F" w:rsidRPr="0054137F" w:rsidRDefault="0054137F" w:rsidP="0054137F">
            <w:pPr>
              <w:spacing w:after="0" w:line="240" w:lineRule="auto"/>
              <w:jc w:val="center"/>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Acid Test ratio  (in times )</w:t>
            </w:r>
          </w:p>
        </w:tc>
      </w:tr>
      <w:tr w:rsidR="0054137F" w:rsidRPr="0054137F" w:rsidTr="00A03A51">
        <w:trPr>
          <w:trHeight w:val="415"/>
        </w:trPr>
        <w:tc>
          <w:tcPr>
            <w:tcW w:w="4366"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w:t>
            </w:r>
          </w:p>
        </w:tc>
        <w:tc>
          <w:tcPr>
            <w:tcW w:w="1036"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2016</w:t>
            </w:r>
          </w:p>
        </w:tc>
        <w:tc>
          <w:tcPr>
            <w:tcW w:w="1036"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2015</w:t>
            </w:r>
          </w:p>
        </w:tc>
        <w:tc>
          <w:tcPr>
            <w:tcW w:w="1036"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2014</w:t>
            </w:r>
          </w:p>
        </w:tc>
        <w:tc>
          <w:tcPr>
            <w:tcW w:w="1036"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2013</w:t>
            </w:r>
          </w:p>
        </w:tc>
        <w:tc>
          <w:tcPr>
            <w:tcW w:w="1037" w:type="dxa"/>
            <w:tcBorders>
              <w:top w:val="nil"/>
              <w:left w:val="nil"/>
              <w:bottom w:val="single" w:sz="4" w:space="0" w:color="auto"/>
              <w:right w:val="single" w:sz="4" w:space="0" w:color="auto"/>
            </w:tcBorders>
            <w:shd w:val="clear" w:color="000000" w:fill="D7E4BC"/>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2012</w:t>
            </w:r>
          </w:p>
        </w:tc>
      </w:tr>
      <w:tr w:rsidR="0054137F" w:rsidRPr="0054137F" w:rsidTr="00A03A51">
        <w:trPr>
          <w:trHeight w:val="415"/>
        </w:trPr>
        <w:tc>
          <w:tcPr>
            <w:tcW w:w="4366"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xml:space="preserve">GlaxoSmithKline Plc </w:t>
            </w:r>
          </w:p>
        </w:tc>
        <w:tc>
          <w:tcPr>
            <w:tcW w:w="103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0.61</w:t>
            </w:r>
          </w:p>
        </w:tc>
        <w:tc>
          <w:tcPr>
            <w:tcW w:w="103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0.88</w:t>
            </w:r>
          </w:p>
        </w:tc>
        <w:tc>
          <w:tcPr>
            <w:tcW w:w="103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0.47</w:t>
            </w:r>
          </w:p>
        </w:tc>
        <w:tc>
          <w:tcPr>
            <w:tcW w:w="103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0.50</w:t>
            </w:r>
          </w:p>
        </w:tc>
        <w:tc>
          <w:tcPr>
            <w:tcW w:w="1037"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0.70</w:t>
            </w:r>
          </w:p>
        </w:tc>
      </w:tr>
      <w:tr w:rsidR="0054137F" w:rsidRPr="0054137F" w:rsidTr="00A03A51">
        <w:trPr>
          <w:trHeight w:val="415"/>
        </w:trPr>
        <w:tc>
          <w:tcPr>
            <w:tcW w:w="4366" w:type="dxa"/>
            <w:tcBorders>
              <w:top w:val="nil"/>
              <w:left w:val="single" w:sz="4" w:space="0" w:color="auto"/>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 xml:space="preserve">AstraZeneca Plc </w:t>
            </w:r>
          </w:p>
        </w:tc>
        <w:tc>
          <w:tcPr>
            <w:tcW w:w="103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0.65</w:t>
            </w:r>
          </w:p>
        </w:tc>
        <w:tc>
          <w:tcPr>
            <w:tcW w:w="103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0.84</w:t>
            </w:r>
          </w:p>
        </w:tc>
        <w:tc>
          <w:tcPr>
            <w:tcW w:w="103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0.77</w:t>
            </w:r>
          </w:p>
        </w:tc>
        <w:tc>
          <w:tcPr>
            <w:tcW w:w="1036"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1.05</w:t>
            </w:r>
          </w:p>
        </w:tc>
        <w:tc>
          <w:tcPr>
            <w:tcW w:w="1037" w:type="dxa"/>
            <w:tcBorders>
              <w:top w:val="nil"/>
              <w:left w:val="nil"/>
              <w:bottom w:val="single" w:sz="4" w:space="0" w:color="auto"/>
              <w:right w:val="single" w:sz="4" w:space="0" w:color="auto"/>
            </w:tcBorders>
            <w:shd w:val="clear" w:color="auto" w:fill="auto"/>
            <w:noWrap/>
            <w:vAlign w:val="bottom"/>
            <w:hideMark/>
          </w:tcPr>
          <w:p w:rsidR="0054137F" w:rsidRPr="0054137F" w:rsidRDefault="0054137F" w:rsidP="0054137F">
            <w:pPr>
              <w:spacing w:after="0" w:line="240" w:lineRule="auto"/>
              <w:jc w:val="right"/>
              <w:rPr>
                <w:rFonts w:ascii="Times New Roman" w:eastAsia="Times New Roman" w:hAnsi="Times New Roman" w:cs="Times New Roman"/>
                <w:color w:val="000000"/>
                <w:sz w:val="24"/>
                <w:szCs w:val="24"/>
              </w:rPr>
            </w:pPr>
            <w:r w:rsidRPr="0054137F">
              <w:rPr>
                <w:rFonts w:ascii="Times New Roman" w:eastAsia="Times New Roman" w:hAnsi="Times New Roman" w:cs="Times New Roman"/>
                <w:color w:val="000000"/>
                <w:sz w:val="24"/>
                <w:szCs w:val="24"/>
              </w:rPr>
              <w:t>1.22</w:t>
            </w:r>
          </w:p>
        </w:tc>
      </w:tr>
    </w:tbl>
    <w:p w:rsidR="00A03A51" w:rsidRDefault="00A03A51" w:rsidP="00A03A51">
      <w:r>
        <w:t>(Source: financials.morningstar.com for AstraZeneca Plc)</w:t>
      </w:r>
    </w:p>
    <w:p w:rsidR="0054137F" w:rsidRDefault="0054137F" w:rsidP="00226E3E"/>
    <w:p w:rsidR="00A03A51" w:rsidRPr="00C71278" w:rsidRDefault="00A03A51" w:rsidP="00F40E0D">
      <w:pPr>
        <w:spacing w:line="360" w:lineRule="auto"/>
        <w:jc w:val="both"/>
        <w:rPr>
          <w:rFonts w:ascii="Times New Roman" w:hAnsi="Times New Roman" w:cs="Times New Roman"/>
          <w:sz w:val="28"/>
          <w:szCs w:val="28"/>
        </w:rPr>
      </w:pPr>
      <w:r w:rsidRPr="00C71278">
        <w:rPr>
          <w:rFonts w:ascii="Times New Roman" w:hAnsi="Times New Roman" w:cs="Times New Roman"/>
          <w:sz w:val="28"/>
          <w:szCs w:val="28"/>
        </w:rPr>
        <w:t xml:space="preserve">It can be evaluated from the values of the current ratio that in the latest financial year both the company has been unable to maintain a good liquidity as values of the current ratio for both the considered company is less than 1. This reflects the fact that both the company has been unable to meet the short term obligation from its current assets. But considering the values of last 5 </w:t>
      </w:r>
      <w:r w:rsidR="00F40E0D" w:rsidRPr="00C71278">
        <w:rPr>
          <w:rFonts w:ascii="Times New Roman" w:hAnsi="Times New Roman" w:cs="Times New Roman"/>
          <w:sz w:val="28"/>
          <w:szCs w:val="28"/>
        </w:rPr>
        <w:t xml:space="preserve">financial </w:t>
      </w:r>
      <w:r w:rsidRPr="00C71278">
        <w:rPr>
          <w:rFonts w:ascii="Times New Roman" w:hAnsi="Times New Roman" w:cs="Times New Roman"/>
          <w:sz w:val="28"/>
          <w:szCs w:val="28"/>
        </w:rPr>
        <w:t xml:space="preserve">years, it can be evaluated that AstraZeneca plc has been able to maintain a good liquidity as compared </w:t>
      </w:r>
      <w:r w:rsidR="00F40E0D" w:rsidRPr="00C71278">
        <w:rPr>
          <w:rFonts w:ascii="Times New Roman" w:hAnsi="Times New Roman" w:cs="Times New Roman"/>
          <w:sz w:val="28"/>
          <w:szCs w:val="28"/>
        </w:rPr>
        <w:t xml:space="preserve">to GSK plc. Additionally, considering the acid test ratio as a measure the liquidity of the </w:t>
      </w:r>
      <w:r w:rsidR="00C71278" w:rsidRPr="00C71278">
        <w:rPr>
          <w:rFonts w:ascii="Times New Roman" w:hAnsi="Times New Roman" w:cs="Times New Roman"/>
          <w:sz w:val="28"/>
          <w:szCs w:val="28"/>
        </w:rPr>
        <w:t>company,</w:t>
      </w:r>
      <w:r w:rsidR="00F40E0D" w:rsidRPr="00C71278">
        <w:rPr>
          <w:rFonts w:ascii="Times New Roman" w:hAnsi="Times New Roman" w:cs="Times New Roman"/>
          <w:sz w:val="28"/>
          <w:szCs w:val="28"/>
        </w:rPr>
        <w:t xml:space="preserve"> it can be inferred that both the company has miserably failed to meet the liquidity test. But it can be observed that in 2013 and </w:t>
      </w:r>
      <w:proofErr w:type="gramStart"/>
      <w:r w:rsidR="00F40E0D" w:rsidRPr="00C71278">
        <w:rPr>
          <w:rFonts w:ascii="Times New Roman" w:hAnsi="Times New Roman" w:cs="Times New Roman"/>
          <w:sz w:val="28"/>
          <w:szCs w:val="28"/>
        </w:rPr>
        <w:t>2012 ,</w:t>
      </w:r>
      <w:proofErr w:type="gramEnd"/>
      <w:r w:rsidR="00F40E0D" w:rsidRPr="00C71278">
        <w:rPr>
          <w:rFonts w:ascii="Times New Roman" w:hAnsi="Times New Roman" w:cs="Times New Roman"/>
          <w:sz w:val="28"/>
          <w:szCs w:val="28"/>
        </w:rPr>
        <w:t xml:space="preserve"> AstraZeneca plc has a good liquidity </w:t>
      </w:r>
      <w:r w:rsidRPr="00C71278">
        <w:rPr>
          <w:rFonts w:ascii="Times New Roman" w:hAnsi="Times New Roman" w:cs="Times New Roman"/>
          <w:sz w:val="28"/>
          <w:szCs w:val="28"/>
        </w:rPr>
        <w:t xml:space="preserve"> </w:t>
      </w:r>
      <w:r w:rsidR="00F40E0D" w:rsidRPr="00C71278">
        <w:rPr>
          <w:rFonts w:ascii="Times New Roman" w:hAnsi="Times New Roman" w:cs="Times New Roman"/>
          <w:sz w:val="28"/>
          <w:szCs w:val="28"/>
        </w:rPr>
        <w:t xml:space="preserve">even if inventory is not considered in  the current asset for meeting the short term obligation. So from the comparative </w:t>
      </w:r>
      <w:r w:rsidR="00F40E0D" w:rsidRPr="00C71278">
        <w:rPr>
          <w:rFonts w:ascii="Times New Roman" w:hAnsi="Times New Roman" w:cs="Times New Roman"/>
          <w:sz w:val="28"/>
          <w:szCs w:val="28"/>
        </w:rPr>
        <w:lastRenderedPageBreak/>
        <w:t xml:space="preserve">analysis of the liquidity of the company, it can be rightly evaluated that </w:t>
      </w:r>
      <w:r w:rsidR="00D92EA5" w:rsidRPr="00C71278">
        <w:rPr>
          <w:rFonts w:ascii="Times New Roman" w:hAnsi="Times New Roman" w:cs="Times New Roman"/>
          <w:sz w:val="28"/>
          <w:szCs w:val="28"/>
        </w:rPr>
        <w:t xml:space="preserve">AstraZeneca Plc has been off late has liquidity problem but considering performance of liquidity management for last 5 years  period, it has enabled to manage liquidity far more better than GSK plc. </w:t>
      </w:r>
    </w:p>
    <w:p w:rsidR="00D92EA5" w:rsidRPr="00C71278" w:rsidRDefault="00D92EA5" w:rsidP="00D92EA5">
      <w:pPr>
        <w:jc w:val="both"/>
        <w:rPr>
          <w:rFonts w:ascii="Times New Roman" w:hAnsi="Times New Roman" w:cs="Times New Roman"/>
          <w:b/>
          <w:sz w:val="28"/>
          <w:szCs w:val="28"/>
          <w:u w:val="single"/>
        </w:rPr>
      </w:pPr>
      <w:r w:rsidRPr="00C71278">
        <w:rPr>
          <w:rFonts w:ascii="Times New Roman" w:hAnsi="Times New Roman" w:cs="Times New Roman"/>
          <w:b/>
          <w:sz w:val="28"/>
          <w:szCs w:val="28"/>
          <w:u w:val="single"/>
        </w:rPr>
        <w:t xml:space="preserve">Comparative analysis of the </w:t>
      </w:r>
      <w:r w:rsidR="005A690B" w:rsidRPr="00C71278">
        <w:rPr>
          <w:rFonts w:ascii="Times New Roman" w:hAnsi="Times New Roman" w:cs="Times New Roman"/>
          <w:b/>
          <w:sz w:val="28"/>
          <w:szCs w:val="28"/>
          <w:u w:val="single"/>
        </w:rPr>
        <w:t>Efficiency of</w:t>
      </w:r>
      <w:r w:rsidRPr="00C71278">
        <w:rPr>
          <w:rFonts w:ascii="Times New Roman" w:hAnsi="Times New Roman" w:cs="Times New Roman"/>
          <w:b/>
          <w:sz w:val="28"/>
          <w:szCs w:val="28"/>
          <w:u w:val="single"/>
        </w:rPr>
        <w:t xml:space="preserve"> GSK plc with AstraZeneca Plc: </w:t>
      </w:r>
    </w:p>
    <w:p w:rsidR="00D92EA5" w:rsidRPr="00C71278" w:rsidRDefault="00D92EA5" w:rsidP="00D92EA5">
      <w:pPr>
        <w:jc w:val="both"/>
        <w:rPr>
          <w:rFonts w:ascii="Times New Roman" w:hAnsi="Times New Roman" w:cs="Times New Roman"/>
          <w:sz w:val="28"/>
          <w:szCs w:val="28"/>
        </w:rPr>
      </w:pPr>
      <w:r w:rsidRPr="00C71278">
        <w:rPr>
          <w:rFonts w:ascii="Times New Roman" w:hAnsi="Times New Roman" w:cs="Times New Roman"/>
          <w:sz w:val="28"/>
          <w:szCs w:val="28"/>
        </w:rPr>
        <w:t xml:space="preserve">The below tables provide the fixed asset turnover  and creditors ratio values of GlaxoSmithKline and AstraZeneca plc for making a comparative analysis of the efficiency of the companies. </w:t>
      </w:r>
    </w:p>
    <w:tbl>
      <w:tblPr>
        <w:tblW w:w="9774" w:type="dxa"/>
        <w:tblInd w:w="89" w:type="dxa"/>
        <w:tblLook w:val="04A0"/>
      </w:tblPr>
      <w:tblGrid>
        <w:gridCol w:w="4472"/>
        <w:gridCol w:w="1060"/>
        <w:gridCol w:w="1060"/>
        <w:gridCol w:w="1060"/>
        <w:gridCol w:w="1060"/>
        <w:gridCol w:w="1062"/>
      </w:tblGrid>
      <w:tr w:rsidR="00D92EA5" w:rsidRPr="00D92EA5" w:rsidTr="00D92EA5">
        <w:trPr>
          <w:trHeight w:val="461"/>
        </w:trPr>
        <w:tc>
          <w:tcPr>
            <w:tcW w:w="9774" w:type="dxa"/>
            <w:gridSpan w:val="6"/>
            <w:tcBorders>
              <w:top w:val="single" w:sz="4" w:space="0" w:color="auto"/>
              <w:left w:val="single" w:sz="4" w:space="0" w:color="auto"/>
              <w:bottom w:val="single" w:sz="4" w:space="0" w:color="auto"/>
              <w:right w:val="single" w:sz="4" w:space="0" w:color="000000"/>
            </w:tcBorders>
            <w:shd w:val="clear" w:color="000000" w:fill="92D050"/>
            <w:noWrap/>
            <w:vAlign w:val="bottom"/>
            <w:hideMark/>
          </w:tcPr>
          <w:p w:rsidR="00D92EA5" w:rsidRPr="00D92EA5" w:rsidRDefault="00D92EA5" w:rsidP="00D92EA5">
            <w:pPr>
              <w:spacing w:after="0" w:line="240" w:lineRule="auto"/>
              <w:jc w:val="center"/>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Fixed Asset Turnover (in times)</w:t>
            </w:r>
          </w:p>
        </w:tc>
      </w:tr>
      <w:tr w:rsidR="00D92EA5" w:rsidRPr="00D92EA5" w:rsidTr="00D92EA5">
        <w:trPr>
          <w:trHeight w:val="461"/>
        </w:trPr>
        <w:tc>
          <w:tcPr>
            <w:tcW w:w="4472" w:type="dxa"/>
            <w:tcBorders>
              <w:top w:val="nil"/>
              <w:left w:val="single" w:sz="4" w:space="0" w:color="auto"/>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 </w:t>
            </w:r>
          </w:p>
        </w:tc>
        <w:tc>
          <w:tcPr>
            <w:tcW w:w="1060"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2016</w:t>
            </w:r>
          </w:p>
        </w:tc>
        <w:tc>
          <w:tcPr>
            <w:tcW w:w="1060"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2015</w:t>
            </w:r>
          </w:p>
        </w:tc>
        <w:tc>
          <w:tcPr>
            <w:tcW w:w="1060"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2014</w:t>
            </w:r>
          </w:p>
        </w:tc>
        <w:tc>
          <w:tcPr>
            <w:tcW w:w="1060"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2013</w:t>
            </w:r>
          </w:p>
        </w:tc>
        <w:tc>
          <w:tcPr>
            <w:tcW w:w="1060"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2012</w:t>
            </w:r>
          </w:p>
        </w:tc>
      </w:tr>
      <w:tr w:rsidR="00D92EA5" w:rsidRPr="00D92EA5" w:rsidTr="00D92EA5">
        <w:trPr>
          <w:trHeight w:val="461"/>
        </w:trPr>
        <w:tc>
          <w:tcPr>
            <w:tcW w:w="4472" w:type="dxa"/>
            <w:tcBorders>
              <w:top w:val="nil"/>
              <w:left w:val="single" w:sz="4" w:space="0" w:color="auto"/>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 xml:space="preserve">GlaxoSmithKline Plc </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0.658</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0.649</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0.886</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0.987</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0.951</w:t>
            </w:r>
          </w:p>
        </w:tc>
      </w:tr>
      <w:tr w:rsidR="00D92EA5" w:rsidRPr="00D92EA5" w:rsidTr="00D92EA5">
        <w:trPr>
          <w:trHeight w:val="461"/>
        </w:trPr>
        <w:tc>
          <w:tcPr>
            <w:tcW w:w="4472" w:type="dxa"/>
            <w:tcBorders>
              <w:top w:val="nil"/>
              <w:left w:val="single" w:sz="4" w:space="0" w:color="auto"/>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 xml:space="preserve">AstraZeneca Plc </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3.47</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3.98</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4.41</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4.32</w:t>
            </w:r>
          </w:p>
        </w:tc>
        <w:tc>
          <w:tcPr>
            <w:tcW w:w="106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4.47</w:t>
            </w:r>
          </w:p>
        </w:tc>
      </w:tr>
    </w:tbl>
    <w:p w:rsidR="00D92EA5" w:rsidRPr="00D92EA5" w:rsidRDefault="00D92EA5" w:rsidP="00D92EA5">
      <w:pPr>
        <w:rPr>
          <w:rFonts w:ascii="Times New Roman" w:hAnsi="Times New Roman" w:cs="Times New Roman"/>
          <w:sz w:val="24"/>
          <w:szCs w:val="24"/>
        </w:rPr>
      </w:pPr>
      <w:r w:rsidRPr="00D92EA5">
        <w:rPr>
          <w:rFonts w:ascii="Times New Roman" w:hAnsi="Times New Roman" w:cs="Times New Roman"/>
          <w:sz w:val="24"/>
          <w:szCs w:val="24"/>
        </w:rPr>
        <w:t>(Source: financials.morningstar.com for AstraZeneca Plc)</w:t>
      </w:r>
    </w:p>
    <w:p w:rsidR="00D92EA5" w:rsidRDefault="00D92EA5" w:rsidP="00D92EA5">
      <w:pPr>
        <w:rPr>
          <w:rFonts w:ascii="Times New Roman" w:hAnsi="Times New Roman" w:cs="Times New Roman"/>
          <w:sz w:val="24"/>
          <w:szCs w:val="24"/>
        </w:rPr>
      </w:pPr>
    </w:p>
    <w:p w:rsidR="00417024" w:rsidRPr="00D92EA5" w:rsidRDefault="00417024" w:rsidP="00D92EA5">
      <w:pPr>
        <w:rPr>
          <w:rFonts w:ascii="Times New Roman" w:hAnsi="Times New Roman" w:cs="Times New Roman"/>
          <w:sz w:val="24"/>
          <w:szCs w:val="24"/>
        </w:rPr>
      </w:pPr>
    </w:p>
    <w:tbl>
      <w:tblPr>
        <w:tblW w:w="10031" w:type="dxa"/>
        <w:tblInd w:w="89" w:type="dxa"/>
        <w:tblLook w:val="04A0"/>
      </w:tblPr>
      <w:tblGrid>
        <w:gridCol w:w="2907"/>
        <w:gridCol w:w="1456"/>
        <w:gridCol w:w="1456"/>
        <w:gridCol w:w="1456"/>
        <w:gridCol w:w="1456"/>
        <w:gridCol w:w="1300"/>
      </w:tblGrid>
      <w:tr w:rsidR="00D92EA5" w:rsidRPr="00D92EA5" w:rsidTr="00D92EA5">
        <w:trPr>
          <w:trHeight w:val="284"/>
        </w:trPr>
        <w:tc>
          <w:tcPr>
            <w:tcW w:w="10030" w:type="dxa"/>
            <w:gridSpan w:val="6"/>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D92EA5" w:rsidRPr="00D92EA5" w:rsidRDefault="00D92EA5" w:rsidP="00D92EA5">
            <w:pPr>
              <w:spacing w:after="0" w:line="240" w:lineRule="auto"/>
              <w:jc w:val="center"/>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Creditors Ratio (in days)</w:t>
            </w:r>
          </w:p>
        </w:tc>
      </w:tr>
      <w:tr w:rsidR="00D92EA5" w:rsidRPr="00D92EA5" w:rsidTr="00D92EA5">
        <w:trPr>
          <w:trHeight w:val="284"/>
        </w:trPr>
        <w:tc>
          <w:tcPr>
            <w:tcW w:w="2907" w:type="dxa"/>
            <w:tcBorders>
              <w:top w:val="nil"/>
              <w:left w:val="single" w:sz="4" w:space="0" w:color="auto"/>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 </w:t>
            </w:r>
          </w:p>
        </w:tc>
        <w:tc>
          <w:tcPr>
            <w:tcW w:w="1456"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2016</w:t>
            </w:r>
          </w:p>
        </w:tc>
        <w:tc>
          <w:tcPr>
            <w:tcW w:w="1456"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2015</w:t>
            </w:r>
          </w:p>
        </w:tc>
        <w:tc>
          <w:tcPr>
            <w:tcW w:w="1456"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2014</w:t>
            </w:r>
          </w:p>
        </w:tc>
        <w:tc>
          <w:tcPr>
            <w:tcW w:w="1456"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2013</w:t>
            </w:r>
          </w:p>
        </w:tc>
        <w:tc>
          <w:tcPr>
            <w:tcW w:w="1300" w:type="dxa"/>
            <w:tcBorders>
              <w:top w:val="nil"/>
              <w:left w:val="nil"/>
              <w:bottom w:val="single" w:sz="4" w:space="0" w:color="auto"/>
              <w:right w:val="single" w:sz="4" w:space="0" w:color="auto"/>
            </w:tcBorders>
            <w:shd w:val="clear" w:color="000000" w:fill="D7E4BC"/>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2012</w:t>
            </w:r>
          </w:p>
        </w:tc>
      </w:tr>
      <w:tr w:rsidR="00D92EA5" w:rsidRPr="00D92EA5" w:rsidTr="00D92EA5">
        <w:trPr>
          <w:trHeight w:val="696"/>
        </w:trPr>
        <w:tc>
          <w:tcPr>
            <w:tcW w:w="2907" w:type="dxa"/>
            <w:tcBorders>
              <w:top w:val="nil"/>
              <w:left w:val="single" w:sz="4" w:space="0" w:color="auto"/>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 xml:space="preserve">GlaxoSmithKline Plc </w:t>
            </w:r>
          </w:p>
        </w:tc>
        <w:tc>
          <w:tcPr>
            <w:tcW w:w="1456"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470.0603</w:t>
            </w:r>
          </w:p>
        </w:tc>
        <w:tc>
          <w:tcPr>
            <w:tcW w:w="1456"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366.3193</w:t>
            </w:r>
          </w:p>
        </w:tc>
        <w:tc>
          <w:tcPr>
            <w:tcW w:w="1456"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396.6503</w:t>
            </w:r>
          </w:p>
        </w:tc>
        <w:tc>
          <w:tcPr>
            <w:tcW w:w="1456"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353.6057</w:t>
            </w:r>
          </w:p>
        </w:tc>
        <w:tc>
          <w:tcPr>
            <w:tcW w:w="130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372.398</w:t>
            </w:r>
          </w:p>
        </w:tc>
      </w:tr>
      <w:tr w:rsidR="00D92EA5" w:rsidRPr="00D92EA5" w:rsidTr="00D92EA5">
        <w:trPr>
          <w:trHeight w:val="284"/>
        </w:trPr>
        <w:tc>
          <w:tcPr>
            <w:tcW w:w="2907" w:type="dxa"/>
            <w:tcBorders>
              <w:top w:val="nil"/>
              <w:left w:val="single" w:sz="4" w:space="0" w:color="auto"/>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 xml:space="preserve">AstraZeneca Plc </w:t>
            </w:r>
          </w:p>
        </w:tc>
        <w:tc>
          <w:tcPr>
            <w:tcW w:w="1456"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285.69</w:t>
            </w:r>
          </w:p>
        </w:tc>
        <w:tc>
          <w:tcPr>
            <w:tcW w:w="1456"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273.44</w:t>
            </w:r>
          </w:p>
        </w:tc>
        <w:tc>
          <w:tcPr>
            <w:tcW w:w="1456"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187.15</w:t>
            </w:r>
          </w:p>
        </w:tc>
        <w:tc>
          <w:tcPr>
            <w:tcW w:w="1456"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171.64</w:t>
            </w:r>
          </w:p>
        </w:tc>
        <w:tc>
          <w:tcPr>
            <w:tcW w:w="1300" w:type="dxa"/>
            <w:tcBorders>
              <w:top w:val="nil"/>
              <w:left w:val="nil"/>
              <w:bottom w:val="single" w:sz="4" w:space="0" w:color="auto"/>
              <w:right w:val="single" w:sz="4" w:space="0" w:color="auto"/>
            </w:tcBorders>
            <w:shd w:val="clear" w:color="auto" w:fill="auto"/>
            <w:noWrap/>
            <w:vAlign w:val="bottom"/>
            <w:hideMark/>
          </w:tcPr>
          <w:p w:rsidR="00D92EA5" w:rsidRPr="00D92EA5" w:rsidRDefault="00D92EA5" w:rsidP="00D92EA5">
            <w:pPr>
              <w:spacing w:after="0" w:line="240" w:lineRule="auto"/>
              <w:jc w:val="right"/>
              <w:rPr>
                <w:rFonts w:ascii="Times New Roman" w:eastAsia="Times New Roman" w:hAnsi="Times New Roman" w:cs="Times New Roman"/>
                <w:color w:val="000000"/>
                <w:sz w:val="24"/>
                <w:szCs w:val="24"/>
              </w:rPr>
            </w:pPr>
            <w:r w:rsidRPr="00D92EA5">
              <w:rPr>
                <w:rFonts w:ascii="Times New Roman" w:eastAsia="Times New Roman" w:hAnsi="Times New Roman" w:cs="Times New Roman"/>
                <w:color w:val="000000"/>
                <w:sz w:val="24"/>
                <w:szCs w:val="24"/>
              </w:rPr>
              <w:t>155.8</w:t>
            </w:r>
          </w:p>
        </w:tc>
      </w:tr>
    </w:tbl>
    <w:p w:rsidR="00D92EA5" w:rsidRPr="00D92EA5" w:rsidRDefault="00D92EA5" w:rsidP="00D92EA5">
      <w:pPr>
        <w:rPr>
          <w:rFonts w:ascii="Times New Roman" w:hAnsi="Times New Roman" w:cs="Times New Roman"/>
          <w:sz w:val="24"/>
          <w:szCs w:val="24"/>
        </w:rPr>
      </w:pPr>
      <w:r w:rsidRPr="00D92EA5">
        <w:rPr>
          <w:rFonts w:ascii="Times New Roman" w:hAnsi="Times New Roman" w:cs="Times New Roman"/>
          <w:sz w:val="24"/>
          <w:szCs w:val="24"/>
        </w:rPr>
        <w:t>(Source: financials.morningstar.com for AstraZeneca Plc)</w:t>
      </w:r>
    </w:p>
    <w:p w:rsidR="00D92EA5" w:rsidRDefault="00D92EA5" w:rsidP="00F40E0D">
      <w:pPr>
        <w:spacing w:line="360" w:lineRule="auto"/>
        <w:jc w:val="both"/>
        <w:rPr>
          <w:rFonts w:ascii="Times New Roman" w:hAnsi="Times New Roman" w:cs="Times New Roman"/>
          <w:sz w:val="24"/>
          <w:szCs w:val="24"/>
        </w:rPr>
      </w:pPr>
    </w:p>
    <w:p w:rsidR="00C71278" w:rsidRDefault="00C71278" w:rsidP="00F40E0D">
      <w:pPr>
        <w:spacing w:line="360" w:lineRule="auto"/>
        <w:jc w:val="both"/>
        <w:rPr>
          <w:rFonts w:ascii="Times New Roman" w:hAnsi="Times New Roman" w:cs="Times New Roman"/>
          <w:sz w:val="24"/>
          <w:szCs w:val="24"/>
        </w:rPr>
      </w:pPr>
    </w:p>
    <w:p w:rsidR="00C71278" w:rsidRDefault="00C71278" w:rsidP="00F40E0D">
      <w:pPr>
        <w:spacing w:line="360" w:lineRule="auto"/>
        <w:jc w:val="both"/>
        <w:rPr>
          <w:rFonts w:ascii="Times New Roman" w:hAnsi="Times New Roman" w:cs="Times New Roman"/>
          <w:sz w:val="24"/>
          <w:szCs w:val="24"/>
        </w:rPr>
      </w:pPr>
    </w:p>
    <w:p w:rsidR="00C71278" w:rsidRDefault="00C71278" w:rsidP="00F40E0D">
      <w:pPr>
        <w:spacing w:line="360" w:lineRule="auto"/>
        <w:jc w:val="both"/>
        <w:rPr>
          <w:rFonts w:ascii="Times New Roman" w:hAnsi="Times New Roman" w:cs="Times New Roman"/>
          <w:sz w:val="24"/>
          <w:szCs w:val="24"/>
        </w:rPr>
      </w:pPr>
    </w:p>
    <w:p w:rsidR="00C71278" w:rsidRDefault="00C71278" w:rsidP="00F40E0D">
      <w:pPr>
        <w:spacing w:line="360" w:lineRule="auto"/>
        <w:jc w:val="both"/>
        <w:rPr>
          <w:rFonts w:ascii="Times New Roman" w:hAnsi="Times New Roman" w:cs="Times New Roman"/>
          <w:sz w:val="24"/>
          <w:szCs w:val="24"/>
        </w:rPr>
      </w:pPr>
    </w:p>
    <w:p w:rsidR="005A690B" w:rsidRPr="00C71278" w:rsidRDefault="005A690B" w:rsidP="005A690B">
      <w:pPr>
        <w:spacing w:line="360" w:lineRule="auto"/>
        <w:jc w:val="both"/>
        <w:rPr>
          <w:rFonts w:ascii="Times New Roman" w:hAnsi="Times New Roman" w:cs="Times New Roman"/>
          <w:sz w:val="28"/>
          <w:szCs w:val="28"/>
        </w:rPr>
      </w:pPr>
      <w:r w:rsidRPr="00C71278">
        <w:rPr>
          <w:rFonts w:ascii="Times New Roman" w:hAnsi="Times New Roman" w:cs="Times New Roman"/>
          <w:sz w:val="28"/>
          <w:szCs w:val="28"/>
        </w:rPr>
        <w:lastRenderedPageBreak/>
        <w:t xml:space="preserve">It can be evaluated from the comparative figures of the fixed asset turnover of both the pharmaceutical company that AstraZeneca Plc has a better fixed asset turnover than GSK Plc. the reason is AstraZeneca Plc has fixed asset turnover far more than GSK Plc in last 5 consecutive financial </w:t>
      </w:r>
      <w:proofErr w:type="gramStart"/>
      <w:r w:rsidRPr="00C71278">
        <w:rPr>
          <w:rFonts w:ascii="Times New Roman" w:hAnsi="Times New Roman" w:cs="Times New Roman"/>
          <w:sz w:val="28"/>
          <w:szCs w:val="28"/>
        </w:rPr>
        <w:t>year</w:t>
      </w:r>
      <w:proofErr w:type="gramEnd"/>
      <w:r w:rsidRPr="00C71278">
        <w:rPr>
          <w:rFonts w:ascii="Times New Roman" w:hAnsi="Times New Roman" w:cs="Times New Roman"/>
          <w:sz w:val="28"/>
          <w:szCs w:val="28"/>
        </w:rPr>
        <w:t xml:space="preserve">. Therefore it can be rightly said that AstraZeneca Plc has enabled to drive more revenue and sales compared to the fixed assets that it possess. In other words, it can be rightly said that the asset utilization </w:t>
      </w:r>
      <w:proofErr w:type="gramStart"/>
      <w:r w:rsidRPr="00C71278">
        <w:rPr>
          <w:rFonts w:ascii="Times New Roman" w:hAnsi="Times New Roman" w:cs="Times New Roman"/>
          <w:sz w:val="28"/>
          <w:szCs w:val="28"/>
        </w:rPr>
        <w:t>of  AstraZeneca</w:t>
      </w:r>
      <w:proofErr w:type="gramEnd"/>
      <w:r w:rsidRPr="00C71278">
        <w:rPr>
          <w:rFonts w:ascii="Times New Roman" w:hAnsi="Times New Roman" w:cs="Times New Roman"/>
          <w:sz w:val="28"/>
          <w:szCs w:val="28"/>
        </w:rPr>
        <w:t xml:space="preserve"> Plc is very high as compared to GSK Plc. It is also evident from </w:t>
      </w:r>
      <w:proofErr w:type="gramStart"/>
      <w:r w:rsidRPr="00C71278">
        <w:rPr>
          <w:rFonts w:ascii="Times New Roman" w:hAnsi="Times New Roman" w:cs="Times New Roman"/>
          <w:sz w:val="28"/>
          <w:szCs w:val="28"/>
        </w:rPr>
        <w:t>the  fixed</w:t>
      </w:r>
      <w:proofErr w:type="gramEnd"/>
      <w:r w:rsidRPr="00C71278">
        <w:rPr>
          <w:rFonts w:ascii="Times New Roman" w:hAnsi="Times New Roman" w:cs="Times New Roman"/>
          <w:sz w:val="28"/>
          <w:szCs w:val="28"/>
        </w:rPr>
        <w:t xml:space="preserve"> assets turnover of GSK Plc that this pharmaceutical company could not able to generate revenue more than the fixed assets in none of last 5 financial year. Therefore, the management of the GSK plc must take appropriate measure which will enable the company to have a better fixed asset utilization rate. </w:t>
      </w:r>
    </w:p>
    <w:p w:rsidR="005A690B" w:rsidRPr="00C71278" w:rsidRDefault="005A690B" w:rsidP="005A690B">
      <w:pPr>
        <w:spacing w:line="360" w:lineRule="auto"/>
        <w:jc w:val="both"/>
        <w:rPr>
          <w:rFonts w:ascii="Times New Roman" w:hAnsi="Times New Roman" w:cs="Times New Roman"/>
          <w:sz w:val="28"/>
          <w:szCs w:val="28"/>
        </w:rPr>
      </w:pPr>
      <w:r w:rsidRPr="00C71278">
        <w:rPr>
          <w:rFonts w:ascii="Times New Roman" w:hAnsi="Times New Roman" w:cs="Times New Roman"/>
          <w:sz w:val="28"/>
          <w:szCs w:val="28"/>
        </w:rPr>
        <w:t xml:space="preserve">Considering the aspects and the figures of the creditors ratio, it can be evaluated that the GSK Plc as a company has a better figures as they could hold the creditors hold back for longer period than AstraZeneca Plc. though payment to creditors is essentially very </w:t>
      </w:r>
      <w:proofErr w:type="gramStart"/>
      <w:r w:rsidRPr="00C71278">
        <w:rPr>
          <w:rFonts w:ascii="Times New Roman" w:hAnsi="Times New Roman" w:cs="Times New Roman"/>
          <w:sz w:val="28"/>
          <w:szCs w:val="28"/>
        </w:rPr>
        <w:t>important ,</w:t>
      </w:r>
      <w:proofErr w:type="gramEnd"/>
      <w:r w:rsidRPr="00C71278">
        <w:rPr>
          <w:rFonts w:ascii="Times New Roman" w:hAnsi="Times New Roman" w:cs="Times New Roman"/>
          <w:sz w:val="28"/>
          <w:szCs w:val="28"/>
        </w:rPr>
        <w:t xml:space="preserve"> but it is also at the same time critically important to hold payments as long as possible as company could use the financial resources in other productive activities. So it is important for AstraZeneca plc as a company to increase the creditor’s payment period further little more which will enable to use the financial resources in other productive activities in the mean time. </w:t>
      </w:r>
    </w:p>
    <w:p w:rsidR="005A690B" w:rsidRDefault="005A690B" w:rsidP="005A690B">
      <w:pPr>
        <w:spacing w:line="360" w:lineRule="auto"/>
        <w:jc w:val="both"/>
        <w:rPr>
          <w:rFonts w:ascii="Times New Roman" w:hAnsi="Times New Roman" w:cs="Times New Roman"/>
          <w:sz w:val="24"/>
          <w:szCs w:val="24"/>
        </w:rPr>
      </w:pPr>
    </w:p>
    <w:p w:rsidR="00417024" w:rsidRDefault="00417024" w:rsidP="005A690B">
      <w:pPr>
        <w:spacing w:line="360" w:lineRule="auto"/>
        <w:jc w:val="both"/>
        <w:rPr>
          <w:rFonts w:ascii="Times New Roman" w:hAnsi="Times New Roman" w:cs="Times New Roman"/>
          <w:sz w:val="24"/>
          <w:szCs w:val="24"/>
        </w:rPr>
      </w:pPr>
    </w:p>
    <w:p w:rsidR="00417024" w:rsidRDefault="00417024" w:rsidP="005A690B">
      <w:pPr>
        <w:spacing w:line="360" w:lineRule="auto"/>
        <w:jc w:val="both"/>
        <w:rPr>
          <w:rFonts w:ascii="Times New Roman" w:hAnsi="Times New Roman" w:cs="Times New Roman"/>
          <w:sz w:val="24"/>
          <w:szCs w:val="24"/>
        </w:rPr>
      </w:pPr>
    </w:p>
    <w:p w:rsidR="00417024" w:rsidRDefault="00417024" w:rsidP="005A690B">
      <w:pPr>
        <w:spacing w:line="360" w:lineRule="auto"/>
        <w:jc w:val="both"/>
        <w:rPr>
          <w:rFonts w:ascii="Times New Roman" w:hAnsi="Times New Roman" w:cs="Times New Roman"/>
          <w:sz w:val="24"/>
          <w:szCs w:val="24"/>
        </w:rPr>
      </w:pPr>
    </w:p>
    <w:p w:rsidR="00417024" w:rsidRDefault="00417024" w:rsidP="005A690B">
      <w:pPr>
        <w:spacing w:line="360" w:lineRule="auto"/>
        <w:jc w:val="both"/>
        <w:rPr>
          <w:rFonts w:ascii="Times New Roman" w:hAnsi="Times New Roman" w:cs="Times New Roman"/>
          <w:sz w:val="24"/>
          <w:szCs w:val="24"/>
        </w:rPr>
      </w:pPr>
    </w:p>
    <w:p w:rsidR="005A690B" w:rsidRPr="00C71278" w:rsidRDefault="005A690B" w:rsidP="005A690B">
      <w:pPr>
        <w:spacing w:line="360" w:lineRule="auto"/>
        <w:jc w:val="both"/>
        <w:rPr>
          <w:rFonts w:ascii="Times New Roman" w:hAnsi="Times New Roman" w:cs="Times New Roman"/>
          <w:b/>
          <w:sz w:val="28"/>
          <w:szCs w:val="28"/>
          <w:u w:val="single"/>
        </w:rPr>
      </w:pPr>
      <w:r w:rsidRPr="00C71278">
        <w:rPr>
          <w:rFonts w:ascii="Times New Roman" w:hAnsi="Times New Roman" w:cs="Times New Roman"/>
          <w:b/>
          <w:sz w:val="28"/>
          <w:szCs w:val="28"/>
          <w:u w:val="single"/>
        </w:rPr>
        <w:lastRenderedPageBreak/>
        <w:t>Comparative Analysis of Gearing of GSK plc with AstraZeneca Plc:</w:t>
      </w:r>
    </w:p>
    <w:p w:rsidR="005A690B" w:rsidRPr="00C71278" w:rsidRDefault="00081205" w:rsidP="005A690B">
      <w:pPr>
        <w:spacing w:line="360" w:lineRule="auto"/>
        <w:jc w:val="both"/>
        <w:rPr>
          <w:rFonts w:ascii="Times New Roman" w:hAnsi="Times New Roman" w:cs="Times New Roman"/>
          <w:sz w:val="28"/>
          <w:szCs w:val="28"/>
        </w:rPr>
      </w:pPr>
      <w:r w:rsidRPr="00C71278">
        <w:rPr>
          <w:rFonts w:ascii="Times New Roman" w:hAnsi="Times New Roman" w:cs="Times New Roman"/>
          <w:sz w:val="28"/>
          <w:szCs w:val="28"/>
        </w:rPr>
        <w:t xml:space="preserve">In order to make a comparative assessment of the gearing of the firms, the debt to equity ratio has been considered for analyzing the gearing of the firms. The </w:t>
      </w:r>
      <w:r w:rsidR="00C71278" w:rsidRPr="00C71278">
        <w:rPr>
          <w:rFonts w:ascii="Times New Roman" w:hAnsi="Times New Roman" w:cs="Times New Roman"/>
          <w:sz w:val="28"/>
          <w:szCs w:val="28"/>
        </w:rPr>
        <w:t>value of the debt equity ratio of both the companies has</w:t>
      </w:r>
      <w:r w:rsidRPr="00C71278">
        <w:rPr>
          <w:rFonts w:ascii="Times New Roman" w:hAnsi="Times New Roman" w:cs="Times New Roman"/>
          <w:sz w:val="28"/>
          <w:szCs w:val="28"/>
        </w:rPr>
        <w:t xml:space="preserve"> been provided below.</w:t>
      </w:r>
    </w:p>
    <w:tbl>
      <w:tblPr>
        <w:tblW w:w="9368" w:type="dxa"/>
        <w:tblInd w:w="89" w:type="dxa"/>
        <w:tblLook w:val="04A0"/>
      </w:tblPr>
      <w:tblGrid>
        <w:gridCol w:w="4168"/>
        <w:gridCol w:w="1244"/>
        <w:gridCol w:w="989"/>
        <w:gridCol w:w="989"/>
        <w:gridCol w:w="989"/>
        <w:gridCol w:w="989"/>
      </w:tblGrid>
      <w:tr w:rsidR="00081205" w:rsidRPr="00081205" w:rsidTr="00081205">
        <w:trPr>
          <w:trHeight w:val="364"/>
        </w:trPr>
        <w:tc>
          <w:tcPr>
            <w:tcW w:w="9367" w:type="dxa"/>
            <w:gridSpan w:val="6"/>
            <w:tcBorders>
              <w:top w:val="single" w:sz="4" w:space="0" w:color="auto"/>
              <w:left w:val="single" w:sz="4" w:space="0" w:color="auto"/>
              <w:bottom w:val="single" w:sz="4" w:space="0" w:color="auto"/>
              <w:right w:val="single" w:sz="4" w:space="0" w:color="auto"/>
            </w:tcBorders>
            <w:shd w:val="clear" w:color="000000" w:fill="92D050"/>
            <w:noWrap/>
            <w:vAlign w:val="bottom"/>
            <w:hideMark/>
          </w:tcPr>
          <w:p w:rsidR="00081205" w:rsidRPr="00081205" w:rsidRDefault="00081205" w:rsidP="00081205">
            <w:pPr>
              <w:spacing w:after="0" w:line="240" w:lineRule="auto"/>
              <w:jc w:val="center"/>
              <w:rPr>
                <w:rFonts w:ascii="Calibri" w:eastAsia="Times New Roman" w:hAnsi="Calibri" w:cs="Calibri"/>
                <w:color w:val="000000"/>
              </w:rPr>
            </w:pPr>
            <w:r w:rsidRPr="00081205">
              <w:rPr>
                <w:rFonts w:ascii="Calibri" w:eastAsia="Times New Roman" w:hAnsi="Calibri" w:cs="Calibri"/>
                <w:color w:val="000000"/>
              </w:rPr>
              <w:t xml:space="preserve">Debt/ Equity ratio </w:t>
            </w:r>
          </w:p>
        </w:tc>
      </w:tr>
      <w:tr w:rsidR="00081205" w:rsidRPr="00081205" w:rsidTr="00081205">
        <w:trPr>
          <w:trHeight w:val="364"/>
        </w:trPr>
        <w:tc>
          <w:tcPr>
            <w:tcW w:w="4168" w:type="dxa"/>
            <w:tcBorders>
              <w:top w:val="nil"/>
              <w:left w:val="single" w:sz="4" w:space="0" w:color="auto"/>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rPr>
                <w:rFonts w:ascii="Calibri" w:eastAsia="Times New Roman" w:hAnsi="Calibri" w:cs="Calibri"/>
                <w:color w:val="000000"/>
              </w:rPr>
            </w:pPr>
            <w:r w:rsidRPr="00081205">
              <w:rPr>
                <w:rFonts w:ascii="Calibri" w:eastAsia="Times New Roman" w:hAnsi="Calibri" w:cs="Calibri"/>
                <w:color w:val="000000"/>
              </w:rPr>
              <w:t> </w:t>
            </w:r>
          </w:p>
        </w:tc>
        <w:tc>
          <w:tcPr>
            <w:tcW w:w="1244" w:type="dxa"/>
            <w:tcBorders>
              <w:top w:val="nil"/>
              <w:left w:val="nil"/>
              <w:bottom w:val="single" w:sz="4" w:space="0" w:color="auto"/>
              <w:right w:val="single" w:sz="4" w:space="0" w:color="auto"/>
            </w:tcBorders>
            <w:shd w:val="clear" w:color="000000" w:fill="D7E4BC"/>
            <w:noWrap/>
            <w:vAlign w:val="bottom"/>
            <w:hideMark/>
          </w:tcPr>
          <w:p w:rsidR="00081205" w:rsidRPr="00081205" w:rsidRDefault="00081205" w:rsidP="00081205">
            <w:pPr>
              <w:spacing w:after="0" w:line="240" w:lineRule="auto"/>
              <w:jc w:val="right"/>
              <w:rPr>
                <w:rFonts w:ascii="Calibri" w:eastAsia="Times New Roman" w:hAnsi="Calibri" w:cs="Calibri"/>
                <w:color w:val="000000"/>
                <w:sz w:val="16"/>
                <w:szCs w:val="16"/>
              </w:rPr>
            </w:pPr>
            <w:r w:rsidRPr="00081205">
              <w:rPr>
                <w:rFonts w:ascii="Calibri" w:eastAsia="Times New Roman" w:hAnsi="Calibri" w:cs="Calibri"/>
                <w:color w:val="000000"/>
                <w:sz w:val="16"/>
                <w:szCs w:val="16"/>
              </w:rPr>
              <w:t>2016</w:t>
            </w:r>
          </w:p>
        </w:tc>
        <w:tc>
          <w:tcPr>
            <w:tcW w:w="989" w:type="dxa"/>
            <w:tcBorders>
              <w:top w:val="nil"/>
              <w:left w:val="nil"/>
              <w:bottom w:val="single" w:sz="4" w:space="0" w:color="auto"/>
              <w:right w:val="single" w:sz="4" w:space="0" w:color="auto"/>
            </w:tcBorders>
            <w:shd w:val="clear" w:color="000000" w:fill="D7E4BC"/>
            <w:noWrap/>
            <w:vAlign w:val="bottom"/>
            <w:hideMark/>
          </w:tcPr>
          <w:p w:rsidR="00081205" w:rsidRPr="00081205" w:rsidRDefault="00081205" w:rsidP="00081205">
            <w:pPr>
              <w:spacing w:after="0" w:line="240" w:lineRule="auto"/>
              <w:jc w:val="right"/>
              <w:rPr>
                <w:rFonts w:ascii="Calibri" w:eastAsia="Times New Roman" w:hAnsi="Calibri" w:cs="Calibri"/>
                <w:color w:val="000000"/>
                <w:sz w:val="16"/>
                <w:szCs w:val="16"/>
              </w:rPr>
            </w:pPr>
            <w:r w:rsidRPr="00081205">
              <w:rPr>
                <w:rFonts w:ascii="Calibri" w:eastAsia="Times New Roman" w:hAnsi="Calibri" w:cs="Calibri"/>
                <w:color w:val="000000"/>
                <w:sz w:val="16"/>
                <w:szCs w:val="16"/>
              </w:rPr>
              <w:t>2015</w:t>
            </w:r>
          </w:p>
        </w:tc>
        <w:tc>
          <w:tcPr>
            <w:tcW w:w="989" w:type="dxa"/>
            <w:tcBorders>
              <w:top w:val="nil"/>
              <w:left w:val="nil"/>
              <w:bottom w:val="single" w:sz="4" w:space="0" w:color="auto"/>
              <w:right w:val="single" w:sz="4" w:space="0" w:color="auto"/>
            </w:tcBorders>
            <w:shd w:val="clear" w:color="000000" w:fill="D7E4BC"/>
            <w:noWrap/>
            <w:vAlign w:val="bottom"/>
            <w:hideMark/>
          </w:tcPr>
          <w:p w:rsidR="00081205" w:rsidRPr="00081205" w:rsidRDefault="00081205" w:rsidP="00081205">
            <w:pPr>
              <w:spacing w:after="0" w:line="240" w:lineRule="auto"/>
              <w:jc w:val="right"/>
              <w:rPr>
                <w:rFonts w:ascii="Calibri" w:eastAsia="Times New Roman" w:hAnsi="Calibri" w:cs="Calibri"/>
                <w:color w:val="000000"/>
                <w:sz w:val="16"/>
                <w:szCs w:val="16"/>
              </w:rPr>
            </w:pPr>
            <w:r w:rsidRPr="00081205">
              <w:rPr>
                <w:rFonts w:ascii="Calibri" w:eastAsia="Times New Roman" w:hAnsi="Calibri" w:cs="Calibri"/>
                <w:color w:val="000000"/>
                <w:sz w:val="16"/>
                <w:szCs w:val="16"/>
              </w:rPr>
              <w:t>2014</w:t>
            </w:r>
          </w:p>
        </w:tc>
        <w:tc>
          <w:tcPr>
            <w:tcW w:w="989" w:type="dxa"/>
            <w:tcBorders>
              <w:top w:val="nil"/>
              <w:left w:val="nil"/>
              <w:bottom w:val="single" w:sz="4" w:space="0" w:color="auto"/>
              <w:right w:val="single" w:sz="4" w:space="0" w:color="auto"/>
            </w:tcBorders>
            <w:shd w:val="clear" w:color="000000" w:fill="D7E4BC"/>
            <w:noWrap/>
            <w:vAlign w:val="bottom"/>
            <w:hideMark/>
          </w:tcPr>
          <w:p w:rsidR="00081205" w:rsidRPr="00081205" w:rsidRDefault="00081205" w:rsidP="00081205">
            <w:pPr>
              <w:spacing w:after="0" w:line="240" w:lineRule="auto"/>
              <w:jc w:val="right"/>
              <w:rPr>
                <w:rFonts w:ascii="Calibri" w:eastAsia="Times New Roman" w:hAnsi="Calibri" w:cs="Calibri"/>
                <w:color w:val="000000"/>
                <w:sz w:val="16"/>
                <w:szCs w:val="16"/>
              </w:rPr>
            </w:pPr>
            <w:r w:rsidRPr="00081205">
              <w:rPr>
                <w:rFonts w:ascii="Calibri" w:eastAsia="Times New Roman" w:hAnsi="Calibri" w:cs="Calibri"/>
                <w:color w:val="000000"/>
                <w:sz w:val="16"/>
                <w:szCs w:val="16"/>
              </w:rPr>
              <w:t>2013</w:t>
            </w:r>
          </w:p>
        </w:tc>
        <w:tc>
          <w:tcPr>
            <w:tcW w:w="989" w:type="dxa"/>
            <w:tcBorders>
              <w:top w:val="nil"/>
              <w:left w:val="nil"/>
              <w:bottom w:val="single" w:sz="4" w:space="0" w:color="auto"/>
              <w:right w:val="single" w:sz="4" w:space="0" w:color="auto"/>
            </w:tcBorders>
            <w:shd w:val="clear" w:color="000000" w:fill="D7E4BC"/>
            <w:noWrap/>
            <w:vAlign w:val="bottom"/>
            <w:hideMark/>
          </w:tcPr>
          <w:p w:rsidR="00081205" w:rsidRPr="00081205" w:rsidRDefault="00081205" w:rsidP="00081205">
            <w:pPr>
              <w:spacing w:after="0" w:line="240" w:lineRule="auto"/>
              <w:jc w:val="right"/>
              <w:rPr>
                <w:rFonts w:ascii="Calibri" w:eastAsia="Times New Roman" w:hAnsi="Calibri" w:cs="Calibri"/>
                <w:color w:val="000000"/>
                <w:sz w:val="16"/>
                <w:szCs w:val="16"/>
              </w:rPr>
            </w:pPr>
            <w:r w:rsidRPr="00081205">
              <w:rPr>
                <w:rFonts w:ascii="Calibri" w:eastAsia="Times New Roman" w:hAnsi="Calibri" w:cs="Calibri"/>
                <w:color w:val="000000"/>
                <w:sz w:val="16"/>
                <w:szCs w:val="16"/>
              </w:rPr>
              <w:t>2012</w:t>
            </w:r>
          </w:p>
        </w:tc>
      </w:tr>
      <w:tr w:rsidR="00081205" w:rsidRPr="00081205" w:rsidTr="00081205">
        <w:trPr>
          <w:trHeight w:val="364"/>
        </w:trPr>
        <w:tc>
          <w:tcPr>
            <w:tcW w:w="4168" w:type="dxa"/>
            <w:tcBorders>
              <w:top w:val="nil"/>
              <w:left w:val="single" w:sz="4" w:space="0" w:color="auto"/>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rPr>
                <w:rFonts w:ascii="Calibri" w:eastAsia="Times New Roman" w:hAnsi="Calibri" w:cs="Calibri"/>
                <w:color w:val="000000"/>
              </w:rPr>
            </w:pPr>
            <w:r w:rsidRPr="00081205">
              <w:rPr>
                <w:rFonts w:ascii="Calibri" w:eastAsia="Times New Roman" w:hAnsi="Calibri" w:cs="Calibri"/>
                <w:color w:val="000000"/>
              </w:rPr>
              <w:t xml:space="preserve">GlaxoSmithKline Plc </w:t>
            </w:r>
          </w:p>
        </w:tc>
        <w:tc>
          <w:tcPr>
            <w:tcW w:w="1244"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13.04</w:t>
            </w:r>
          </w:p>
        </w:tc>
        <w:tc>
          <w:tcPr>
            <w:tcW w:w="989"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3</w:t>
            </w:r>
          </w:p>
        </w:tc>
        <w:tc>
          <w:tcPr>
            <w:tcW w:w="989"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3.72</w:t>
            </w:r>
          </w:p>
        </w:tc>
        <w:tc>
          <w:tcPr>
            <w:tcW w:w="989"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2.21</w:t>
            </w:r>
          </w:p>
        </w:tc>
        <w:tc>
          <w:tcPr>
            <w:tcW w:w="989"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2.53</w:t>
            </w:r>
          </w:p>
        </w:tc>
      </w:tr>
      <w:tr w:rsidR="00081205" w:rsidRPr="00081205" w:rsidTr="00081205">
        <w:trPr>
          <w:trHeight w:val="364"/>
        </w:trPr>
        <w:tc>
          <w:tcPr>
            <w:tcW w:w="4168" w:type="dxa"/>
            <w:tcBorders>
              <w:top w:val="nil"/>
              <w:left w:val="single" w:sz="4" w:space="0" w:color="auto"/>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rPr>
                <w:rFonts w:ascii="Calibri" w:eastAsia="Times New Roman" w:hAnsi="Calibri" w:cs="Calibri"/>
                <w:color w:val="000000"/>
              </w:rPr>
            </w:pPr>
            <w:r w:rsidRPr="00081205">
              <w:rPr>
                <w:rFonts w:ascii="Calibri" w:eastAsia="Times New Roman" w:hAnsi="Calibri" w:cs="Calibri"/>
                <w:color w:val="000000"/>
              </w:rPr>
              <w:t xml:space="preserve">AstraZeneca Plc </w:t>
            </w:r>
          </w:p>
        </w:tc>
        <w:tc>
          <w:tcPr>
            <w:tcW w:w="1244"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0.98</w:t>
            </w:r>
          </w:p>
        </w:tc>
        <w:tc>
          <w:tcPr>
            <w:tcW w:w="989"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0.76</w:t>
            </w:r>
          </w:p>
        </w:tc>
        <w:tc>
          <w:tcPr>
            <w:tcW w:w="989"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0.43</w:t>
            </w:r>
          </w:p>
        </w:tc>
        <w:tc>
          <w:tcPr>
            <w:tcW w:w="989"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0.37</w:t>
            </w:r>
          </w:p>
        </w:tc>
        <w:tc>
          <w:tcPr>
            <w:tcW w:w="989" w:type="dxa"/>
            <w:tcBorders>
              <w:top w:val="nil"/>
              <w:left w:val="nil"/>
              <w:bottom w:val="single" w:sz="4" w:space="0" w:color="auto"/>
              <w:right w:val="single" w:sz="4" w:space="0" w:color="auto"/>
            </w:tcBorders>
            <w:shd w:val="clear" w:color="auto" w:fill="auto"/>
            <w:noWrap/>
            <w:vAlign w:val="bottom"/>
            <w:hideMark/>
          </w:tcPr>
          <w:p w:rsidR="00081205" w:rsidRPr="00081205" w:rsidRDefault="00081205" w:rsidP="00081205">
            <w:pPr>
              <w:spacing w:after="0" w:line="240" w:lineRule="auto"/>
              <w:jc w:val="right"/>
              <w:rPr>
                <w:rFonts w:ascii="Calibri" w:eastAsia="Times New Roman" w:hAnsi="Calibri" w:cs="Calibri"/>
                <w:color w:val="000000"/>
              </w:rPr>
            </w:pPr>
            <w:r w:rsidRPr="00081205">
              <w:rPr>
                <w:rFonts w:ascii="Calibri" w:eastAsia="Times New Roman" w:hAnsi="Calibri" w:cs="Calibri"/>
                <w:color w:val="000000"/>
              </w:rPr>
              <w:t>0.4</w:t>
            </w:r>
          </w:p>
        </w:tc>
      </w:tr>
    </w:tbl>
    <w:p w:rsidR="00081205" w:rsidRDefault="00081205" w:rsidP="005A690B">
      <w:pPr>
        <w:spacing w:line="360" w:lineRule="auto"/>
        <w:jc w:val="both"/>
        <w:rPr>
          <w:rFonts w:ascii="Times New Roman" w:hAnsi="Times New Roman" w:cs="Times New Roman"/>
          <w:sz w:val="24"/>
          <w:szCs w:val="24"/>
        </w:rPr>
      </w:pPr>
    </w:p>
    <w:p w:rsidR="00081205" w:rsidRPr="00C71278" w:rsidRDefault="00081205" w:rsidP="005A690B">
      <w:pPr>
        <w:spacing w:line="360" w:lineRule="auto"/>
        <w:jc w:val="both"/>
        <w:rPr>
          <w:rFonts w:ascii="Times New Roman" w:hAnsi="Times New Roman" w:cs="Times New Roman"/>
          <w:sz w:val="28"/>
          <w:szCs w:val="28"/>
        </w:rPr>
      </w:pPr>
      <w:r w:rsidRPr="00C71278">
        <w:rPr>
          <w:rFonts w:ascii="Times New Roman" w:hAnsi="Times New Roman" w:cs="Times New Roman"/>
          <w:sz w:val="28"/>
          <w:szCs w:val="28"/>
        </w:rPr>
        <w:t xml:space="preserve">Debt Equity ratio is the ratio which evaluated the degree of debt capital the company has used to finance the assets of the company relative to the equity capital of the company. It can be evaluated that AstraZeneca plc has a far less debt component in its capital than the equity as compared to GSK Plc which has a very high debt component in its capital as compared to </w:t>
      </w:r>
      <w:r w:rsidR="003C3077" w:rsidRPr="00C71278">
        <w:rPr>
          <w:rFonts w:ascii="Times New Roman" w:hAnsi="Times New Roman" w:cs="Times New Roman"/>
          <w:sz w:val="28"/>
          <w:szCs w:val="28"/>
        </w:rPr>
        <w:t>its</w:t>
      </w:r>
      <w:r w:rsidRPr="00C71278">
        <w:rPr>
          <w:rFonts w:ascii="Times New Roman" w:hAnsi="Times New Roman" w:cs="Times New Roman"/>
          <w:sz w:val="28"/>
          <w:szCs w:val="28"/>
        </w:rPr>
        <w:t xml:space="preserve"> equity capital. So it can be ascertained that </w:t>
      </w:r>
      <w:r w:rsidR="003C3077" w:rsidRPr="00C71278">
        <w:rPr>
          <w:rFonts w:ascii="Times New Roman" w:hAnsi="Times New Roman" w:cs="Times New Roman"/>
          <w:sz w:val="28"/>
          <w:szCs w:val="28"/>
        </w:rPr>
        <w:t xml:space="preserve">GSK plc is much more levered than AstraZeneca </w:t>
      </w:r>
      <w:proofErr w:type="gramStart"/>
      <w:r w:rsidR="003C3077" w:rsidRPr="00C71278">
        <w:rPr>
          <w:rFonts w:ascii="Times New Roman" w:hAnsi="Times New Roman" w:cs="Times New Roman"/>
          <w:sz w:val="28"/>
          <w:szCs w:val="28"/>
        </w:rPr>
        <w:t>Plc .</w:t>
      </w:r>
      <w:proofErr w:type="gramEnd"/>
      <w:r w:rsidR="003C3077" w:rsidRPr="00C71278">
        <w:rPr>
          <w:rFonts w:ascii="Times New Roman" w:hAnsi="Times New Roman" w:cs="Times New Roman"/>
          <w:sz w:val="28"/>
          <w:szCs w:val="28"/>
        </w:rPr>
        <w:t xml:space="preserve"> Though utilization of debt is good, but too much debt impact the overall liability of the company in future repayment and also impacts the profitability. Therefore it is advisable that debt must be used till a controllable level beyond which it is difficult to serve the borrowings. So it is recommended that GSK plc must reduce the debt to a significant level which will enhance their profitability in future time frame which will help in reduction of the debt finance expenses. </w:t>
      </w:r>
    </w:p>
    <w:p w:rsidR="0082783E" w:rsidRDefault="0082783E" w:rsidP="0082783E">
      <w:pPr>
        <w:pStyle w:val="Heading1"/>
        <w:jc w:val="both"/>
      </w:pPr>
    </w:p>
    <w:p w:rsidR="00417024" w:rsidRDefault="00417024" w:rsidP="00417024"/>
    <w:p w:rsidR="00417024" w:rsidRDefault="00417024" w:rsidP="00417024"/>
    <w:p w:rsidR="00417024" w:rsidRDefault="00417024" w:rsidP="00417024"/>
    <w:p w:rsidR="00417024" w:rsidRPr="00417024" w:rsidRDefault="00417024" w:rsidP="00417024"/>
    <w:p w:rsidR="0082783E" w:rsidRDefault="0082783E" w:rsidP="0082783E">
      <w:pPr>
        <w:pStyle w:val="Heading1"/>
        <w:jc w:val="both"/>
        <w:rPr>
          <w:rFonts w:ascii="Times New Roman" w:hAnsi="Times New Roman" w:cs="Times New Roman"/>
          <w:sz w:val="32"/>
          <w:szCs w:val="32"/>
        </w:rPr>
      </w:pPr>
      <w:bookmarkStart w:id="15" w:name="_Toc502273005"/>
      <w:r w:rsidRPr="00C71278">
        <w:rPr>
          <w:rFonts w:ascii="Times New Roman" w:hAnsi="Times New Roman" w:cs="Times New Roman"/>
          <w:sz w:val="32"/>
          <w:szCs w:val="32"/>
        </w:rPr>
        <w:lastRenderedPageBreak/>
        <w:t>6) Advantages and Limitations of Using Financial Ratio Analysis for evaluating financial performance:</w:t>
      </w:r>
      <w:bookmarkEnd w:id="15"/>
      <w:r w:rsidRPr="00C71278">
        <w:rPr>
          <w:rFonts w:ascii="Times New Roman" w:hAnsi="Times New Roman" w:cs="Times New Roman"/>
          <w:sz w:val="32"/>
          <w:szCs w:val="32"/>
        </w:rPr>
        <w:t xml:space="preserve"> </w:t>
      </w:r>
    </w:p>
    <w:p w:rsidR="00C71278" w:rsidRPr="00C71278" w:rsidRDefault="00C71278" w:rsidP="00C71278"/>
    <w:p w:rsidR="00531519" w:rsidRPr="00C71278" w:rsidRDefault="00531519" w:rsidP="00531519">
      <w:pPr>
        <w:spacing w:line="360" w:lineRule="auto"/>
        <w:jc w:val="both"/>
        <w:rPr>
          <w:rFonts w:ascii="Times New Roman" w:hAnsi="Times New Roman"/>
          <w:sz w:val="28"/>
          <w:szCs w:val="28"/>
        </w:rPr>
      </w:pPr>
      <w:r w:rsidRPr="00C71278">
        <w:rPr>
          <w:rFonts w:ascii="Times New Roman" w:hAnsi="Times New Roman"/>
          <w:sz w:val="28"/>
          <w:szCs w:val="28"/>
        </w:rPr>
        <w:t xml:space="preserve">Ratio analysis is </w:t>
      </w:r>
      <w:r w:rsidR="0082783E" w:rsidRPr="00C71278">
        <w:rPr>
          <w:rFonts w:ascii="Times New Roman" w:hAnsi="Times New Roman"/>
          <w:sz w:val="28"/>
          <w:szCs w:val="28"/>
        </w:rPr>
        <w:t>a techniques</w:t>
      </w:r>
      <w:r w:rsidRPr="00C71278">
        <w:rPr>
          <w:rFonts w:ascii="Times New Roman" w:hAnsi="Times New Roman"/>
          <w:sz w:val="28"/>
          <w:szCs w:val="28"/>
        </w:rPr>
        <w:t xml:space="preserve"> </w:t>
      </w:r>
      <w:proofErr w:type="gramStart"/>
      <w:r w:rsidR="0082783E" w:rsidRPr="00C71278">
        <w:rPr>
          <w:rFonts w:ascii="Times New Roman" w:hAnsi="Times New Roman"/>
          <w:sz w:val="28"/>
          <w:szCs w:val="28"/>
        </w:rPr>
        <w:t xml:space="preserve">for </w:t>
      </w:r>
      <w:r w:rsidRPr="00C71278">
        <w:rPr>
          <w:rFonts w:ascii="Times New Roman" w:hAnsi="Times New Roman"/>
          <w:sz w:val="28"/>
          <w:szCs w:val="28"/>
        </w:rPr>
        <w:t xml:space="preserve"> interpretation</w:t>
      </w:r>
      <w:proofErr w:type="gramEnd"/>
      <w:r w:rsidRPr="00C71278">
        <w:rPr>
          <w:rFonts w:ascii="Times New Roman" w:hAnsi="Times New Roman"/>
          <w:sz w:val="28"/>
          <w:szCs w:val="28"/>
        </w:rPr>
        <w:t xml:space="preserve"> of figures that appear in the financial statement like Balance Sheet, Fund Flow Statement and Profit and Loss Account. This process helps in comparing one figure with the others and also facilitates the stakeholders to have a </w:t>
      </w:r>
      <w:r w:rsidRPr="00C71278">
        <w:rPr>
          <w:rFonts w:ascii="Times New Roman" w:hAnsi="Times New Roman"/>
          <w:noProof/>
          <w:sz w:val="28"/>
          <w:szCs w:val="28"/>
        </w:rPr>
        <w:t>better understanding</w:t>
      </w:r>
      <w:r w:rsidRPr="00C71278">
        <w:rPr>
          <w:rFonts w:ascii="Times New Roman" w:hAnsi="Times New Roman"/>
          <w:sz w:val="28"/>
          <w:szCs w:val="28"/>
        </w:rPr>
        <w:t xml:space="preserve"> of the financial statements</w:t>
      </w:r>
      <w:r w:rsidR="0082783E" w:rsidRPr="00C71278">
        <w:rPr>
          <w:rFonts w:ascii="Times New Roman" w:hAnsi="Times New Roman"/>
          <w:sz w:val="28"/>
          <w:szCs w:val="28"/>
        </w:rPr>
        <w:t xml:space="preserve"> and performance of the company from various perspectives. </w:t>
      </w:r>
      <w:r w:rsidRPr="00C71278">
        <w:rPr>
          <w:rFonts w:ascii="Times New Roman" w:hAnsi="Times New Roman"/>
          <w:sz w:val="28"/>
          <w:szCs w:val="28"/>
        </w:rPr>
        <w:t xml:space="preserve"> </w:t>
      </w:r>
      <w:proofErr w:type="gramStart"/>
      <w:r w:rsidRPr="00C71278">
        <w:rPr>
          <w:rFonts w:ascii="Times New Roman" w:hAnsi="Times New Roman"/>
          <w:sz w:val="28"/>
          <w:szCs w:val="28"/>
        </w:rPr>
        <w:t>(</w:t>
      </w:r>
      <w:r w:rsidRPr="00C71278">
        <w:rPr>
          <w:rFonts w:ascii="Times New Roman" w:hAnsi="Times New Roman"/>
          <w:color w:val="222222"/>
          <w:sz w:val="28"/>
          <w:szCs w:val="28"/>
          <w:shd w:val="clear" w:color="auto" w:fill="FFFFFF"/>
        </w:rPr>
        <w:t>Vogel, 2014</w:t>
      </w:r>
      <w:r w:rsidRPr="00C71278">
        <w:rPr>
          <w:rFonts w:ascii="Times New Roman" w:hAnsi="Times New Roman"/>
          <w:sz w:val="28"/>
          <w:szCs w:val="28"/>
        </w:rPr>
        <w:t>).</w:t>
      </w:r>
      <w:proofErr w:type="gramEnd"/>
      <w:r w:rsidRPr="00C71278">
        <w:rPr>
          <w:rFonts w:ascii="Times New Roman" w:hAnsi="Times New Roman"/>
          <w:sz w:val="28"/>
          <w:szCs w:val="28"/>
        </w:rPr>
        <w:t xml:space="preserve"> The term Financial Ratio Analysis is determined </w:t>
      </w:r>
      <w:r w:rsidRPr="00C71278">
        <w:rPr>
          <w:rFonts w:ascii="Times New Roman" w:hAnsi="Times New Roman"/>
          <w:noProof/>
          <w:sz w:val="28"/>
          <w:szCs w:val="28"/>
        </w:rPr>
        <w:t>by</w:t>
      </w:r>
      <w:r w:rsidRPr="00C71278">
        <w:rPr>
          <w:rFonts w:ascii="Times New Roman" w:hAnsi="Times New Roman"/>
          <w:sz w:val="28"/>
          <w:szCs w:val="28"/>
        </w:rPr>
        <w:t xml:space="preserve"> the Systematic use of ratio for interpreting the financial statement in order to understand the strengths and weaknesses of the organization. Performance and productivity of the organization </w:t>
      </w:r>
      <w:r w:rsidRPr="00C71278">
        <w:rPr>
          <w:rFonts w:ascii="Times New Roman" w:hAnsi="Times New Roman"/>
          <w:noProof/>
          <w:sz w:val="28"/>
          <w:szCs w:val="28"/>
        </w:rPr>
        <w:t>depend</w:t>
      </w:r>
      <w:r w:rsidRPr="00C71278">
        <w:rPr>
          <w:rFonts w:ascii="Times New Roman" w:hAnsi="Times New Roman"/>
          <w:sz w:val="28"/>
          <w:szCs w:val="28"/>
        </w:rPr>
        <w:t xml:space="preserve"> on the historical performance and current financial position of the organization</w:t>
      </w:r>
      <w:r w:rsidR="004A0045" w:rsidRPr="00C71278">
        <w:rPr>
          <w:rFonts w:ascii="Times New Roman" w:hAnsi="Times New Roman" w:cs="Times New Roman"/>
          <w:color w:val="222222"/>
          <w:sz w:val="28"/>
          <w:szCs w:val="28"/>
          <w:shd w:val="clear" w:color="auto" w:fill="FFFFFF"/>
        </w:rPr>
        <w:t xml:space="preserve"> (</w:t>
      </w:r>
      <w:proofErr w:type="spellStart"/>
      <w:r w:rsidR="004A0045" w:rsidRPr="00C71278">
        <w:rPr>
          <w:rFonts w:ascii="Times New Roman" w:hAnsi="Times New Roman" w:cs="Times New Roman"/>
          <w:color w:val="222222"/>
          <w:sz w:val="28"/>
          <w:szCs w:val="28"/>
          <w:shd w:val="clear" w:color="auto" w:fill="FFFFFF"/>
        </w:rPr>
        <w:t>Delen</w:t>
      </w:r>
      <w:proofErr w:type="spellEnd"/>
      <w:r w:rsidR="004A0045" w:rsidRPr="00C71278">
        <w:rPr>
          <w:rFonts w:ascii="Times New Roman" w:hAnsi="Times New Roman" w:cs="Times New Roman"/>
          <w:color w:val="222222"/>
          <w:sz w:val="28"/>
          <w:szCs w:val="28"/>
          <w:shd w:val="clear" w:color="auto" w:fill="FFFFFF"/>
        </w:rPr>
        <w:t xml:space="preserve">, </w:t>
      </w:r>
      <w:proofErr w:type="spellStart"/>
      <w:r w:rsidR="004A0045" w:rsidRPr="00C71278">
        <w:rPr>
          <w:rFonts w:ascii="Times New Roman" w:hAnsi="Times New Roman" w:cs="Times New Roman"/>
          <w:color w:val="222222"/>
          <w:sz w:val="28"/>
          <w:szCs w:val="28"/>
          <w:shd w:val="clear" w:color="auto" w:fill="FFFFFF"/>
        </w:rPr>
        <w:t>Kuzey</w:t>
      </w:r>
      <w:proofErr w:type="gramStart"/>
      <w:r w:rsidR="004A0045" w:rsidRPr="00C71278">
        <w:rPr>
          <w:rFonts w:ascii="Times New Roman" w:hAnsi="Times New Roman" w:cs="Times New Roman"/>
          <w:color w:val="222222"/>
          <w:sz w:val="28"/>
          <w:szCs w:val="28"/>
          <w:shd w:val="clear" w:color="auto" w:fill="FFFFFF"/>
        </w:rPr>
        <w:t>,and</w:t>
      </w:r>
      <w:proofErr w:type="spellEnd"/>
      <w:proofErr w:type="gramEnd"/>
      <w:r w:rsidR="004A0045" w:rsidRPr="00C71278">
        <w:rPr>
          <w:rFonts w:ascii="Times New Roman" w:hAnsi="Times New Roman" w:cs="Times New Roman"/>
          <w:color w:val="222222"/>
          <w:sz w:val="28"/>
          <w:szCs w:val="28"/>
          <w:shd w:val="clear" w:color="auto" w:fill="FFFFFF"/>
        </w:rPr>
        <w:t xml:space="preserve"> </w:t>
      </w:r>
      <w:proofErr w:type="spellStart"/>
      <w:r w:rsidR="004A0045" w:rsidRPr="00C71278">
        <w:rPr>
          <w:rFonts w:ascii="Times New Roman" w:hAnsi="Times New Roman" w:cs="Times New Roman"/>
          <w:color w:val="222222"/>
          <w:sz w:val="28"/>
          <w:szCs w:val="28"/>
          <w:shd w:val="clear" w:color="auto" w:fill="FFFFFF"/>
        </w:rPr>
        <w:t>Uyar</w:t>
      </w:r>
      <w:proofErr w:type="spellEnd"/>
      <w:r w:rsidR="004A0045" w:rsidRPr="00C71278">
        <w:rPr>
          <w:rFonts w:ascii="Times New Roman" w:hAnsi="Times New Roman" w:cs="Times New Roman"/>
          <w:color w:val="222222"/>
          <w:sz w:val="28"/>
          <w:szCs w:val="28"/>
          <w:shd w:val="clear" w:color="auto" w:fill="FFFFFF"/>
        </w:rPr>
        <w:t>, 2013)</w:t>
      </w:r>
      <w:r w:rsidRPr="00C71278">
        <w:rPr>
          <w:rFonts w:ascii="Times New Roman" w:hAnsi="Times New Roman"/>
          <w:sz w:val="28"/>
          <w:szCs w:val="28"/>
        </w:rPr>
        <w:t xml:space="preserve">. This is a quite powerful tool for measuring organizational capability. </w:t>
      </w:r>
    </w:p>
    <w:p w:rsidR="00531519" w:rsidRPr="00C71278" w:rsidRDefault="00531519" w:rsidP="00531519">
      <w:pPr>
        <w:spacing w:line="360" w:lineRule="auto"/>
        <w:jc w:val="both"/>
        <w:rPr>
          <w:rFonts w:ascii="Times New Roman" w:hAnsi="Times New Roman"/>
          <w:sz w:val="28"/>
          <w:szCs w:val="28"/>
        </w:rPr>
      </w:pPr>
      <w:r w:rsidRPr="00C71278">
        <w:rPr>
          <w:rFonts w:ascii="Times New Roman" w:hAnsi="Times New Roman"/>
          <w:sz w:val="28"/>
          <w:szCs w:val="28"/>
        </w:rPr>
        <w:t>Ratio analysis basically involved four steps:</w:t>
      </w:r>
    </w:p>
    <w:p w:rsidR="00531519" w:rsidRPr="00C71278" w:rsidRDefault="00531519" w:rsidP="00531519">
      <w:pPr>
        <w:pStyle w:val="ListParagraph"/>
        <w:numPr>
          <w:ilvl w:val="0"/>
          <w:numId w:val="1"/>
        </w:numPr>
        <w:spacing w:line="360" w:lineRule="auto"/>
        <w:jc w:val="both"/>
        <w:rPr>
          <w:rFonts w:ascii="Times New Roman" w:hAnsi="Times New Roman"/>
          <w:sz w:val="28"/>
          <w:szCs w:val="28"/>
        </w:rPr>
      </w:pPr>
      <w:r w:rsidRPr="00C71278">
        <w:rPr>
          <w:rFonts w:ascii="Times New Roman" w:hAnsi="Times New Roman"/>
          <w:sz w:val="28"/>
          <w:szCs w:val="28"/>
        </w:rPr>
        <w:t>Collecting accurate accounting data with the help of financial statement</w:t>
      </w:r>
    </w:p>
    <w:p w:rsidR="00531519" w:rsidRPr="00C71278" w:rsidRDefault="00531519" w:rsidP="00531519">
      <w:pPr>
        <w:pStyle w:val="ListParagraph"/>
        <w:numPr>
          <w:ilvl w:val="0"/>
          <w:numId w:val="1"/>
        </w:numPr>
        <w:spacing w:line="360" w:lineRule="auto"/>
        <w:jc w:val="both"/>
        <w:rPr>
          <w:rFonts w:ascii="Times New Roman" w:hAnsi="Times New Roman"/>
          <w:sz w:val="28"/>
          <w:szCs w:val="28"/>
        </w:rPr>
      </w:pPr>
      <w:r w:rsidRPr="00C71278">
        <w:rPr>
          <w:rFonts w:ascii="Times New Roman" w:hAnsi="Times New Roman"/>
          <w:sz w:val="28"/>
          <w:szCs w:val="28"/>
        </w:rPr>
        <w:t>Construction ratios of accounting figures</w:t>
      </w:r>
    </w:p>
    <w:p w:rsidR="00531519" w:rsidRPr="00C71278" w:rsidRDefault="00531519" w:rsidP="00531519">
      <w:pPr>
        <w:pStyle w:val="ListParagraph"/>
        <w:numPr>
          <w:ilvl w:val="0"/>
          <w:numId w:val="1"/>
        </w:numPr>
        <w:spacing w:line="360" w:lineRule="auto"/>
        <w:jc w:val="both"/>
        <w:rPr>
          <w:rFonts w:ascii="Times New Roman" w:hAnsi="Times New Roman"/>
          <w:sz w:val="28"/>
          <w:szCs w:val="28"/>
        </w:rPr>
      </w:pPr>
      <w:r w:rsidRPr="00C71278">
        <w:rPr>
          <w:rFonts w:ascii="Times New Roman" w:hAnsi="Times New Roman"/>
          <w:sz w:val="28"/>
          <w:szCs w:val="28"/>
        </w:rPr>
        <w:t>Comparing past and current ratios of the organization for having constructed standard ratio</w:t>
      </w:r>
    </w:p>
    <w:p w:rsidR="00531519" w:rsidRPr="00C71278" w:rsidRDefault="00531519" w:rsidP="00531519">
      <w:pPr>
        <w:pStyle w:val="ListParagraph"/>
        <w:numPr>
          <w:ilvl w:val="0"/>
          <w:numId w:val="1"/>
        </w:numPr>
        <w:spacing w:line="360" w:lineRule="auto"/>
        <w:jc w:val="both"/>
        <w:rPr>
          <w:rFonts w:ascii="Times New Roman" w:hAnsi="Times New Roman"/>
          <w:sz w:val="28"/>
          <w:szCs w:val="28"/>
        </w:rPr>
      </w:pPr>
      <w:r w:rsidRPr="00C71278">
        <w:rPr>
          <w:rFonts w:ascii="Times New Roman" w:hAnsi="Times New Roman"/>
          <w:sz w:val="28"/>
          <w:szCs w:val="28"/>
        </w:rPr>
        <w:t>Interpreting the ration to have valid conclusion</w:t>
      </w:r>
    </w:p>
    <w:p w:rsidR="00531519" w:rsidRPr="00C71278" w:rsidRDefault="00531519" w:rsidP="00531519">
      <w:pPr>
        <w:spacing w:line="360" w:lineRule="auto"/>
        <w:jc w:val="both"/>
        <w:rPr>
          <w:rFonts w:ascii="Times New Roman" w:hAnsi="Times New Roman"/>
          <w:sz w:val="28"/>
          <w:szCs w:val="28"/>
        </w:rPr>
      </w:pPr>
      <w:r w:rsidRPr="00C71278">
        <w:rPr>
          <w:rFonts w:ascii="Times New Roman" w:hAnsi="Times New Roman"/>
          <w:sz w:val="28"/>
          <w:szCs w:val="28"/>
        </w:rPr>
        <w:t xml:space="preserve">Apart from several positive factors, ratio analysis is also associated with various limitations also. Drawbacks in the </w:t>
      </w:r>
      <w:r w:rsidRPr="00C71278">
        <w:rPr>
          <w:rFonts w:ascii="Times New Roman" w:hAnsi="Times New Roman"/>
          <w:noProof/>
          <w:sz w:val="28"/>
          <w:szCs w:val="28"/>
        </w:rPr>
        <w:t>Financial ratio analysis</w:t>
      </w:r>
      <w:r w:rsidRPr="00C71278">
        <w:rPr>
          <w:rFonts w:ascii="Times New Roman" w:hAnsi="Times New Roman"/>
          <w:sz w:val="28"/>
          <w:szCs w:val="28"/>
        </w:rPr>
        <w:t xml:space="preserve"> are mainly found because of flaws in the </w:t>
      </w:r>
      <w:r w:rsidRPr="00C71278">
        <w:rPr>
          <w:rFonts w:ascii="Times New Roman" w:hAnsi="Times New Roman"/>
          <w:noProof/>
          <w:sz w:val="28"/>
          <w:szCs w:val="28"/>
        </w:rPr>
        <w:t>financial statement</w:t>
      </w:r>
      <w:r w:rsidRPr="00C71278">
        <w:rPr>
          <w:rFonts w:ascii="Times New Roman" w:hAnsi="Times New Roman"/>
          <w:sz w:val="28"/>
          <w:szCs w:val="28"/>
        </w:rPr>
        <w:t>. Limitations of financial ratio analysis are:</w:t>
      </w:r>
    </w:p>
    <w:p w:rsidR="00531519" w:rsidRPr="00C71278" w:rsidRDefault="00531519" w:rsidP="00531519">
      <w:pPr>
        <w:spacing w:line="360" w:lineRule="auto"/>
        <w:jc w:val="both"/>
        <w:rPr>
          <w:rFonts w:ascii="Times New Roman" w:hAnsi="Times New Roman"/>
          <w:sz w:val="28"/>
          <w:szCs w:val="28"/>
        </w:rPr>
      </w:pPr>
      <w:r w:rsidRPr="00BB7B3B">
        <w:rPr>
          <w:rFonts w:ascii="Times New Roman" w:hAnsi="Times New Roman"/>
          <w:b/>
          <w:color w:val="4F81BD" w:themeColor="accent1"/>
          <w:sz w:val="28"/>
          <w:szCs w:val="28"/>
          <w:u w:val="single"/>
        </w:rPr>
        <w:lastRenderedPageBreak/>
        <w:t>Inflation</w:t>
      </w:r>
      <w:r w:rsidRPr="00C71278">
        <w:rPr>
          <w:rFonts w:ascii="Times New Roman" w:hAnsi="Times New Roman"/>
          <w:b/>
          <w:sz w:val="28"/>
          <w:szCs w:val="28"/>
          <w:u w:val="single"/>
        </w:rPr>
        <w:t>:</w:t>
      </w:r>
      <w:r w:rsidRPr="00C71278">
        <w:rPr>
          <w:rFonts w:ascii="Times New Roman" w:hAnsi="Times New Roman"/>
          <w:sz w:val="28"/>
          <w:szCs w:val="28"/>
        </w:rPr>
        <w:t xml:space="preserve"> Companies balance sheet is often distorted by the inflation rate; balance sheet is the mirror of the </w:t>
      </w:r>
      <w:r w:rsidRPr="00C71278">
        <w:rPr>
          <w:rFonts w:ascii="Times New Roman" w:hAnsi="Times New Roman"/>
          <w:noProof/>
          <w:sz w:val="28"/>
          <w:szCs w:val="28"/>
        </w:rPr>
        <w:t>financial condition</w:t>
      </w:r>
      <w:r w:rsidRPr="00C71278">
        <w:rPr>
          <w:rFonts w:ascii="Times New Roman" w:hAnsi="Times New Roman"/>
          <w:sz w:val="28"/>
          <w:szCs w:val="28"/>
        </w:rPr>
        <w:t xml:space="preserve"> of the company; therefore, an </w:t>
      </w:r>
      <w:r w:rsidRPr="00C71278">
        <w:rPr>
          <w:rFonts w:ascii="Times New Roman" w:hAnsi="Times New Roman"/>
          <w:noProof/>
          <w:sz w:val="28"/>
          <w:szCs w:val="28"/>
        </w:rPr>
        <w:t>accountant</w:t>
      </w:r>
      <w:r w:rsidRPr="00C71278">
        <w:rPr>
          <w:rFonts w:ascii="Times New Roman" w:hAnsi="Times New Roman"/>
          <w:sz w:val="28"/>
          <w:szCs w:val="28"/>
        </w:rPr>
        <w:t xml:space="preserve"> can look back on the balance sheet. Reported values on the balance sheet are always different from the actual values. Inflation has a </w:t>
      </w:r>
      <w:r w:rsidRPr="00C71278">
        <w:rPr>
          <w:rFonts w:ascii="Times New Roman" w:hAnsi="Times New Roman"/>
          <w:noProof/>
          <w:sz w:val="28"/>
          <w:szCs w:val="28"/>
        </w:rPr>
        <w:t>significant negative impact</w:t>
      </w:r>
      <w:r w:rsidRPr="00C71278">
        <w:rPr>
          <w:rFonts w:ascii="Times New Roman" w:hAnsi="Times New Roman"/>
          <w:sz w:val="28"/>
          <w:szCs w:val="28"/>
        </w:rPr>
        <w:t xml:space="preserve"> on the values of inventory, depreciation, </w:t>
      </w:r>
      <w:r w:rsidRPr="00C71278">
        <w:rPr>
          <w:rFonts w:ascii="Times New Roman" w:hAnsi="Times New Roman"/>
          <w:noProof/>
          <w:sz w:val="28"/>
          <w:szCs w:val="28"/>
        </w:rPr>
        <w:t>and</w:t>
      </w:r>
      <w:r w:rsidRPr="00C71278">
        <w:rPr>
          <w:rFonts w:ascii="Times New Roman" w:hAnsi="Times New Roman"/>
          <w:sz w:val="28"/>
          <w:szCs w:val="28"/>
        </w:rPr>
        <w:t xml:space="preserve"> profits (</w:t>
      </w:r>
      <w:proofErr w:type="spellStart"/>
      <w:r w:rsidRPr="00C71278">
        <w:rPr>
          <w:rFonts w:ascii="Times New Roman" w:hAnsi="Times New Roman"/>
          <w:color w:val="222222"/>
          <w:sz w:val="28"/>
          <w:szCs w:val="28"/>
          <w:shd w:val="clear" w:color="auto" w:fill="FFFFFF"/>
        </w:rPr>
        <w:t>Uechi</w:t>
      </w:r>
      <w:proofErr w:type="spellEnd"/>
      <w:r w:rsidRPr="00C71278">
        <w:rPr>
          <w:rFonts w:ascii="Times New Roman" w:hAnsi="Times New Roman"/>
          <w:color w:val="222222"/>
          <w:sz w:val="28"/>
          <w:szCs w:val="28"/>
          <w:shd w:val="clear" w:color="auto" w:fill="FFFFFF"/>
        </w:rPr>
        <w:t xml:space="preserve"> and </w:t>
      </w:r>
      <w:proofErr w:type="spellStart"/>
      <w:r w:rsidRPr="00C71278">
        <w:rPr>
          <w:rFonts w:ascii="Times New Roman" w:hAnsi="Times New Roman"/>
          <w:color w:val="222222"/>
          <w:sz w:val="28"/>
          <w:szCs w:val="28"/>
          <w:shd w:val="clear" w:color="auto" w:fill="FFFFFF"/>
        </w:rPr>
        <w:t>Kenett</w:t>
      </w:r>
      <w:proofErr w:type="spellEnd"/>
      <w:r w:rsidRPr="00C71278">
        <w:rPr>
          <w:rFonts w:ascii="Times New Roman" w:hAnsi="Times New Roman"/>
          <w:color w:val="222222"/>
          <w:sz w:val="28"/>
          <w:szCs w:val="28"/>
          <w:shd w:val="clear" w:color="auto" w:fill="FFFFFF"/>
        </w:rPr>
        <w:t>, 2015</w:t>
      </w:r>
      <w:r w:rsidRPr="00C71278">
        <w:rPr>
          <w:rFonts w:ascii="Times New Roman" w:hAnsi="Times New Roman"/>
          <w:sz w:val="28"/>
          <w:szCs w:val="28"/>
        </w:rPr>
        <w:t xml:space="preserve">). When balance sheet of past and present are compared then the impact of inflation can be found. For instance, assets purchased in the year back are reported </w:t>
      </w:r>
      <w:r w:rsidRPr="00C71278">
        <w:rPr>
          <w:rFonts w:ascii="Times New Roman" w:hAnsi="Times New Roman"/>
          <w:noProof/>
          <w:sz w:val="28"/>
          <w:szCs w:val="28"/>
        </w:rPr>
        <w:t>on</w:t>
      </w:r>
      <w:r w:rsidRPr="00C71278">
        <w:rPr>
          <w:rFonts w:ascii="Times New Roman" w:hAnsi="Times New Roman"/>
          <w:sz w:val="28"/>
          <w:szCs w:val="28"/>
        </w:rPr>
        <w:t xml:space="preserve"> the balance sheet but these rates cannot be identical due to inflation.</w:t>
      </w:r>
    </w:p>
    <w:p w:rsidR="00531519" w:rsidRPr="00BB7B3B" w:rsidRDefault="00531519" w:rsidP="00531519">
      <w:pPr>
        <w:spacing w:line="360" w:lineRule="auto"/>
        <w:jc w:val="both"/>
        <w:rPr>
          <w:rFonts w:ascii="Times New Roman" w:hAnsi="Times New Roman"/>
          <w:sz w:val="28"/>
          <w:szCs w:val="28"/>
        </w:rPr>
      </w:pPr>
      <w:r w:rsidRPr="00BB7B3B">
        <w:rPr>
          <w:rFonts w:ascii="Times New Roman" w:hAnsi="Times New Roman"/>
          <w:b/>
          <w:color w:val="4F81BD" w:themeColor="accent1"/>
          <w:sz w:val="28"/>
          <w:szCs w:val="28"/>
          <w:u w:val="single"/>
        </w:rPr>
        <w:t>Companies from different industries:</w:t>
      </w:r>
      <w:r w:rsidRPr="00BB7B3B">
        <w:rPr>
          <w:rFonts w:ascii="Times New Roman" w:hAnsi="Times New Roman"/>
          <w:sz w:val="28"/>
          <w:szCs w:val="28"/>
        </w:rPr>
        <w:t xml:space="preserve"> accountant cannot able to compare the financial ratio of two countries when the companies belong to different industries. Different industries have altered gestation period, different market and capital structure</w:t>
      </w:r>
      <w:r w:rsidR="004A0045" w:rsidRPr="00BB7B3B">
        <w:rPr>
          <w:rFonts w:ascii="Times New Roman" w:hAnsi="Times New Roman" w:cs="Times New Roman"/>
          <w:color w:val="222222"/>
          <w:sz w:val="28"/>
          <w:szCs w:val="28"/>
          <w:shd w:val="clear" w:color="auto" w:fill="FFFFFF"/>
        </w:rPr>
        <w:t xml:space="preserve"> (</w:t>
      </w:r>
      <w:proofErr w:type="spellStart"/>
      <w:r w:rsidR="004A0045" w:rsidRPr="00BB7B3B">
        <w:rPr>
          <w:rFonts w:ascii="Times New Roman" w:hAnsi="Times New Roman" w:cs="Times New Roman"/>
          <w:color w:val="222222"/>
          <w:sz w:val="28"/>
          <w:szCs w:val="28"/>
          <w:shd w:val="clear" w:color="auto" w:fill="FFFFFF"/>
        </w:rPr>
        <w:t>Finkler</w:t>
      </w:r>
      <w:proofErr w:type="spellEnd"/>
      <w:r w:rsidR="004A0045" w:rsidRPr="00BB7B3B">
        <w:rPr>
          <w:rFonts w:ascii="Times New Roman" w:hAnsi="Times New Roman" w:cs="Times New Roman"/>
          <w:color w:val="222222"/>
          <w:sz w:val="28"/>
          <w:szCs w:val="28"/>
          <w:shd w:val="clear" w:color="auto" w:fill="FFFFFF"/>
        </w:rPr>
        <w:t xml:space="preserve">, Smith, Calabrese, T.D. and </w:t>
      </w:r>
      <w:proofErr w:type="spellStart"/>
      <w:r w:rsidR="004A0045" w:rsidRPr="00BB7B3B">
        <w:rPr>
          <w:rFonts w:ascii="Times New Roman" w:hAnsi="Times New Roman" w:cs="Times New Roman"/>
          <w:color w:val="222222"/>
          <w:sz w:val="28"/>
          <w:szCs w:val="28"/>
          <w:shd w:val="clear" w:color="auto" w:fill="FFFFFF"/>
        </w:rPr>
        <w:t>Purtell</w:t>
      </w:r>
      <w:proofErr w:type="spellEnd"/>
      <w:r w:rsidR="004A0045" w:rsidRPr="00BB7B3B">
        <w:rPr>
          <w:rFonts w:ascii="Times New Roman" w:hAnsi="Times New Roman" w:cs="Times New Roman"/>
          <w:color w:val="222222"/>
          <w:sz w:val="28"/>
          <w:szCs w:val="28"/>
          <w:shd w:val="clear" w:color="auto" w:fill="FFFFFF"/>
        </w:rPr>
        <w:t>, 2016)</w:t>
      </w:r>
      <w:r w:rsidRPr="00BB7B3B">
        <w:rPr>
          <w:rFonts w:ascii="Times New Roman" w:hAnsi="Times New Roman"/>
          <w:sz w:val="28"/>
          <w:szCs w:val="28"/>
        </w:rPr>
        <w:t xml:space="preserve">. </w:t>
      </w:r>
    </w:p>
    <w:p w:rsidR="00531519" w:rsidRPr="00BB7B3B" w:rsidRDefault="00531519" w:rsidP="00531519">
      <w:pPr>
        <w:spacing w:line="360" w:lineRule="auto"/>
        <w:jc w:val="both"/>
        <w:rPr>
          <w:rFonts w:ascii="Times New Roman" w:hAnsi="Times New Roman"/>
          <w:sz w:val="28"/>
          <w:szCs w:val="28"/>
        </w:rPr>
      </w:pPr>
      <w:r w:rsidRPr="00BB7B3B">
        <w:rPr>
          <w:rFonts w:ascii="Times New Roman" w:hAnsi="Times New Roman"/>
          <w:b/>
          <w:color w:val="4F81BD" w:themeColor="accent1"/>
          <w:sz w:val="28"/>
          <w:szCs w:val="28"/>
          <w:u w:val="single"/>
        </w:rPr>
        <w:t>Accounting practices</w:t>
      </w:r>
      <w:r w:rsidRPr="00BB7B3B">
        <w:rPr>
          <w:rFonts w:ascii="Times New Roman" w:hAnsi="Times New Roman"/>
          <w:b/>
          <w:sz w:val="28"/>
          <w:szCs w:val="28"/>
          <w:u w:val="single"/>
        </w:rPr>
        <w:t>:</w:t>
      </w:r>
      <w:r w:rsidRPr="00BB7B3B">
        <w:rPr>
          <w:rFonts w:ascii="Times New Roman" w:hAnsi="Times New Roman"/>
          <w:sz w:val="28"/>
          <w:szCs w:val="28"/>
        </w:rPr>
        <w:t xml:space="preserve"> even if companies belong </w:t>
      </w:r>
      <w:r w:rsidRPr="00BB7B3B">
        <w:rPr>
          <w:rFonts w:ascii="Times New Roman" w:hAnsi="Times New Roman"/>
          <w:noProof/>
          <w:sz w:val="28"/>
          <w:szCs w:val="28"/>
        </w:rPr>
        <w:t>to</w:t>
      </w:r>
      <w:r w:rsidRPr="00BB7B3B">
        <w:rPr>
          <w:rFonts w:ascii="Times New Roman" w:hAnsi="Times New Roman"/>
          <w:sz w:val="28"/>
          <w:szCs w:val="28"/>
        </w:rPr>
        <w:t xml:space="preserve"> one industry, the </w:t>
      </w:r>
      <w:r w:rsidRPr="00BB7B3B">
        <w:rPr>
          <w:rFonts w:ascii="Times New Roman" w:hAnsi="Times New Roman"/>
          <w:noProof/>
          <w:sz w:val="28"/>
          <w:szCs w:val="28"/>
        </w:rPr>
        <w:t>organization</w:t>
      </w:r>
      <w:r w:rsidRPr="00BB7B3B">
        <w:rPr>
          <w:rFonts w:ascii="Times New Roman" w:hAnsi="Times New Roman"/>
          <w:sz w:val="28"/>
          <w:szCs w:val="28"/>
        </w:rPr>
        <w:t xml:space="preserve"> may use different accounting practices. Depreciation method and inventory valuation methods can be different in companies; therefore, comparing ration may not depict correct pictures</w:t>
      </w:r>
      <w:r w:rsidR="004A0045" w:rsidRPr="00BB7B3B">
        <w:rPr>
          <w:rFonts w:ascii="Times New Roman" w:hAnsi="Times New Roman"/>
          <w:sz w:val="28"/>
          <w:szCs w:val="28"/>
        </w:rPr>
        <w:t xml:space="preserve"> (</w:t>
      </w:r>
      <w:proofErr w:type="spellStart"/>
      <w:proofErr w:type="gramStart"/>
      <w:r w:rsidR="004A0045" w:rsidRPr="00BB7B3B">
        <w:rPr>
          <w:rFonts w:ascii="Times New Roman" w:hAnsi="Times New Roman" w:cs="Times New Roman"/>
          <w:color w:val="222222"/>
          <w:sz w:val="28"/>
          <w:szCs w:val="28"/>
          <w:shd w:val="clear" w:color="auto" w:fill="FFFFFF"/>
        </w:rPr>
        <w:t>Babalola</w:t>
      </w:r>
      <w:proofErr w:type="spellEnd"/>
      <w:r w:rsidR="004A0045" w:rsidRPr="00BB7B3B">
        <w:rPr>
          <w:rFonts w:ascii="Times New Roman" w:hAnsi="Times New Roman" w:cs="Times New Roman"/>
          <w:color w:val="222222"/>
          <w:sz w:val="28"/>
          <w:szCs w:val="28"/>
          <w:shd w:val="clear" w:color="auto" w:fill="FFFFFF"/>
        </w:rPr>
        <w:t xml:space="preserve">  and</w:t>
      </w:r>
      <w:proofErr w:type="gramEnd"/>
      <w:r w:rsidR="004A0045" w:rsidRPr="00BB7B3B">
        <w:rPr>
          <w:rFonts w:ascii="Times New Roman" w:hAnsi="Times New Roman" w:cs="Times New Roman"/>
          <w:color w:val="222222"/>
          <w:sz w:val="28"/>
          <w:szCs w:val="28"/>
          <w:shd w:val="clear" w:color="auto" w:fill="FFFFFF"/>
        </w:rPr>
        <w:t xml:space="preserve"> </w:t>
      </w:r>
      <w:proofErr w:type="spellStart"/>
      <w:r w:rsidR="004A0045" w:rsidRPr="00BB7B3B">
        <w:rPr>
          <w:rFonts w:ascii="Times New Roman" w:hAnsi="Times New Roman" w:cs="Times New Roman"/>
          <w:color w:val="222222"/>
          <w:sz w:val="28"/>
          <w:szCs w:val="28"/>
          <w:shd w:val="clear" w:color="auto" w:fill="FFFFFF"/>
        </w:rPr>
        <w:t>Abiola</w:t>
      </w:r>
      <w:proofErr w:type="spellEnd"/>
      <w:r w:rsidR="004A0045" w:rsidRPr="00BB7B3B">
        <w:rPr>
          <w:rFonts w:ascii="Times New Roman" w:hAnsi="Times New Roman" w:cs="Times New Roman"/>
          <w:color w:val="222222"/>
          <w:sz w:val="28"/>
          <w:szCs w:val="28"/>
          <w:shd w:val="clear" w:color="auto" w:fill="FFFFFF"/>
        </w:rPr>
        <w:t>, 2013).</w:t>
      </w:r>
      <w:r w:rsidRPr="00BB7B3B">
        <w:rPr>
          <w:rFonts w:ascii="Times New Roman" w:hAnsi="Times New Roman"/>
          <w:sz w:val="28"/>
          <w:szCs w:val="28"/>
        </w:rPr>
        <w:t xml:space="preserve"> Accounting data and accounting ratios of two organizations are non-comparable. </w:t>
      </w:r>
    </w:p>
    <w:p w:rsidR="00531519" w:rsidRPr="00BB7B3B" w:rsidRDefault="00531519" w:rsidP="00531519">
      <w:pPr>
        <w:spacing w:line="360" w:lineRule="auto"/>
        <w:jc w:val="both"/>
        <w:rPr>
          <w:rFonts w:ascii="Times New Roman" w:hAnsi="Times New Roman"/>
          <w:sz w:val="28"/>
          <w:szCs w:val="28"/>
        </w:rPr>
      </w:pPr>
      <w:r w:rsidRPr="00BB7B3B">
        <w:rPr>
          <w:rFonts w:ascii="Times New Roman" w:hAnsi="Times New Roman"/>
          <w:b/>
          <w:color w:val="4F81BD" w:themeColor="accent1"/>
          <w:sz w:val="28"/>
          <w:szCs w:val="28"/>
          <w:u w:val="single"/>
        </w:rPr>
        <w:t>Lack of standard comparison</w:t>
      </w:r>
      <w:r w:rsidRPr="00BB7B3B">
        <w:rPr>
          <w:rFonts w:ascii="Times New Roman" w:hAnsi="Times New Roman"/>
          <w:b/>
          <w:sz w:val="28"/>
          <w:szCs w:val="28"/>
          <w:u w:val="single"/>
        </w:rPr>
        <w:t>:</w:t>
      </w:r>
      <w:r w:rsidRPr="00BB7B3B">
        <w:rPr>
          <w:rFonts w:ascii="Times New Roman" w:hAnsi="Times New Roman"/>
          <w:sz w:val="28"/>
          <w:szCs w:val="28"/>
        </w:rPr>
        <w:t xml:space="preserve"> While measuring financial ration, no fixed standard can be measured. The ratio amount can only be called ideal if the </w:t>
      </w:r>
      <w:r w:rsidRPr="00BB7B3B">
        <w:rPr>
          <w:rFonts w:ascii="Times New Roman" w:hAnsi="Times New Roman"/>
          <w:noProof/>
          <w:sz w:val="28"/>
          <w:szCs w:val="28"/>
        </w:rPr>
        <w:t>current asset</w:t>
      </w:r>
      <w:r w:rsidRPr="00BB7B3B">
        <w:rPr>
          <w:rFonts w:ascii="Times New Roman" w:hAnsi="Times New Roman"/>
          <w:sz w:val="28"/>
          <w:szCs w:val="28"/>
        </w:rPr>
        <w:t xml:space="preserve"> is double the current liabilities. </w:t>
      </w:r>
    </w:p>
    <w:p w:rsidR="00531519" w:rsidRDefault="00531519" w:rsidP="00531519">
      <w:pPr>
        <w:spacing w:line="360" w:lineRule="auto"/>
        <w:jc w:val="both"/>
        <w:rPr>
          <w:rFonts w:ascii="Times New Roman" w:hAnsi="Times New Roman"/>
          <w:sz w:val="28"/>
          <w:szCs w:val="28"/>
        </w:rPr>
      </w:pPr>
      <w:r w:rsidRPr="00BB7B3B">
        <w:rPr>
          <w:rFonts w:ascii="Times New Roman" w:hAnsi="Times New Roman"/>
          <w:b/>
          <w:color w:val="4F81BD" w:themeColor="accent1"/>
          <w:sz w:val="28"/>
          <w:szCs w:val="28"/>
          <w:u w:val="single"/>
        </w:rPr>
        <w:t>Quantitative analysis</w:t>
      </w:r>
      <w:r w:rsidRPr="00BB7B3B">
        <w:rPr>
          <w:rFonts w:ascii="Times New Roman" w:hAnsi="Times New Roman"/>
          <w:color w:val="4F81BD" w:themeColor="accent1"/>
          <w:sz w:val="28"/>
          <w:szCs w:val="28"/>
        </w:rPr>
        <w:t>:</w:t>
      </w:r>
      <w:r w:rsidRPr="00BB7B3B">
        <w:rPr>
          <w:rFonts w:ascii="Times New Roman" w:hAnsi="Times New Roman"/>
          <w:sz w:val="28"/>
          <w:szCs w:val="28"/>
        </w:rPr>
        <w:t xml:space="preserve"> Ratio tools are all about financial analysis using numerical data; therefore, the </w:t>
      </w:r>
      <w:r w:rsidRPr="00BB7B3B">
        <w:rPr>
          <w:rFonts w:ascii="Times New Roman" w:hAnsi="Times New Roman"/>
          <w:noProof/>
          <w:sz w:val="28"/>
          <w:szCs w:val="28"/>
        </w:rPr>
        <w:t>quantitative analysis</w:t>
      </w:r>
      <w:r w:rsidRPr="00BB7B3B">
        <w:rPr>
          <w:rFonts w:ascii="Times New Roman" w:hAnsi="Times New Roman"/>
          <w:sz w:val="28"/>
          <w:szCs w:val="28"/>
        </w:rPr>
        <w:t xml:space="preserve"> only includes quantitative analysis and there is no use of qualitative factors. High current ration does not mean that organization is in a </w:t>
      </w:r>
      <w:r w:rsidRPr="00BB7B3B">
        <w:rPr>
          <w:rFonts w:ascii="Times New Roman" w:hAnsi="Times New Roman"/>
          <w:noProof/>
          <w:sz w:val="28"/>
          <w:szCs w:val="28"/>
        </w:rPr>
        <w:t>liquid position</w:t>
      </w:r>
      <w:r w:rsidRPr="00BB7B3B">
        <w:rPr>
          <w:rFonts w:ascii="Times New Roman" w:hAnsi="Times New Roman"/>
          <w:sz w:val="28"/>
          <w:szCs w:val="28"/>
        </w:rPr>
        <w:t xml:space="preserve">, especially when current assets include large </w:t>
      </w:r>
      <w:r w:rsidRPr="00BB7B3B">
        <w:rPr>
          <w:rFonts w:ascii="Times New Roman" w:hAnsi="Times New Roman"/>
          <w:sz w:val="28"/>
          <w:szCs w:val="28"/>
        </w:rPr>
        <w:lastRenderedPageBreak/>
        <w:t xml:space="preserve">inventory management consisting mostly obsolete items. </w:t>
      </w:r>
      <w:r w:rsidRPr="00BB7B3B">
        <w:rPr>
          <w:rFonts w:ascii="Times New Roman" w:hAnsi="Times New Roman"/>
          <w:noProof/>
          <w:sz w:val="28"/>
          <w:szCs w:val="28"/>
        </w:rPr>
        <w:t>The financial analysis</w:t>
      </w:r>
      <w:r w:rsidRPr="00BB7B3B">
        <w:rPr>
          <w:rFonts w:ascii="Times New Roman" w:hAnsi="Times New Roman"/>
          <w:sz w:val="28"/>
          <w:szCs w:val="28"/>
        </w:rPr>
        <w:t xml:space="preserve"> never gives a cause of reason if something occurs wrong in the financial statement (</w:t>
      </w:r>
      <w:r w:rsidRPr="00BB7B3B">
        <w:rPr>
          <w:rFonts w:ascii="Times New Roman" w:hAnsi="Times New Roman"/>
          <w:color w:val="222222"/>
          <w:sz w:val="28"/>
          <w:szCs w:val="28"/>
          <w:shd w:val="clear" w:color="auto" w:fill="FFFFFF"/>
        </w:rPr>
        <w:t>Kou and Wang, 2014</w:t>
      </w:r>
      <w:r w:rsidRPr="00BB7B3B">
        <w:rPr>
          <w:rFonts w:ascii="Times New Roman" w:hAnsi="Times New Roman"/>
          <w:sz w:val="28"/>
          <w:szCs w:val="28"/>
        </w:rPr>
        <w:t xml:space="preserve">). From the profitability rate, the </w:t>
      </w:r>
      <w:r w:rsidRPr="00BB7B3B">
        <w:rPr>
          <w:rFonts w:ascii="Times New Roman" w:hAnsi="Times New Roman"/>
          <w:noProof/>
          <w:sz w:val="28"/>
          <w:szCs w:val="28"/>
        </w:rPr>
        <w:t>accountant</w:t>
      </w:r>
      <w:r w:rsidRPr="00BB7B3B">
        <w:rPr>
          <w:rFonts w:ascii="Times New Roman" w:hAnsi="Times New Roman"/>
          <w:sz w:val="28"/>
          <w:szCs w:val="28"/>
        </w:rPr>
        <w:t xml:space="preserve"> may </w:t>
      </w:r>
      <w:r w:rsidRPr="00BB7B3B">
        <w:rPr>
          <w:rFonts w:ascii="Times New Roman" w:hAnsi="Times New Roman"/>
          <w:noProof/>
          <w:sz w:val="28"/>
          <w:szCs w:val="28"/>
        </w:rPr>
        <w:t>be understood</w:t>
      </w:r>
      <w:r w:rsidRPr="00BB7B3B">
        <w:rPr>
          <w:rFonts w:ascii="Times New Roman" w:hAnsi="Times New Roman"/>
          <w:sz w:val="28"/>
          <w:szCs w:val="28"/>
        </w:rPr>
        <w:t xml:space="preserve"> that the organization has lower profit rate as compared to the competitors but this does not help in finding out </w:t>
      </w:r>
      <w:r w:rsidRPr="00BB7B3B">
        <w:rPr>
          <w:rFonts w:ascii="Times New Roman" w:hAnsi="Times New Roman"/>
          <w:noProof/>
          <w:sz w:val="28"/>
          <w:szCs w:val="28"/>
        </w:rPr>
        <w:t>the actual</w:t>
      </w:r>
      <w:r w:rsidRPr="00BB7B3B">
        <w:rPr>
          <w:rFonts w:ascii="Times New Roman" w:hAnsi="Times New Roman"/>
          <w:sz w:val="28"/>
          <w:szCs w:val="28"/>
        </w:rPr>
        <w:t xml:space="preserve"> cause behind this. One needs to dig up the rations in order to understand the actual cause </w:t>
      </w:r>
      <w:r w:rsidRPr="00BB7B3B">
        <w:rPr>
          <w:rFonts w:ascii="Times New Roman" w:hAnsi="Times New Roman"/>
          <w:noProof/>
          <w:sz w:val="28"/>
          <w:szCs w:val="28"/>
        </w:rPr>
        <w:t>of lower</w:t>
      </w:r>
      <w:r w:rsidRPr="00BB7B3B">
        <w:rPr>
          <w:rFonts w:ascii="Times New Roman" w:hAnsi="Times New Roman"/>
          <w:sz w:val="28"/>
          <w:szCs w:val="28"/>
        </w:rPr>
        <w:t xml:space="preserve"> profit rate. </w:t>
      </w: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Default="00BB7B3B" w:rsidP="00531519">
      <w:pPr>
        <w:spacing w:line="360" w:lineRule="auto"/>
        <w:jc w:val="both"/>
        <w:rPr>
          <w:rFonts w:ascii="Times New Roman" w:hAnsi="Times New Roman"/>
          <w:sz w:val="28"/>
          <w:szCs w:val="28"/>
        </w:rPr>
      </w:pPr>
    </w:p>
    <w:p w:rsidR="00BB7B3B" w:rsidRPr="00BB7B3B" w:rsidRDefault="00BB7B3B" w:rsidP="00531519">
      <w:pPr>
        <w:spacing w:line="360" w:lineRule="auto"/>
        <w:jc w:val="both"/>
        <w:rPr>
          <w:rFonts w:ascii="Times New Roman" w:hAnsi="Times New Roman"/>
          <w:sz w:val="28"/>
          <w:szCs w:val="28"/>
        </w:rPr>
      </w:pPr>
    </w:p>
    <w:p w:rsidR="00531519" w:rsidRPr="00BB7B3B" w:rsidRDefault="00531519" w:rsidP="00531519">
      <w:pPr>
        <w:spacing w:line="360" w:lineRule="auto"/>
        <w:jc w:val="both"/>
        <w:rPr>
          <w:rFonts w:ascii="Times New Roman" w:hAnsi="Times New Roman"/>
          <w:sz w:val="28"/>
          <w:szCs w:val="28"/>
        </w:rPr>
      </w:pPr>
      <w:r w:rsidRPr="00BB7B3B">
        <w:rPr>
          <w:rFonts w:ascii="Times New Roman" w:hAnsi="Times New Roman"/>
          <w:b/>
          <w:color w:val="4F81BD" w:themeColor="accent1"/>
          <w:sz w:val="28"/>
          <w:szCs w:val="28"/>
          <w:u w:val="single"/>
        </w:rPr>
        <w:lastRenderedPageBreak/>
        <w:t>Window-Dressing:</w:t>
      </w:r>
      <w:r w:rsidRPr="00BB7B3B">
        <w:rPr>
          <w:rFonts w:ascii="Times New Roman" w:hAnsi="Times New Roman"/>
          <w:sz w:val="28"/>
          <w:szCs w:val="28"/>
        </w:rPr>
        <w:t xml:space="preserve"> Window-dressing stands for the presentation of the financial statements in a way that it shows the </w:t>
      </w:r>
      <w:r w:rsidRPr="00BB7B3B">
        <w:rPr>
          <w:rFonts w:ascii="Times New Roman" w:hAnsi="Times New Roman"/>
          <w:noProof/>
          <w:sz w:val="28"/>
          <w:szCs w:val="28"/>
        </w:rPr>
        <w:t>better position</w:t>
      </w:r>
      <w:r w:rsidRPr="00BB7B3B">
        <w:rPr>
          <w:rFonts w:ascii="Times New Roman" w:hAnsi="Times New Roman"/>
          <w:sz w:val="28"/>
          <w:szCs w:val="28"/>
        </w:rPr>
        <w:t xml:space="preserve"> that the reality is. For example is a </w:t>
      </w:r>
      <w:r w:rsidRPr="00BB7B3B">
        <w:rPr>
          <w:rFonts w:ascii="Times New Roman" w:hAnsi="Times New Roman"/>
          <w:noProof/>
          <w:sz w:val="28"/>
          <w:szCs w:val="28"/>
        </w:rPr>
        <w:t>low rate</w:t>
      </w:r>
      <w:r w:rsidRPr="00BB7B3B">
        <w:rPr>
          <w:rFonts w:ascii="Times New Roman" w:hAnsi="Times New Roman"/>
          <w:sz w:val="28"/>
          <w:szCs w:val="28"/>
        </w:rPr>
        <w:t xml:space="preserve"> of depreciation is charges then an item of revenue </w:t>
      </w:r>
      <w:r w:rsidRPr="00BB7B3B">
        <w:rPr>
          <w:rFonts w:ascii="Times New Roman" w:hAnsi="Times New Roman"/>
          <w:noProof/>
          <w:sz w:val="28"/>
          <w:szCs w:val="28"/>
        </w:rPr>
        <w:t>is used</w:t>
      </w:r>
      <w:r w:rsidRPr="00BB7B3B">
        <w:rPr>
          <w:rFonts w:ascii="Times New Roman" w:hAnsi="Times New Roman"/>
          <w:sz w:val="28"/>
          <w:szCs w:val="28"/>
        </w:rPr>
        <w:t xml:space="preserve"> as the capital expenditure. However, due to this, the position of the concern may appear </w:t>
      </w:r>
      <w:r w:rsidRPr="00BB7B3B">
        <w:rPr>
          <w:rFonts w:ascii="Times New Roman" w:hAnsi="Times New Roman"/>
          <w:noProof/>
          <w:sz w:val="28"/>
          <w:szCs w:val="28"/>
        </w:rPr>
        <w:t>on</w:t>
      </w:r>
      <w:r w:rsidRPr="00BB7B3B">
        <w:rPr>
          <w:rFonts w:ascii="Times New Roman" w:hAnsi="Times New Roman"/>
          <w:sz w:val="28"/>
          <w:szCs w:val="28"/>
        </w:rPr>
        <w:t xml:space="preserve"> the balance sheet in a </w:t>
      </w:r>
      <w:r w:rsidRPr="00BB7B3B">
        <w:rPr>
          <w:rFonts w:ascii="Times New Roman" w:hAnsi="Times New Roman"/>
          <w:noProof/>
          <w:sz w:val="28"/>
          <w:szCs w:val="28"/>
        </w:rPr>
        <w:t>better way</w:t>
      </w:r>
      <w:r w:rsidRPr="00BB7B3B">
        <w:rPr>
          <w:rFonts w:ascii="Times New Roman" w:hAnsi="Times New Roman"/>
          <w:sz w:val="28"/>
          <w:szCs w:val="28"/>
        </w:rPr>
        <w:t xml:space="preserve">. Rations from such balance sheet are scanned for understanding the financial position of the </w:t>
      </w:r>
      <w:r w:rsidRPr="00BB7B3B">
        <w:rPr>
          <w:rFonts w:ascii="Times New Roman" w:hAnsi="Times New Roman"/>
          <w:noProof/>
          <w:sz w:val="28"/>
          <w:szCs w:val="28"/>
        </w:rPr>
        <w:t>business (</w:t>
      </w:r>
      <w:proofErr w:type="spellStart"/>
      <w:r w:rsidRPr="00BB7B3B">
        <w:rPr>
          <w:rFonts w:ascii="Times New Roman" w:hAnsi="Times New Roman"/>
          <w:color w:val="222222"/>
          <w:sz w:val="28"/>
          <w:szCs w:val="28"/>
          <w:shd w:val="clear" w:color="auto" w:fill="FFFFFF"/>
        </w:rPr>
        <w:t>Delen</w:t>
      </w:r>
      <w:proofErr w:type="spellEnd"/>
      <w:r w:rsidRPr="00BB7B3B">
        <w:rPr>
          <w:rFonts w:ascii="Times New Roman" w:hAnsi="Times New Roman"/>
          <w:color w:val="222222"/>
          <w:sz w:val="28"/>
          <w:szCs w:val="28"/>
          <w:shd w:val="clear" w:color="auto" w:fill="FFFFFF"/>
        </w:rPr>
        <w:t xml:space="preserve"> and </w:t>
      </w:r>
      <w:proofErr w:type="spellStart"/>
      <w:r w:rsidRPr="00BB7B3B">
        <w:rPr>
          <w:rFonts w:ascii="Times New Roman" w:hAnsi="Times New Roman"/>
          <w:color w:val="222222"/>
          <w:sz w:val="28"/>
          <w:szCs w:val="28"/>
          <w:shd w:val="clear" w:color="auto" w:fill="FFFFFF"/>
        </w:rPr>
        <w:t>Uyar</w:t>
      </w:r>
      <w:proofErr w:type="spellEnd"/>
      <w:r w:rsidRPr="00BB7B3B">
        <w:rPr>
          <w:rFonts w:ascii="Times New Roman" w:hAnsi="Times New Roman"/>
          <w:color w:val="222222"/>
          <w:sz w:val="28"/>
          <w:szCs w:val="28"/>
          <w:shd w:val="clear" w:color="auto" w:fill="FFFFFF"/>
        </w:rPr>
        <w:t>, 2013</w:t>
      </w:r>
      <w:r w:rsidRPr="00BB7B3B">
        <w:rPr>
          <w:rFonts w:ascii="Times New Roman" w:hAnsi="Times New Roman"/>
          <w:noProof/>
          <w:sz w:val="28"/>
          <w:szCs w:val="28"/>
        </w:rPr>
        <w:t>)</w:t>
      </w:r>
      <w:r w:rsidRPr="00BB7B3B">
        <w:rPr>
          <w:rFonts w:ascii="Times New Roman" w:hAnsi="Times New Roman"/>
          <w:sz w:val="28"/>
          <w:szCs w:val="28"/>
        </w:rPr>
        <w:t xml:space="preserve">. If accountant analyses a wrong income statement or balance sheet then it is definite to get wrong information. Window-dressing cannot be accepted practices but companies can use this for malpractices. For example, if company delays in paying the creditor at the end of the financial year the company can able to show more cash balance on the income statement. </w:t>
      </w:r>
    </w:p>
    <w:p w:rsidR="00081205" w:rsidRPr="00BB7B3B" w:rsidRDefault="00531519" w:rsidP="00417024">
      <w:pPr>
        <w:spacing w:line="360" w:lineRule="auto"/>
        <w:jc w:val="both"/>
        <w:rPr>
          <w:rFonts w:ascii="Times New Roman" w:hAnsi="Times New Roman"/>
          <w:sz w:val="28"/>
          <w:szCs w:val="28"/>
        </w:rPr>
      </w:pPr>
      <w:r w:rsidRPr="00BB7B3B">
        <w:rPr>
          <w:rFonts w:ascii="Times New Roman" w:hAnsi="Times New Roman"/>
          <w:sz w:val="28"/>
          <w:szCs w:val="28"/>
        </w:rPr>
        <w:t xml:space="preserve">Financial ratio analysis is inoperable without even comparing; this practice makes the ratio attractive even if the company has no financial stability. Therefore, who </w:t>
      </w:r>
      <w:r w:rsidRPr="00BB7B3B">
        <w:rPr>
          <w:rFonts w:ascii="Times New Roman" w:hAnsi="Times New Roman"/>
          <w:noProof/>
          <w:sz w:val="28"/>
          <w:szCs w:val="28"/>
        </w:rPr>
        <w:t>is</w:t>
      </w:r>
      <w:r w:rsidRPr="00BB7B3B">
        <w:rPr>
          <w:rFonts w:ascii="Times New Roman" w:hAnsi="Times New Roman"/>
          <w:sz w:val="28"/>
          <w:szCs w:val="28"/>
        </w:rPr>
        <w:t xml:space="preserve"> in charge of evaluating financial statement should have </w:t>
      </w:r>
      <w:r w:rsidRPr="00BB7B3B">
        <w:rPr>
          <w:rFonts w:ascii="Times New Roman" w:hAnsi="Times New Roman"/>
          <w:noProof/>
          <w:sz w:val="28"/>
          <w:szCs w:val="28"/>
        </w:rPr>
        <w:t>known</w:t>
      </w:r>
      <w:r w:rsidRPr="00BB7B3B">
        <w:rPr>
          <w:rFonts w:ascii="Times New Roman" w:hAnsi="Times New Roman"/>
          <w:sz w:val="28"/>
          <w:szCs w:val="28"/>
        </w:rPr>
        <w:t xml:space="preserve"> about the transaction process only then they can able to take appropriate decision. Ratio account is for one variable; therefore, the </w:t>
      </w:r>
      <w:r w:rsidRPr="00BB7B3B">
        <w:rPr>
          <w:rFonts w:ascii="Times New Roman" w:hAnsi="Times New Roman"/>
          <w:noProof/>
          <w:sz w:val="28"/>
          <w:szCs w:val="28"/>
        </w:rPr>
        <w:t>accurate answer</w:t>
      </w:r>
      <w:r w:rsidRPr="00BB7B3B">
        <w:rPr>
          <w:rFonts w:ascii="Times New Roman" w:hAnsi="Times New Roman"/>
          <w:sz w:val="28"/>
          <w:szCs w:val="28"/>
        </w:rPr>
        <w:t xml:space="preserve"> cannot be expected (</w:t>
      </w:r>
      <w:r w:rsidRPr="00BB7B3B">
        <w:rPr>
          <w:rFonts w:ascii="Times New Roman" w:hAnsi="Times New Roman"/>
          <w:color w:val="222222"/>
          <w:sz w:val="28"/>
          <w:szCs w:val="28"/>
          <w:shd w:val="clear" w:color="auto" w:fill="FFFFFF"/>
        </w:rPr>
        <w:t xml:space="preserve">Al </w:t>
      </w:r>
      <w:proofErr w:type="spellStart"/>
      <w:r w:rsidRPr="00BB7B3B">
        <w:rPr>
          <w:rFonts w:ascii="Times New Roman" w:hAnsi="Times New Roman"/>
          <w:color w:val="222222"/>
          <w:sz w:val="28"/>
          <w:szCs w:val="28"/>
          <w:shd w:val="clear" w:color="auto" w:fill="FFFFFF"/>
        </w:rPr>
        <w:t>Karim</w:t>
      </w:r>
      <w:proofErr w:type="spellEnd"/>
      <w:r w:rsidRPr="00BB7B3B">
        <w:rPr>
          <w:rFonts w:ascii="Times New Roman" w:hAnsi="Times New Roman"/>
          <w:color w:val="222222"/>
          <w:sz w:val="28"/>
          <w:szCs w:val="28"/>
          <w:shd w:val="clear" w:color="auto" w:fill="FFFFFF"/>
        </w:rPr>
        <w:t xml:space="preserve"> and </w:t>
      </w:r>
      <w:proofErr w:type="spellStart"/>
      <w:r w:rsidRPr="00BB7B3B">
        <w:rPr>
          <w:rFonts w:ascii="Times New Roman" w:hAnsi="Times New Roman"/>
          <w:color w:val="222222"/>
          <w:sz w:val="28"/>
          <w:szCs w:val="28"/>
          <w:shd w:val="clear" w:color="auto" w:fill="FFFFFF"/>
        </w:rPr>
        <w:t>Alam</w:t>
      </w:r>
      <w:proofErr w:type="spellEnd"/>
      <w:r w:rsidRPr="00BB7B3B">
        <w:rPr>
          <w:rFonts w:ascii="Times New Roman" w:hAnsi="Times New Roman"/>
          <w:color w:val="222222"/>
          <w:sz w:val="28"/>
          <w:szCs w:val="28"/>
          <w:shd w:val="clear" w:color="auto" w:fill="FFFFFF"/>
        </w:rPr>
        <w:t>, 2013</w:t>
      </w:r>
      <w:r w:rsidRPr="00BB7B3B">
        <w:rPr>
          <w:rFonts w:ascii="Times New Roman" w:hAnsi="Times New Roman"/>
          <w:sz w:val="28"/>
          <w:szCs w:val="28"/>
        </w:rPr>
        <w:t xml:space="preserve">). While interpreting ratio, government policies availability of resources and economic conditions should be measured. In case of seasonal business, the </w:t>
      </w:r>
      <w:r w:rsidRPr="00BB7B3B">
        <w:rPr>
          <w:rFonts w:ascii="Times New Roman" w:hAnsi="Times New Roman"/>
          <w:noProof/>
          <w:sz w:val="28"/>
          <w:szCs w:val="28"/>
        </w:rPr>
        <w:t>accountant</w:t>
      </w:r>
      <w:r w:rsidRPr="00BB7B3B">
        <w:rPr>
          <w:rFonts w:ascii="Times New Roman" w:hAnsi="Times New Roman"/>
          <w:sz w:val="28"/>
          <w:szCs w:val="28"/>
        </w:rPr>
        <w:t xml:space="preserve"> must be extra careful. For instance, an umbrella company always keeps high inventory at the time of the </w:t>
      </w:r>
      <w:r w:rsidRPr="00BB7B3B">
        <w:rPr>
          <w:rFonts w:ascii="Times New Roman" w:hAnsi="Times New Roman"/>
          <w:noProof/>
          <w:sz w:val="28"/>
          <w:szCs w:val="28"/>
        </w:rPr>
        <w:t>rainy season</w:t>
      </w:r>
      <w:r w:rsidRPr="00BB7B3B">
        <w:rPr>
          <w:rFonts w:ascii="Times New Roman" w:hAnsi="Times New Roman"/>
          <w:sz w:val="28"/>
          <w:szCs w:val="28"/>
        </w:rPr>
        <w:t xml:space="preserve"> and for the rest of the year, inventory becomes 25% of the seasonal inventory level. Therefore, a biased picture </w:t>
      </w:r>
      <w:r w:rsidRPr="00BB7B3B">
        <w:rPr>
          <w:rFonts w:ascii="Times New Roman" w:hAnsi="Times New Roman"/>
          <w:noProof/>
          <w:sz w:val="28"/>
          <w:szCs w:val="28"/>
        </w:rPr>
        <w:t>of</w:t>
      </w:r>
      <w:r w:rsidRPr="00BB7B3B">
        <w:rPr>
          <w:rFonts w:ascii="Times New Roman" w:hAnsi="Times New Roman"/>
          <w:sz w:val="28"/>
          <w:szCs w:val="28"/>
        </w:rPr>
        <w:t xml:space="preserve"> the inventory turnover and liquidity ration can be seen. </w:t>
      </w:r>
    </w:p>
    <w:p w:rsidR="00B622B7" w:rsidRDefault="00B622B7" w:rsidP="005A690B">
      <w:pPr>
        <w:spacing w:line="360" w:lineRule="auto"/>
        <w:jc w:val="both"/>
        <w:rPr>
          <w:rFonts w:ascii="Times New Roman" w:hAnsi="Times New Roman" w:cs="Times New Roman"/>
          <w:sz w:val="24"/>
          <w:szCs w:val="24"/>
        </w:rPr>
      </w:pPr>
    </w:p>
    <w:p w:rsidR="00B73AB4" w:rsidRDefault="00B73AB4" w:rsidP="005A690B">
      <w:pPr>
        <w:spacing w:line="360" w:lineRule="auto"/>
        <w:jc w:val="both"/>
        <w:rPr>
          <w:rFonts w:ascii="Times New Roman" w:hAnsi="Times New Roman" w:cs="Times New Roman"/>
          <w:sz w:val="24"/>
          <w:szCs w:val="24"/>
        </w:rPr>
      </w:pPr>
    </w:p>
    <w:p w:rsidR="00417024" w:rsidRDefault="00417024" w:rsidP="005A690B">
      <w:pPr>
        <w:spacing w:line="360" w:lineRule="auto"/>
        <w:jc w:val="both"/>
        <w:rPr>
          <w:rFonts w:ascii="Times New Roman" w:hAnsi="Times New Roman" w:cs="Times New Roman"/>
          <w:sz w:val="24"/>
          <w:szCs w:val="24"/>
        </w:rPr>
      </w:pPr>
    </w:p>
    <w:p w:rsidR="00B622B7" w:rsidRDefault="00B622B7" w:rsidP="00B622B7">
      <w:pPr>
        <w:pStyle w:val="Heading1"/>
        <w:rPr>
          <w:rFonts w:ascii="Times New Roman" w:hAnsi="Times New Roman" w:cs="Times New Roman"/>
          <w:sz w:val="32"/>
          <w:szCs w:val="32"/>
        </w:rPr>
      </w:pPr>
      <w:bookmarkStart w:id="16" w:name="_Toc502273007"/>
      <w:r w:rsidRPr="00BB7B3B">
        <w:rPr>
          <w:rFonts w:ascii="Times New Roman" w:hAnsi="Times New Roman" w:cs="Times New Roman"/>
          <w:sz w:val="32"/>
          <w:szCs w:val="32"/>
        </w:rPr>
        <w:lastRenderedPageBreak/>
        <w:t>References:</w:t>
      </w:r>
      <w:bookmarkEnd w:id="16"/>
    </w:p>
    <w:p w:rsidR="00BB7B3B" w:rsidRPr="00BB7B3B" w:rsidRDefault="00BB7B3B" w:rsidP="00BB7B3B"/>
    <w:p w:rsidR="00693C9E" w:rsidRPr="00BB7B3B" w:rsidRDefault="00693C9E" w:rsidP="00B622B7">
      <w:pPr>
        <w:spacing w:line="360" w:lineRule="auto"/>
        <w:jc w:val="both"/>
        <w:rPr>
          <w:rFonts w:ascii="Times New Roman" w:hAnsi="Times New Roman"/>
          <w:color w:val="222222"/>
          <w:sz w:val="28"/>
          <w:szCs w:val="28"/>
          <w:shd w:val="clear" w:color="auto" w:fill="FFFFFF"/>
        </w:rPr>
      </w:pPr>
      <w:proofErr w:type="gramStart"/>
      <w:r w:rsidRPr="00BB7B3B">
        <w:rPr>
          <w:rFonts w:ascii="Times New Roman" w:hAnsi="Times New Roman"/>
          <w:color w:val="222222"/>
          <w:sz w:val="28"/>
          <w:szCs w:val="28"/>
          <w:shd w:val="clear" w:color="auto" w:fill="FFFFFF"/>
        </w:rPr>
        <w:t xml:space="preserve">Al </w:t>
      </w:r>
      <w:proofErr w:type="spellStart"/>
      <w:r w:rsidRPr="00BB7B3B">
        <w:rPr>
          <w:rFonts w:ascii="Times New Roman" w:hAnsi="Times New Roman"/>
          <w:color w:val="222222"/>
          <w:sz w:val="28"/>
          <w:szCs w:val="28"/>
          <w:shd w:val="clear" w:color="auto" w:fill="FFFFFF"/>
        </w:rPr>
        <w:t>Karim</w:t>
      </w:r>
      <w:proofErr w:type="spellEnd"/>
      <w:r w:rsidRPr="00BB7B3B">
        <w:rPr>
          <w:rFonts w:ascii="Times New Roman" w:hAnsi="Times New Roman"/>
          <w:color w:val="222222"/>
          <w:sz w:val="28"/>
          <w:szCs w:val="28"/>
          <w:shd w:val="clear" w:color="auto" w:fill="FFFFFF"/>
        </w:rPr>
        <w:t xml:space="preserve">, R. and </w:t>
      </w:r>
      <w:proofErr w:type="spellStart"/>
      <w:r w:rsidRPr="00BB7B3B">
        <w:rPr>
          <w:rFonts w:ascii="Times New Roman" w:hAnsi="Times New Roman"/>
          <w:color w:val="222222"/>
          <w:sz w:val="28"/>
          <w:szCs w:val="28"/>
          <w:shd w:val="clear" w:color="auto" w:fill="FFFFFF"/>
        </w:rPr>
        <w:t>Alam</w:t>
      </w:r>
      <w:proofErr w:type="spellEnd"/>
      <w:r w:rsidRPr="00BB7B3B">
        <w:rPr>
          <w:rFonts w:ascii="Times New Roman" w:hAnsi="Times New Roman"/>
          <w:color w:val="222222"/>
          <w:sz w:val="28"/>
          <w:szCs w:val="28"/>
          <w:shd w:val="clear" w:color="auto" w:fill="FFFFFF"/>
        </w:rPr>
        <w:t>, T., 2013.</w:t>
      </w:r>
      <w:proofErr w:type="gramEnd"/>
      <w:r w:rsidRPr="00BB7B3B">
        <w:rPr>
          <w:rFonts w:ascii="Times New Roman" w:hAnsi="Times New Roman"/>
          <w:color w:val="222222"/>
          <w:sz w:val="28"/>
          <w:szCs w:val="28"/>
          <w:shd w:val="clear" w:color="auto" w:fill="FFFFFF"/>
        </w:rPr>
        <w:t xml:space="preserve"> An evaluation of financial performance of private commercial banks in Bangladesh: ratio analysis. </w:t>
      </w:r>
      <w:r w:rsidRPr="00BB7B3B">
        <w:rPr>
          <w:rFonts w:ascii="Times New Roman" w:hAnsi="Times New Roman"/>
          <w:i/>
          <w:iCs/>
          <w:color w:val="222222"/>
          <w:sz w:val="28"/>
          <w:szCs w:val="28"/>
          <w:shd w:val="clear" w:color="auto" w:fill="FFFFFF"/>
        </w:rPr>
        <w:t>Journal of Business Studies Quarterly</w:t>
      </w:r>
      <w:r w:rsidRPr="00BB7B3B">
        <w:rPr>
          <w:rFonts w:ascii="Times New Roman" w:hAnsi="Times New Roman"/>
          <w:color w:val="222222"/>
          <w:sz w:val="28"/>
          <w:szCs w:val="28"/>
          <w:shd w:val="clear" w:color="auto" w:fill="FFFFFF"/>
        </w:rPr>
        <w:t>, </w:t>
      </w:r>
      <w:r w:rsidRPr="00BB7B3B">
        <w:rPr>
          <w:rFonts w:ascii="Times New Roman" w:hAnsi="Times New Roman"/>
          <w:i/>
          <w:iCs/>
          <w:color w:val="222222"/>
          <w:sz w:val="28"/>
          <w:szCs w:val="28"/>
          <w:shd w:val="clear" w:color="auto" w:fill="FFFFFF"/>
        </w:rPr>
        <w:t>5</w:t>
      </w:r>
      <w:r w:rsidRPr="00BB7B3B">
        <w:rPr>
          <w:rFonts w:ascii="Times New Roman" w:hAnsi="Times New Roman"/>
          <w:color w:val="222222"/>
          <w:sz w:val="28"/>
          <w:szCs w:val="28"/>
          <w:shd w:val="clear" w:color="auto" w:fill="FFFFFF"/>
        </w:rPr>
        <w:t>(2), p.65</w:t>
      </w:r>
      <w:proofErr w:type="gramStart"/>
      <w:r w:rsidRPr="00BB7B3B">
        <w:rPr>
          <w:rFonts w:ascii="Times New Roman" w:hAnsi="Times New Roman"/>
          <w:color w:val="222222"/>
          <w:sz w:val="28"/>
          <w:szCs w:val="28"/>
          <w:shd w:val="clear" w:color="auto" w:fill="FFFFFF"/>
        </w:rPr>
        <w:t>..</w:t>
      </w:r>
      <w:proofErr w:type="gramEnd"/>
    </w:p>
    <w:p w:rsidR="00693C9E" w:rsidRPr="00BB7B3B" w:rsidRDefault="00693C9E" w:rsidP="00B622B7">
      <w:pPr>
        <w:jc w:val="both"/>
        <w:rPr>
          <w:rFonts w:ascii="Times New Roman" w:hAnsi="Times New Roman" w:cs="Times New Roman"/>
          <w:sz w:val="28"/>
          <w:szCs w:val="28"/>
        </w:rPr>
      </w:pPr>
      <w:proofErr w:type="spellStart"/>
      <w:proofErr w:type="gramStart"/>
      <w:r w:rsidRPr="00BB7B3B">
        <w:rPr>
          <w:rFonts w:ascii="Times New Roman" w:hAnsi="Times New Roman" w:cs="Times New Roman"/>
          <w:color w:val="222222"/>
          <w:sz w:val="28"/>
          <w:szCs w:val="28"/>
          <w:shd w:val="clear" w:color="auto" w:fill="FFFFFF"/>
        </w:rPr>
        <w:t>Arsad</w:t>
      </w:r>
      <w:proofErr w:type="spellEnd"/>
      <w:r w:rsidRPr="00BB7B3B">
        <w:rPr>
          <w:rFonts w:ascii="Times New Roman" w:hAnsi="Times New Roman" w:cs="Times New Roman"/>
          <w:color w:val="222222"/>
          <w:sz w:val="28"/>
          <w:szCs w:val="28"/>
          <w:shd w:val="clear" w:color="auto" w:fill="FFFFFF"/>
        </w:rPr>
        <w:t xml:space="preserve">, R., </w:t>
      </w:r>
      <w:proofErr w:type="spellStart"/>
      <w:r w:rsidRPr="00BB7B3B">
        <w:rPr>
          <w:rFonts w:ascii="Times New Roman" w:hAnsi="Times New Roman" w:cs="Times New Roman"/>
          <w:color w:val="222222"/>
          <w:sz w:val="28"/>
          <w:szCs w:val="28"/>
          <w:shd w:val="clear" w:color="auto" w:fill="FFFFFF"/>
        </w:rPr>
        <w:t>Shaari</w:t>
      </w:r>
      <w:proofErr w:type="spellEnd"/>
      <w:r w:rsidRPr="00BB7B3B">
        <w:rPr>
          <w:rFonts w:ascii="Times New Roman" w:hAnsi="Times New Roman" w:cs="Times New Roman"/>
          <w:color w:val="222222"/>
          <w:sz w:val="28"/>
          <w:szCs w:val="28"/>
          <w:shd w:val="clear" w:color="auto" w:fill="FFFFFF"/>
        </w:rPr>
        <w:t>, S.N.M. and Isa, Z., 2017, November.</w:t>
      </w:r>
      <w:proofErr w:type="gramEnd"/>
      <w:r w:rsidRPr="00BB7B3B">
        <w:rPr>
          <w:rFonts w:ascii="Times New Roman" w:hAnsi="Times New Roman" w:cs="Times New Roman"/>
          <w:color w:val="222222"/>
          <w:sz w:val="28"/>
          <w:szCs w:val="28"/>
          <w:shd w:val="clear" w:color="auto" w:fill="FFFFFF"/>
        </w:rPr>
        <w:t xml:space="preserve"> Comparative study on DuPont analysis and DEA models for measuring stock performance using financial ratio. </w:t>
      </w:r>
      <w:proofErr w:type="gramStart"/>
      <w:r w:rsidRPr="00BB7B3B">
        <w:rPr>
          <w:rFonts w:ascii="Times New Roman" w:hAnsi="Times New Roman" w:cs="Times New Roman"/>
          <w:color w:val="222222"/>
          <w:sz w:val="28"/>
          <w:szCs w:val="28"/>
          <w:shd w:val="clear" w:color="auto" w:fill="FFFFFF"/>
        </w:rPr>
        <w:t>In </w:t>
      </w:r>
      <w:r w:rsidRPr="00BB7B3B">
        <w:rPr>
          <w:rFonts w:ascii="Times New Roman" w:hAnsi="Times New Roman" w:cs="Times New Roman"/>
          <w:i/>
          <w:iCs/>
          <w:color w:val="222222"/>
          <w:sz w:val="28"/>
          <w:szCs w:val="28"/>
          <w:shd w:val="clear" w:color="auto" w:fill="FFFFFF"/>
        </w:rPr>
        <w:t>AIP Conference Proceedings</w:t>
      </w:r>
      <w:r w:rsidRPr="00BB7B3B">
        <w:rPr>
          <w:rFonts w:ascii="Times New Roman" w:hAnsi="Times New Roman" w:cs="Times New Roman"/>
          <w:color w:val="222222"/>
          <w:sz w:val="28"/>
          <w:szCs w:val="28"/>
          <w:shd w:val="clear" w:color="auto" w:fill="FFFFFF"/>
        </w:rPr>
        <w:t> (Vol. 1905, No. 1, p. 040007).AIP Publishing.</w:t>
      </w:r>
      <w:proofErr w:type="gramEnd"/>
    </w:p>
    <w:p w:rsidR="00693C9E" w:rsidRPr="00BB7B3B" w:rsidRDefault="00693C9E" w:rsidP="00B622B7">
      <w:pPr>
        <w:spacing w:line="360" w:lineRule="auto"/>
        <w:jc w:val="both"/>
        <w:rPr>
          <w:rFonts w:ascii="Times New Roman" w:hAnsi="Times New Roman"/>
          <w:color w:val="222222"/>
          <w:sz w:val="28"/>
          <w:szCs w:val="28"/>
          <w:shd w:val="clear" w:color="auto" w:fill="FFFFFF"/>
        </w:rPr>
      </w:pPr>
      <w:proofErr w:type="spellStart"/>
      <w:proofErr w:type="gramStart"/>
      <w:r w:rsidRPr="00BB7B3B">
        <w:rPr>
          <w:rFonts w:ascii="Times New Roman" w:hAnsi="Times New Roman"/>
          <w:color w:val="222222"/>
          <w:sz w:val="28"/>
          <w:szCs w:val="28"/>
          <w:shd w:val="clear" w:color="auto" w:fill="FFFFFF"/>
        </w:rPr>
        <w:t>Awasthi</w:t>
      </w:r>
      <w:proofErr w:type="spellEnd"/>
      <w:r w:rsidRPr="00BB7B3B">
        <w:rPr>
          <w:rFonts w:ascii="Times New Roman" w:hAnsi="Times New Roman"/>
          <w:color w:val="222222"/>
          <w:sz w:val="28"/>
          <w:szCs w:val="28"/>
          <w:shd w:val="clear" w:color="auto" w:fill="FFFFFF"/>
        </w:rPr>
        <w:t xml:space="preserve">, S., </w:t>
      </w:r>
      <w:proofErr w:type="spellStart"/>
      <w:r w:rsidRPr="00BB7B3B">
        <w:rPr>
          <w:rFonts w:ascii="Times New Roman" w:hAnsi="Times New Roman"/>
          <w:color w:val="222222"/>
          <w:sz w:val="28"/>
          <w:szCs w:val="28"/>
          <w:shd w:val="clear" w:color="auto" w:fill="FFFFFF"/>
        </w:rPr>
        <w:t>Belshe</w:t>
      </w:r>
      <w:proofErr w:type="spellEnd"/>
      <w:r w:rsidRPr="00BB7B3B">
        <w:rPr>
          <w:rFonts w:ascii="Times New Roman" w:hAnsi="Times New Roman"/>
          <w:color w:val="222222"/>
          <w:sz w:val="28"/>
          <w:szCs w:val="28"/>
          <w:shd w:val="clear" w:color="auto" w:fill="FFFFFF"/>
        </w:rPr>
        <w:t>, R.B. and Friedman, H.M., 2014.</w:t>
      </w:r>
      <w:proofErr w:type="gramEnd"/>
      <w:r w:rsidRPr="00BB7B3B">
        <w:rPr>
          <w:rFonts w:ascii="Times New Roman" w:hAnsi="Times New Roman"/>
          <w:color w:val="222222"/>
          <w:sz w:val="28"/>
          <w:szCs w:val="28"/>
          <w:shd w:val="clear" w:color="auto" w:fill="FFFFFF"/>
        </w:rPr>
        <w:t xml:space="preserve"> Better neutralization of herpes simplex virus type 1 (HSV-1) than HSV-2 by antibody from recipients of GlaxoSmithKline HSV-2 glycoprotein D2 subunit vaccine. </w:t>
      </w:r>
      <w:proofErr w:type="gramStart"/>
      <w:r w:rsidRPr="00BB7B3B">
        <w:rPr>
          <w:rFonts w:ascii="Times New Roman" w:hAnsi="Times New Roman"/>
          <w:i/>
          <w:iCs/>
          <w:color w:val="222222"/>
          <w:sz w:val="28"/>
          <w:szCs w:val="28"/>
          <w:shd w:val="clear" w:color="auto" w:fill="FFFFFF"/>
        </w:rPr>
        <w:t>The Journal of infectious diseases</w:t>
      </w:r>
      <w:r w:rsidRPr="00BB7B3B">
        <w:rPr>
          <w:rFonts w:ascii="Times New Roman" w:hAnsi="Times New Roman"/>
          <w:color w:val="222222"/>
          <w:sz w:val="28"/>
          <w:szCs w:val="28"/>
          <w:shd w:val="clear" w:color="auto" w:fill="FFFFFF"/>
        </w:rPr>
        <w:t>, </w:t>
      </w:r>
      <w:r w:rsidRPr="00BB7B3B">
        <w:rPr>
          <w:rFonts w:ascii="Times New Roman" w:hAnsi="Times New Roman"/>
          <w:i/>
          <w:iCs/>
          <w:color w:val="222222"/>
          <w:sz w:val="28"/>
          <w:szCs w:val="28"/>
          <w:shd w:val="clear" w:color="auto" w:fill="FFFFFF"/>
        </w:rPr>
        <w:t>210</w:t>
      </w:r>
      <w:r w:rsidRPr="00BB7B3B">
        <w:rPr>
          <w:rFonts w:ascii="Times New Roman" w:hAnsi="Times New Roman"/>
          <w:color w:val="222222"/>
          <w:sz w:val="28"/>
          <w:szCs w:val="28"/>
          <w:shd w:val="clear" w:color="auto" w:fill="FFFFFF"/>
        </w:rPr>
        <w:t>(4), pp.571-575.</w:t>
      </w:r>
      <w:proofErr w:type="gramEnd"/>
    </w:p>
    <w:p w:rsidR="00693C9E" w:rsidRPr="00BB7B3B" w:rsidRDefault="00693C9E" w:rsidP="00B622B7">
      <w:pPr>
        <w:jc w:val="both"/>
        <w:rPr>
          <w:rFonts w:ascii="Times New Roman" w:hAnsi="Times New Roman" w:cs="Times New Roman"/>
          <w:sz w:val="28"/>
          <w:szCs w:val="28"/>
        </w:rPr>
      </w:pPr>
      <w:proofErr w:type="spellStart"/>
      <w:r w:rsidRPr="00BB7B3B">
        <w:rPr>
          <w:rFonts w:ascii="Times New Roman" w:hAnsi="Times New Roman" w:cs="Times New Roman"/>
          <w:color w:val="222222"/>
          <w:sz w:val="28"/>
          <w:szCs w:val="28"/>
          <w:shd w:val="clear" w:color="auto" w:fill="FFFFFF"/>
        </w:rPr>
        <w:t>Babalola</w:t>
      </w:r>
      <w:proofErr w:type="spellEnd"/>
      <w:r w:rsidRPr="00BB7B3B">
        <w:rPr>
          <w:rFonts w:ascii="Times New Roman" w:hAnsi="Times New Roman" w:cs="Times New Roman"/>
          <w:color w:val="222222"/>
          <w:sz w:val="28"/>
          <w:szCs w:val="28"/>
          <w:shd w:val="clear" w:color="auto" w:fill="FFFFFF"/>
        </w:rPr>
        <w:t xml:space="preserve">, Y.A. and </w:t>
      </w:r>
      <w:proofErr w:type="spellStart"/>
      <w:r w:rsidRPr="00BB7B3B">
        <w:rPr>
          <w:rFonts w:ascii="Times New Roman" w:hAnsi="Times New Roman" w:cs="Times New Roman"/>
          <w:color w:val="222222"/>
          <w:sz w:val="28"/>
          <w:szCs w:val="28"/>
          <w:shd w:val="clear" w:color="auto" w:fill="FFFFFF"/>
        </w:rPr>
        <w:t>Abiola</w:t>
      </w:r>
      <w:proofErr w:type="spellEnd"/>
      <w:r w:rsidRPr="00BB7B3B">
        <w:rPr>
          <w:rFonts w:ascii="Times New Roman" w:hAnsi="Times New Roman" w:cs="Times New Roman"/>
          <w:color w:val="222222"/>
          <w:sz w:val="28"/>
          <w:szCs w:val="28"/>
          <w:shd w:val="clear" w:color="auto" w:fill="FFFFFF"/>
        </w:rPr>
        <w:t>, F.R., 2013. Financial ratio analysis of firms: A tool for decision making. </w:t>
      </w:r>
      <w:proofErr w:type="gramStart"/>
      <w:r w:rsidRPr="00BB7B3B">
        <w:rPr>
          <w:rFonts w:ascii="Times New Roman" w:hAnsi="Times New Roman" w:cs="Times New Roman"/>
          <w:i/>
          <w:iCs/>
          <w:color w:val="222222"/>
          <w:sz w:val="28"/>
          <w:szCs w:val="28"/>
          <w:shd w:val="clear" w:color="auto" w:fill="FFFFFF"/>
        </w:rPr>
        <w:t>International journal of management sciences</w:t>
      </w:r>
      <w:r w:rsidRPr="00BB7B3B">
        <w:rPr>
          <w:rFonts w:ascii="Times New Roman" w:hAnsi="Times New Roman" w:cs="Times New Roman"/>
          <w:color w:val="222222"/>
          <w:sz w:val="28"/>
          <w:szCs w:val="28"/>
          <w:shd w:val="clear" w:color="auto" w:fill="FFFFFF"/>
        </w:rPr>
        <w:t>, </w:t>
      </w:r>
      <w:r w:rsidRPr="00BB7B3B">
        <w:rPr>
          <w:rFonts w:ascii="Times New Roman" w:hAnsi="Times New Roman" w:cs="Times New Roman"/>
          <w:i/>
          <w:iCs/>
          <w:color w:val="222222"/>
          <w:sz w:val="28"/>
          <w:szCs w:val="28"/>
          <w:shd w:val="clear" w:color="auto" w:fill="FFFFFF"/>
        </w:rPr>
        <w:t>1</w:t>
      </w:r>
      <w:r w:rsidRPr="00BB7B3B">
        <w:rPr>
          <w:rFonts w:ascii="Times New Roman" w:hAnsi="Times New Roman" w:cs="Times New Roman"/>
          <w:color w:val="222222"/>
          <w:sz w:val="28"/>
          <w:szCs w:val="28"/>
          <w:shd w:val="clear" w:color="auto" w:fill="FFFFFF"/>
        </w:rPr>
        <w:t>(4), pp.132-137.</w:t>
      </w:r>
      <w:proofErr w:type="gramEnd"/>
    </w:p>
    <w:p w:rsidR="00693C9E" w:rsidRPr="00BB7B3B" w:rsidRDefault="00693C9E" w:rsidP="00B622B7">
      <w:pPr>
        <w:jc w:val="both"/>
        <w:rPr>
          <w:rFonts w:ascii="Times New Roman" w:hAnsi="Times New Roman" w:cs="Times New Roman"/>
          <w:sz w:val="28"/>
          <w:szCs w:val="28"/>
        </w:rPr>
      </w:pPr>
      <w:proofErr w:type="spellStart"/>
      <w:proofErr w:type="gramStart"/>
      <w:r w:rsidRPr="00BB7B3B">
        <w:rPr>
          <w:rFonts w:ascii="Times New Roman" w:hAnsi="Times New Roman" w:cs="Times New Roman"/>
          <w:color w:val="222222"/>
          <w:sz w:val="28"/>
          <w:szCs w:val="28"/>
          <w:shd w:val="clear" w:color="auto" w:fill="FFFFFF"/>
        </w:rPr>
        <w:t>Baños</w:t>
      </w:r>
      <w:proofErr w:type="spellEnd"/>
      <w:r w:rsidRPr="00BB7B3B">
        <w:rPr>
          <w:rFonts w:ascii="Times New Roman" w:hAnsi="Times New Roman" w:cs="Times New Roman"/>
          <w:color w:val="222222"/>
          <w:sz w:val="28"/>
          <w:szCs w:val="28"/>
          <w:shd w:val="clear" w:color="auto" w:fill="FFFFFF"/>
        </w:rPr>
        <w:t xml:space="preserve">-Caballero, S., </w:t>
      </w:r>
      <w:proofErr w:type="spellStart"/>
      <w:r w:rsidRPr="00BB7B3B">
        <w:rPr>
          <w:rFonts w:ascii="Times New Roman" w:hAnsi="Times New Roman" w:cs="Times New Roman"/>
          <w:color w:val="222222"/>
          <w:sz w:val="28"/>
          <w:szCs w:val="28"/>
          <w:shd w:val="clear" w:color="auto" w:fill="FFFFFF"/>
        </w:rPr>
        <w:t>García-Teruel</w:t>
      </w:r>
      <w:proofErr w:type="spellEnd"/>
      <w:r w:rsidRPr="00BB7B3B">
        <w:rPr>
          <w:rFonts w:ascii="Times New Roman" w:hAnsi="Times New Roman" w:cs="Times New Roman"/>
          <w:color w:val="222222"/>
          <w:sz w:val="28"/>
          <w:szCs w:val="28"/>
          <w:shd w:val="clear" w:color="auto" w:fill="FFFFFF"/>
        </w:rPr>
        <w:t xml:space="preserve">, P.J. and </w:t>
      </w:r>
      <w:proofErr w:type="spellStart"/>
      <w:r w:rsidRPr="00BB7B3B">
        <w:rPr>
          <w:rFonts w:ascii="Times New Roman" w:hAnsi="Times New Roman" w:cs="Times New Roman"/>
          <w:color w:val="222222"/>
          <w:sz w:val="28"/>
          <w:szCs w:val="28"/>
          <w:shd w:val="clear" w:color="auto" w:fill="FFFFFF"/>
        </w:rPr>
        <w:t>Martínez</w:t>
      </w:r>
      <w:proofErr w:type="spellEnd"/>
      <w:r w:rsidRPr="00BB7B3B">
        <w:rPr>
          <w:rFonts w:ascii="Times New Roman" w:hAnsi="Times New Roman" w:cs="Times New Roman"/>
          <w:color w:val="222222"/>
          <w:sz w:val="28"/>
          <w:szCs w:val="28"/>
          <w:shd w:val="clear" w:color="auto" w:fill="FFFFFF"/>
        </w:rPr>
        <w:t>-Solano, P., 2014.Working capital management, corporate performance, and financial constraints.</w:t>
      </w:r>
      <w:proofErr w:type="gramEnd"/>
      <w:r w:rsidRPr="00BB7B3B">
        <w:rPr>
          <w:rFonts w:ascii="Times New Roman" w:hAnsi="Times New Roman" w:cs="Times New Roman"/>
          <w:color w:val="222222"/>
          <w:sz w:val="28"/>
          <w:szCs w:val="28"/>
          <w:shd w:val="clear" w:color="auto" w:fill="FFFFFF"/>
        </w:rPr>
        <w:t> </w:t>
      </w:r>
      <w:proofErr w:type="gramStart"/>
      <w:r w:rsidRPr="00BB7B3B">
        <w:rPr>
          <w:rFonts w:ascii="Times New Roman" w:hAnsi="Times New Roman" w:cs="Times New Roman"/>
          <w:i/>
          <w:iCs/>
          <w:color w:val="222222"/>
          <w:sz w:val="28"/>
          <w:szCs w:val="28"/>
          <w:shd w:val="clear" w:color="auto" w:fill="FFFFFF"/>
        </w:rPr>
        <w:t>Journal of Business Research</w:t>
      </w:r>
      <w:r w:rsidRPr="00BB7B3B">
        <w:rPr>
          <w:rFonts w:ascii="Times New Roman" w:hAnsi="Times New Roman" w:cs="Times New Roman"/>
          <w:color w:val="222222"/>
          <w:sz w:val="28"/>
          <w:szCs w:val="28"/>
          <w:shd w:val="clear" w:color="auto" w:fill="FFFFFF"/>
        </w:rPr>
        <w:t>, </w:t>
      </w:r>
      <w:r w:rsidRPr="00BB7B3B">
        <w:rPr>
          <w:rFonts w:ascii="Times New Roman" w:hAnsi="Times New Roman" w:cs="Times New Roman"/>
          <w:i/>
          <w:iCs/>
          <w:color w:val="222222"/>
          <w:sz w:val="28"/>
          <w:szCs w:val="28"/>
          <w:shd w:val="clear" w:color="auto" w:fill="FFFFFF"/>
        </w:rPr>
        <w:t>67</w:t>
      </w:r>
      <w:r w:rsidRPr="00BB7B3B">
        <w:rPr>
          <w:rFonts w:ascii="Times New Roman" w:hAnsi="Times New Roman" w:cs="Times New Roman"/>
          <w:color w:val="222222"/>
          <w:sz w:val="28"/>
          <w:szCs w:val="28"/>
          <w:shd w:val="clear" w:color="auto" w:fill="FFFFFF"/>
        </w:rPr>
        <w:t>(3), pp.332-338.</w:t>
      </w:r>
      <w:proofErr w:type="gramEnd"/>
    </w:p>
    <w:p w:rsidR="00693C9E" w:rsidRPr="00BB7B3B" w:rsidRDefault="00693C9E" w:rsidP="00B622B7">
      <w:pPr>
        <w:jc w:val="both"/>
        <w:rPr>
          <w:rFonts w:ascii="Times New Roman" w:hAnsi="Times New Roman" w:cs="Times New Roman"/>
          <w:sz w:val="28"/>
          <w:szCs w:val="28"/>
        </w:rPr>
      </w:pPr>
      <w:r w:rsidRPr="00BB7B3B">
        <w:rPr>
          <w:rFonts w:ascii="Times New Roman" w:hAnsi="Times New Roman" w:cs="Times New Roman"/>
          <w:color w:val="222222"/>
          <w:sz w:val="28"/>
          <w:szCs w:val="28"/>
          <w:shd w:val="clear" w:color="auto" w:fill="FFFFFF"/>
        </w:rPr>
        <w:t xml:space="preserve">Brigham, E.F. and </w:t>
      </w:r>
      <w:proofErr w:type="spellStart"/>
      <w:r w:rsidRPr="00BB7B3B">
        <w:rPr>
          <w:rFonts w:ascii="Times New Roman" w:hAnsi="Times New Roman" w:cs="Times New Roman"/>
          <w:color w:val="222222"/>
          <w:sz w:val="28"/>
          <w:szCs w:val="28"/>
          <w:shd w:val="clear" w:color="auto" w:fill="FFFFFF"/>
        </w:rPr>
        <w:t>Ehrhardt</w:t>
      </w:r>
      <w:proofErr w:type="spellEnd"/>
      <w:r w:rsidRPr="00BB7B3B">
        <w:rPr>
          <w:rFonts w:ascii="Times New Roman" w:hAnsi="Times New Roman" w:cs="Times New Roman"/>
          <w:color w:val="222222"/>
          <w:sz w:val="28"/>
          <w:szCs w:val="28"/>
          <w:shd w:val="clear" w:color="auto" w:fill="FFFFFF"/>
        </w:rPr>
        <w:t>, M.C., 2013. </w:t>
      </w:r>
      <w:r w:rsidRPr="00BB7B3B">
        <w:rPr>
          <w:rFonts w:ascii="Times New Roman" w:hAnsi="Times New Roman" w:cs="Times New Roman"/>
          <w:i/>
          <w:iCs/>
          <w:color w:val="222222"/>
          <w:sz w:val="28"/>
          <w:szCs w:val="28"/>
          <w:shd w:val="clear" w:color="auto" w:fill="FFFFFF"/>
        </w:rPr>
        <w:t xml:space="preserve">Financial management: Theory &amp; </w:t>
      </w:r>
      <w:proofErr w:type="spellStart"/>
      <w:r w:rsidRPr="00BB7B3B">
        <w:rPr>
          <w:rFonts w:ascii="Times New Roman" w:hAnsi="Times New Roman" w:cs="Times New Roman"/>
          <w:i/>
          <w:iCs/>
          <w:color w:val="222222"/>
          <w:sz w:val="28"/>
          <w:szCs w:val="28"/>
          <w:shd w:val="clear" w:color="auto" w:fill="FFFFFF"/>
        </w:rPr>
        <w:t>practice</w:t>
      </w:r>
      <w:r w:rsidRPr="00BB7B3B">
        <w:rPr>
          <w:rFonts w:ascii="Times New Roman" w:hAnsi="Times New Roman" w:cs="Times New Roman"/>
          <w:color w:val="222222"/>
          <w:sz w:val="28"/>
          <w:szCs w:val="28"/>
          <w:shd w:val="clear" w:color="auto" w:fill="FFFFFF"/>
        </w:rPr>
        <w:t>.Cengage</w:t>
      </w:r>
      <w:proofErr w:type="spellEnd"/>
      <w:r w:rsidRPr="00BB7B3B">
        <w:rPr>
          <w:rFonts w:ascii="Times New Roman" w:hAnsi="Times New Roman" w:cs="Times New Roman"/>
          <w:color w:val="222222"/>
          <w:sz w:val="28"/>
          <w:szCs w:val="28"/>
          <w:shd w:val="clear" w:color="auto" w:fill="FFFFFF"/>
        </w:rPr>
        <w:t xml:space="preserve"> Learning.</w:t>
      </w:r>
    </w:p>
    <w:p w:rsidR="00693C9E" w:rsidRPr="00BB7B3B" w:rsidRDefault="00693C9E" w:rsidP="00B622B7">
      <w:pPr>
        <w:spacing w:line="360" w:lineRule="auto"/>
        <w:jc w:val="both"/>
        <w:rPr>
          <w:rFonts w:ascii="Times New Roman" w:hAnsi="Times New Roman"/>
          <w:color w:val="222222"/>
          <w:sz w:val="28"/>
          <w:szCs w:val="28"/>
          <w:shd w:val="clear" w:color="auto" w:fill="FFFFFF"/>
        </w:rPr>
      </w:pPr>
      <w:proofErr w:type="spellStart"/>
      <w:r w:rsidRPr="00BB7B3B">
        <w:rPr>
          <w:rFonts w:ascii="Times New Roman" w:hAnsi="Times New Roman"/>
          <w:color w:val="222222"/>
          <w:sz w:val="28"/>
          <w:szCs w:val="28"/>
          <w:shd w:val="clear" w:color="auto" w:fill="FFFFFF"/>
        </w:rPr>
        <w:t>Delen</w:t>
      </w:r>
      <w:proofErr w:type="spellEnd"/>
      <w:r w:rsidRPr="00BB7B3B">
        <w:rPr>
          <w:rFonts w:ascii="Times New Roman" w:hAnsi="Times New Roman"/>
          <w:color w:val="222222"/>
          <w:sz w:val="28"/>
          <w:szCs w:val="28"/>
          <w:shd w:val="clear" w:color="auto" w:fill="FFFFFF"/>
        </w:rPr>
        <w:t xml:space="preserve">, D., </w:t>
      </w:r>
      <w:proofErr w:type="spellStart"/>
      <w:r w:rsidRPr="00BB7B3B">
        <w:rPr>
          <w:rFonts w:ascii="Times New Roman" w:hAnsi="Times New Roman"/>
          <w:color w:val="222222"/>
          <w:sz w:val="28"/>
          <w:szCs w:val="28"/>
          <w:shd w:val="clear" w:color="auto" w:fill="FFFFFF"/>
        </w:rPr>
        <w:t>Kuzey</w:t>
      </w:r>
      <w:proofErr w:type="spellEnd"/>
      <w:r w:rsidRPr="00BB7B3B">
        <w:rPr>
          <w:rFonts w:ascii="Times New Roman" w:hAnsi="Times New Roman"/>
          <w:color w:val="222222"/>
          <w:sz w:val="28"/>
          <w:szCs w:val="28"/>
          <w:shd w:val="clear" w:color="auto" w:fill="FFFFFF"/>
        </w:rPr>
        <w:t xml:space="preserve">, C. and </w:t>
      </w:r>
      <w:proofErr w:type="spellStart"/>
      <w:r w:rsidRPr="00BB7B3B">
        <w:rPr>
          <w:rFonts w:ascii="Times New Roman" w:hAnsi="Times New Roman"/>
          <w:color w:val="222222"/>
          <w:sz w:val="28"/>
          <w:szCs w:val="28"/>
          <w:shd w:val="clear" w:color="auto" w:fill="FFFFFF"/>
        </w:rPr>
        <w:t>Uyar</w:t>
      </w:r>
      <w:proofErr w:type="spellEnd"/>
      <w:r w:rsidRPr="00BB7B3B">
        <w:rPr>
          <w:rFonts w:ascii="Times New Roman" w:hAnsi="Times New Roman"/>
          <w:color w:val="222222"/>
          <w:sz w:val="28"/>
          <w:szCs w:val="28"/>
          <w:shd w:val="clear" w:color="auto" w:fill="FFFFFF"/>
        </w:rPr>
        <w:t xml:space="preserve">, A., 2013. </w:t>
      </w:r>
      <w:proofErr w:type="gramStart"/>
      <w:r w:rsidRPr="00BB7B3B">
        <w:rPr>
          <w:rFonts w:ascii="Times New Roman" w:hAnsi="Times New Roman"/>
          <w:color w:val="222222"/>
          <w:sz w:val="28"/>
          <w:szCs w:val="28"/>
          <w:shd w:val="clear" w:color="auto" w:fill="FFFFFF"/>
        </w:rPr>
        <w:t>Measuring firm performance using financial ratios: A decision tree approach.</w:t>
      </w:r>
      <w:proofErr w:type="gramEnd"/>
      <w:r w:rsidRPr="00BB7B3B">
        <w:rPr>
          <w:rFonts w:ascii="Times New Roman" w:hAnsi="Times New Roman"/>
          <w:color w:val="222222"/>
          <w:sz w:val="28"/>
          <w:szCs w:val="28"/>
          <w:shd w:val="clear" w:color="auto" w:fill="FFFFFF"/>
        </w:rPr>
        <w:t> </w:t>
      </w:r>
      <w:proofErr w:type="gramStart"/>
      <w:r w:rsidRPr="00BB7B3B">
        <w:rPr>
          <w:rFonts w:ascii="Times New Roman" w:hAnsi="Times New Roman"/>
          <w:i/>
          <w:iCs/>
          <w:color w:val="222222"/>
          <w:sz w:val="28"/>
          <w:szCs w:val="28"/>
          <w:shd w:val="clear" w:color="auto" w:fill="FFFFFF"/>
        </w:rPr>
        <w:t>Expert Systems with Applications</w:t>
      </w:r>
      <w:r w:rsidRPr="00BB7B3B">
        <w:rPr>
          <w:rFonts w:ascii="Times New Roman" w:hAnsi="Times New Roman"/>
          <w:color w:val="222222"/>
          <w:sz w:val="28"/>
          <w:szCs w:val="28"/>
          <w:shd w:val="clear" w:color="auto" w:fill="FFFFFF"/>
        </w:rPr>
        <w:t>, </w:t>
      </w:r>
      <w:r w:rsidRPr="00BB7B3B">
        <w:rPr>
          <w:rFonts w:ascii="Times New Roman" w:hAnsi="Times New Roman"/>
          <w:i/>
          <w:iCs/>
          <w:color w:val="222222"/>
          <w:sz w:val="28"/>
          <w:szCs w:val="28"/>
          <w:shd w:val="clear" w:color="auto" w:fill="FFFFFF"/>
        </w:rPr>
        <w:t>40</w:t>
      </w:r>
      <w:r w:rsidRPr="00BB7B3B">
        <w:rPr>
          <w:rFonts w:ascii="Times New Roman" w:hAnsi="Times New Roman"/>
          <w:color w:val="222222"/>
          <w:sz w:val="28"/>
          <w:szCs w:val="28"/>
          <w:shd w:val="clear" w:color="auto" w:fill="FFFFFF"/>
        </w:rPr>
        <w:t>(10), pp.3970-3983.</w:t>
      </w:r>
      <w:proofErr w:type="gramEnd"/>
    </w:p>
    <w:p w:rsidR="00693C9E" w:rsidRPr="00BB7B3B" w:rsidRDefault="00693C9E" w:rsidP="00B622B7">
      <w:pPr>
        <w:jc w:val="both"/>
        <w:rPr>
          <w:rFonts w:ascii="Times New Roman" w:hAnsi="Times New Roman" w:cs="Times New Roman"/>
          <w:sz w:val="28"/>
          <w:szCs w:val="28"/>
        </w:rPr>
      </w:pPr>
      <w:proofErr w:type="spellStart"/>
      <w:proofErr w:type="gramStart"/>
      <w:r w:rsidRPr="00BB7B3B">
        <w:rPr>
          <w:rFonts w:ascii="Times New Roman" w:hAnsi="Times New Roman" w:cs="Times New Roman"/>
          <w:color w:val="222222"/>
          <w:sz w:val="28"/>
          <w:szCs w:val="28"/>
          <w:shd w:val="clear" w:color="auto" w:fill="FFFFFF"/>
        </w:rPr>
        <w:t>Finkler</w:t>
      </w:r>
      <w:proofErr w:type="spellEnd"/>
      <w:r w:rsidRPr="00BB7B3B">
        <w:rPr>
          <w:rFonts w:ascii="Times New Roman" w:hAnsi="Times New Roman" w:cs="Times New Roman"/>
          <w:color w:val="222222"/>
          <w:sz w:val="28"/>
          <w:szCs w:val="28"/>
          <w:shd w:val="clear" w:color="auto" w:fill="FFFFFF"/>
        </w:rPr>
        <w:t xml:space="preserve">, S.A., Smith, D.L., Calabrese, T.D. and </w:t>
      </w:r>
      <w:proofErr w:type="spellStart"/>
      <w:r w:rsidRPr="00BB7B3B">
        <w:rPr>
          <w:rFonts w:ascii="Times New Roman" w:hAnsi="Times New Roman" w:cs="Times New Roman"/>
          <w:color w:val="222222"/>
          <w:sz w:val="28"/>
          <w:szCs w:val="28"/>
          <w:shd w:val="clear" w:color="auto" w:fill="FFFFFF"/>
        </w:rPr>
        <w:t>Purtell</w:t>
      </w:r>
      <w:proofErr w:type="spellEnd"/>
      <w:r w:rsidRPr="00BB7B3B">
        <w:rPr>
          <w:rFonts w:ascii="Times New Roman" w:hAnsi="Times New Roman" w:cs="Times New Roman"/>
          <w:color w:val="222222"/>
          <w:sz w:val="28"/>
          <w:szCs w:val="28"/>
          <w:shd w:val="clear" w:color="auto" w:fill="FFFFFF"/>
        </w:rPr>
        <w:t>, R.M., 2016.</w:t>
      </w:r>
      <w:proofErr w:type="gramEnd"/>
      <w:r w:rsidRPr="00BB7B3B">
        <w:rPr>
          <w:rFonts w:ascii="Times New Roman" w:hAnsi="Times New Roman" w:cs="Times New Roman"/>
          <w:color w:val="222222"/>
          <w:sz w:val="28"/>
          <w:szCs w:val="28"/>
          <w:shd w:val="clear" w:color="auto" w:fill="FFFFFF"/>
        </w:rPr>
        <w:t> </w:t>
      </w:r>
      <w:proofErr w:type="gramStart"/>
      <w:r w:rsidRPr="00BB7B3B">
        <w:rPr>
          <w:rFonts w:ascii="Times New Roman" w:hAnsi="Times New Roman" w:cs="Times New Roman"/>
          <w:i/>
          <w:iCs/>
          <w:color w:val="222222"/>
          <w:sz w:val="28"/>
          <w:szCs w:val="28"/>
          <w:shd w:val="clear" w:color="auto" w:fill="FFFFFF"/>
        </w:rPr>
        <w:t xml:space="preserve">Financial management for public, health, and not-for-profit </w:t>
      </w:r>
      <w:proofErr w:type="spellStart"/>
      <w:r w:rsidRPr="00BB7B3B">
        <w:rPr>
          <w:rFonts w:ascii="Times New Roman" w:hAnsi="Times New Roman" w:cs="Times New Roman"/>
          <w:i/>
          <w:iCs/>
          <w:color w:val="222222"/>
          <w:sz w:val="28"/>
          <w:szCs w:val="28"/>
          <w:shd w:val="clear" w:color="auto" w:fill="FFFFFF"/>
        </w:rPr>
        <w:t>organizations</w:t>
      </w:r>
      <w:r w:rsidRPr="00BB7B3B">
        <w:rPr>
          <w:rFonts w:ascii="Times New Roman" w:hAnsi="Times New Roman" w:cs="Times New Roman"/>
          <w:color w:val="222222"/>
          <w:sz w:val="28"/>
          <w:szCs w:val="28"/>
          <w:shd w:val="clear" w:color="auto" w:fill="FFFFFF"/>
        </w:rPr>
        <w:t>.CQ</w:t>
      </w:r>
      <w:proofErr w:type="spellEnd"/>
      <w:r w:rsidRPr="00BB7B3B">
        <w:rPr>
          <w:rFonts w:ascii="Times New Roman" w:hAnsi="Times New Roman" w:cs="Times New Roman"/>
          <w:color w:val="222222"/>
          <w:sz w:val="28"/>
          <w:szCs w:val="28"/>
          <w:shd w:val="clear" w:color="auto" w:fill="FFFFFF"/>
        </w:rPr>
        <w:t xml:space="preserve"> Press.</w:t>
      </w:r>
      <w:proofErr w:type="gramEnd"/>
    </w:p>
    <w:p w:rsidR="00693C9E" w:rsidRPr="00BB7B3B" w:rsidRDefault="00693C9E" w:rsidP="00B622B7">
      <w:pPr>
        <w:jc w:val="both"/>
        <w:rPr>
          <w:rFonts w:ascii="Times New Roman" w:hAnsi="Times New Roman" w:cs="Times New Roman"/>
          <w:color w:val="222222"/>
          <w:sz w:val="28"/>
          <w:szCs w:val="28"/>
          <w:shd w:val="clear" w:color="auto" w:fill="FFFFFF"/>
        </w:rPr>
      </w:pPr>
      <w:bookmarkStart w:id="17" w:name="_GoBack"/>
      <w:r w:rsidRPr="00BB7B3B">
        <w:rPr>
          <w:rFonts w:ascii="Times New Roman" w:hAnsi="Times New Roman" w:cs="Times New Roman"/>
          <w:color w:val="222222"/>
          <w:sz w:val="28"/>
          <w:szCs w:val="28"/>
          <w:shd w:val="clear" w:color="auto" w:fill="FFFFFF"/>
        </w:rPr>
        <w:t>Grant, R.M., 2016. </w:t>
      </w:r>
      <w:proofErr w:type="gramStart"/>
      <w:r w:rsidRPr="00BB7B3B">
        <w:rPr>
          <w:rFonts w:ascii="Times New Roman" w:hAnsi="Times New Roman" w:cs="Times New Roman"/>
          <w:i/>
          <w:iCs/>
          <w:color w:val="222222"/>
          <w:sz w:val="28"/>
          <w:szCs w:val="28"/>
          <w:shd w:val="clear" w:color="auto" w:fill="FFFFFF"/>
        </w:rPr>
        <w:t xml:space="preserve">Contemporary Strategy Analysis Text </w:t>
      </w:r>
      <w:proofErr w:type="spellStart"/>
      <w:r w:rsidRPr="00BB7B3B">
        <w:rPr>
          <w:rFonts w:ascii="Times New Roman" w:hAnsi="Times New Roman" w:cs="Times New Roman"/>
          <w:i/>
          <w:iCs/>
          <w:color w:val="222222"/>
          <w:sz w:val="28"/>
          <w:szCs w:val="28"/>
          <w:shd w:val="clear" w:color="auto" w:fill="FFFFFF"/>
        </w:rPr>
        <w:t>Only</w:t>
      </w:r>
      <w:r w:rsidRPr="00BB7B3B">
        <w:rPr>
          <w:rFonts w:ascii="Times New Roman" w:hAnsi="Times New Roman" w:cs="Times New Roman"/>
          <w:color w:val="222222"/>
          <w:sz w:val="28"/>
          <w:szCs w:val="28"/>
          <w:shd w:val="clear" w:color="auto" w:fill="FFFFFF"/>
        </w:rPr>
        <w:t>.John</w:t>
      </w:r>
      <w:proofErr w:type="spellEnd"/>
      <w:r w:rsidRPr="00BB7B3B">
        <w:rPr>
          <w:rFonts w:ascii="Times New Roman" w:hAnsi="Times New Roman" w:cs="Times New Roman"/>
          <w:color w:val="222222"/>
          <w:sz w:val="28"/>
          <w:szCs w:val="28"/>
          <w:shd w:val="clear" w:color="auto" w:fill="FFFFFF"/>
        </w:rPr>
        <w:t xml:space="preserve"> Wiley &amp; Sons.</w:t>
      </w:r>
      <w:proofErr w:type="gramEnd"/>
    </w:p>
    <w:p w:rsidR="00693C9E" w:rsidRPr="00BB7B3B" w:rsidRDefault="00693C9E" w:rsidP="00B622B7">
      <w:pPr>
        <w:jc w:val="both"/>
        <w:rPr>
          <w:rFonts w:ascii="Times New Roman" w:hAnsi="Times New Roman" w:cs="Times New Roman"/>
          <w:color w:val="222222"/>
          <w:sz w:val="28"/>
          <w:szCs w:val="28"/>
          <w:shd w:val="clear" w:color="auto" w:fill="FFFFFF"/>
        </w:rPr>
      </w:pPr>
      <w:r w:rsidRPr="00BB7B3B">
        <w:rPr>
          <w:rFonts w:ascii="Times New Roman" w:hAnsi="Times New Roman" w:cs="Times New Roman"/>
          <w:color w:val="222222"/>
          <w:sz w:val="28"/>
          <w:szCs w:val="28"/>
          <w:shd w:val="clear" w:color="auto" w:fill="FFFFFF"/>
        </w:rPr>
        <w:lastRenderedPageBreak/>
        <w:t>Hill, C.W., Jones, G.R. and Schilling, M.A., 2014. </w:t>
      </w:r>
      <w:r w:rsidRPr="00BB7B3B">
        <w:rPr>
          <w:rFonts w:ascii="Times New Roman" w:hAnsi="Times New Roman" w:cs="Times New Roman"/>
          <w:i/>
          <w:iCs/>
          <w:color w:val="222222"/>
          <w:sz w:val="28"/>
          <w:szCs w:val="28"/>
          <w:shd w:val="clear" w:color="auto" w:fill="FFFFFF"/>
        </w:rPr>
        <w:t xml:space="preserve">Strategic management: theory: an integrated </w:t>
      </w:r>
      <w:proofErr w:type="spellStart"/>
      <w:r w:rsidRPr="00BB7B3B">
        <w:rPr>
          <w:rFonts w:ascii="Times New Roman" w:hAnsi="Times New Roman" w:cs="Times New Roman"/>
          <w:i/>
          <w:iCs/>
          <w:color w:val="222222"/>
          <w:sz w:val="28"/>
          <w:szCs w:val="28"/>
          <w:shd w:val="clear" w:color="auto" w:fill="FFFFFF"/>
        </w:rPr>
        <w:t>approach</w:t>
      </w:r>
      <w:r w:rsidRPr="00BB7B3B">
        <w:rPr>
          <w:rFonts w:ascii="Times New Roman" w:hAnsi="Times New Roman" w:cs="Times New Roman"/>
          <w:color w:val="222222"/>
          <w:sz w:val="28"/>
          <w:szCs w:val="28"/>
          <w:shd w:val="clear" w:color="auto" w:fill="FFFFFF"/>
        </w:rPr>
        <w:t>.Cengage</w:t>
      </w:r>
      <w:proofErr w:type="spellEnd"/>
      <w:r w:rsidRPr="00BB7B3B">
        <w:rPr>
          <w:rFonts w:ascii="Times New Roman" w:hAnsi="Times New Roman" w:cs="Times New Roman"/>
          <w:color w:val="222222"/>
          <w:sz w:val="28"/>
          <w:szCs w:val="28"/>
          <w:shd w:val="clear" w:color="auto" w:fill="FFFFFF"/>
        </w:rPr>
        <w:t xml:space="preserve"> Learning.</w:t>
      </w:r>
    </w:p>
    <w:p w:rsidR="00693C9E" w:rsidRPr="00BB7B3B" w:rsidRDefault="00693C9E" w:rsidP="00B622B7">
      <w:pPr>
        <w:spacing w:line="360" w:lineRule="auto"/>
        <w:jc w:val="both"/>
        <w:rPr>
          <w:rFonts w:ascii="Times New Roman" w:hAnsi="Times New Roman"/>
          <w:color w:val="222222"/>
          <w:sz w:val="28"/>
          <w:szCs w:val="28"/>
          <w:shd w:val="clear" w:color="auto" w:fill="FFFFFF"/>
        </w:rPr>
      </w:pPr>
      <w:proofErr w:type="spellStart"/>
      <w:proofErr w:type="gramStart"/>
      <w:r w:rsidRPr="00BB7B3B">
        <w:rPr>
          <w:rFonts w:ascii="Times New Roman" w:hAnsi="Times New Roman"/>
          <w:color w:val="222222"/>
          <w:sz w:val="28"/>
          <w:szCs w:val="28"/>
          <w:shd w:val="clear" w:color="auto" w:fill="FFFFFF"/>
        </w:rPr>
        <w:t>Khagi</w:t>
      </w:r>
      <w:proofErr w:type="spellEnd"/>
      <w:r w:rsidRPr="00BB7B3B">
        <w:rPr>
          <w:rFonts w:ascii="Times New Roman" w:hAnsi="Times New Roman"/>
          <w:color w:val="222222"/>
          <w:sz w:val="28"/>
          <w:szCs w:val="28"/>
          <w:shd w:val="clear" w:color="auto" w:fill="FFFFFF"/>
        </w:rPr>
        <w:t xml:space="preserve">, S., </w:t>
      </w:r>
      <w:proofErr w:type="spellStart"/>
      <w:r w:rsidRPr="00BB7B3B">
        <w:rPr>
          <w:rFonts w:ascii="Times New Roman" w:hAnsi="Times New Roman"/>
          <w:color w:val="222222"/>
          <w:sz w:val="28"/>
          <w:szCs w:val="28"/>
          <w:shd w:val="clear" w:color="auto" w:fill="FFFFFF"/>
        </w:rPr>
        <w:t>Sengupta</w:t>
      </w:r>
      <w:proofErr w:type="spellEnd"/>
      <w:r w:rsidRPr="00BB7B3B">
        <w:rPr>
          <w:rFonts w:ascii="Times New Roman" w:hAnsi="Times New Roman"/>
          <w:color w:val="222222"/>
          <w:sz w:val="28"/>
          <w:szCs w:val="28"/>
          <w:shd w:val="clear" w:color="auto" w:fill="FFFFFF"/>
        </w:rPr>
        <w:t xml:space="preserve">, S., </w:t>
      </w:r>
      <w:proofErr w:type="spellStart"/>
      <w:r w:rsidRPr="00BB7B3B">
        <w:rPr>
          <w:rFonts w:ascii="Times New Roman" w:hAnsi="Times New Roman"/>
          <w:color w:val="222222"/>
          <w:sz w:val="28"/>
          <w:szCs w:val="28"/>
          <w:shd w:val="clear" w:color="auto" w:fill="FFFFFF"/>
        </w:rPr>
        <w:t>Tabtieng</w:t>
      </w:r>
      <w:proofErr w:type="spellEnd"/>
      <w:r w:rsidRPr="00BB7B3B">
        <w:rPr>
          <w:rFonts w:ascii="Times New Roman" w:hAnsi="Times New Roman"/>
          <w:color w:val="222222"/>
          <w:sz w:val="28"/>
          <w:szCs w:val="28"/>
          <w:shd w:val="clear" w:color="auto" w:fill="FFFFFF"/>
        </w:rPr>
        <w:t>, T. and Cochran, B.H., 2015.</w:t>
      </w:r>
      <w:proofErr w:type="gramEnd"/>
      <w:r w:rsidRPr="00BB7B3B">
        <w:rPr>
          <w:rFonts w:ascii="Times New Roman" w:hAnsi="Times New Roman"/>
          <w:color w:val="222222"/>
          <w:sz w:val="28"/>
          <w:szCs w:val="28"/>
          <w:shd w:val="clear" w:color="auto" w:fill="FFFFFF"/>
        </w:rPr>
        <w:t xml:space="preserve"> Abstract C201: Activity of the GlaxoSmithKline </w:t>
      </w:r>
      <w:proofErr w:type="spellStart"/>
      <w:r w:rsidRPr="00BB7B3B">
        <w:rPr>
          <w:rFonts w:ascii="Times New Roman" w:hAnsi="Times New Roman"/>
          <w:color w:val="222222"/>
          <w:sz w:val="28"/>
          <w:szCs w:val="28"/>
          <w:shd w:val="clear" w:color="auto" w:fill="FFFFFF"/>
        </w:rPr>
        <w:t>kinase</w:t>
      </w:r>
      <w:proofErr w:type="spellEnd"/>
      <w:r w:rsidRPr="00BB7B3B">
        <w:rPr>
          <w:rFonts w:ascii="Times New Roman" w:hAnsi="Times New Roman"/>
          <w:color w:val="222222"/>
          <w:sz w:val="28"/>
          <w:szCs w:val="28"/>
          <w:shd w:val="clear" w:color="auto" w:fill="FFFFFF"/>
        </w:rPr>
        <w:t xml:space="preserve"> inhibitor set on </w:t>
      </w:r>
      <w:proofErr w:type="spellStart"/>
      <w:r w:rsidRPr="00BB7B3B">
        <w:rPr>
          <w:rFonts w:ascii="Times New Roman" w:hAnsi="Times New Roman"/>
          <w:color w:val="222222"/>
          <w:sz w:val="28"/>
          <w:szCs w:val="28"/>
          <w:shd w:val="clear" w:color="auto" w:fill="FFFFFF"/>
        </w:rPr>
        <w:t>glioblastoma</w:t>
      </w:r>
      <w:proofErr w:type="spellEnd"/>
      <w:r w:rsidRPr="00BB7B3B">
        <w:rPr>
          <w:rFonts w:ascii="Times New Roman" w:hAnsi="Times New Roman"/>
          <w:color w:val="222222"/>
          <w:sz w:val="28"/>
          <w:szCs w:val="28"/>
          <w:shd w:val="clear" w:color="auto" w:fill="FFFFFF"/>
        </w:rPr>
        <w:t xml:space="preserve"> stem cells.</w:t>
      </w:r>
    </w:p>
    <w:p w:rsidR="00693C9E" w:rsidRPr="00BB7B3B" w:rsidRDefault="00693C9E" w:rsidP="00B622B7">
      <w:pPr>
        <w:spacing w:line="360" w:lineRule="auto"/>
        <w:jc w:val="both"/>
        <w:rPr>
          <w:rFonts w:ascii="Times New Roman" w:hAnsi="Times New Roman"/>
          <w:color w:val="222222"/>
          <w:sz w:val="28"/>
          <w:szCs w:val="28"/>
          <w:shd w:val="clear" w:color="auto" w:fill="FFFFFF"/>
        </w:rPr>
      </w:pPr>
      <w:r w:rsidRPr="00BB7B3B">
        <w:rPr>
          <w:rFonts w:ascii="Times New Roman" w:hAnsi="Times New Roman"/>
          <w:color w:val="222222"/>
          <w:sz w:val="28"/>
          <w:szCs w:val="28"/>
          <w:shd w:val="clear" w:color="auto" w:fill="FFFFFF"/>
        </w:rPr>
        <w:t xml:space="preserve">Kou, G., </w:t>
      </w:r>
      <w:proofErr w:type="spellStart"/>
      <w:r w:rsidRPr="00BB7B3B">
        <w:rPr>
          <w:rFonts w:ascii="Times New Roman" w:hAnsi="Times New Roman"/>
          <w:color w:val="222222"/>
          <w:sz w:val="28"/>
          <w:szCs w:val="28"/>
          <w:shd w:val="clear" w:color="auto" w:fill="FFFFFF"/>
        </w:rPr>
        <w:t>Peng</w:t>
      </w:r>
      <w:proofErr w:type="spellEnd"/>
      <w:r w:rsidRPr="00BB7B3B">
        <w:rPr>
          <w:rFonts w:ascii="Times New Roman" w:hAnsi="Times New Roman"/>
          <w:color w:val="222222"/>
          <w:sz w:val="28"/>
          <w:szCs w:val="28"/>
          <w:shd w:val="clear" w:color="auto" w:fill="FFFFFF"/>
        </w:rPr>
        <w:t xml:space="preserve">, Y. and Wang, G., 2014. </w:t>
      </w:r>
      <w:proofErr w:type="gramStart"/>
      <w:r w:rsidRPr="00BB7B3B">
        <w:rPr>
          <w:rFonts w:ascii="Times New Roman" w:hAnsi="Times New Roman"/>
          <w:color w:val="222222"/>
          <w:sz w:val="28"/>
          <w:szCs w:val="28"/>
          <w:shd w:val="clear" w:color="auto" w:fill="FFFFFF"/>
        </w:rPr>
        <w:t>Evaluation of clustering algorithms for financial risk analysis using MCDM methods.</w:t>
      </w:r>
      <w:proofErr w:type="gramEnd"/>
      <w:r w:rsidRPr="00BB7B3B">
        <w:rPr>
          <w:rFonts w:ascii="Times New Roman" w:hAnsi="Times New Roman"/>
          <w:color w:val="222222"/>
          <w:sz w:val="28"/>
          <w:szCs w:val="28"/>
          <w:shd w:val="clear" w:color="auto" w:fill="FFFFFF"/>
        </w:rPr>
        <w:t> </w:t>
      </w:r>
      <w:proofErr w:type="gramStart"/>
      <w:r w:rsidRPr="00BB7B3B">
        <w:rPr>
          <w:rFonts w:ascii="Times New Roman" w:hAnsi="Times New Roman"/>
          <w:i/>
          <w:iCs/>
          <w:color w:val="222222"/>
          <w:sz w:val="28"/>
          <w:szCs w:val="28"/>
          <w:shd w:val="clear" w:color="auto" w:fill="FFFFFF"/>
        </w:rPr>
        <w:t>Information Sciences</w:t>
      </w:r>
      <w:r w:rsidRPr="00BB7B3B">
        <w:rPr>
          <w:rFonts w:ascii="Times New Roman" w:hAnsi="Times New Roman"/>
          <w:color w:val="222222"/>
          <w:sz w:val="28"/>
          <w:szCs w:val="28"/>
          <w:shd w:val="clear" w:color="auto" w:fill="FFFFFF"/>
        </w:rPr>
        <w:t>, </w:t>
      </w:r>
      <w:r w:rsidRPr="00BB7B3B">
        <w:rPr>
          <w:rFonts w:ascii="Times New Roman" w:hAnsi="Times New Roman"/>
          <w:i/>
          <w:iCs/>
          <w:color w:val="222222"/>
          <w:sz w:val="28"/>
          <w:szCs w:val="28"/>
          <w:shd w:val="clear" w:color="auto" w:fill="FFFFFF"/>
        </w:rPr>
        <w:t>275</w:t>
      </w:r>
      <w:r w:rsidRPr="00BB7B3B">
        <w:rPr>
          <w:rFonts w:ascii="Times New Roman" w:hAnsi="Times New Roman"/>
          <w:color w:val="222222"/>
          <w:sz w:val="28"/>
          <w:szCs w:val="28"/>
          <w:shd w:val="clear" w:color="auto" w:fill="FFFFFF"/>
        </w:rPr>
        <w:t>, pp.1-12.</w:t>
      </w:r>
      <w:proofErr w:type="gramEnd"/>
    </w:p>
    <w:p w:rsidR="00693C9E" w:rsidRPr="00BB7B3B" w:rsidRDefault="00693C9E" w:rsidP="00B622B7">
      <w:pPr>
        <w:jc w:val="both"/>
        <w:rPr>
          <w:rFonts w:ascii="Times New Roman" w:hAnsi="Times New Roman" w:cs="Times New Roman"/>
          <w:color w:val="222222"/>
          <w:sz w:val="28"/>
          <w:szCs w:val="28"/>
          <w:shd w:val="clear" w:color="auto" w:fill="FFFFFF"/>
        </w:rPr>
      </w:pPr>
      <w:proofErr w:type="spellStart"/>
      <w:r w:rsidRPr="00BB7B3B">
        <w:rPr>
          <w:rFonts w:ascii="Times New Roman" w:hAnsi="Times New Roman" w:cs="Times New Roman"/>
          <w:color w:val="222222"/>
          <w:sz w:val="28"/>
          <w:szCs w:val="28"/>
          <w:shd w:val="clear" w:color="auto" w:fill="FFFFFF"/>
        </w:rPr>
        <w:t>Krylov</w:t>
      </w:r>
      <w:proofErr w:type="spellEnd"/>
      <w:r w:rsidRPr="00BB7B3B">
        <w:rPr>
          <w:rFonts w:ascii="Times New Roman" w:hAnsi="Times New Roman" w:cs="Times New Roman"/>
          <w:color w:val="222222"/>
          <w:sz w:val="28"/>
          <w:szCs w:val="28"/>
          <w:shd w:val="clear" w:color="auto" w:fill="FFFFFF"/>
        </w:rPr>
        <w:t>, S., 2015.Applied Strategic Financial Analysis within Strategic Management of Organization Finance. </w:t>
      </w:r>
      <w:proofErr w:type="gramStart"/>
      <w:r w:rsidRPr="00BB7B3B">
        <w:rPr>
          <w:rFonts w:ascii="Times New Roman" w:hAnsi="Times New Roman" w:cs="Times New Roman"/>
          <w:i/>
          <w:iCs/>
          <w:color w:val="222222"/>
          <w:sz w:val="28"/>
          <w:szCs w:val="28"/>
          <w:shd w:val="clear" w:color="auto" w:fill="FFFFFF"/>
        </w:rPr>
        <w:t>European Journal of Business and Management, 7 (15)</w:t>
      </w:r>
      <w:r w:rsidRPr="00BB7B3B">
        <w:rPr>
          <w:rFonts w:ascii="Times New Roman" w:hAnsi="Times New Roman" w:cs="Times New Roman"/>
          <w:color w:val="222222"/>
          <w:sz w:val="28"/>
          <w:szCs w:val="28"/>
          <w:shd w:val="clear" w:color="auto" w:fill="FFFFFF"/>
        </w:rPr>
        <w:t>, pp.1-16.</w:t>
      </w:r>
      <w:proofErr w:type="gramEnd"/>
    </w:p>
    <w:p w:rsidR="00693C9E" w:rsidRPr="00BB7B3B" w:rsidRDefault="00693C9E" w:rsidP="00B622B7">
      <w:pPr>
        <w:jc w:val="both"/>
        <w:rPr>
          <w:rFonts w:ascii="Times New Roman" w:hAnsi="Times New Roman" w:cs="Times New Roman"/>
          <w:color w:val="222222"/>
          <w:sz w:val="28"/>
          <w:szCs w:val="28"/>
          <w:shd w:val="clear" w:color="auto" w:fill="FFFFFF"/>
        </w:rPr>
      </w:pPr>
      <w:proofErr w:type="spellStart"/>
      <w:proofErr w:type="gramStart"/>
      <w:r w:rsidRPr="00BB7B3B">
        <w:rPr>
          <w:rFonts w:ascii="Times New Roman" w:hAnsi="Times New Roman" w:cs="Times New Roman"/>
          <w:color w:val="222222"/>
          <w:sz w:val="28"/>
          <w:szCs w:val="28"/>
          <w:shd w:val="clear" w:color="auto" w:fill="FFFFFF"/>
        </w:rPr>
        <w:t>Krylov</w:t>
      </w:r>
      <w:proofErr w:type="spellEnd"/>
      <w:r w:rsidRPr="00BB7B3B">
        <w:rPr>
          <w:rFonts w:ascii="Times New Roman" w:hAnsi="Times New Roman" w:cs="Times New Roman"/>
          <w:color w:val="222222"/>
          <w:sz w:val="28"/>
          <w:szCs w:val="28"/>
          <w:shd w:val="clear" w:color="auto" w:fill="FFFFFF"/>
        </w:rPr>
        <w:t>, S., 2016.Applied Strategic Financial Analysis as Innovative Instrument to Research Strategic Aspects of the Organization Financial Activity.</w:t>
      </w:r>
      <w:proofErr w:type="gramEnd"/>
      <w:r w:rsidRPr="00BB7B3B">
        <w:rPr>
          <w:rFonts w:ascii="Times New Roman" w:hAnsi="Times New Roman" w:cs="Times New Roman"/>
          <w:color w:val="222222"/>
          <w:sz w:val="28"/>
          <w:szCs w:val="28"/>
          <w:shd w:val="clear" w:color="auto" w:fill="FFFFFF"/>
        </w:rPr>
        <w:t> </w:t>
      </w:r>
      <w:r w:rsidRPr="00BB7B3B">
        <w:rPr>
          <w:rFonts w:ascii="Times New Roman" w:hAnsi="Times New Roman" w:cs="Times New Roman"/>
          <w:i/>
          <w:iCs/>
          <w:color w:val="222222"/>
          <w:sz w:val="28"/>
          <w:szCs w:val="28"/>
          <w:shd w:val="clear" w:color="auto" w:fill="FFFFFF"/>
        </w:rPr>
        <w:t>Browser Download This Paper</w:t>
      </w:r>
      <w:r w:rsidRPr="00BB7B3B">
        <w:rPr>
          <w:rFonts w:ascii="Times New Roman" w:hAnsi="Times New Roman" w:cs="Times New Roman"/>
          <w:color w:val="222222"/>
          <w:sz w:val="28"/>
          <w:szCs w:val="28"/>
          <w:shd w:val="clear" w:color="auto" w:fill="FFFFFF"/>
        </w:rPr>
        <w:t>.</w:t>
      </w:r>
    </w:p>
    <w:p w:rsidR="00693C9E" w:rsidRPr="00BB7B3B" w:rsidRDefault="00693C9E" w:rsidP="00B622B7">
      <w:pPr>
        <w:spacing w:line="360" w:lineRule="auto"/>
        <w:jc w:val="both"/>
        <w:rPr>
          <w:rFonts w:ascii="Times New Roman" w:hAnsi="Times New Roman"/>
          <w:b/>
          <w:sz w:val="28"/>
          <w:szCs w:val="28"/>
        </w:rPr>
      </w:pPr>
      <w:proofErr w:type="gramStart"/>
      <w:r w:rsidRPr="00BB7B3B">
        <w:rPr>
          <w:rFonts w:ascii="Times New Roman" w:hAnsi="Times New Roman"/>
          <w:color w:val="222222"/>
          <w:sz w:val="28"/>
          <w:szCs w:val="28"/>
          <w:shd w:val="clear" w:color="auto" w:fill="FFFFFF"/>
        </w:rPr>
        <w:t xml:space="preserve">Macdonald, S.J., Fray, M.J. and </w:t>
      </w:r>
      <w:proofErr w:type="spellStart"/>
      <w:r w:rsidRPr="00BB7B3B">
        <w:rPr>
          <w:rFonts w:ascii="Times New Roman" w:hAnsi="Times New Roman"/>
          <w:color w:val="222222"/>
          <w:sz w:val="28"/>
          <w:szCs w:val="28"/>
          <w:shd w:val="clear" w:color="auto" w:fill="FFFFFF"/>
        </w:rPr>
        <w:t>McInally</w:t>
      </w:r>
      <w:proofErr w:type="spellEnd"/>
      <w:r w:rsidRPr="00BB7B3B">
        <w:rPr>
          <w:rFonts w:ascii="Times New Roman" w:hAnsi="Times New Roman"/>
          <w:color w:val="222222"/>
          <w:sz w:val="28"/>
          <w:szCs w:val="28"/>
          <w:shd w:val="clear" w:color="auto" w:fill="FFFFFF"/>
        </w:rPr>
        <w:t>, T., 2016.</w:t>
      </w:r>
      <w:proofErr w:type="gramEnd"/>
      <w:r w:rsidRPr="00BB7B3B">
        <w:rPr>
          <w:rFonts w:ascii="Times New Roman" w:hAnsi="Times New Roman"/>
          <w:color w:val="222222"/>
          <w:sz w:val="28"/>
          <w:szCs w:val="28"/>
          <w:shd w:val="clear" w:color="auto" w:fill="FFFFFF"/>
        </w:rPr>
        <w:t xml:space="preserve"> </w:t>
      </w:r>
      <w:proofErr w:type="gramStart"/>
      <w:r w:rsidRPr="00BB7B3B">
        <w:rPr>
          <w:rFonts w:ascii="Times New Roman" w:hAnsi="Times New Roman"/>
          <w:color w:val="222222"/>
          <w:sz w:val="28"/>
          <w:szCs w:val="28"/>
          <w:shd w:val="clear" w:color="auto" w:fill="FFFFFF"/>
        </w:rPr>
        <w:t>Passing on the medicinal chemistry baton: training undergraduates to be industry-ready through research projects between the University of Nottingham and GlaxoSmithKline.</w:t>
      </w:r>
      <w:proofErr w:type="gramEnd"/>
      <w:r w:rsidRPr="00BB7B3B">
        <w:rPr>
          <w:rFonts w:ascii="Times New Roman" w:hAnsi="Times New Roman"/>
          <w:color w:val="222222"/>
          <w:sz w:val="28"/>
          <w:szCs w:val="28"/>
          <w:shd w:val="clear" w:color="auto" w:fill="FFFFFF"/>
        </w:rPr>
        <w:t> </w:t>
      </w:r>
      <w:proofErr w:type="gramStart"/>
      <w:r w:rsidRPr="00BB7B3B">
        <w:rPr>
          <w:rFonts w:ascii="Times New Roman" w:hAnsi="Times New Roman"/>
          <w:i/>
          <w:iCs/>
          <w:color w:val="222222"/>
          <w:sz w:val="28"/>
          <w:szCs w:val="28"/>
          <w:shd w:val="clear" w:color="auto" w:fill="FFFFFF"/>
        </w:rPr>
        <w:t>Drug discovery today</w:t>
      </w:r>
      <w:r w:rsidRPr="00BB7B3B">
        <w:rPr>
          <w:rFonts w:ascii="Times New Roman" w:hAnsi="Times New Roman"/>
          <w:color w:val="222222"/>
          <w:sz w:val="28"/>
          <w:szCs w:val="28"/>
          <w:shd w:val="clear" w:color="auto" w:fill="FFFFFF"/>
        </w:rPr>
        <w:t>, </w:t>
      </w:r>
      <w:r w:rsidRPr="00BB7B3B">
        <w:rPr>
          <w:rFonts w:ascii="Times New Roman" w:hAnsi="Times New Roman"/>
          <w:i/>
          <w:iCs/>
          <w:color w:val="222222"/>
          <w:sz w:val="28"/>
          <w:szCs w:val="28"/>
          <w:shd w:val="clear" w:color="auto" w:fill="FFFFFF"/>
        </w:rPr>
        <w:t>21</w:t>
      </w:r>
      <w:r w:rsidRPr="00BB7B3B">
        <w:rPr>
          <w:rFonts w:ascii="Times New Roman" w:hAnsi="Times New Roman"/>
          <w:color w:val="222222"/>
          <w:sz w:val="28"/>
          <w:szCs w:val="28"/>
          <w:shd w:val="clear" w:color="auto" w:fill="FFFFFF"/>
        </w:rPr>
        <w:t>(6), pp.880-887.</w:t>
      </w:r>
      <w:proofErr w:type="gramEnd"/>
    </w:p>
    <w:p w:rsidR="00693C9E" w:rsidRPr="00BB7B3B" w:rsidRDefault="00693C9E" w:rsidP="00B622B7">
      <w:pPr>
        <w:jc w:val="both"/>
        <w:rPr>
          <w:rFonts w:ascii="Times New Roman" w:hAnsi="Times New Roman" w:cs="Times New Roman"/>
          <w:sz w:val="28"/>
          <w:szCs w:val="28"/>
        </w:rPr>
      </w:pPr>
      <w:r w:rsidRPr="00BB7B3B">
        <w:rPr>
          <w:rFonts w:ascii="Times New Roman" w:hAnsi="Times New Roman" w:cs="Times New Roman"/>
          <w:color w:val="222222"/>
          <w:sz w:val="28"/>
          <w:szCs w:val="28"/>
          <w:shd w:val="clear" w:color="auto" w:fill="FFFFFF"/>
        </w:rPr>
        <w:t>McKinney, J.B., 2015. </w:t>
      </w:r>
      <w:proofErr w:type="gramStart"/>
      <w:r w:rsidRPr="00BB7B3B">
        <w:rPr>
          <w:rFonts w:ascii="Times New Roman" w:hAnsi="Times New Roman" w:cs="Times New Roman"/>
          <w:i/>
          <w:iCs/>
          <w:color w:val="222222"/>
          <w:sz w:val="28"/>
          <w:szCs w:val="28"/>
          <w:shd w:val="clear" w:color="auto" w:fill="FFFFFF"/>
        </w:rPr>
        <w:t xml:space="preserve">Effective financial management in public and nonprofit </w:t>
      </w:r>
      <w:proofErr w:type="spellStart"/>
      <w:r w:rsidRPr="00BB7B3B">
        <w:rPr>
          <w:rFonts w:ascii="Times New Roman" w:hAnsi="Times New Roman" w:cs="Times New Roman"/>
          <w:i/>
          <w:iCs/>
          <w:color w:val="222222"/>
          <w:sz w:val="28"/>
          <w:szCs w:val="28"/>
          <w:shd w:val="clear" w:color="auto" w:fill="FFFFFF"/>
        </w:rPr>
        <w:t>agencies</w:t>
      </w:r>
      <w:r w:rsidRPr="00BB7B3B">
        <w:rPr>
          <w:rFonts w:ascii="Times New Roman" w:hAnsi="Times New Roman" w:cs="Times New Roman"/>
          <w:color w:val="222222"/>
          <w:sz w:val="28"/>
          <w:szCs w:val="28"/>
          <w:shd w:val="clear" w:color="auto" w:fill="FFFFFF"/>
        </w:rPr>
        <w:t>.ABC</w:t>
      </w:r>
      <w:proofErr w:type="spellEnd"/>
      <w:r w:rsidRPr="00BB7B3B">
        <w:rPr>
          <w:rFonts w:ascii="Times New Roman" w:hAnsi="Times New Roman" w:cs="Times New Roman"/>
          <w:color w:val="222222"/>
          <w:sz w:val="28"/>
          <w:szCs w:val="28"/>
          <w:shd w:val="clear" w:color="auto" w:fill="FFFFFF"/>
        </w:rPr>
        <w:t>-CLIO.</w:t>
      </w:r>
      <w:proofErr w:type="gramEnd"/>
    </w:p>
    <w:p w:rsidR="00693C9E" w:rsidRPr="00BB7B3B" w:rsidRDefault="00693C9E" w:rsidP="00B622B7">
      <w:pPr>
        <w:spacing w:line="360" w:lineRule="auto"/>
        <w:jc w:val="both"/>
        <w:rPr>
          <w:rFonts w:ascii="Times New Roman" w:hAnsi="Times New Roman"/>
          <w:color w:val="222222"/>
          <w:sz w:val="28"/>
          <w:szCs w:val="28"/>
          <w:shd w:val="clear" w:color="auto" w:fill="FFFFFF"/>
        </w:rPr>
      </w:pPr>
      <w:proofErr w:type="spellStart"/>
      <w:r w:rsidRPr="00BB7B3B">
        <w:rPr>
          <w:rFonts w:ascii="Times New Roman" w:hAnsi="Times New Roman"/>
          <w:color w:val="222222"/>
          <w:sz w:val="28"/>
          <w:szCs w:val="28"/>
          <w:shd w:val="clear" w:color="auto" w:fill="FFFFFF"/>
        </w:rPr>
        <w:t>Muslimah</w:t>
      </w:r>
      <w:proofErr w:type="spellEnd"/>
      <w:r w:rsidRPr="00BB7B3B">
        <w:rPr>
          <w:rFonts w:ascii="Times New Roman" w:hAnsi="Times New Roman"/>
          <w:color w:val="222222"/>
          <w:sz w:val="28"/>
          <w:szCs w:val="28"/>
          <w:shd w:val="clear" w:color="auto" w:fill="FFFFFF"/>
        </w:rPr>
        <w:t xml:space="preserve">, M.D. and </w:t>
      </w:r>
      <w:proofErr w:type="spellStart"/>
      <w:r w:rsidRPr="00BB7B3B">
        <w:rPr>
          <w:rFonts w:ascii="Times New Roman" w:hAnsi="Times New Roman"/>
          <w:color w:val="222222"/>
          <w:sz w:val="28"/>
          <w:szCs w:val="28"/>
          <w:shd w:val="clear" w:color="auto" w:fill="FFFFFF"/>
        </w:rPr>
        <w:t>Simatupang</w:t>
      </w:r>
      <w:proofErr w:type="spellEnd"/>
      <w:r w:rsidRPr="00BB7B3B">
        <w:rPr>
          <w:rFonts w:ascii="Times New Roman" w:hAnsi="Times New Roman"/>
          <w:color w:val="222222"/>
          <w:sz w:val="28"/>
          <w:szCs w:val="28"/>
          <w:shd w:val="clear" w:color="auto" w:fill="FFFFFF"/>
        </w:rPr>
        <w:t xml:space="preserve">, T.M., 2014. Supply chain collaboration for ensuring retail product availability at </w:t>
      </w:r>
      <w:proofErr w:type="spellStart"/>
      <w:r w:rsidRPr="00BB7B3B">
        <w:rPr>
          <w:rFonts w:ascii="Times New Roman" w:hAnsi="Times New Roman"/>
          <w:color w:val="222222"/>
          <w:sz w:val="28"/>
          <w:szCs w:val="28"/>
          <w:shd w:val="clear" w:color="auto" w:fill="FFFFFF"/>
        </w:rPr>
        <w:t>Glaxosmithkline</w:t>
      </w:r>
      <w:proofErr w:type="spellEnd"/>
      <w:r w:rsidRPr="00BB7B3B">
        <w:rPr>
          <w:rFonts w:ascii="Times New Roman" w:hAnsi="Times New Roman"/>
          <w:color w:val="222222"/>
          <w:sz w:val="28"/>
          <w:szCs w:val="28"/>
          <w:shd w:val="clear" w:color="auto" w:fill="FFFFFF"/>
        </w:rPr>
        <w:t xml:space="preserve">. </w:t>
      </w:r>
      <w:proofErr w:type="gramStart"/>
      <w:r w:rsidRPr="00BB7B3B">
        <w:rPr>
          <w:rFonts w:ascii="Times New Roman" w:hAnsi="Times New Roman"/>
          <w:color w:val="222222"/>
          <w:sz w:val="28"/>
          <w:szCs w:val="28"/>
          <w:shd w:val="clear" w:color="auto" w:fill="FFFFFF"/>
        </w:rPr>
        <w:t>In </w:t>
      </w:r>
      <w:r w:rsidRPr="00BB7B3B">
        <w:rPr>
          <w:rFonts w:ascii="Times New Roman" w:hAnsi="Times New Roman"/>
          <w:i/>
          <w:iCs/>
          <w:color w:val="222222"/>
          <w:sz w:val="28"/>
          <w:szCs w:val="28"/>
          <w:shd w:val="clear" w:color="auto" w:fill="FFFFFF"/>
        </w:rPr>
        <w:t>6th International Conference on Operations and Supply Chain Management</w:t>
      </w:r>
      <w:r w:rsidRPr="00BB7B3B">
        <w:rPr>
          <w:rFonts w:ascii="Times New Roman" w:hAnsi="Times New Roman"/>
          <w:color w:val="222222"/>
          <w:sz w:val="28"/>
          <w:szCs w:val="28"/>
          <w:shd w:val="clear" w:color="auto" w:fill="FFFFFF"/>
        </w:rPr>
        <w:t>.</w:t>
      </w:r>
      <w:proofErr w:type="gramEnd"/>
    </w:p>
    <w:p w:rsidR="00693C9E" w:rsidRPr="00BB7B3B" w:rsidRDefault="00693C9E" w:rsidP="00B622B7">
      <w:pPr>
        <w:jc w:val="both"/>
        <w:rPr>
          <w:rFonts w:ascii="Times New Roman" w:hAnsi="Times New Roman" w:cs="Times New Roman"/>
          <w:color w:val="222222"/>
          <w:sz w:val="28"/>
          <w:szCs w:val="28"/>
          <w:shd w:val="clear" w:color="auto" w:fill="FFFFFF"/>
        </w:rPr>
      </w:pPr>
      <w:r w:rsidRPr="00BB7B3B">
        <w:rPr>
          <w:rFonts w:ascii="Times New Roman" w:hAnsi="Times New Roman" w:cs="Times New Roman"/>
          <w:color w:val="222222"/>
          <w:sz w:val="28"/>
          <w:szCs w:val="28"/>
          <w:shd w:val="clear" w:color="auto" w:fill="FFFFFF"/>
        </w:rPr>
        <w:t xml:space="preserve">Nilsson, A.L., 2015. </w:t>
      </w:r>
      <w:proofErr w:type="gramStart"/>
      <w:r w:rsidRPr="00BB7B3B">
        <w:rPr>
          <w:rFonts w:ascii="Times New Roman" w:hAnsi="Times New Roman" w:cs="Times New Roman"/>
          <w:color w:val="222222"/>
          <w:sz w:val="28"/>
          <w:szCs w:val="28"/>
          <w:shd w:val="clear" w:color="auto" w:fill="FFFFFF"/>
        </w:rPr>
        <w:t xml:space="preserve">Strategic Financial Analysis and Valuation of </w:t>
      </w:r>
      <w:proofErr w:type="spellStart"/>
      <w:r w:rsidRPr="00BB7B3B">
        <w:rPr>
          <w:rFonts w:ascii="Times New Roman" w:hAnsi="Times New Roman" w:cs="Times New Roman"/>
          <w:color w:val="222222"/>
          <w:sz w:val="28"/>
          <w:szCs w:val="28"/>
          <w:shd w:val="clear" w:color="auto" w:fill="FFFFFF"/>
        </w:rPr>
        <w:t>Lerøy</w:t>
      </w:r>
      <w:proofErr w:type="spellEnd"/>
      <w:r w:rsidRPr="00BB7B3B">
        <w:rPr>
          <w:rFonts w:ascii="Times New Roman" w:hAnsi="Times New Roman" w:cs="Times New Roman"/>
          <w:color w:val="222222"/>
          <w:sz w:val="28"/>
          <w:szCs w:val="28"/>
          <w:shd w:val="clear" w:color="auto" w:fill="FFFFFF"/>
        </w:rPr>
        <w:t xml:space="preserve"> Seafood Group.</w:t>
      </w:r>
      <w:proofErr w:type="gramEnd"/>
    </w:p>
    <w:p w:rsidR="00693C9E" w:rsidRPr="00BB7B3B" w:rsidRDefault="00693C9E" w:rsidP="00B622B7">
      <w:pPr>
        <w:spacing w:line="360" w:lineRule="auto"/>
        <w:jc w:val="both"/>
        <w:rPr>
          <w:rFonts w:ascii="Times New Roman" w:hAnsi="Times New Roman"/>
          <w:color w:val="222222"/>
          <w:sz w:val="28"/>
          <w:szCs w:val="28"/>
          <w:shd w:val="clear" w:color="auto" w:fill="FFFFFF"/>
        </w:rPr>
      </w:pPr>
      <w:proofErr w:type="spellStart"/>
      <w:proofErr w:type="gramStart"/>
      <w:r w:rsidRPr="00BB7B3B">
        <w:rPr>
          <w:rFonts w:ascii="Times New Roman" w:hAnsi="Times New Roman"/>
          <w:color w:val="222222"/>
          <w:sz w:val="28"/>
          <w:szCs w:val="28"/>
          <w:shd w:val="clear" w:color="auto" w:fill="FFFFFF"/>
        </w:rPr>
        <w:t>Nisen</w:t>
      </w:r>
      <w:proofErr w:type="spellEnd"/>
      <w:r w:rsidRPr="00BB7B3B">
        <w:rPr>
          <w:rFonts w:ascii="Times New Roman" w:hAnsi="Times New Roman"/>
          <w:color w:val="222222"/>
          <w:sz w:val="28"/>
          <w:szCs w:val="28"/>
          <w:shd w:val="clear" w:color="auto" w:fill="FFFFFF"/>
        </w:rPr>
        <w:t xml:space="preserve">, P. and </w:t>
      </w:r>
      <w:proofErr w:type="spellStart"/>
      <w:r w:rsidRPr="00BB7B3B">
        <w:rPr>
          <w:rFonts w:ascii="Times New Roman" w:hAnsi="Times New Roman"/>
          <w:color w:val="222222"/>
          <w:sz w:val="28"/>
          <w:szCs w:val="28"/>
          <w:shd w:val="clear" w:color="auto" w:fill="FFFFFF"/>
        </w:rPr>
        <w:t>Rockhold</w:t>
      </w:r>
      <w:proofErr w:type="spellEnd"/>
      <w:r w:rsidRPr="00BB7B3B">
        <w:rPr>
          <w:rFonts w:ascii="Times New Roman" w:hAnsi="Times New Roman"/>
          <w:color w:val="222222"/>
          <w:sz w:val="28"/>
          <w:szCs w:val="28"/>
          <w:shd w:val="clear" w:color="auto" w:fill="FFFFFF"/>
        </w:rPr>
        <w:t>, F., 2013.</w:t>
      </w:r>
      <w:proofErr w:type="gramEnd"/>
      <w:r w:rsidRPr="00BB7B3B">
        <w:rPr>
          <w:rFonts w:ascii="Times New Roman" w:hAnsi="Times New Roman"/>
          <w:color w:val="222222"/>
          <w:sz w:val="28"/>
          <w:szCs w:val="28"/>
          <w:shd w:val="clear" w:color="auto" w:fill="FFFFFF"/>
        </w:rPr>
        <w:t xml:space="preserve"> </w:t>
      </w:r>
      <w:proofErr w:type="gramStart"/>
      <w:r w:rsidRPr="00BB7B3B">
        <w:rPr>
          <w:rFonts w:ascii="Times New Roman" w:hAnsi="Times New Roman"/>
          <w:color w:val="222222"/>
          <w:sz w:val="28"/>
          <w:szCs w:val="28"/>
          <w:shd w:val="clear" w:color="auto" w:fill="FFFFFF"/>
        </w:rPr>
        <w:t>Access to patient-level data from GlaxoSmithKline clinical trials.</w:t>
      </w:r>
      <w:proofErr w:type="gramEnd"/>
      <w:r w:rsidRPr="00BB7B3B">
        <w:rPr>
          <w:rFonts w:ascii="Times New Roman" w:hAnsi="Times New Roman"/>
          <w:color w:val="222222"/>
          <w:sz w:val="28"/>
          <w:szCs w:val="28"/>
          <w:shd w:val="clear" w:color="auto" w:fill="FFFFFF"/>
        </w:rPr>
        <w:t> </w:t>
      </w:r>
      <w:proofErr w:type="gramStart"/>
      <w:r w:rsidRPr="00BB7B3B">
        <w:rPr>
          <w:rFonts w:ascii="Times New Roman" w:hAnsi="Times New Roman"/>
          <w:i/>
          <w:iCs/>
          <w:color w:val="222222"/>
          <w:sz w:val="28"/>
          <w:szCs w:val="28"/>
          <w:shd w:val="clear" w:color="auto" w:fill="FFFFFF"/>
        </w:rPr>
        <w:t>New England Journal of Medicine</w:t>
      </w:r>
      <w:r w:rsidRPr="00BB7B3B">
        <w:rPr>
          <w:rFonts w:ascii="Times New Roman" w:hAnsi="Times New Roman"/>
          <w:color w:val="222222"/>
          <w:sz w:val="28"/>
          <w:szCs w:val="28"/>
          <w:shd w:val="clear" w:color="auto" w:fill="FFFFFF"/>
        </w:rPr>
        <w:t>, </w:t>
      </w:r>
      <w:r w:rsidRPr="00BB7B3B">
        <w:rPr>
          <w:rFonts w:ascii="Times New Roman" w:hAnsi="Times New Roman"/>
          <w:i/>
          <w:iCs/>
          <w:color w:val="222222"/>
          <w:sz w:val="28"/>
          <w:szCs w:val="28"/>
          <w:shd w:val="clear" w:color="auto" w:fill="FFFFFF"/>
        </w:rPr>
        <w:t>369</w:t>
      </w:r>
      <w:r w:rsidRPr="00BB7B3B">
        <w:rPr>
          <w:rFonts w:ascii="Times New Roman" w:hAnsi="Times New Roman"/>
          <w:color w:val="222222"/>
          <w:sz w:val="28"/>
          <w:szCs w:val="28"/>
          <w:shd w:val="clear" w:color="auto" w:fill="FFFFFF"/>
        </w:rPr>
        <w:t>(5), pp.475-478.</w:t>
      </w:r>
      <w:proofErr w:type="gramEnd"/>
    </w:p>
    <w:p w:rsidR="00693C9E" w:rsidRPr="00BB7B3B" w:rsidRDefault="00693C9E" w:rsidP="00B622B7">
      <w:pPr>
        <w:jc w:val="both"/>
        <w:rPr>
          <w:rFonts w:ascii="Times New Roman" w:hAnsi="Times New Roman" w:cs="Times New Roman"/>
          <w:sz w:val="28"/>
          <w:szCs w:val="28"/>
        </w:rPr>
      </w:pPr>
      <w:proofErr w:type="gramStart"/>
      <w:r w:rsidRPr="00BB7B3B">
        <w:rPr>
          <w:rFonts w:ascii="Times New Roman" w:hAnsi="Times New Roman" w:cs="Times New Roman"/>
          <w:color w:val="222222"/>
          <w:sz w:val="28"/>
          <w:szCs w:val="28"/>
          <w:shd w:val="clear" w:color="auto" w:fill="FFFFFF"/>
        </w:rPr>
        <w:lastRenderedPageBreak/>
        <w:t xml:space="preserve">Petty, J.W., Titman, S., </w:t>
      </w:r>
      <w:proofErr w:type="spellStart"/>
      <w:r w:rsidRPr="00BB7B3B">
        <w:rPr>
          <w:rFonts w:ascii="Times New Roman" w:hAnsi="Times New Roman" w:cs="Times New Roman"/>
          <w:color w:val="222222"/>
          <w:sz w:val="28"/>
          <w:szCs w:val="28"/>
          <w:shd w:val="clear" w:color="auto" w:fill="FFFFFF"/>
        </w:rPr>
        <w:t>Keown</w:t>
      </w:r>
      <w:proofErr w:type="spellEnd"/>
      <w:r w:rsidRPr="00BB7B3B">
        <w:rPr>
          <w:rFonts w:ascii="Times New Roman" w:hAnsi="Times New Roman" w:cs="Times New Roman"/>
          <w:color w:val="222222"/>
          <w:sz w:val="28"/>
          <w:szCs w:val="28"/>
          <w:shd w:val="clear" w:color="auto" w:fill="FFFFFF"/>
        </w:rPr>
        <w:t>, A.J., Martin, P., Martin, J.D. and Burrow, M., 2015.</w:t>
      </w:r>
      <w:proofErr w:type="gramEnd"/>
      <w:r w:rsidRPr="00BB7B3B">
        <w:rPr>
          <w:rFonts w:ascii="Times New Roman" w:hAnsi="Times New Roman" w:cs="Times New Roman"/>
          <w:color w:val="222222"/>
          <w:sz w:val="28"/>
          <w:szCs w:val="28"/>
          <w:shd w:val="clear" w:color="auto" w:fill="FFFFFF"/>
        </w:rPr>
        <w:t> </w:t>
      </w:r>
      <w:r w:rsidRPr="00BB7B3B">
        <w:rPr>
          <w:rFonts w:ascii="Times New Roman" w:hAnsi="Times New Roman" w:cs="Times New Roman"/>
          <w:i/>
          <w:iCs/>
          <w:color w:val="222222"/>
          <w:sz w:val="28"/>
          <w:szCs w:val="28"/>
          <w:shd w:val="clear" w:color="auto" w:fill="FFFFFF"/>
        </w:rPr>
        <w:t xml:space="preserve">Financial management: Principles and </w:t>
      </w:r>
      <w:proofErr w:type="spellStart"/>
      <w:r w:rsidRPr="00BB7B3B">
        <w:rPr>
          <w:rFonts w:ascii="Times New Roman" w:hAnsi="Times New Roman" w:cs="Times New Roman"/>
          <w:i/>
          <w:iCs/>
          <w:color w:val="222222"/>
          <w:sz w:val="28"/>
          <w:szCs w:val="28"/>
          <w:shd w:val="clear" w:color="auto" w:fill="FFFFFF"/>
        </w:rPr>
        <w:t>applications</w:t>
      </w:r>
      <w:r w:rsidRPr="00BB7B3B">
        <w:rPr>
          <w:rFonts w:ascii="Times New Roman" w:hAnsi="Times New Roman" w:cs="Times New Roman"/>
          <w:color w:val="222222"/>
          <w:sz w:val="28"/>
          <w:szCs w:val="28"/>
          <w:shd w:val="clear" w:color="auto" w:fill="FFFFFF"/>
        </w:rPr>
        <w:t>.Pearson</w:t>
      </w:r>
      <w:proofErr w:type="spellEnd"/>
      <w:r w:rsidRPr="00BB7B3B">
        <w:rPr>
          <w:rFonts w:ascii="Times New Roman" w:hAnsi="Times New Roman" w:cs="Times New Roman"/>
          <w:color w:val="222222"/>
          <w:sz w:val="28"/>
          <w:szCs w:val="28"/>
          <w:shd w:val="clear" w:color="auto" w:fill="FFFFFF"/>
        </w:rPr>
        <w:t xml:space="preserve"> Higher Education AU.</w:t>
      </w:r>
    </w:p>
    <w:p w:rsidR="00693C9E" w:rsidRPr="00BB7B3B" w:rsidRDefault="00693C9E" w:rsidP="00B622B7">
      <w:pPr>
        <w:spacing w:line="360" w:lineRule="auto"/>
        <w:jc w:val="both"/>
        <w:rPr>
          <w:rFonts w:ascii="Times New Roman" w:hAnsi="Times New Roman"/>
          <w:color w:val="222222"/>
          <w:sz w:val="28"/>
          <w:szCs w:val="28"/>
          <w:shd w:val="clear" w:color="auto" w:fill="FFFFFF"/>
        </w:rPr>
      </w:pPr>
      <w:proofErr w:type="spellStart"/>
      <w:proofErr w:type="gramStart"/>
      <w:r w:rsidRPr="00BB7B3B">
        <w:rPr>
          <w:rFonts w:ascii="Times New Roman" w:hAnsi="Times New Roman"/>
          <w:color w:val="222222"/>
          <w:sz w:val="28"/>
          <w:szCs w:val="28"/>
          <w:shd w:val="clear" w:color="auto" w:fill="FFFFFF"/>
        </w:rPr>
        <w:t>Uechi</w:t>
      </w:r>
      <w:proofErr w:type="spellEnd"/>
      <w:r w:rsidRPr="00BB7B3B">
        <w:rPr>
          <w:rFonts w:ascii="Times New Roman" w:hAnsi="Times New Roman"/>
          <w:color w:val="222222"/>
          <w:sz w:val="28"/>
          <w:szCs w:val="28"/>
          <w:shd w:val="clear" w:color="auto" w:fill="FFFFFF"/>
        </w:rPr>
        <w:t xml:space="preserve">, L., </w:t>
      </w:r>
      <w:proofErr w:type="spellStart"/>
      <w:r w:rsidRPr="00BB7B3B">
        <w:rPr>
          <w:rFonts w:ascii="Times New Roman" w:hAnsi="Times New Roman"/>
          <w:color w:val="222222"/>
          <w:sz w:val="28"/>
          <w:szCs w:val="28"/>
          <w:shd w:val="clear" w:color="auto" w:fill="FFFFFF"/>
        </w:rPr>
        <w:t>Akutsu</w:t>
      </w:r>
      <w:proofErr w:type="spellEnd"/>
      <w:r w:rsidRPr="00BB7B3B">
        <w:rPr>
          <w:rFonts w:ascii="Times New Roman" w:hAnsi="Times New Roman"/>
          <w:color w:val="222222"/>
          <w:sz w:val="28"/>
          <w:szCs w:val="28"/>
          <w:shd w:val="clear" w:color="auto" w:fill="FFFFFF"/>
        </w:rPr>
        <w:t xml:space="preserve">, T., Stanley, H.E., Marcus, A.J. and </w:t>
      </w:r>
      <w:proofErr w:type="spellStart"/>
      <w:r w:rsidRPr="00BB7B3B">
        <w:rPr>
          <w:rFonts w:ascii="Times New Roman" w:hAnsi="Times New Roman"/>
          <w:color w:val="222222"/>
          <w:sz w:val="28"/>
          <w:szCs w:val="28"/>
          <w:shd w:val="clear" w:color="auto" w:fill="FFFFFF"/>
        </w:rPr>
        <w:t>Kenett</w:t>
      </w:r>
      <w:proofErr w:type="spellEnd"/>
      <w:r w:rsidRPr="00BB7B3B">
        <w:rPr>
          <w:rFonts w:ascii="Times New Roman" w:hAnsi="Times New Roman"/>
          <w:color w:val="222222"/>
          <w:sz w:val="28"/>
          <w:szCs w:val="28"/>
          <w:shd w:val="clear" w:color="auto" w:fill="FFFFFF"/>
        </w:rPr>
        <w:t>, D.Y., 2015.</w:t>
      </w:r>
      <w:proofErr w:type="gramEnd"/>
      <w:r w:rsidRPr="00BB7B3B">
        <w:rPr>
          <w:rFonts w:ascii="Times New Roman" w:hAnsi="Times New Roman"/>
          <w:color w:val="222222"/>
          <w:sz w:val="28"/>
          <w:szCs w:val="28"/>
          <w:shd w:val="clear" w:color="auto" w:fill="FFFFFF"/>
        </w:rPr>
        <w:t xml:space="preserve"> </w:t>
      </w:r>
      <w:proofErr w:type="gramStart"/>
      <w:r w:rsidRPr="00BB7B3B">
        <w:rPr>
          <w:rFonts w:ascii="Times New Roman" w:hAnsi="Times New Roman"/>
          <w:color w:val="222222"/>
          <w:sz w:val="28"/>
          <w:szCs w:val="28"/>
          <w:shd w:val="clear" w:color="auto" w:fill="FFFFFF"/>
        </w:rPr>
        <w:t>Sector dominance ratio analysis of financial markets.</w:t>
      </w:r>
      <w:proofErr w:type="gramEnd"/>
      <w:r w:rsidRPr="00BB7B3B">
        <w:rPr>
          <w:rFonts w:ascii="Times New Roman" w:hAnsi="Times New Roman"/>
          <w:color w:val="222222"/>
          <w:sz w:val="28"/>
          <w:szCs w:val="28"/>
          <w:shd w:val="clear" w:color="auto" w:fill="FFFFFF"/>
        </w:rPr>
        <w:t> </w:t>
      </w:r>
      <w:proofErr w:type="spellStart"/>
      <w:r w:rsidRPr="00BB7B3B">
        <w:rPr>
          <w:rFonts w:ascii="Times New Roman" w:hAnsi="Times New Roman"/>
          <w:i/>
          <w:iCs/>
          <w:color w:val="222222"/>
          <w:sz w:val="28"/>
          <w:szCs w:val="28"/>
          <w:shd w:val="clear" w:color="auto" w:fill="FFFFFF"/>
        </w:rPr>
        <w:t>Physica</w:t>
      </w:r>
      <w:proofErr w:type="spellEnd"/>
      <w:r w:rsidRPr="00BB7B3B">
        <w:rPr>
          <w:rFonts w:ascii="Times New Roman" w:hAnsi="Times New Roman"/>
          <w:i/>
          <w:iCs/>
          <w:color w:val="222222"/>
          <w:sz w:val="28"/>
          <w:szCs w:val="28"/>
          <w:shd w:val="clear" w:color="auto" w:fill="FFFFFF"/>
        </w:rPr>
        <w:t xml:space="preserve"> </w:t>
      </w:r>
      <w:proofErr w:type="gramStart"/>
      <w:r w:rsidRPr="00BB7B3B">
        <w:rPr>
          <w:rFonts w:ascii="Times New Roman" w:hAnsi="Times New Roman"/>
          <w:i/>
          <w:iCs/>
          <w:color w:val="222222"/>
          <w:sz w:val="28"/>
          <w:szCs w:val="28"/>
          <w:shd w:val="clear" w:color="auto" w:fill="FFFFFF"/>
        </w:rPr>
        <w:t>A</w:t>
      </w:r>
      <w:proofErr w:type="gramEnd"/>
      <w:r w:rsidRPr="00BB7B3B">
        <w:rPr>
          <w:rFonts w:ascii="Times New Roman" w:hAnsi="Times New Roman"/>
          <w:i/>
          <w:iCs/>
          <w:color w:val="222222"/>
          <w:sz w:val="28"/>
          <w:szCs w:val="28"/>
          <w:shd w:val="clear" w:color="auto" w:fill="FFFFFF"/>
        </w:rPr>
        <w:t>: Statistical Mechanics and its Applications</w:t>
      </w:r>
      <w:r w:rsidRPr="00BB7B3B">
        <w:rPr>
          <w:rFonts w:ascii="Times New Roman" w:hAnsi="Times New Roman"/>
          <w:color w:val="222222"/>
          <w:sz w:val="28"/>
          <w:szCs w:val="28"/>
          <w:shd w:val="clear" w:color="auto" w:fill="FFFFFF"/>
        </w:rPr>
        <w:t>, </w:t>
      </w:r>
      <w:r w:rsidRPr="00BB7B3B">
        <w:rPr>
          <w:rFonts w:ascii="Times New Roman" w:hAnsi="Times New Roman"/>
          <w:i/>
          <w:iCs/>
          <w:color w:val="222222"/>
          <w:sz w:val="28"/>
          <w:szCs w:val="28"/>
          <w:shd w:val="clear" w:color="auto" w:fill="FFFFFF"/>
        </w:rPr>
        <w:t>421</w:t>
      </w:r>
      <w:r w:rsidRPr="00BB7B3B">
        <w:rPr>
          <w:rFonts w:ascii="Times New Roman" w:hAnsi="Times New Roman"/>
          <w:color w:val="222222"/>
          <w:sz w:val="28"/>
          <w:szCs w:val="28"/>
          <w:shd w:val="clear" w:color="auto" w:fill="FFFFFF"/>
        </w:rPr>
        <w:t>, pp.488-509.</w:t>
      </w:r>
    </w:p>
    <w:bookmarkEnd w:id="17"/>
    <w:p w:rsidR="00693C9E" w:rsidRPr="00BB7B3B" w:rsidRDefault="00693C9E" w:rsidP="00B622B7">
      <w:pPr>
        <w:spacing w:line="360" w:lineRule="auto"/>
        <w:jc w:val="both"/>
        <w:rPr>
          <w:rFonts w:ascii="Times New Roman" w:hAnsi="Times New Roman"/>
          <w:color w:val="222222"/>
          <w:sz w:val="28"/>
          <w:szCs w:val="28"/>
          <w:shd w:val="clear" w:color="auto" w:fill="FFFFFF"/>
        </w:rPr>
      </w:pPr>
      <w:r w:rsidRPr="00BB7B3B">
        <w:rPr>
          <w:rFonts w:ascii="Times New Roman" w:hAnsi="Times New Roman"/>
          <w:color w:val="222222"/>
          <w:sz w:val="28"/>
          <w:szCs w:val="28"/>
          <w:shd w:val="clear" w:color="auto" w:fill="FFFFFF"/>
        </w:rPr>
        <w:t>Vogel, H.L., 2014. </w:t>
      </w:r>
      <w:r w:rsidRPr="00BB7B3B">
        <w:rPr>
          <w:rFonts w:ascii="Times New Roman" w:hAnsi="Times New Roman"/>
          <w:i/>
          <w:iCs/>
          <w:color w:val="222222"/>
          <w:sz w:val="28"/>
          <w:szCs w:val="28"/>
          <w:shd w:val="clear" w:color="auto" w:fill="FFFFFF"/>
        </w:rPr>
        <w:t>Entertainment industry economics: A guide for financial analysis</w:t>
      </w:r>
      <w:r w:rsidRPr="00BB7B3B">
        <w:rPr>
          <w:rFonts w:ascii="Times New Roman" w:hAnsi="Times New Roman"/>
          <w:color w:val="222222"/>
          <w:sz w:val="28"/>
          <w:szCs w:val="28"/>
          <w:shd w:val="clear" w:color="auto" w:fill="FFFFFF"/>
        </w:rPr>
        <w:t xml:space="preserve">. </w:t>
      </w:r>
      <w:proofErr w:type="gramStart"/>
      <w:r w:rsidRPr="00BB7B3B">
        <w:rPr>
          <w:rFonts w:ascii="Times New Roman" w:hAnsi="Times New Roman"/>
          <w:color w:val="222222"/>
          <w:sz w:val="28"/>
          <w:szCs w:val="28"/>
          <w:shd w:val="clear" w:color="auto" w:fill="FFFFFF"/>
        </w:rPr>
        <w:t>Cambridge University Press.</w:t>
      </w:r>
      <w:proofErr w:type="gramEnd"/>
    </w:p>
    <w:p w:rsidR="00B622B7" w:rsidRDefault="00B622B7" w:rsidP="00B622B7">
      <w:pPr>
        <w:spacing w:line="360" w:lineRule="auto"/>
        <w:jc w:val="both"/>
        <w:rPr>
          <w:rFonts w:ascii="Times New Roman" w:hAnsi="Times New Roman"/>
          <w:color w:val="222222"/>
          <w:sz w:val="24"/>
          <w:szCs w:val="24"/>
          <w:shd w:val="clear" w:color="auto" w:fill="FFFFFF"/>
        </w:rPr>
      </w:pPr>
    </w:p>
    <w:p w:rsidR="00B622B7" w:rsidRDefault="00B622B7" w:rsidP="00B622B7">
      <w:pPr>
        <w:spacing w:line="360" w:lineRule="auto"/>
        <w:jc w:val="both"/>
        <w:rPr>
          <w:rFonts w:ascii="Times New Roman" w:hAnsi="Times New Roman"/>
          <w:color w:val="222222"/>
          <w:sz w:val="24"/>
          <w:szCs w:val="24"/>
          <w:shd w:val="clear" w:color="auto" w:fill="FFFFFF"/>
        </w:rPr>
      </w:pPr>
    </w:p>
    <w:p w:rsidR="00417024" w:rsidRDefault="00417024" w:rsidP="00B622B7">
      <w:pPr>
        <w:pStyle w:val="Heading1"/>
        <w:rPr>
          <w:rFonts w:ascii="Times New Roman" w:eastAsiaTheme="minorHAnsi" w:hAnsi="Times New Roman" w:cstheme="minorBidi"/>
          <w:b w:val="0"/>
          <w:bCs w:val="0"/>
          <w:color w:val="222222"/>
          <w:sz w:val="24"/>
          <w:szCs w:val="24"/>
          <w:shd w:val="clear" w:color="auto" w:fill="FFFFFF"/>
        </w:rPr>
      </w:pPr>
      <w:bookmarkStart w:id="18" w:name="_Toc502273008"/>
    </w:p>
    <w:p w:rsidR="00417024" w:rsidRDefault="00417024" w:rsidP="00417024"/>
    <w:p w:rsidR="00BB7B3B" w:rsidRDefault="00BB7B3B" w:rsidP="00417024"/>
    <w:p w:rsidR="00BB7B3B" w:rsidRDefault="00BB7B3B" w:rsidP="00417024"/>
    <w:p w:rsidR="00BB7B3B" w:rsidRDefault="00BB7B3B" w:rsidP="00417024"/>
    <w:p w:rsidR="00BB7B3B" w:rsidRDefault="00BB7B3B" w:rsidP="00417024"/>
    <w:p w:rsidR="00BB7B3B" w:rsidRDefault="00BB7B3B" w:rsidP="00417024"/>
    <w:p w:rsidR="00BB7B3B" w:rsidRDefault="00BB7B3B" w:rsidP="00417024"/>
    <w:p w:rsidR="00BB7B3B" w:rsidRDefault="00BB7B3B" w:rsidP="00417024"/>
    <w:p w:rsidR="00BB7B3B" w:rsidRDefault="00BB7B3B" w:rsidP="00417024"/>
    <w:p w:rsidR="00BB7B3B" w:rsidRDefault="00BB7B3B" w:rsidP="00417024"/>
    <w:p w:rsidR="00BB7B3B" w:rsidRDefault="00BB7B3B" w:rsidP="00417024"/>
    <w:p w:rsidR="00BB7B3B" w:rsidRDefault="00BB7B3B" w:rsidP="00417024"/>
    <w:p w:rsidR="00417024" w:rsidRPr="00417024" w:rsidRDefault="00417024" w:rsidP="00417024"/>
    <w:p w:rsidR="00B622B7" w:rsidRPr="00BB7B3B" w:rsidRDefault="00B622B7" w:rsidP="00B622B7">
      <w:pPr>
        <w:pStyle w:val="Heading1"/>
        <w:rPr>
          <w:rFonts w:ascii="Times New Roman" w:hAnsi="Times New Roman" w:cs="Times New Roman"/>
          <w:sz w:val="36"/>
          <w:szCs w:val="36"/>
          <w:shd w:val="clear" w:color="auto" w:fill="FFFFFF"/>
        </w:rPr>
      </w:pPr>
      <w:r w:rsidRPr="00BB7B3B">
        <w:rPr>
          <w:rFonts w:ascii="Times New Roman" w:hAnsi="Times New Roman" w:cs="Times New Roman"/>
          <w:sz w:val="36"/>
          <w:szCs w:val="36"/>
          <w:shd w:val="clear" w:color="auto" w:fill="FFFFFF"/>
        </w:rPr>
        <w:lastRenderedPageBreak/>
        <w:t>Appendix:</w:t>
      </w:r>
      <w:bookmarkEnd w:id="18"/>
    </w:p>
    <w:p w:rsidR="003F71B6" w:rsidRPr="00BB7B3B" w:rsidRDefault="003F71B6" w:rsidP="003F71B6">
      <w:pPr>
        <w:rPr>
          <w:b/>
          <w:bCs/>
        </w:rPr>
      </w:pPr>
    </w:p>
    <w:p w:rsidR="003F71B6" w:rsidRPr="00BB7B3B" w:rsidRDefault="003F71B6" w:rsidP="003F71B6">
      <w:pPr>
        <w:rPr>
          <w:rFonts w:ascii="Times New Roman" w:hAnsi="Times New Roman" w:cs="Times New Roman"/>
          <w:b/>
          <w:bCs/>
          <w:color w:val="4F81BD" w:themeColor="accent1"/>
          <w:sz w:val="28"/>
          <w:szCs w:val="28"/>
        </w:rPr>
      </w:pPr>
      <w:r w:rsidRPr="00BB7B3B">
        <w:rPr>
          <w:rFonts w:ascii="Times New Roman" w:hAnsi="Times New Roman" w:cs="Times New Roman"/>
          <w:b/>
          <w:bCs/>
          <w:color w:val="4F81BD" w:themeColor="accent1"/>
          <w:sz w:val="28"/>
          <w:szCs w:val="28"/>
        </w:rPr>
        <w:t xml:space="preserve">Figure 1: </w:t>
      </w:r>
    </w:p>
    <w:p w:rsidR="003F71B6" w:rsidRDefault="003F71B6" w:rsidP="003F71B6">
      <w:pPr>
        <w:jc w:val="both"/>
        <w:rPr>
          <w:rFonts w:ascii="Times New Roman" w:hAnsi="Times New Roman" w:cs="Times New Roman"/>
          <w:sz w:val="24"/>
          <w:szCs w:val="24"/>
        </w:rPr>
      </w:pPr>
      <w:r>
        <w:rPr>
          <w:rFonts w:ascii="Times New Roman" w:hAnsi="Times New Roman" w:cs="Times New Roman"/>
          <w:noProof/>
          <w:sz w:val="24"/>
          <w:szCs w:val="24"/>
          <w:lang w:bidi="gu-IN"/>
        </w:rPr>
        <w:drawing>
          <wp:inline distT="0" distB="0" distL="0" distR="0">
            <wp:extent cx="6125718" cy="4767072"/>
            <wp:effectExtent l="38100" t="57150" r="122682" b="90678"/>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srcRect/>
                    <a:stretch>
                      <a:fillRect/>
                    </a:stretch>
                  </pic:blipFill>
                  <pic:spPr bwMode="auto">
                    <a:xfrm>
                      <a:off x="0" y="0"/>
                      <a:ext cx="6125555" cy="47669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71B6" w:rsidRDefault="003F71B6" w:rsidP="003F71B6">
      <w:pPr>
        <w:jc w:val="center"/>
        <w:rPr>
          <w:rFonts w:ascii="Times New Roman" w:hAnsi="Times New Roman" w:cs="Times New Roman"/>
          <w:sz w:val="24"/>
          <w:szCs w:val="24"/>
        </w:rPr>
      </w:pPr>
      <w:r>
        <w:rPr>
          <w:rFonts w:ascii="Times New Roman" w:hAnsi="Times New Roman" w:cs="Times New Roman"/>
          <w:sz w:val="24"/>
          <w:szCs w:val="24"/>
        </w:rPr>
        <w:t>Figure: Balance Sheet of GSK for 2014 and 2013</w:t>
      </w:r>
    </w:p>
    <w:p w:rsidR="003F71B6" w:rsidRDefault="003F71B6" w:rsidP="003F71B6">
      <w:pPr>
        <w:jc w:val="center"/>
        <w:rPr>
          <w:rFonts w:ascii="Times New Roman" w:hAnsi="Times New Roman" w:cs="Times New Roman"/>
          <w:sz w:val="24"/>
          <w:szCs w:val="24"/>
        </w:rPr>
      </w:pPr>
    </w:p>
    <w:p w:rsidR="00417024" w:rsidRDefault="00417024"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417024">
      <w:pPr>
        <w:rPr>
          <w:rFonts w:ascii="Times New Roman" w:hAnsi="Times New Roman" w:cs="Times New Roman"/>
          <w:sz w:val="24"/>
          <w:szCs w:val="24"/>
        </w:rPr>
      </w:pPr>
    </w:p>
    <w:p w:rsidR="003F71B6" w:rsidRPr="00BB7B3B" w:rsidRDefault="003F71B6" w:rsidP="003F71B6">
      <w:pPr>
        <w:rPr>
          <w:rFonts w:ascii="Times New Roman" w:hAnsi="Times New Roman" w:cs="Times New Roman"/>
          <w:b/>
          <w:bCs/>
          <w:color w:val="4F81BD" w:themeColor="accent1"/>
          <w:sz w:val="28"/>
          <w:szCs w:val="28"/>
        </w:rPr>
      </w:pPr>
      <w:r w:rsidRPr="00BB7B3B">
        <w:rPr>
          <w:rFonts w:ascii="Times New Roman" w:hAnsi="Times New Roman" w:cs="Times New Roman"/>
          <w:b/>
          <w:bCs/>
          <w:color w:val="4F81BD" w:themeColor="accent1"/>
          <w:sz w:val="28"/>
          <w:szCs w:val="28"/>
        </w:rPr>
        <w:lastRenderedPageBreak/>
        <w:t xml:space="preserve">Figure 2: </w:t>
      </w:r>
    </w:p>
    <w:p w:rsidR="003F71B6" w:rsidRDefault="003F71B6" w:rsidP="003F71B6">
      <w:pPr>
        <w:jc w:val="center"/>
        <w:rPr>
          <w:rFonts w:ascii="Times New Roman" w:hAnsi="Times New Roman" w:cs="Times New Roman"/>
          <w:sz w:val="24"/>
          <w:szCs w:val="24"/>
        </w:rPr>
      </w:pPr>
      <w:r>
        <w:rPr>
          <w:rFonts w:ascii="Times New Roman" w:hAnsi="Times New Roman" w:cs="Times New Roman"/>
          <w:noProof/>
          <w:sz w:val="24"/>
          <w:szCs w:val="24"/>
          <w:lang w:bidi="gu-IN"/>
        </w:rPr>
        <w:drawing>
          <wp:inline distT="0" distB="0" distL="0" distR="0">
            <wp:extent cx="5779135" cy="3498850"/>
            <wp:effectExtent l="38100" t="57150" r="107315" b="101600"/>
            <wp:docPr id="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srcRect/>
                    <a:stretch>
                      <a:fillRect/>
                    </a:stretch>
                  </pic:blipFill>
                  <pic:spPr bwMode="auto">
                    <a:xfrm>
                      <a:off x="0" y="0"/>
                      <a:ext cx="5779135" cy="34988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71B6" w:rsidRDefault="003F71B6" w:rsidP="003F71B6">
      <w:pPr>
        <w:jc w:val="center"/>
        <w:rPr>
          <w:rFonts w:ascii="Times New Roman" w:hAnsi="Times New Roman" w:cs="Times New Roman"/>
          <w:sz w:val="24"/>
          <w:szCs w:val="24"/>
        </w:rPr>
      </w:pPr>
      <w:r>
        <w:rPr>
          <w:rFonts w:ascii="Times New Roman" w:hAnsi="Times New Roman" w:cs="Times New Roman"/>
          <w:sz w:val="24"/>
          <w:szCs w:val="24"/>
        </w:rPr>
        <w:t>Figure: Consolidated Income Statement of GSK for 2014 and 2013</w:t>
      </w: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Default="003F71B6" w:rsidP="00417024">
      <w:pPr>
        <w:rPr>
          <w:rFonts w:ascii="Times New Roman" w:hAnsi="Times New Roman" w:cs="Times New Roman"/>
          <w:sz w:val="24"/>
          <w:szCs w:val="24"/>
        </w:rPr>
      </w:pPr>
    </w:p>
    <w:p w:rsidR="003F71B6" w:rsidRDefault="003F71B6" w:rsidP="003F71B6">
      <w:pPr>
        <w:jc w:val="center"/>
        <w:rPr>
          <w:rFonts w:ascii="Times New Roman" w:hAnsi="Times New Roman" w:cs="Times New Roman"/>
          <w:sz w:val="24"/>
          <w:szCs w:val="24"/>
        </w:rPr>
      </w:pPr>
    </w:p>
    <w:p w:rsidR="003F71B6" w:rsidRPr="00BB7B3B" w:rsidRDefault="003F71B6" w:rsidP="003F71B6">
      <w:pPr>
        <w:rPr>
          <w:rFonts w:ascii="Times New Roman" w:hAnsi="Times New Roman" w:cs="Times New Roman"/>
          <w:b/>
          <w:color w:val="4F81BD" w:themeColor="accent1"/>
          <w:sz w:val="28"/>
          <w:szCs w:val="28"/>
        </w:rPr>
      </w:pPr>
      <w:r w:rsidRPr="00BB7B3B">
        <w:rPr>
          <w:rFonts w:ascii="Times New Roman" w:hAnsi="Times New Roman" w:cs="Times New Roman"/>
          <w:b/>
          <w:color w:val="4F81BD" w:themeColor="accent1"/>
          <w:sz w:val="28"/>
          <w:szCs w:val="28"/>
        </w:rPr>
        <w:lastRenderedPageBreak/>
        <w:t xml:space="preserve">Figure 3: </w:t>
      </w:r>
    </w:p>
    <w:p w:rsidR="003F71B6" w:rsidRDefault="003F71B6" w:rsidP="003F71B6">
      <w:pPr>
        <w:jc w:val="center"/>
        <w:rPr>
          <w:rFonts w:ascii="Times New Roman" w:hAnsi="Times New Roman" w:cs="Times New Roman"/>
          <w:sz w:val="24"/>
          <w:szCs w:val="24"/>
        </w:rPr>
      </w:pPr>
      <w:r>
        <w:rPr>
          <w:rFonts w:ascii="Times New Roman" w:hAnsi="Times New Roman" w:cs="Times New Roman"/>
          <w:noProof/>
          <w:sz w:val="24"/>
          <w:szCs w:val="24"/>
          <w:lang w:bidi="gu-IN"/>
        </w:rPr>
        <w:drawing>
          <wp:inline distT="0" distB="0" distL="0" distR="0">
            <wp:extent cx="5097145" cy="5102384"/>
            <wp:effectExtent l="38100" t="57150" r="122555" b="98266"/>
            <wp:docPr id="10"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srcRect/>
                    <a:stretch>
                      <a:fillRect/>
                    </a:stretch>
                  </pic:blipFill>
                  <pic:spPr bwMode="auto">
                    <a:xfrm>
                      <a:off x="0" y="0"/>
                      <a:ext cx="5103330" cy="51085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71B6" w:rsidRDefault="003F71B6" w:rsidP="003F71B6">
      <w:pPr>
        <w:jc w:val="center"/>
        <w:rPr>
          <w:rFonts w:ascii="Times New Roman" w:hAnsi="Times New Roman" w:cs="Times New Roman"/>
          <w:sz w:val="24"/>
          <w:szCs w:val="24"/>
        </w:rPr>
      </w:pPr>
      <w:r>
        <w:rPr>
          <w:rFonts w:ascii="Times New Roman" w:hAnsi="Times New Roman" w:cs="Times New Roman"/>
          <w:sz w:val="24"/>
          <w:szCs w:val="24"/>
        </w:rPr>
        <w:t>Figure: Balance Sheet of GSK for 2016 and 2015</w:t>
      </w:r>
    </w:p>
    <w:p w:rsidR="003F71B6" w:rsidRDefault="003F71B6" w:rsidP="003F71B6">
      <w:pPr>
        <w:rPr>
          <w:rFonts w:ascii="Times New Roman" w:hAnsi="Times New Roman" w:cs="Times New Roman"/>
          <w:sz w:val="24"/>
          <w:szCs w:val="24"/>
        </w:rPr>
      </w:pPr>
    </w:p>
    <w:p w:rsidR="003F71B6" w:rsidRDefault="003F71B6" w:rsidP="003F71B6">
      <w:pPr>
        <w:rPr>
          <w:rFonts w:ascii="Times New Roman" w:hAnsi="Times New Roman" w:cs="Times New Roman"/>
          <w:sz w:val="24"/>
          <w:szCs w:val="24"/>
        </w:rPr>
      </w:pPr>
    </w:p>
    <w:p w:rsidR="003F71B6" w:rsidRDefault="003F71B6" w:rsidP="003F71B6">
      <w:pPr>
        <w:rPr>
          <w:rFonts w:ascii="Times New Roman" w:hAnsi="Times New Roman" w:cs="Times New Roman"/>
          <w:sz w:val="24"/>
          <w:szCs w:val="24"/>
        </w:rPr>
      </w:pPr>
    </w:p>
    <w:p w:rsidR="003F71B6" w:rsidRDefault="003F71B6" w:rsidP="003F71B6">
      <w:pPr>
        <w:rPr>
          <w:rFonts w:ascii="Times New Roman" w:hAnsi="Times New Roman" w:cs="Times New Roman"/>
          <w:sz w:val="24"/>
          <w:szCs w:val="24"/>
        </w:rPr>
      </w:pPr>
    </w:p>
    <w:p w:rsidR="003F71B6" w:rsidRDefault="003F71B6" w:rsidP="003F71B6">
      <w:pPr>
        <w:rPr>
          <w:rFonts w:ascii="Times New Roman" w:hAnsi="Times New Roman" w:cs="Times New Roman"/>
          <w:sz w:val="24"/>
          <w:szCs w:val="24"/>
        </w:rPr>
      </w:pPr>
    </w:p>
    <w:p w:rsidR="003F71B6" w:rsidRDefault="003F71B6" w:rsidP="003F71B6">
      <w:pPr>
        <w:rPr>
          <w:rFonts w:ascii="Times New Roman" w:hAnsi="Times New Roman" w:cs="Times New Roman"/>
          <w:sz w:val="24"/>
          <w:szCs w:val="24"/>
        </w:rPr>
      </w:pPr>
    </w:p>
    <w:p w:rsidR="003F71B6" w:rsidRDefault="003F71B6" w:rsidP="003F71B6">
      <w:pPr>
        <w:rPr>
          <w:rFonts w:ascii="Times New Roman" w:hAnsi="Times New Roman" w:cs="Times New Roman"/>
          <w:sz w:val="24"/>
          <w:szCs w:val="24"/>
        </w:rPr>
      </w:pPr>
    </w:p>
    <w:p w:rsidR="003F71B6" w:rsidRPr="00BB7B3B" w:rsidRDefault="003F71B6" w:rsidP="003F71B6">
      <w:pPr>
        <w:rPr>
          <w:rFonts w:ascii="Times New Roman" w:hAnsi="Times New Roman" w:cs="Times New Roman"/>
          <w:b/>
          <w:bCs/>
          <w:color w:val="4F81BD" w:themeColor="accent1"/>
          <w:sz w:val="28"/>
          <w:szCs w:val="28"/>
        </w:rPr>
      </w:pPr>
      <w:r w:rsidRPr="00BB7B3B">
        <w:rPr>
          <w:rFonts w:ascii="Times New Roman" w:hAnsi="Times New Roman" w:cs="Times New Roman"/>
          <w:b/>
          <w:bCs/>
          <w:color w:val="4F81BD" w:themeColor="accent1"/>
          <w:sz w:val="28"/>
          <w:szCs w:val="28"/>
        </w:rPr>
        <w:t>Figure 4:</w:t>
      </w:r>
    </w:p>
    <w:p w:rsidR="003F71B6" w:rsidRDefault="003F71B6" w:rsidP="003F71B6">
      <w:pPr>
        <w:rPr>
          <w:rFonts w:ascii="Times New Roman" w:hAnsi="Times New Roman" w:cs="Times New Roman"/>
          <w:sz w:val="24"/>
          <w:szCs w:val="24"/>
        </w:rPr>
      </w:pPr>
      <w:r>
        <w:rPr>
          <w:rFonts w:ascii="Times New Roman" w:hAnsi="Times New Roman" w:cs="Times New Roman"/>
          <w:noProof/>
          <w:sz w:val="24"/>
          <w:szCs w:val="24"/>
          <w:lang w:bidi="gu-IN"/>
        </w:rPr>
        <w:drawing>
          <wp:inline distT="0" distB="0" distL="0" distR="0">
            <wp:extent cx="5791200" cy="3291840"/>
            <wp:effectExtent l="38100" t="57150" r="114300" b="99060"/>
            <wp:docPr id="11"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srcRect/>
                    <a:stretch>
                      <a:fillRect/>
                    </a:stretch>
                  </pic:blipFill>
                  <pic:spPr bwMode="auto">
                    <a:xfrm>
                      <a:off x="0" y="0"/>
                      <a:ext cx="5791200" cy="32918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F71B6" w:rsidRDefault="003F71B6" w:rsidP="003F71B6">
      <w:pPr>
        <w:jc w:val="center"/>
        <w:rPr>
          <w:rFonts w:ascii="Times New Roman" w:hAnsi="Times New Roman" w:cs="Times New Roman"/>
          <w:sz w:val="24"/>
          <w:szCs w:val="24"/>
        </w:rPr>
      </w:pPr>
      <w:r>
        <w:rPr>
          <w:rFonts w:ascii="Times New Roman" w:hAnsi="Times New Roman" w:cs="Times New Roman"/>
          <w:sz w:val="24"/>
          <w:szCs w:val="24"/>
        </w:rPr>
        <w:t>Figure: Consolidated Income Statement of GSK for 2016 and 2015</w:t>
      </w:r>
    </w:p>
    <w:p w:rsidR="00B622B7" w:rsidRDefault="00B622B7" w:rsidP="00B622B7">
      <w:pPr>
        <w:spacing w:line="360" w:lineRule="auto"/>
        <w:jc w:val="both"/>
        <w:rPr>
          <w:rFonts w:ascii="Times New Roman" w:hAnsi="Times New Roman"/>
          <w:color w:val="222222"/>
          <w:sz w:val="24"/>
          <w:szCs w:val="24"/>
          <w:shd w:val="clear" w:color="auto" w:fill="FFFFFF"/>
        </w:rPr>
      </w:pPr>
    </w:p>
    <w:p w:rsidR="00B622B7" w:rsidRPr="002B595D" w:rsidRDefault="00B622B7" w:rsidP="00B622B7">
      <w:pPr>
        <w:spacing w:line="360" w:lineRule="auto"/>
        <w:jc w:val="both"/>
        <w:rPr>
          <w:rFonts w:ascii="Times New Roman" w:hAnsi="Times New Roman"/>
          <w:color w:val="222222"/>
          <w:sz w:val="24"/>
          <w:szCs w:val="24"/>
          <w:shd w:val="clear" w:color="auto" w:fill="FFFFFF"/>
        </w:rPr>
      </w:pPr>
    </w:p>
    <w:p w:rsidR="00B622B7" w:rsidRPr="00081205" w:rsidRDefault="00B622B7" w:rsidP="005A690B">
      <w:pPr>
        <w:spacing w:line="360" w:lineRule="auto"/>
        <w:jc w:val="both"/>
        <w:rPr>
          <w:rFonts w:ascii="Times New Roman" w:hAnsi="Times New Roman" w:cs="Times New Roman"/>
          <w:sz w:val="24"/>
          <w:szCs w:val="24"/>
        </w:rPr>
      </w:pPr>
    </w:p>
    <w:sectPr w:rsidR="00B622B7" w:rsidRPr="00081205" w:rsidSect="009D3DCF">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cols w:space="720"/>
      <w:titlePg/>
      <w:docGrid w:linePitch="360"/>
    </w:sectPr>
  </w:body>
</w:document>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hruti">
    <w:panose1 w:val="020B0502040204020203"/>
    <w:charset w:val="00"/>
    <w:family w:val="swiss"/>
    <w:pitch w:val="variable"/>
    <w:sig w:usb0="0004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498C463A"/>
    <w:multiLevelType w:val="hybridMultilevel"/>
    <w:tmpl w:val="DD96675E"/>
    <w:lvl w:ilvl="0" w:tplc="66E87128">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proofState w:spelling="clean" w:grammar="clean"/>
  <w:defaultTabStop w:val="720"/>
  <w:drawingGridHorizontalSpacing w:val="110"/>
  <w:displayHorizontalDrawingGridEvery w:val="2"/>
  <w:displayVerticalDrawingGridEvery w:val="2"/>
  <w:characterSpacingControl w:val="doNotCompress"/>
  <w:compat/>
  <w:rsids>
    <w:rsidRoot w:val="00541F2B"/>
    <w:rsid w:val="000103FC"/>
    <w:rsid w:val="00015733"/>
    <w:rsid w:val="00081205"/>
    <w:rsid w:val="00095DB1"/>
    <w:rsid w:val="00224A0F"/>
    <w:rsid w:val="00226E3E"/>
    <w:rsid w:val="00237300"/>
    <w:rsid w:val="00245E04"/>
    <w:rsid w:val="002476B7"/>
    <w:rsid w:val="0026289A"/>
    <w:rsid w:val="002A3371"/>
    <w:rsid w:val="002A427C"/>
    <w:rsid w:val="002F3BC1"/>
    <w:rsid w:val="00304155"/>
    <w:rsid w:val="003A2A63"/>
    <w:rsid w:val="003C3077"/>
    <w:rsid w:val="003C5CC7"/>
    <w:rsid w:val="003C6EE8"/>
    <w:rsid w:val="003F71B6"/>
    <w:rsid w:val="00417024"/>
    <w:rsid w:val="00467292"/>
    <w:rsid w:val="00476D38"/>
    <w:rsid w:val="004A0045"/>
    <w:rsid w:val="004C7941"/>
    <w:rsid w:val="004E1B60"/>
    <w:rsid w:val="00531519"/>
    <w:rsid w:val="0054137F"/>
    <w:rsid w:val="00541F2B"/>
    <w:rsid w:val="005707D3"/>
    <w:rsid w:val="005844D9"/>
    <w:rsid w:val="005A04C9"/>
    <w:rsid w:val="005A690B"/>
    <w:rsid w:val="005D11C7"/>
    <w:rsid w:val="005E01F7"/>
    <w:rsid w:val="005E14FB"/>
    <w:rsid w:val="006211E1"/>
    <w:rsid w:val="006552A1"/>
    <w:rsid w:val="00693C9E"/>
    <w:rsid w:val="006D6317"/>
    <w:rsid w:val="0070730B"/>
    <w:rsid w:val="007D480D"/>
    <w:rsid w:val="007F1A82"/>
    <w:rsid w:val="0082356B"/>
    <w:rsid w:val="0082783E"/>
    <w:rsid w:val="008476BE"/>
    <w:rsid w:val="00893334"/>
    <w:rsid w:val="0089363B"/>
    <w:rsid w:val="00945DC8"/>
    <w:rsid w:val="00961E14"/>
    <w:rsid w:val="009851F1"/>
    <w:rsid w:val="009D3DCF"/>
    <w:rsid w:val="00A03A51"/>
    <w:rsid w:val="00A16FEC"/>
    <w:rsid w:val="00A47DE1"/>
    <w:rsid w:val="00A62782"/>
    <w:rsid w:val="00AD7BA7"/>
    <w:rsid w:val="00B05D71"/>
    <w:rsid w:val="00B448EB"/>
    <w:rsid w:val="00B622B7"/>
    <w:rsid w:val="00B73AB4"/>
    <w:rsid w:val="00B93C72"/>
    <w:rsid w:val="00BB7B3B"/>
    <w:rsid w:val="00BD3463"/>
    <w:rsid w:val="00C10186"/>
    <w:rsid w:val="00C34054"/>
    <w:rsid w:val="00C71278"/>
    <w:rsid w:val="00CA3569"/>
    <w:rsid w:val="00CE184A"/>
    <w:rsid w:val="00D06991"/>
    <w:rsid w:val="00D15B73"/>
    <w:rsid w:val="00D454A8"/>
    <w:rsid w:val="00D92EA5"/>
    <w:rsid w:val="00DA167B"/>
    <w:rsid w:val="00DB6CEF"/>
    <w:rsid w:val="00E03005"/>
    <w:rsid w:val="00E55919"/>
    <w:rsid w:val="00E835B3"/>
    <w:rsid w:val="00EC6721"/>
    <w:rsid w:val="00F40E0D"/>
    <w:rsid w:val="00FA3305"/>
  </w:rsids>
  <m:mathPr>
    <m:mathFont m:val="Cambria Math"/>
    <m:brkBin m:val="before"/>
    <m:brkBinSub m:val="--"/>
    <m:smallFrac m:val="off"/>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819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06991"/>
  </w:style>
  <w:style w:type="paragraph" w:styleId="Heading1">
    <w:name w:val="heading 1"/>
    <w:basedOn w:val="Normal"/>
    <w:next w:val="Normal"/>
    <w:link w:val="Heading1Char"/>
    <w:uiPriority w:val="9"/>
    <w:qFormat/>
    <w:rsid w:val="00541F2B"/>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41F2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1F2B"/>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541F2B"/>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541F2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F2B"/>
    <w:rPr>
      <w:rFonts w:ascii="Tahoma" w:hAnsi="Tahoma" w:cs="Tahoma"/>
      <w:sz w:val="16"/>
      <w:szCs w:val="16"/>
    </w:rPr>
  </w:style>
  <w:style w:type="paragraph" w:styleId="ListParagraph">
    <w:name w:val="List Paragraph"/>
    <w:basedOn w:val="Normal"/>
    <w:uiPriority w:val="34"/>
    <w:qFormat/>
    <w:rsid w:val="00531519"/>
    <w:pPr>
      <w:ind w:left="720"/>
      <w:contextualSpacing/>
    </w:pPr>
    <w:rPr>
      <w:rFonts w:ascii="Calibri" w:eastAsia="Calibri" w:hAnsi="Calibri" w:cs="Times New Roman"/>
    </w:rPr>
  </w:style>
  <w:style w:type="paragraph" w:styleId="TOCHeading">
    <w:name w:val="TOC Heading"/>
    <w:basedOn w:val="Heading1"/>
    <w:next w:val="Normal"/>
    <w:uiPriority w:val="39"/>
    <w:unhideWhenUsed/>
    <w:qFormat/>
    <w:rsid w:val="00B622B7"/>
    <w:pPr>
      <w:outlineLvl w:val="9"/>
    </w:pPr>
  </w:style>
  <w:style w:type="paragraph" w:styleId="TOC1">
    <w:name w:val="toc 1"/>
    <w:basedOn w:val="Normal"/>
    <w:next w:val="Normal"/>
    <w:autoRedefine/>
    <w:uiPriority w:val="39"/>
    <w:unhideWhenUsed/>
    <w:rsid w:val="00B622B7"/>
    <w:pPr>
      <w:spacing w:after="100"/>
    </w:pPr>
  </w:style>
  <w:style w:type="paragraph" w:styleId="TOC2">
    <w:name w:val="toc 2"/>
    <w:basedOn w:val="Normal"/>
    <w:next w:val="Normal"/>
    <w:autoRedefine/>
    <w:uiPriority w:val="39"/>
    <w:unhideWhenUsed/>
    <w:rsid w:val="00B622B7"/>
    <w:pPr>
      <w:spacing w:after="100"/>
      <w:ind w:left="220"/>
    </w:pPr>
  </w:style>
  <w:style w:type="character" w:styleId="Hyperlink">
    <w:name w:val="Hyperlink"/>
    <w:basedOn w:val="DefaultParagraphFont"/>
    <w:uiPriority w:val="99"/>
    <w:unhideWhenUsed/>
    <w:rsid w:val="00B622B7"/>
    <w:rPr>
      <w:color w:val="0000FF" w:themeColor="hyperlink"/>
      <w:u w:val="single"/>
    </w:rPr>
  </w:style>
  <w:style w:type="paragraph" w:styleId="NoSpacing">
    <w:name w:val="No Spacing"/>
    <w:link w:val="NoSpacingChar"/>
    <w:uiPriority w:val="1"/>
    <w:qFormat/>
    <w:rsid w:val="009D3DCF"/>
    <w:pPr>
      <w:spacing w:after="0" w:line="240" w:lineRule="auto"/>
    </w:pPr>
    <w:rPr>
      <w:rFonts w:eastAsiaTheme="minorEastAsia"/>
    </w:rPr>
  </w:style>
  <w:style w:type="character" w:customStyle="1" w:styleId="NoSpacingChar">
    <w:name w:val="No Spacing Char"/>
    <w:basedOn w:val="DefaultParagraphFont"/>
    <w:link w:val="NoSpacing"/>
    <w:uiPriority w:val="1"/>
    <w:rsid w:val="009D3DCF"/>
    <w:rPr>
      <w:rFonts w:eastAsiaTheme="minorEastAsia"/>
    </w:rPr>
  </w:style>
  <w:style w:type="table" w:styleId="TableGrid">
    <w:name w:val="Table Grid"/>
    <w:basedOn w:val="TableNormal"/>
    <w:uiPriority w:val="59"/>
    <w:rsid w:val="00E55919"/>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s>
</file>

<file path=word/webSettings.xml><?xml version="1.0" encoding="utf-8"?>
<w:webSettings xmlns:r="http://schemas.openxmlformats.org/officeDocument/2006/relationships" xmlns:w="http://schemas.openxmlformats.org/wordprocessingml/2006/main">
  <w:divs>
    <w:div w:id="58335374">
      <w:bodyDiv w:val="1"/>
      <w:marLeft w:val="0"/>
      <w:marRight w:val="0"/>
      <w:marTop w:val="0"/>
      <w:marBottom w:val="0"/>
      <w:divBdr>
        <w:top w:val="none" w:sz="0" w:space="0" w:color="auto"/>
        <w:left w:val="none" w:sz="0" w:space="0" w:color="auto"/>
        <w:bottom w:val="none" w:sz="0" w:space="0" w:color="auto"/>
        <w:right w:val="none" w:sz="0" w:space="0" w:color="auto"/>
      </w:divBdr>
    </w:div>
    <w:div w:id="90200572">
      <w:bodyDiv w:val="1"/>
      <w:marLeft w:val="0"/>
      <w:marRight w:val="0"/>
      <w:marTop w:val="0"/>
      <w:marBottom w:val="0"/>
      <w:divBdr>
        <w:top w:val="none" w:sz="0" w:space="0" w:color="auto"/>
        <w:left w:val="none" w:sz="0" w:space="0" w:color="auto"/>
        <w:bottom w:val="none" w:sz="0" w:space="0" w:color="auto"/>
        <w:right w:val="none" w:sz="0" w:space="0" w:color="auto"/>
      </w:divBdr>
    </w:div>
    <w:div w:id="228619618">
      <w:bodyDiv w:val="1"/>
      <w:marLeft w:val="0"/>
      <w:marRight w:val="0"/>
      <w:marTop w:val="0"/>
      <w:marBottom w:val="0"/>
      <w:divBdr>
        <w:top w:val="none" w:sz="0" w:space="0" w:color="auto"/>
        <w:left w:val="none" w:sz="0" w:space="0" w:color="auto"/>
        <w:bottom w:val="none" w:sz="0" w:space="0" w:color="auto"/>
        <w:right w:val="none" w:sz="0" w:space="0" w:color="auto"/>
      </w:divBdr>
    </w:div>
    <w:div w:id="275910281">
      <w:bodyDiv w:val="1"/>
      <w:marLeft w:val="0"/>
      <w:marRight w:val="0"/>
      <w:marTop w:val="0"/>
      <w:marBottom w:val="0"/>
      <w:divBdr>
        <w:top w:val="none" w:sz="0" w:space="0" w:color="auto"/>
        <w:left w:val="none" w:sz="0" w:space="0" w:color="auto"/>
        <w:bottom w:val="none" w:sz="0" w:space="0" w:color="auto"/>
        <w:right w:val="none" w:sz="0" w:space="0" w:color="auto"/>
      </w:divBdr>
    </w:div>
    <w:div w:id="458569757">
      <w:bodyDiv w:val="1"/>
      <w:marLeft w:val="0"/>
      <w:marRight w:val="0"/>
      <w:marTop w:val="0"/>
      <w:marBottom w:val="0"/>
      <w:divBdr>
        <w:top w:val="none" w:sz="0" w:space="0" w:color="auto"/>
        <w:left w:val="none" w:sz="0" w:space="0" w:color="auto"/>
        <w:bottom w:val="none" w:sz="0" w:space="0" w:color="auto"/>
        <w:right w:val="none" w:sz="0" w:space="0" w:color="auto"/>
      </w:divBdr>
    </w:div>
    <w:div w:id="496455591">
      <w:bodyDiv w:val="1"/>
      <w:marLeft w:val="0"/>
      <w:marRight w:val="0"/>
      <w:marTop w:val="0"/>
      <w:marBottom w:val="0"/>
      <w:divBdr>
        <w:top w:val="none" w:sz="0" w:space="0" w:color="auto"/>
        <w:left w:val="none" w:sz="0" w:space="0" w:color="auto"/>
        <w:bottom w:val="none" w:sz="0" w:space="0" w:color="auto"/>
        <w:right w:val="none" w:sz="0" w:space="0" w:color="auto"/>
      </w:divBdr>
    </w:div>
    <w:div w:id="1071654747">
      <w:bodyDiv w:val="1"/>
      <w:marLeft w:val="0"/>
      <w:marRight w:val="0"/>
      <w:marTop w:val="0"/>
      <w:marBottom w:val="0"/>
      <w:divBdr>
        <w:top w:val="none" w:sz="0" w:space="0" w:color="auto"/>
        <w:left w:val="none" w:sz="0" w:space="0" w:color="auto"/>
        <w:bottom w:val="none" w:sz="0" w:space="0" w:color="auto"/>
        <w:right w:val="none" w:sz="0" w:space="0" w:color="auto"/>
      </w:divBdr>
    </w:div>
    <w:div w:id="1156919513">
      <w:bodyDiv w:val="1"/>
      <w:marLeft w:val="0"/>
      <w:marRight w:val="0"/>
      <w:marTop w:val="0"/>
      <w:marBottom w:val="0"/>
      <w:divBdr>
        <w:top w:val="none" w:sz="0" w:space="0" w:color="auto"/>
        <w:left w:val="none" w:sz="0" w:space="0" w:color="auto"/>
        <w:bottom w:val="none" w:sz="0" w:space="0" w:color="auto"/>
        <w:right w:val="none" w:sz="0" w:space="0" w:color="auto"/>
      </w:divBdr>
    </w:div>
    <w:div w:id="1194683975">
      <w:bodyDiv w:val="1"/>
      <w:marLeft w:val="0"/>
      <w:marRight w:val="0"/>
      <w:marTop w:val="0"/>
      <w:marBottom w:val="0"/>
      <w:divBdr>
        <w:top w:val="none" w:sz="0" w:space="0" w:color="auto"/>
        <w:left w:val="none" w:sz="0" w:space="0" w:color="auto"/>
        <w:bottom w:val="none" w:sz="0" w:space="0" w:color="auto"/>
        <w:right w:val="none" w:sz="0" w:space="0" w:color="auto"/>
      </w:divBdr>
    </w:div>
    <w:div w:id="1238129586">
      <w:bodyDiv w:val="1"/>
      <w:marLeft w:val="0"/>
      <w:marRight w:val="0"/>
      <w:marTop w:val="0"/>
      <w:marBottom w:val="0"/>
      <w:divBdr>
        <w:top w:val="none" w:sz="0" w:space="0" w:color="auto"/>
        <w:left w:val="none" w:sz="0" w:space="0" w:color="auto"/>
        <w:bottom w:val="none" w:sz="0" w:space="0" w:color="auto"/>
        <w:right w:val="none" w:sz="0" w:space="0" w:color="auto"/>
      </w:divBdr>
    </w:div>
    <w:div w:id="1289163631">
      <w:bodyDiv w:val="1"/>
      <w:marLeft w:val="0"/>
      <w:marRight w:val="0"/>
      <w:marTop w:val="0"/>
      <w:marBottom w:val="0"/>
      <w:divBdr>
        <w:top w:val="none" w:sz="0" w:space="0" w:color="auto"/>
        <w:left w:val="none" w:sz="0" w:space="0" w:color="auto"/>
        <w:bottom w:val="none" w:sz="0" w:space="0" w:color="auto"/>
        <w:right w:val="none" w:sz="0" w:space="0" w:color="auto"/>
      </w:divBdr>
    </w:div>
    <w:div w:id="1366831433">
      <w:bodyDiv w:val="1"/>
      <w:marLeft w:val="0"/>
      <w:marRight w:val="0"/>
      <w:marTop w:val="0"/>
      <w:marBottom w:val="0"/>
      <w:divBdr>
        <w:top w:val="none" w:sz="0" w:space="0" w:color="auto"/>
        <w:left w:val="none" w:sz="0" w:space="0" w:color="auto"/>
        <w:bottom w:val="none" w:sz="0" w:space="0" w:color="auto"/>
        <w:right w:val="none" w:sz="0" w:space="0" w:color="auto"/>
      </w:divBdr>
    </w:div>
    <w:div w:id="1405033766">
      <w:bodyDiv w:val="1"/>
      <w:marLeft w:val="0"/>
      <w:marRight w:val="0"/>
      <w:marTop w:val="0"/>
      <w:marBottom w:val="0"/>
      <w:divBdr>
        <w:top w:val="none" w:sz="0" w:space="0" w:color="auto"/>
        <w:left w:val="none" w:sz="0" w:space="0" w:color="auto"/>
        <w:bottom w:val="none" w:sz="0" w:space="0" w:color="auto"/>
        <w:right w:val="none" w:sz="0" w:space="0" w:color="auto"/>
      </w:divBdr>
    </w:div>
    <w:div w:id="1643342151">
      <w:bodyDiv w:val="1"/>
      <w:marLeft w:val="0"/>
      <w:marRight w:val="0"/>
      <w:marTop w:val="0"/>
      <w:marBottom w:val="0"/>
      <w:divBdr>
        <w:top w:val="none" w:sz="0" w:space="0" w:color="auto"/>
        <w:left w:val="none" w:sz="0" w:space="0" w:color="auto"/>
        <w:bottom w:val="none" w:sz="0" w:space="0" w:color="auto"/>
        <w:right w:val="none" w:sz="0" w:space="0" w:color="auto"/>
      </w:divBdr>
    </w:div>
    <w:div w:id="1667707594">
      <w:bodyDiv w:val="1"/>
      <w:marLeft w:val="0"/>
      <w:marRight w:val="0"/>
      <w:marTop w:val="0"/>
      <w:marBottom w:val="0"/>
      <w:divBdr>
        <w:top w:val="none" w:sz="0" w:space="0" w:color="auto"/>
        <w:left w:val="none" w:sz="0" w:space="0" w:color="auto"/>
        <w:bottom w:val="none" w:sz="0" w:space="0" w:color="auto"/>
        <w:right w:val="none" w:sz="0" w:space="0" w:color="auto"/>
      </w:divBdr>
    </w:div>
    <w:div w:id="1756046060">
      <w:bodyDiv w:val="1"/>
      <w:marLeft w:val="0"/>
      <w:marRight w:val="0"/>
      <w:marTop w:val="0"/>
      <w:marBottom w:val="0"/>
      <w:divBdr>
        <w:top w:val="none" w:sz="0" w:space="0" w:color="auto"/>
        <w:left w:val="none" w:sz="0" w:space="0" w:color="auto"/>
        <w:bottom w:val="none" w:sz="0" w:space="0" w:color="auto"/>
        <w:right w:val="none" w:sz="0" w:space="0" w:color="auto"/>
      </w:divBdr>
    </w:div>
    <w:div w:id="1867670467">
      <w:bodyDiv w:val="1"/>
      <w:marLeft w:val="0"/>
      <w:marRight w:val="0"/>
      <w:marTop w:val="0"/>
      <w:marBottom w:val="0"/>
      <w:divBdr>
        <w:top w:val="none" w:sz="0" w:space="0" w:color="auto"/>
        <w:left w:val="none" w:sz="0" w:space="0" w:color="auto"/>
        <w:bottom w:val="none" w:sz="0" w:space="0" w:color="auto"/>
        <w:right w:val="none" w:sz="0" w:space="0" w:color="auto"/>
      </w:divBdr>
    </w:div>
    <w:div w:id="1891573207">
      <w:bodyDiv w:val="1"/>
      <w:marLeft w:val="0"/>
      <w:marRight w:val="0"/>
      <w:marTop w:val="0"/>
      <w:marBottom w:val="0"/>
      <w:divBdr>
        <w:top w:val="none" w:sz="0" w:space="0" w:color="auto"/>
        <w:left w:val="none" w:sz="0" w:space="0" w:color="auto"/>
        <w:bottom w:val="none" w:sz="0" w:space="0" w:color="auto"/>
        <w:right w:val="none" w:sz="0" w:space="0" w:color="auto"/>
      </w:divBdr>
    </w:div>
    <w:div w:id="1919946745">
      <w:bodyDiv w:val="1"/>
      <w:marLeft w:val="0"/>
      <w:marRight w:val="0"/>
      <w:marTop w:val="0"/>
      <w:marBottom w:val="0"/>
      <w:divBdr>
        <w:top w:val="none" w:sz="0" w:space="0" w:color="auto"/>
        <w:left w:val="none" w:sz="0" w:space="0" w:color="auto"/>
        <w:bottom w:val="none" w:sz="0" w:space="0" w:color="auto"/>
        <w:right w:val="none" w:sz="0" w:space="0" w:color="auto"/>
      </w:divBdr>
    </w:div>
    <w:div w:id="1952202669">
      <w:bodyDiv w:val="1"/>
      <w:marLeft w:val="0"/>
      <w:marRight w:val="0"/>
      <w:marTop w:val="0"/>
      <w:marBottom w:val="0"/>
      <w:divBdr>
        <w:top w:val="none" w:sz="0" w:space="0" w:color="auto"/>
        <w:left w:val="none" w:sz="0" w:space="0" w:color="auto"/>
        <w:bottom w:val="none" w:sz="0" w:space="0" w:color="auto"/>
        <w:right w:val="none" w:sz="0" w:space="0" w:color="auto"/>
      </w:divBdr>
    </w:div>
    <w:div w:id="2029941262">
      <w:bodyDiv w:val="1"/>
      <w:marLeft w:val="0"/>
      <w:marRight w:val="0"/>
      <w:marTop w:val="0"/>
      <w:marBottom w:val="0"/>
      <w:divBdr>
        <w:top w:val="none" w:sz="0" w:space="0" w:color="auto"/>
        <w:left w:val="none" w:sz="0" w:space="0" w:color="auto"/>
        <w:bottom w:val="none" w:sz="0" w:space="0" w:color="auto"/>
        <w:right w:val="none" w:sz="0" w:space="0" w:color="auto"/>
      </w:divBdr>
    </w:div>
    <w:div w:id="21400333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image" Target="media/image4.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D:\Gaurav_Finance\GSK\GSK%20Calculation.xlsx"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file:///D:\Gaurav_Finance\GSK\GSK%20Calculation.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c:date1904 val="1"/>
  <c:lang val="en-US"/>
  <c:style val="45"/>
  <c:chart>
    <c:title>
      <c:tx>
        <c:rich>
          <a:bodyPr/>
          <a:lstStyle/>
          <a:p>
            <a:pPr>
              <a:defRPr lang="en-US"/>
            </a:pPr>
            <a:r>
              <a:rPr lang="en-US"/>
              <a:t>Gross Profit Margin of GSK Plc </a:t>
            </a:r>
          </a:p>
        </c:rich>
      </c:tx>
    </c:title>
    <c:view3D>
      <c:rAngAx val="1"/>
    </c:view3D>
    <c:plotArea>
      <c:layout/>
      <c:bar3DChart>
        <c:barDir val="col"/>
        <c:grouping val="clustered"/>
        <c:ser>
          <c:idx val="0"/>
          <c:order val="0"/>
          <c:dLbls>
            <c:txPr>
              <a:bodyPr/>
              <a:lstStyle/>
              <a:p>
                <a:pPr>
                  <a:defRPr lang="en-US"/>
                </a:pPr>
                <a:endParaRPr lang="en-US"/>
              </a:p>
            </c:txPr>
            <c:showVal val="1"/>
          </c:dLbls>
          <c:cat>
            <c:numRef>
              <c:f>Sheet1!$D$6:$H$6</c:f>
              <c:numCache>
                <c:formatCode>General</c:formatCode>
                <c:ptCount val="5"/>
                <c:pt idx="0">
                  <c:v>2016</c:v>
                </c:pt>
                <c:pt idx="1">
                  <c:v>2015</c:v>
                </c:pt>
                <c:pt idx="2">
                  <c:v>2014</c:v>
                </c:pt>
                <c:pt idx="3">
                  <c:v>2013</c:v>
                </c:pt>
                <c:pt idx="4">
                  <c:v>2012</c:v>
                </c:pt>
              </c:numCache>
            </c:numRef>
          </c:cat>
          <c:val>
            <c:numRef>
              <c:f>Sheet1!$D$10:$H$10</c:f>
              <c:numCache>
                <c:formatCode>General</c:formatCode>
                <c:ptCount val="5"/>
                <c:pt idx="0">
                  <c:v>66.69</c:v>
                </c:pt>
                <c:pt idx="1">
                  <c:v>62.99</c:v>
                </c:pt>
                <c:pt idx="2">
                  <c:v>68.169999999999987</c:v>
                </c:pt>
                <c:pt idx="3">
                  <c:v>67.61</c:v>
                </c:pt>
                <c:pt idx="4" formatCode="0.00">
                  <c:v>70.133555294918864</c:v>
                </c:pt>
              </c:numCache>
            </c:numRef>
          </c:val>
        </c:ser>
        <c:dLbls>
          <c:showVal val="1"/>
        </c:dLbls>
        <c:shape val="cylinder"/>
        <c:axId val="84759680"/>
        <c:axId val="84787200"/>
        <c:axId val="0"/>
      </c:bar3DChart>
      <c:catAx>
        <c:axId val="84759680"/>
        <c:scaling>
          <c:orientation val="minMax"/>
        </c:scaling>
        <c:axPos val="b"/>
        <c:numFmt formatCode="General" sourceLinked="1"/>
        <c:majorTickMark val="none"/>
        <c:tickLblPos val="nextTo"/>
        <c:txPr>
          <a:bodyPr/>
          <a:lstStyle/>
          <a:p>
            <a:pPr>
              <a:defRPr lang="en-US"/>
            </a:pPr>
            <a:endParaRPr lang="en-US"/>
          </a:p>
        </c:txPr>
        <c:crossAx val="84787200"/>
        <c:crosses val="autoZero"/>
        <c:auto val="1"/>
        <c:lblAlgn val="ctr"/>
        <c:lblOffset val="100"/>
      </c:catAx>
      <c:valAx>
        <c:axId val="84787200"/>
        <c:scaling>
          <c:orientation val="minMax"/>
        </c:scaling>
        <c:delete val="1"/>
        <c:axPos val="l"/>
        <c:numFmt formatCode="General" sourceLinked="1"/>
        <c:tickLblPos val="nextTo"/>
        <c:crossAx val="84759680"/>
        <c:crosses val="autoZero"/>
        <c:crossBetween val="between"/>
      </c:valAx>
    </c:plotArea>
    <c:plotVisOnly val="1"/>
  </c:chart>
  <c:externalData r:id="rId1"/>
</c:chartSpace>
</file>

<file path=word/charts/chart2.xml><?xml version="1.0" encoding="utf-8"?>
<c:chartSpace xmlns:c="http://schemas.openxmlformats.org/drawingml/2006/chart" xmlns:a="http://schemas.openxmlformats.org/drawingml/2006/main" xmlns:r="http://schemas.openxmlformats.org/officeDocument/2006/relationships">
  <c:date1904 val="1"/>
  <c:lang val="en-US"/>
  <c:style val="45"/>
  <c:chart>
    <c:title>
      <c:tx>
        <c:rich>
          <a:bodyPr/>
          <a:lstStyle/>
          <a:p>
            <a:pPr>
              <a:defRPr lang="en-US"/>
            </a:pPr>
            <a:r>
              <a:rPr lang="en-US"/>
              <a:t>Net Profit Magin (in %)</a:t>
            </a:r>
          </a:p>
        </c:rich>
      </c:tx>
    </c:title>
    <c:view3D>
      <c:rAngAx val="1"/>
    </c:view3D>
    <c:plotArea>
      <c:layout>
        <c:manualLayout>
          <c:layoutTarget val="inner"/>
          <c:xMode val="edge"/>
          <c:yMode val="edge"/>
          <c:x val="5.8333333333333591E-2"/>
          <c:y val="0.19466688479596256"/>
          <c:w val="0.93888888888889066"/>
          <c:h val="0.65469718675288324"/>
        </c:manualLayout>
      </c:layout>
      <c:bar3DChart>
        <c:barDir val="col"/>
        <c:grouping val="clustered"/>
        <c:ser>
          <c:idx val="0"/>
          <c:order val="0"/>
          <c:dLbls>
            <c:txPr>
              <a:bodyPr/>
              <a:lstStyle/>
              <a:p>
                <a:pPr>
                  <a:defRPr lang="en-US"/>
                </a:pPr>
                <a:endParaRPr lang="en-US"/>
              </a:p>
            </c:txPr>
            <c:showVal val="1"/>
          </c:dLbls>
          <c:cat>
            <c:numRef>
              <c:f>Profitability!$D$13:$H$13</c:f>
              <c:numCache>
                <c:formatCode>General</c:formatCode>
                <c:ptCount val="5"/>
                <c:pt idx="0">
                  <c:v>2016</c:v>
                </c:pt>
                <c:pt idx="1">
                  <c:v>2015</c:v>
                </c:pt>
                <c:pt idx="2">
                  <c:v>2014</c:v>
                </c:pt>
                <c:pt idx="3">
                  <c:v>2013</c:v>
                </c:pt>
                <c:pt idx="4">
                  <c:v>2012</c:v>
                </c:pt>
              </c:numCache>
            </c:numRef>
          </c:cat>
          <c:val>
            <c:numRef>
              <c:f>Profitability!$D$16:$H$16</c:f>
              <c:numCache>
                <c:formatCode>0.00</c:formatCode>
                <c:ptCount val="5"/>
                <c:pt idx="0">
                  <c:v>3.8079529563627235</c:v>
                </c:pt>
                <c:pt idx="1">
                  <c:v>34.995610918363113</c:v>
                </c:pt>
                <c:pt idx="2">
                  <c:v>12.305485525515124</c:v>
                </c:pt>
                <c:pt idx="3">
                  <c:v>21.233729485002829</c:v>
                </c:pt>
                <c:pt idx="4">
                  <c:v>17.948620937535356</c:v>
                </c:pt>
              </c:numCache>
            </c:numRef>
          </c:val>
        </c:ser>
        <c:dLbls>
          <c:showVal val="1"/>
        </c:dLbls>
        <c:shape val="cylinder"/>
        <c:axId val="92546944"/>
        <c:axId val="92573696"/>
        <c:axId val="0"/>
      </c:bar3DChart>
      <c:catAx>
        <c:axId val="92546944"/>
        <c:scaling>
          <c:orientation val="minMax"/>
        </c:scaling>
        <c:axPos val="b"/>
        <c:numFmt formatCode="General" sourceLinked="1"/>
        <c:majorTickMark val="none"/>
        <c:tickLblPos val="nextTo"/>
        <c:txPr>
          <a:bodyPr/>
          <a:lstStyle/>
          <a:p>
            <a:pPr>
              <a:defRPr lang="en-US"/>
            </a:pPr>
            <a:endParaRPr lang="en-US"/>
          </a:p>
        </c:txPr>
        <c:crossAx val="92573696"/>
        <c:crosses val="autoZero"/>
        <c:auto val="1"/>
        <c:lblAlgn val="ctr"/>
        <c:lblOffset val="100"/>
      </c:catAx>
      <c:valAx>
        <c:axId val="92573696"/>
        <c:scaling>
          <c:orientation val="minMax"/>
        </c:scaling>
        <c:delete val="1"/>
        <c:axPos val="l"/>
        <c:numFmt formatCode="0.00" sourceLinked="1"/>
        <c:tickLblPos val="nextTo"/>
        <c:crossAx val="92546944"/>
        <c:crosses val="autoZero"/>
        <c:crossBetween val="between"/>
      </c:valAx>
    </c:plotArea>
    <c:plotVisOnly val="1"/>
  </c:chart>
  <c:externalData r:id="rId1"/>
</c:chartSpace>
</file>

<file path=word/charts/chart3.xml><?xml version="1.0" encoding="utf-8"?>
<c:chartSpace xmlns:c="http://schemas.openxmlformats.org/drawingml/2006/chart" xmlns:a="http://schemas.openxmlformats.org/drawingml/2006/main" xmlns:r="http://schemas.openxmlformats.org/officeDocument/2006/relationships">
  <c:date1904 val="1"/>
  <c:lang val="en-US"/>
  <c:style val="45"/>
  <c:chart>
    <c:title>
      <c:tx>
        <c:rich>
          <a:bodyPr/>
          <a:lstStyle/>
          <a:p>
            <a:pPr>
              <a:defRPr lang="en-US"/>
            </a:pPr>
            <a:r>
              <a:rPr lang="en-US"/>
              <a:t>ROCE (in %)</a:t>
            </a:r>
          </a:p>
        </c:rich>
      </c:tx>
    </c:title>
    <c:view3D>
      <c:rAngAx val="1"/>
    </c:view3D>
    <c:plotArea>
      <c:layout/>
      <c:bar3DChart>
        <c:barDir val="col"/>
        <c:grouping val="clustered"/>
        <c:ser>
          <c:idx val="0"/>
          <c:order val="0"/>
          <c:tx>
            <c:strRef>
              <c:f>Profitability!$C$27</c:f>
              <c:strCache>
                <c:ptCount val="1"/>
                <c:pt idx="0">
                  <c:v>ROCE</c:v>
                </c:pt>
              </c:strCache>
            </c:strRef>
          </c:tx>
          <c:dLbls>
            <c:txPr>
              <a:bodyPr/>
              <a:lstStyle/>
              <a:p>
                <a:pPr>
                  <a:defRPr lang="en-US"/>
                </a:pPr>
                <a:endParaRPr lang="en-US"/>
              </a:p>
            </c:txPr>
            <c:showVal val="1"/>
          </c:dLbls>
          <c:cat>
            <c:numRef>
              <c:f>Profitability!$D$22:$H$22</c:f>
              <c:numCache>
                <c:formatCode>General</c:formatCode>
                <c:ptCount val="5"/>
                <c:pt idx="0">
                  <c:v>2016</c:v>
                </c:pt>
                <c:pt idx="1">
                  <c:v>2015</c:v>
                </c:pt>
                <c:pt idx="2">
                  <c:v>2014</c:v>
                </c:pt>
                <c:pt idx="3">
                  <c:v>2013</c:v>
                </c:pt>
                <c:pt idx="4">
                  <c:v>2012</c:v>
                </c:pt>
              </c:numCache>
            </c:numRef>
          </c:cat>
          <c:val>
            <c:numRef>
              <c:f>Profitability!$D$27:$H$27</c:f>
              <c:numCache>
                <c:formatCode>0.00</c:formatCode>
                <c:ptCount val="5"/>
                <c:pt idx="0">
                  <c:v>5.4117407256420922</c:v>
                </c:pt>
                <c:pt idx="1">
                  <c:v>34.592182464259153</c:v>
                </c:pt>
                <c:pt idx="2">
                  <c:v>13.625643740674768</c:v>
                </c:pt>
                <c:pt idx="3">
                  <c:v>24.187725631768895</c:v>
                </c:pt>
                <c:pt idx="4">
                  <c:v>22.149593799607807</c:v>
                </c:pt>
              </c:numCache>
            </c:numRef>
          </c:val>
        </c:ser>
        <c:dLbls>
          <c:showVal val="1"/>
        </c:dLbls>
        <c:shape val="cylinder"/>
        <c:axId val="100230272"/>
        <c:axId val="109977600"/>
        <c:axId val="0"/>
      </c:bar3DChart>
      <c:catAx>
        <c:axId val="100230272"/>
        <c:scaling>
          <c:orientation val="minMax"/>
        </c:scaling>
        <c:axPos val="b"/>
        <c:numFmt formatCode="General" sourceLinked="1"/>
        <c:majorTickMark val="none"/>
        <c:tickLblPos val="nextTo"/>
        <c:txPr>
          <a:bodyPr/>
          <a:lstStyle/>
          <a:p>
            <a:pPr>
              <a:defRPr lang="en-US"/>
            </a:pPr>
            <a:endParaRPr lang="en-US"/>
          </a:p>
        </c:txPr>
        <c:crossAx val="109977600"/>
        <c:crosses val="autoZero"/>
        <c:auto val="1"/>
        <c:lblAlgn val="ctr"/>
        <c:lblOffset val="100"/>
      </c:catAx>
      <c:valAx>
        <c:axId val="109977600"/>
        <c:scaling>
          <c:orientation val="minMax"/>
        </c:scaling>
        <c:delete val="1"/>
        <c:axPos val="l"/>
        <c:numFmt formatCode="0.00" sourceLinked="1"/>
        <c:tickLblPos val="nextTo"/>
        <c:crossAx val="100230272"/>
        <c:crosses val="autoZero"/>
        <c:crossBetween val="between"/>
      </c:valAx>
    </c:plotArea>
    <c:plotVisOnly val="1"/>
  </c:chart>
  <c:externalData r:id="rId1"/>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0550CFA-06FF-48CE-BB24-3E649502A1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675</TotalTime>
  <Pages>38</Pages>
  <Words>6581</Words>
  <Characters>37515</Characters>
  <Application>Microsoft Office Word</Application>
  <DocSecurity>0</DocSecurity>
  <Lines>312</Lines>
  <Paragraphs>88</Paragraphs>
  <ScaleCrop>false</ScaleCrop>
  <HeadingPairs>
    <vt:vector size="2" baseType="variant">
      <vt:variant>
        <vt:lpstr>Title</vt:lpstr>
      </vt:variant>
      <vt:variant>
        <vt:i4>1</vt:i4>
      </vt:variant>
    </vt:vector>
  </HeadingPairs>
  <TitlesOfParts>
    <vt:vector size="1" baseType="lpstr">
      <vt:lpstr>Strategic Financial Analysis</vt:lpstr>
    </vt:vector>
  </TitlesOfParts>
  <Company/>
  <LinksUpToDate>false</LinksUpToDate>
  <CharactersWithSpaces>44008</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Corporate Financial Analysis CW</dc:title>
  <dc:subject>GlaxoSmithKline Plc </dc:subject>
  <dc:creator>Admin</dc:creator>
  <cp:lastModifiedBy>dell</cp:lastModifiedBy>
  <cp:revision>63</cp:revision>
  <dcterms:created xsi:type="dcterms:W3CDTF">2017-12-25T13:18:00Z</dcterms:created>
  <dcterms:modified xsi:type="dcterms:W3CDTF">2018-01-08T22:15:00Z</dcterms:modified>
</cp:coreProperties>
</file>