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818254"/>
        <w:docPartObj>
          <w:docPartGallery w:val="Cover Pages"/>
          <w:docPartUnique/>
        </w:docPartObj>
      </w:sdtPr>
      <w:sdtEndPr>
        <w:rPr>
          <w:rFonts w:eastAsia="Times New Roman"/>
          <w:color w:val="000000" w:themeColor="text1"/>
          <w:lang w:eastAsia="en-GB"/>
        </w:rPr>
      </w:sdtEndPr>
      <w:sdtContent>
        <w:p w14:paraId="05788BCA" w14:textId="3050AA8D" w:rsidR="00442119" w:rsidRDefault="00442119"/>
        <w:p w14:paraId="08A18801" w14:textId="77777777" w:rsidR="00442119" w:rsidRDefault="00442119">
          <w:pPr>
            <w:spacing w:after="160" w:line="278" w:lineRule="auto"/>
            <w:rPr>
              <w:rFonts w:asciiTheme="majorHAnsi" w:eastAsia="Times New Roman" w:hAnsiTheme="majorHAnsi" w:cstheme="majorBidi"/>
              <w:color w:val="000000" w:themeColor="text1"/>
              <w:sz w:val="40"/>
              <w:szCs w:val="40"/>
              <w:lang w:eastAsia="en-GB"/>
            </w:rPr>
          </w:pPr>
          <w:r>
            <w:rPr>
              <w:noProof/>
              <w:lang w:eastAsia="zh-CN"/>
            </w:rPr>
            <mc:AlternateContent>
              <mc:Choice Requires="wps">
                <w:drawing>
                  <wp:anchor distT="0" distB="0" distL="114300" distR="114300" simplePos="0" relativeHeight="251662336" behindDoc="0" locked="0" layoutInCell="1" allowOverlap="1" wp14:anchorId="1DC24010" wp14:editId="277887AD">
                    <wp:simplePos x="0" y="0"/>
                    <wp:positionH relativeFrom="column">
                      <wp:posOffset>442912</wp:posOffset>
                    </wp:positionH>
                    <wp:positionV relativeFrom="paragraph">
                      <wp:posOffset>7839710</wp:posOffset>
                    </wp:positionV>
                    <wp:extent cx="1543050" cy="271462"/>
                    <wp:effectExtent l="0" t="0" r="6350" b="0"/>
                    <wp:wrapNone/>
                    <wp:docPr id="813314319" name="Text Box 1"/>
                    <wp:cNvGraphicFramePr/>
                    <a:graphic xmlns:a="http://schemas.openxmlformats.org/drawingml/2006/main">
                      <a:graphicData uri="http://schemas.microsoft.com/office/word/2010/wordprocessingShape">
                        <wps:wsp>
                          <wps:cNvSpPr txBox="1"/>
                          <wps:spPr>
                            <a:xfrm>
                              <a:off x="0" y="0"/>
                              <a:ext cx="1543050" cy="271462"/>
                            </a:xfrm>
                            <a:prstGeom prst="rect">
                              <a:avLst/>
                            </a:prstGeom>
                            <a:solidFill>
                              <a:schemeClr val="lt1"/>
                            </a:solidFill>
                            <a:ln w="6350">
                              <a:noFill/>
                            </a:ln>
                          </wps:spPr>
                          <wps:txbx>
                            <w:txbxContent>
                              <w:p w14:paraId="35223124" w14:textId="0F98368A" w:rsidR="00442119" w:rsidRPr="00442119" w:rsidRDefault="00442119">
                                <w:pPr>
                                  <w:rPr>
                                    <w:b/>
                                    <w:bCs/>
                                  </w:rPr>
                                </w:pPr>
                                <w:r w:rsidRPr="00442119">
                                  <w:rPr>
                                    <w:b/>
                                    <w:bCs/>
                                  </w:rPr>
                                  <w:t>Word Count: 211</w:t>
                                </w:r>
                                <w:r w:rsidR="00DE2AA0">
                                  <w:rPr>
                                    <w:b/>
                                    <w:bCs/>
                                  </w:rPr>
                                  <w:t>5</w:t>
                                </w:r>
                              </w:p>
                              <w:p w14:paraId="55F9B60A" w14:textId="77777777" w:rsidR="00442119" w:rsidRDefault="004421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C24010" id="_x0000_t202" coordsize="21600,21600" o:spt="202" path="m,l,21600r21600,l21600,xe">
                    <v:stroke joinstyle="miter"/>
                    <v:path gradientshapeok="t" o:connecttype="rect"/>
                  </v:shapetype>
                  <v:shape id="Text Box 1" o:spid="_x0000_s1026" type="#_x0000_t202" style="position:absolute;margin-left:34.85pt;margin-top:617.3pt;width:121.5pt;height:2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" fillcolor="white [3201]" stroked="f" strokeweight=".5pt">
                    <v:textbox>
                      <w:txbxContent>
                        <w:p w14:paraId="35223124" w14:textId="0F98368A" w:rsidR="00442119" w:rsidRPr="00442119" w:rsidRDefault="00442119">
                          <w:pPr>
                            <w:rPr>
                              <w:b/>
                              <w:bCs/>
                            </w:rPr>
                          </w:pPr>
                          <w:r w:rsidRPr="00442119">
                            <w:rPr>
                              <w:b/>
                              <w:bCs/>
                            </w:rPr>
                            <w:t>Word Count: 211</w:t>
                          </w:r>
                          <w:r w:rsidR="00DE2AA0">
                            <w:rPr>
                              <w:b/>
                              <w:bCs/>
                            </w:rPr>
                            <w:t>5</w:t>
                          </w:r>
                        </w:p>
                        <w:p w14:paraId="55F9B60A" w14:textId="77777777" w:rsidR="00442119" w:rsidRDefault="00442119"/>
                      </w:txbxContent>
                    </v:textbox>
                  </v:shape>
                </w:pict>
              </mc:Fallback>
            </mc:AlternateContent>
          </w:r>
          <w:r>
            <w:rPr>
              <w:noProof/>
              <w:lang w:eastAsia="zh-CN"/>
            </w:rPr>
            <mc:AlternateContent>
              <mc:Choice Requires="wpg">
                <w:drawing>
                  <wp:anchor distT="0" distB="0" distL="114300" distR="114300" simplePos="0" relativeHeight="251659264" behindDoc="1" locked="0" layoutInCell="1" allowOverlap="1" wp14:anchorId="5C3F692D" wp14:editId="07B2C5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D51762" w14:textId="0B522B45" w:rsidR="0044211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42119">
                                        <w:rPr>
                                          <w:color w:val="FFFFFF" w:themeColor="background1"/>
                                          <w:sz w:val="72"/>
                                          <w:szCs w:val="72"/>
                                        </w:rPr>
                                        <w:t>Health, Safety &amp; Welfare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C3F692D"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D51762" w14:textId="0B522B45" w:rsidR="0044211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42119">
                                  <w:rPr>
                                    <w:color w:val="FFFFFF" w:themeColor="background1"/>
                                    <w:sz w:val="72"/>
                                    <w:szCs w:val="72"/>
                                  </w:rPr>
                                  <w:t>Health, Safety &amp; Welfare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39D2E3EB" wp14:editId="1BA6085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AA781C" w14:textId="0FC1162C" w:rsidR="00442119" w:rsidRDefault="00442119">
                                    <w:pPr>
                                      <w:pStyle w:val="NoSpacing"/>
                                      <w:spacing w:before="40" w:after="40"/>
                                      <w:rPr>
                                        <w:caps/>
                                        <w:color w:val="156082" w:themeColor="accent1"/>
                                        <w:sz w:val="28"/>
                                        <w:szCs w:val="28"/>
                                      </w:rPr>
                                    </w:pPr>
                                    <w:r>
                                      <w:rPr>
                                        <w:caps/>
                                        <w:color w:val="156082" w:themeColor="accent1"/>
                                        <w:sz w:val="28"/>
                                        <w:szCs w:val="28"/>
                                      </w:rPr>
                                      <w:t>Trainee Health and safety officer assignment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3CEB9AA" w14:textId="478EA207" w:rsidR="00442119" w:rsidRDefault="00442119">
                                    <w:pPr>
                                      <w:pStyle w:val="NoSpacing"/>
                                      <w:spacing w:before="40" w:after="40"/>
                                      <w:rPr>
                                        <w:caps/>
                                        <w:color w:val="A02B93" w:themeColor="accent5"/>
                                        <w:sz w:val="24"/>
                                        <w:szCs w:val="24"/>
                                      </w:rPr>
                                    </w:pPr>
                                    <w:r>
                                      <w:rPr>
                                        <w:caps/>
                                        <w:color w:val="A02B93" w:themeColor="accent5"/>
                                        <w:sz w:val="24"/>
                                        <w:szCs w:val="24"/>
                                      </w:rPr>
                                      <w:t>Cory Sibley (2507186)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9D2E3EB" id="Text Box 71"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AA781C" w14:textId="0FC1162C" w:rsidR="00442119" w:rsidRDefault="00442119">
                              <w:pPr>
                                <w:pStyle w:val="NoSpacing"/>
                                <w:spacing w:before="40" w:after="40"/>
                                <w:rPr>
                                  <w:caps/>
                                  <w:color w:val="156082" w:themeColor="accent1"/>
                                  <w:sz w:val="28"/>
                                  <w:szCs w:val="28"/>
                                </w:rPr>
                              </w:pPr>
                              <w:r>
                                <w:rPr>
                                  <w:caps/>
                                  <w:color w:val="156082" w:themeColor="accent1"/>
                                  <w:sz w:val="28"/>
                                  <w:szCs w:val="28"/>
                                </w:rPr>
                                <w:t>Trainee Health and safety officer assignment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3CEB9AA" w14:textId="478EA207" w:rsidR="00442119" w:rsidRDefault="00442119">
                              <w:pPr>
                                <w:pStyle w:val="NoSpacing"/>
                                <w:spacing w:before="40" w:after="40"/>
                                <w:rPr>
                                  <w:caps/>
                                  <w:color w:val="A02B93" w:themeColor="accent5"/>
                                  <w:sz w:val="24"/>
                                  <w:szCs w:val="24"/>
                                </w:rPr>
                              </w:pPr>
                              <w:r>
                                <w:rPr>
                                  <w:caps/>
                                  <w:color w:val="A02B93" w:themeColor="accent5"/>
                                  <w:sz w:val="24"/>
                                  <w:szCs w:val="24"/>
                                </w:rPr>
                                <w:t>Cory Sibley (2507186)</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19B840B" wp14:editId="143B0CD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E414A2" w14:textId="5D527B5F" w:rsidR="00442119" w:rsidRDefault="00000000">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sidR="00442119">
                                      <w:rPr>
                                        <w:color w:val="FFFFFF" w:themeColor="background1"/>
                                        <w:sz w:val="24"/>
                                        <w:szCs w:val="24"/>
                                      </w:rPr>
                                      <w:t xml:space="preserve">     </w:t>
                                    </w:r>
                                  </w:sdtContent>
                                </w:sdt>
                                <w:r w:rsidR="00442119">
                                  <w:rPr>
                                    <w:color w:val="FFFFFF" w:themeColor="background1"/>
                                    <w:sz w:val="24"/>
                                    <w:szCs w:val="24"/>
                                  </w:rPr>
                                  <w:t>2026</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9B840B" id="Rectangle 73"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" fillcolor="#156082 [3204]" stroked="f" strokeweight="1.5pt">
                    <o:lock v:ext="edit" aspectratio="t"/>
                    <v:textbox inset="3.6pt,,3.6pt">
                      <w:txbxContent>
                        <w:p w14:paraId="2CE414A2" w14:textId="5D527B5F" w:rsidR="00442119" w:rsidRDefault="00000000">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sidR="00442119">
                                <w:rPr>
                                  <w:color w:val="FFFFFF" w:themeColor="background1"/>
                                  <w:sz w:val="24"/>
                                  <w:szCs w:val="24"/>
                                </w:rPr>
                                <w:t xml:space="preserve">     </w:t>
                              </w:r>
                            </w:sdtContent>
                          </w:sdt>
                          <w:r w:rsidR="00442119">
                            <w:rPr>
                              <w:color w:val="FFFFFF" w:themeColor="background1"/>
                              <w:sz w:val="24"/>
                              <w:szCs w:val="24"/>
                            </w:rPr>
                            <w:t>2026</w:t>
                          </w:r>
                        </w:p>
                      </w:txbxContent>
                    </v:textbox>
                    <w10:wrap anchorx="margin" anchory="page"/>
                  </v:rect>
                </w:pict>
              </mc:Fallback>
            </mc:AlternateContent>
          </w:r>
          <w:r>
            <w:rPr>
              <w:rFonts w:eastAsia="Times New Roman"/>
              <w:color w:val="000000" w:themeColor="text1"/>
              <w:lang w:eastAsia="en-GB"/>
            </w:rPr>
            <w:br w:type="page"/>
          </w:r>
        </w:p>
        <w:sdt>
          <w:sdtPr>
            <w:rPr>
              <w:rFonts w:ascii="Times New Roman" w:eastAsiaTheme="minorHAnsi" w:hAnsi="Times New Roman" w:cstheme="minorBidi"/>
              <w:b w:val="0"/>
              <w:bCs w:val="0"/>
              <w:color w:val="auto"/>
              <w:kern w:val="2"/>
              <w:sz w:val="24"/>
              <w:szCs w:val="24"/>
              <w:lang w:val="en-GB"/>
              <w14:ligatures w14:val="standardContextual"/>
            </w:rPr>
            <w:id w:val="289247596"/>
            <w:docPartObj>
              <w:docPartGallery w:val="Table of Contents"/>
              <w:docPartUnique/>
            </w:docPartObj>
          </w:sdtPr>
          <w:sdtEndPr>
            <w:rPr>
              <w:noProof/>
            </w:rPr>
          </w:sdtEndPr>
          <w:sdtContent>
            <w:p w14:paraId="37EB407E" w14:textId="610E9CB4" w:rsidR="00442119" w:rsidRDefault="00442119">
              <w:pPr>
                <w:pStyle w:val="TOCHeading"/>
              </w:pPr>
              <w:r>
                <w:t>Table of Contents</w:t>
              </w:r>
            </w:p>
            <w:p w14:paraId="2E758F90" w14:textId="35B14C6E" w:rsidR="00E85AD8" w:rsidRDefault="0044211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8993346" w:history="1">
                <w:r w:rsidR="00E85AD8" w:rsidRPr="00AD6B48">
                  <w:rPr>
                    <w:rStyle w:val="Hyperlink"/>
                    <w:rFonts w:eastAsia="Times New Roman"/>
                    <w:noProof/>
                    <w:lang w:eastAsia="en-GB"/>
                  </w:rPr>
                  <w:t>Glossary</w:t>
                </w:r>
                <w:r w:rsidR="00E85AD8">
                  <w:rPr>
                    <w:noProof/>
                    <w:webHidden/>
                  </w:rPr>
                  <w:tab/>
                </w:r>
                <w:r w:rsidR="00E85AD8">
                  <w:rPr>
                    <w:noProof/>
                    <w:webHidden/>
                  </w:rPr>
                  <w:fldChar w:fldCharType="begin"/>
                </w:r>
                <w:r w:rsidR="00E85AD8">
                  <w:rPr>
                    <w:noProof/>
                    <w:webHidden/>
                  </w:rPr>
                  <w:instrText xml:space="preserve"> PAGEREF _Toc228993346 \h </w:instrText>
                </w:r>
                <w:r w:rsidR="00E85AD8">
                  <w:rPr>
                    <w:noProof/>
                    <w:webHidden/>
                  </w:rPr>
                </w:r>
                <w:r w:rsidR="00E85AD8">
                  <w:rPr>
                    <w:noProof/>
                    <w:webHidden/>
                  </w:rPr>
                  <w:fldChar w:fldCharType="separate"/>
                </w:r>
                <w:r w:rsidR="00E85AD8">
                  <w:rPr>
                    <w:noProof/>
                    <w:webHidden/>
                  </w:rPr>
                  <w:t>1</w:t>
                </w:r>
                <w:r w:rsidR="00E85AD8">
                  <w:rPr>
                    <w:noProof/>
                    <w:webHidden/>
                  </w:rPr>
                  <w:fldChar w:fldCharType="end"/>
                </w:r>
              </w:hyperlink>
            </w:p>
            <w:p w14:paraId="6F116439" w14:textId="0E7A9167" w:rsidR="00E85AD8" w:rsidRDefault="00E85AD8">
              <w:pPr>
                <w:pStyle w:val="TOC1"/>
                <w:tabs>
                  <w:tab w:val="right" w:leader="dot" w:pos="9016"/>
                </w:tabs>
                <w:rPr>
                  <w:rFonts w:eastAsiaTheme="minorEastAsia"/>
                  <w:b w:val="0"/>
                  <w:bCs w:val="0"/>
                  <w:i w:val="0"/>
                  <w:iCs w:val="0"/>
                  <w:noProof/>
                  <w:lang w:eastAsia="en-GB"/>
                </w:rPr>
              </w:pPr>
              <w:hyperlink w:anchor="_Toc228993347" w:history="1">
                <w:r w:rsidRPr="00AD6B48">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_Toc228993347 \h </w:instrText>
                </w:r>
                <w:r>
                  <w:rPr>
                    <w:noProof/>
                    <w:webHidden/>
                  </w:rPr>
                </w:r>
                <w:r>
                  <w:rPr>
                    <w:noProof/>
                    <w:webHidden/>
                  </w:rPr>
                  <w:fldChar w:fldCharType="separate"/>
                </w:r>
                <w:r>
                  <w:rPr>
                    <w:noProof/>
                    <w:webHidden/>
                  </w:rPr>
                  <w:t>3</w:t>
                </w:r>
                <w:r>
                  <w:rPr>
                    <w:noProof/>
                    <w:webHidden/>
                  </w:rPr>
                  <w:fldChar w:fldCharType="end"/>
                </w:r>
              </w:hyperlink>
            </w:p>
            <w:p w14:paraId="093EC18B" w14:textId="2A916351" w:rsidR="00E85AD8" w:rsidRDefault="00E85AD8">
              <w:pPr>
                <w:pStyle w:val="TOC1"/>
                <w:tabs>
                  <w:tab w:val="right" w:leader="dot" w:pos="9016"/>
                </w:tabs>
                <w:rPr>
                  <w:rFonts w:eastAsiaTheme="minorEastAsia"/>
                  <w:b w:val="0"/>
                  <w:bCs w:val="0"/>
                  <w:i w:val="0"/>
                  <w:iCs w:val="0"/>
                  <w:noProof/>
                  <w:lang w:eastAsia="en-GB"/>
                </w:rPr>
              </w:pPr>
              <w:hyperlink w:anchor="_Toc228993348" w:history="1">
                <w:r w:rsidRPr="00AD6B48">
                  <w:rPr>
                    <w:rStyle w:val="Hyperlink"/>
                    <w:rFonts w:eastAsia="Times New Roman"/>
                    <w:noProof/>
                    <w:lang w:eastAsia="en-GB"/>
                  </w:rPr>
                  <w:t>Project Risk Context</w:t>
                </w:r>
                <w:r>
                  <w:rPr>
                    <w:noProof/>
                    <w:webHidden/>
                  </w:rPr>
                  <w:tab/>
                </w:r>
                <w:r>
                  <w:rPr>
                    <w:noProof/>
                    <w:webHidden/>
                  </w:rPr>
                  <w:fldChar w:fldCharType="begin"/>
                </w:r>
                <w:r>
                  <w:rPr>
                    <w:noProof/>
                    <w:webHidden/>
                  </w:rPr>
                  <w:instrText xml:space="preserve"> PAGEREF _Toc228993348 \h </w:instrText>
                </w:r>
                <w:r>
                  <w:rPr>
                    <w:noProof/>
                    <w:webHidden/>
                  </w:rPr>
                </w:r>
                <w:r>
                  <w:rPr>
                    <w:noProof/>
                    <w:webHidden/>
                  </w:rPr>
                  <w:fldChar w:fldCharType="separate"/>
                </w:r>
                <w:r>
                  <w:rPr>
                    <w:noProof/>
                    <w:webHidden/>
                  </w:rPr>
                  <w:t>3</w:t>
                </w:r>
                <w:r>
                  <w:rPr>
                    <w:noProof/>
                    <w:webHidden/>
                  </w:rPr>
                  <w:fldChar w:fldCharType="end"/>
                </w:r>
              </w:hyperlink>
            </w:p>
            <w:p w14:paraId="47939516" w14:textId="43229DFC" w:rsidR="00E85AD8" w:rsidRDefault="00E85AD8">
              <w:pPr>
                <w:pStyle w:val="TOC1"/>
                <w:tabs>
                  <w:tab w:val="right" w:leader="dot" w:pos="9016"/>
                </w:tabs>
                <w:rPr>
                  <w:rFonts w:eastAsiaTheme="minorEastAsia"/>
                  <w:b w:val="0"/>
                  <w:bCs w:val="0"/>
                  <w:i w:val="0"/>
                  <w:iCs w:val="0"/>
                  <w:noProof/>
                  <w:lang w:eastAsia="en-GB"/>
                </w:rPr>
              </w:pPr>
              <w:hyperlink w:anchor="_Toc228993349" w:history="1">
                <w:r w:rsidRPr="00AD6B48">
                  <w:rPr>
                    <w:rStyle w:val="Hyperlink"/>
                    <w:rFonts w:eastAsia="Times New Roman"/>
                    <w:noProof/>
                    <w:lang w:eastAsia="en-GB"/>
                  </w:rPr>
                  <w:t>Building Safety Act 2022 and Welsh Building Safety</w:t>
                </w:r>
                <w:r>
                  <w:rPr>
                    <w:noProof/>
                    <w:webHidden/>
                  </w:rPr>
                  <w:tab/>
                </w:r>
                <w:r>
                  <w:rPr>
                    <w:noProof/>
                    <w:webHidden/>
                  </w:rPr>
                  <w:fldChar w:fldCharType="begin"/>
                </w:r>
                <w:r>
                  <w:rPr>
                    <w:noProof/>
                    <w:webHidden/>
                  </w:rPr>
                  <w:instrText xml:space="preserve"> PAGEREF _Toc228993349 \h </w:instrText>
                </w:r>
                <w:r>
                  <w:rPr>
                    <w:noProof/>
                    <w:webHidden/>
                  </w:rPr>
                </w:r>
                <w:r>
                  <w:rPr>
                    <w:noProof/>
                    <w:webHidden/>
                  </w:rPr>
                  <w:fldChar w:fldCharType="separate"/>
                </w:r>
                <w:r>
                  <w:rPr>
                    <w:noProof/>
                    <w:webHidden/>
                  </w:rPr>
                  <w:t>3</w:t>
                </w:r>
                <w:r>
                  <w:rPr>
                    <w:noProof/>
                    <w:webHidden/>
                  </w:rPr>
                  <w:fldChar w:fldCharType="end"/>
                </w:r>
              </w:hyperlink>
            </w:p>
            <w:p w14:paraId="03CB518D" w14:textId="67EB69BD" w:rsidR="00E85AD8" w:rsidRDefault="00E85AD8">
              <w:pPr>
                <w:pStyle w:val="TOC1"/>
                <w:tabs>
                  <w:tab w:val="right" w:leader="dot" w:pos="9016"/>
                </w:tabs>
                <w:rPr>
                  <w:rFonts w:eastAsiaTheme="minorEastAsia"/>
                  <w:b w:val="0"/>
                  <w:bCs w:val="0"/>
                  <w:i w:val="0"/>
                  <w:iCs w:val="0"/>
                  <w:noProof/>
                  <w:lang w:eastAsia="en-GB"/>
                </w:rPr>
              </w:pPr>
              <w:hyperlink w:anchor="_Toc228993350" w:history="1">
                <w:r w:rsidRPr="00AD6B48">
                  <w:rPr>
                    <w:rStyle w:val="Hyperlink"/>
                    <w:rFonts w:eastAsia="Times New Roman"/>
                    <w:noProof/>
                    <w:lang w:eastAsia="en-GB"/>
                  </w:rPr>
                  <w:t>Wider Health and Safety Legislation and Management Controls</w:t>
                </w:r>
                <w:r>
                  <w:rPr>
                    <w:noProof/>
                    <w:webHidden/>
                  </w:rPr>
                  <w:tab/>
                </w:r>
                <w:r>
                  <w:rPr>
                    <w:noProof/>
                    <w:webHidden/>
                  </w:rPr>
                  <w:fldChar w:fldCharType="begin"/>
                </w:r>
                <w:r>
                  <w:rPr>
                    <w:noProof/>
                    <w:webHidden/>
                  </w:rPr>
                  <w:instrText xml:space="preserve"> PAGEREF _Toc228993350 \h </w:instrText>
                </w:r>
                <w:r>
                  <w:rPr>
                    <w:noProof/>
                    <w:webHidden/>
                  </w:rPr>
                </w:r>
                <w:r>
                  <w:rPr>
                    <w:noProof/>
                    <w:webHidden/>
                  </w:rPr>
                  <w:fldChar w:fldCharType="separate"/>
                </w:r>
                <w:r>
                  <w:rPr>
                    <w:noProof/>
                    <w:webHidden/>
                  </w:rPr>
                  <w:t>5</w:t>
                </w:r>
                <w:r>
                  <w:rPr>
                    <w:noProof/>
                    <w:webHidden/>
                  </w:rPr>
                  <w:fldChar w:fldCharType="end"/>
                </w:r>
              </w:hyperlink>
            </w:p>
            <w:p w14:paraId="2A04388F" w14:textId="5192A630" w:rsidR="00E85AD8" w:rsidRDefault="00E85AD8">
              <w:pPr>
                <w:pStyle w:val="TOC1"/>
                <w:tabs>
                  <w:tab w:val="right" w:leader="dot" w:pos="9016"/>
                </w:tabs>
                <w:rPr>
                  <w:rFonts w:eastAsiaTheme="minorEastAsia"/>
                  <w:b w:val="0"/>
                  <w:bCs w:val="0"/>
                  <w:i w:val="0"/>
                  <w:iCs w:val="0"/>
                  <w:noProof/>
                  <w:lang w:eastAsia="en-GB"/>
                </w:rPr>
              </w:pPr>
              <w:hyperlink w:anchor="_Toc228993351" w:history="1">
                <w:r w:rsidRPr="00AD6B48">
                  <w:rPr>
                    <w:rStyle w:val="Hyperlink"/>
                    <w:rFonts w:eastAsia="Times New Roman"/>
                    <w:noProof/>
                    <w:lang w:eastAsia="en-GB"/>
                  </w:rPr>
                  <w:t>CDM Regulations 2015 and Project-Specific Compliance</w:t>
                </w:r>
                <w:r>
                  <w:rPr>
                    <w:noProof/>
                    <w:webHidden/>
                  </w:rPr>
                  <w:tab/>
                </w:r>
                <w:r>
                  <w:rPr>
                    <w:noProof/>
                    <w:webHidden/>
                  </w:rPr>
                  <w:fldChar w:fldCharType="begin"/>
                </w:r>
                <w:r>
                  <w:rPr>
                    <w:noProof/>
                    <w:webHidden/>
                  </w:rPr>
                  <w:instrText xml:space="preserve"> PAGEREF _Toc228993351 \h </w:instrText>
                </w:r>
                <w:r>
                  <w:rPr>
                    <w:noProof/>
                    <w:webHidden/>
                  </w:rPr>
                </w:r>
                <w:r>
                  <w:rPr>
                    <w:noProof/>
                    <w:webHidden/>
                  </w:rPr>
                  <w:fldChar w:fldCharType="separate"/>
                </w:r>
                <w:r>
                  <w:rPr>
                    <w:noProof/>
                    <w:webHidden/>
                  </w:rPr>
                  <w:t>7</w:t>
                </w:r>
                <w:r>
                  <w:rPr>
                    <w:noProof/>
                    <w:webHidden/>
                  </w:rPr>
                  <w:fldChar w:fldCharType="end"/>
                </w:r>
              </w:hyperlink>
            </w:p>
            <w:p w14:paraId="7EFA9179" w14:textId="16C7BE0D" w:rsidR="00E85AD8" w:rsidRDefault="00E85AD8">
              <w:pPr>
                <w:pStyle w:val="TOC1"/>
                <w:tabs>
                  <w:tab w:val="right" w:leader="dot" w:pos="9016"/>
                </w:tabs>
                <w:rPr>
                  <w:rFonts w:eastAsiaTheme="minorEastAsia"/>
                  <w:b w:val="0"/>
                  <w:bCs w:val="0"/>
                  <w:i w:val="0"/>
                  <w:iCs w:val="0"/>
                  <w:noProof/>
                  <w:lang w:eastAsia="en-GB"/>
                </w:rPr>
              </w:pPr>
              <w:hyperlink w:anchor="_Toc228993352" w:history="1">
                <w:r w:rsidRPr="00AD6B48">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_Toc228993352 \h </w:instrText>
                </w:r>
                <w:r>
                  <w:rPr>
                    <w:noProof/>
                    <w:webHidden/>
                  </w:rPr>
                </w:r>
                <w:r>
                  <w:rPr>
                    <w:noProof/>
                    <w:webHidden/>
                  </w:rPr>
                  <w:fldChar w:fldCharType="separate"/>
                </w:r>
                <w:r>
                  <w:rPr>
                    <w:noProof/>
                    <w:webHidden/>
                  </w:rPr>
                  <w:t>9</w:t>
                </w:r>
                <w:r>
                  <w:rPr>
                    <w:noProof/>
                    <w:webHidden/>
                  </w:rPr>
                  <w:fldChar w:fldCharType="end"/>
                </w:r>
              </w:hyperlink>
            </w:p>
            <w:p w14:paraId="6DABD2C1" w14:textId="3C079C75" w:rsidR="00E85AD8" w:rsidRDefault="00E85AD8">
              <w:pPr>
                <w:pStyle w:val="TOC1"/>
                <w:tabs>
                  <w:tab w:val="right" w:leader="dot" w:pos="9016"/>
                </w:tabs>
                <w:rPr>
                  <w:rFonts w:eastAsiaTheme="minorEastAsia"/>
                  <w:b w:val="0"/>
                  <w:bCs w:val="0"/>
                  <w:i w:val="0"/>
                  <w:iCs w:val="0"/>
                  <w:noProof/>
                  <w:lang w:eastAsia="en-GB"/>
                </w:rPr>
              </w:pPr>
              <w:hyperlink w:anchor="_Toc228993353" w:history="1">
                <w:r w:rsidRPr="00AD6B48">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_Toc228993353 \h </w:instrText>
                </w:r>
                <w:r>
                  <w:rPr>
                    <w:noProof/>
                    <w:webHidden/>
                  </w:rPr>
                </w:r>
                <w:r>
                  <w:rPr>
                    <w:noProof/>
                    <w:webHidden/>
                  </w:rPr>
                  <w:fldChar w:fldCharType="separate"/>
                </w:r>
                <w:r>
                  <w:rPr>
                    <w:noProof/>
                    <w:webHidden/>
                  </w:rPr>
                  <w:t>9</w:t>
                </w:r>
                <w:r>
                  <w:rPr>
                    <w:noProof/>
                    <w:webHidden/>
                  </w:rPr>
                  <w:fldChar w:fldCharType="end"/>
                </w:r>
              </w:hyperlink>
            </w:p>
            <w:p w14:paraId="5715E91B" w14:textId="73C1236E" w:rsidR="00442119" w:rsidRDefault="00442119">
              <w:r>
                <w:rPr>
                  <w:b/>
                  <w:bCs/>
                  <w:noProof/>
                </w:rPr>
                <w:fldChar w:fldCharType="end"/>
              </w:r>
            </w:p>
          </w:sdtContent>
        </w:sdt>
        <w:p w14:paraId="386857A6" w14:textId="39DCF90C" w:rsidR="00E85AD8" w:rsidRPr="00E85AD8" w:rsidRDefault="00E85AD8" w:rsidP="00E85AD8">
          <w:pPr>
            <w:pStyle w:val="Heading1"/>
            <w:rPr>
              <w:rFonts w:eastAsia="Times New Roman"/>
              <w:color w:val="000000" w:themeColor="text1"/>
              <w:lang w:eastAsia="en-GB"/>
            </w:rPr>
          </w:pPr>
          <w:bookmarkStart w:id="0" w:name="_Toc228993346"/>
          <w:r w:rsidRPr="00E85AD8">
            <w:rPr>
              <w:rFonts w:eastAsia="Times New Roman"/>
              <w:color w:val="000000" w:themeColor="text1"/>
              <w:lang w:eastAsia="en-GB"/>
            </w:rPr>
            <w:t>Glossary</w:t>
          </w:r>
          <w:bookmarkEnd w:id="0"/>
        </w:p>
        <w:tbl>
          <w:tblPr>
            <w:tblStyle w:val="TableGrid"/>
            <w:tblW w:w="0" w:type="auto"/>
            <w:jc w:val="center"/>
            <w:tblLook w:val="04A0" w:firstRow="1" w:lastRow="0" w:firstColumn="1" w:lastColumn="0" w:noHBand="0" w:noVBand="1"/>
          </w:tblPr>
          <w:tblGrid>
            <w:gridCol w:w="2956"/>
            <w:gridCol w:w="6060"/>
          </w:tblGrid>
          <w:tr w:rsidR="00E85AD8" w14:paraId="2A018F73" w14:textId="77777777" w:rsidTr="005A15B4">
            <w:trPr>
              <w:tblHeader/>
              <w:jc w:val="center"/>
            </w:trPr>
            <w:tc>
              <w:tcPr>
                <w:tcW w:w="3456" w:type="dxa"/>
                <w:shd w:val="clear" w:color="auto" w:fill="D9EAF7"/>
              </w:tcPr>
              <w:p w14:paraId="7BF7E504" w14:textId="77777777" w:rsidR="00E85AD8" w:rsidRDefault="00E85AD8" w:rsidP="005A15B4">
                <w:r>
                  <w:rPr>
                    <w:rFonts w:ascii="Arial" w:eastAsia="Arial" w:hAnsi="Arial"/>
                    <w:b/>
                    <w:sz w:val="20"/>
                  </w:rPr>
                  <w:t>Term / Acronym</w:t>
                </w:r>
              </w:p>
            </w:tc>
            <w:tc>
              <w:tcPr>
                <w:tcW w:w="8063" w:type="dxa"/>
                <w:shd w:val="clear" w:color="auto" w:fill="D9EAF7"/>
              </w:tcPr>
              <w:p w14:paraId="7019D4B1" w14:textId="77777777" w:rsidR="00E85AD8" w:rsidRDefault="00E85AD8" w:rsidP="005A15B4">
                <w:r>
                  <w:rPr>
                    <w:rFonts w:ascii="Arial" w:eastAsia="Arial" w:hAnsi="Arial"/>
                    <w:b/>
                    <w:sz w:val="20"/>
                  </w:rPr>
                  <w:t>Meaning</w:t>
                </w:r>
              </w:p>
            </w:tc>
          </w:tr>
          <w:tr w:rsidR="00E85AD8" w14:paraId="58AFCF64" w14:textId="77777777" w:rsidTr="005A15B4">
            <w:trPr>
              <w:jc w:val="center"/>
            </w:trPr>
            <w:tc>
              <w:tcPr>
                <w:tcW w:w="3456" w:type="dxa"/>
              </w:tcPr>
              <w:p w14:paraId="18E90014" w14:textId="77777777" w:rsidR="00E85AD8" w:rsidRDefault="00E85AD8" w:rsidP="005A15B4">
                <w:r>
                  <w:rPr>
                    <w:rFonts w:ascii="Arial" w:eastAsia="Arial" w:hAnsi="Arial"/>
                    <w:b/>
                    <w:sz w:val="19"/>
                  </w:rPr>
                  <w:t>ACM</w:t>
                </w:r>
              </w:p>
            </w:tc>
            <w:tc>
              <w:tcPr>
                <w:tcW w:w="8063" w:type="dxa"/>
              </w:tcPr>
              <w:p w14:paraId="3DB4B5D0" w14:textId="3545F47D" w:rsidR="00E85AD8" w:rsidRDefault="00E85AD8" w:rsidP="005A15B4">
                <w:r>
                  <w:rPr>
                    <w:rFonts w:ascii="Arial" w:eastAsia="Arial" w:hAnsi="Arial"/>
                    <w:sz w:val="19"/>
                  </w:rPr>
                  <w:t>Asbestos</w:t>
                </w:r>
                <w:r>
                  <w:rPr>
                    <w:rFonts w:ascii="Arial" w:eastAsia="Arial" w:hAnsi="Arial"/>
                    <w:sz w:val="19"/>
                  </w:rPr>
                  <w:t>-c</w:t>
                </w:r>
                <w:r>
                  <w:rPr>
                    <w:rFonts w:ascii="Arial" w:eastAsia="Arial" w:hAnsi="Arial"/>
                    <w:sz w:val="19"/>
                  </w:rPr>
                  <w:t>ontaining material. A material that contains asbestos and may present a health risk if disturbed during refurbishment or demolition works.</w:t>
                </w:r>
              </w:p>
            </w:tc>
          </w:tr>
          <w:tr w:rsidR="00E85AD8" w14:paraId="4B472C05" w14:textId="77777777" w:rsidTr="005A15B4">
            <w:trPr>
              <w:jc w:val="center"/>
            </w:trPr>
            <w:tc>
              <w:tcPr>
                <w:tcW w:w="3456" w:type="dxa"/>
              </w:tcPr>
              <w:p w14:paraId="6BB41F92" w14:textId="25A7C185" w:rsidR="00E85AD8" w:rsidRDefault="00E85AD8" w:rsidP="005A15B4">
                <w:r>
                  <w:rPr>
                    <w:rFonts w:ascii="Arial" w:eastAsia="Arial" w:hAnsi="Arial"/>
                    <w:b/>
                    <w:sz w:val="19"/>
                  </w:rPr>
                  <w:t>As</w:t>
                </w:r>
                <w:r>
                  <w:rPr>
                    <w:rFonts w:ascii="Arial" w:eastAsia="Arial" w:hAnsi="Arial"/>
                    <w:b/>
                    <w:sz w:val="19"/>
                  </w:rPr>
                  <w:t>-b</w:t>
                </w:r>
                <w:r>
                  <w:rPr>
                    <w:rFonts w:ascii="Arial" w:eastAsia="Arial" w:hAnsi="Arial"/>
                    <w:b/>
                    <w:sz w:val="19"/>
                  </w:rPr>
                  <w:t>uilt drawings</w:t>
                </w:r>
              </w:p>
            </w:tc>
            <w:tc>
              <w:tcPr>
                <w:tcW w:w="8063" w:type="dxa"/>
              </w:tcPr>
              <w:p w14:paraId="782C019F" w14:textId="3AD9987B" w:rsidR="00E85AD8" w:rsidRDefault="00E85AD8" w:rsidP="005A15B4">
                <w:r>
                  <w:rPr>
                    <w:rFonts w:ascii="Arial" w:eastAsia="Arial" w:hAnsi="Arial"/>
                    <w:sz w:val="19"/>
                  </w:rPr>
                  <w:t xml:space="preserve">Final drawings showing how the completed works were </w:t>
                </w:r>
                <w:r>
                  <w:rPr>
                    <w:rFonts w:ascii="Arial" w:eastAsia="Arial" w:hAnsi="Arial"/>
                    <w:sz w:val="19"/>
                  </w:rPr>
                  <w:t>constructed</w:t>
                </w:r>
                <w:r>
                  <w:rPr>
                    <w:rFonts w:ascii="Arial" w:eastAsia="Arial" w:hAnsi="Arial"/>
                    <w:sz w:val="19"/>
                  </w:rPr>
                  <w:t>, including any changes made during the project.</w:t>
                </w:r>
              </w:p>
            </w:tc>
          </w:tr>
          <w:tr w:rsidR="00E85AD8" w14:paraId="7100E4EE" w14:textId="77777777" w:rsidTr="005A15B4">
            <w:trPr>
              <w:jc w:val="center"/>
            </w:trPr>
            <w:tc>
              <w:tcPr>
                <w:tcW w:w="3456" w:type="dxa"/>
              </w:tcPr>
              <w:p w14:paraId="04708E04" w14:textId="77777777" w:rsidR="00E85AD8" w:rsidRDefault="00E85AD8" w:rsidP="005A15B4">
                <w:r>
                  <w:rPr>
                    <w:rFonts w:ascii="Arial" w:eastAsia="Arial" w:hAnsi="Arial"/>
                    <w:b/>
                    <w:sz w:val="19"/>
                  </w:rPr>
                  <w:t>Building Safety Act 2022</w:t>
                </w:r>
              </w:p>
            </w:tc>
            <w:tc>
              <w:tcPr>
                <w:tcW w:w="8063" w:type="dxa"/>
              </w:tcPr>
              <w:p w14:paraId="6D04ECE4" w14:textId="06C43D07" w:rsidR="00E85AD8" w:rsidRDefault="00E85AD8" w:rsidP="005A15B4">
                <w:r>
                  <w:rPr>
                    <w:rFonts w:ascii="Arial" w:eastAsia="Arial" w:hAnsi="Arial"/>
                    <w:sz w:val="19"/>
                  </w:rPr>
                  <w:t>UK legislation introduced to improve building safety, accountability and risk management, particularly in relation to higher</w:t>
                </w:r>
                <w:r>
                  <w:rPr>
                    <w:rFonts w:ascii="Arial" w:eastAsia="Arial" w:hAnsi="Arial"/>
                    <w:sz w:val="19"/>
                  </w:rPr>
                  <w:t>-r</w:t>
                </w:r>
                <w:r>
                  <w:rPr>
                    <w:rFonts w:ascii="Arial" w:eastAsia="Arial" w:hAnsi="Arial"/>
                    <w:sz w:val="19"/>
                  </w:rPr>
                  <w:t>isk buildings.</w:t>
                </w:r>
              </w:p>
            </w:tc>
          </w:tr>
          <w:tr w:rsidR="00E85AD8" w14:paraId="1D3882D8" w14:textId="77777777" w:rsidTr="005A15B4">
            <w:trPr>
              <w:jc w:val="center"/>
            </w:trPr>
            <w:tc>
              <w:tcPr>
                <w:tcW w:w="3456" w:type="dxa"/>
              </w:tcPr>
              <w:p w14:paraId="4A5B7346" w14:textId="77777777" w:rsidR="00E85AD8" w:rsidRDefault="00E85AD8" w:rsidP="005A15B4">
                <w:r>
                  <w:rPr>
                    <w:rFonts w:ascii="Arial" w:eastAsia="Arial" w:hAnsi="Arial"/>
                    <w:b/>
                    <w:sz w:val="19"/>
                  </w:rPr>
                  <w:t>Building Safety (Wales) Bill</w:t>
                </w:r>
              </w:p>
            </w:tc>
            <w:tc>
              <w:tcPr>
                <w:tcW w:w="8063" w:type="dxa"/>
              </w:tcPr>
              <w:p w14:paraId="3162252A" w14:textId="2DEE3363" w:rsidR="00E85AD8" w:rsidRDefault="00E85AD8" w:rsidP="005A15B4">
                <w:r>
                  <w:rPr>
                    <w:rFonts w:ascii="Arial" w:eastAsia="Arial" w:hAnsi="Arial"/>
                    <w:sz w:val="19"/>
                  </w:rPr>
                  <w:t>Welsh legislation/regime aimed at improving the safety of multi</w:t>
                </w:r>
                <w:r>
                  <w:rPr>
                    <w:rFonts w:ascii="Arial" w:eastAsia="Arial" w:hAnsi="Arial"/>
                    <w:sz w:val="19"/>
                  </w:rPr>
                  <w:t>-</w:t>
                </w:r>
                <w:r>
                  <w:rPr>
                    <w:rFonts w:ascii="Arial" w:eastAsia="Arial" w:hAnsi="Arial"/>
                    <w:sz w:val="19"/>
                  </w:rPr>
                  <w:t>occupied residential buildings in Wales.</w:t>
                </w:r>
              </w:p>
            </w:tc>
          </w:tr>
          <w:tr w:rsidR="00E85AD8" w14:paraId="308A2DFB" w14:textId="77777777" w:rsidTr="005A15B4">
            <w:trPr>
              <w:jc w:val="center"/>
            </w:trPr>
            <w:tc>
              <w:tcPr>
                <w:tcW w:w="3456" w:type="dxa"/>
              </w:tcPr>
              <w:p w14:paraId="1C004FFE" w14:textId="77777777" w:rsidR="00E85AD8" w:rsidRDefault="00E85AD8" w:rsidP="005A15B4">
                <w:r>
                  <w:rPr>
                    <w:rFonts w:ascii="Arial" w:eastAsia="Arial" w:hAnsi="Arial"/>
                    <w:b/>
                    <w:sz w:val="19"/>
                  </w:rPr>
                  <w:t>CDM Regulations 2015</w:t>
                </w:r>
              </w:p>
            </w:tc>
            <w:tc>
              <w:tcPr>
                <w:tcW w:w="8063" w:type="dxa"/>
              </w:tcPr>
              <w:p w14:paraId="53098D9A" w14:textId="77777777" w:rsidR="00E85AD8" w:rsidRDefault="00E85AD8" w:rsidP="005A15B4">
                <w:r>
                  <w:rPr>
                    <w:rFonts w:ascii="Arial" w:eastAsia="Arial" w:hAnsi="Arial"/>
                    <w:sz w:val="19"/>
                  </w:rPr>
                  <w:t>Construction (Design and Management) Regulations 2015. Regulations that place duties on clients, designers, contractors and workers to plan, manage and coordinate health and safety during construction projects.</w:t>
                </w:r>
              </w:p>
            </w:tc>
          </w:tr>
          <w:tr w:rsidR="00E85AD8" w14:paraId="577618FE" w14:textId="77777777" w:rsidTr="005A15B4">
            <w:trPr>
              <w:jc w:val="center"/>
            </w:trPr>
            <w:tc>
              <w:tcPr>
                <w:tcW w:w="3456" w:type="dxa"/>
              </w:tcPr>
              <w:p w14:paraId="4012B247" w14:textId="77777777" w:rsidR="00E85AD8" w:rsidRDefault="00E85AD8" w:rsidP="005A15B4">
                <w:r>
                  <w:rPr>
                    <w:rFonts w:ascii="Arial" w:eastAsia="Arial" w:hAnsi="Arial"/>
                    <w:b/>
                    <w:sz w:val="19"/>
                  </w:rPr>
                  <w:t>Cladding</w:t>
                </w:r>
              </w:p>
            </w:tc>
            <w:tc>
              <w:tcPr>
                <w:tcW w:w="8063" w:type="dxa"/>
              </w:tcPr>
              <w:p w14:paraId="284E1B32" w14:textId="77777777" w:rsidR="00E85AD8" w:rsidRDefault="00E85AD8" w:rsidP="005A15B4">
                <w:r>
                  <w:rPr>
                    <w:rFonts w:ascii="Arial" w:eastAsia="Arial" w:hAnsi="Arial"/>
                    <w:sz w:val="19"/>
                  </w:rPr>
                  <w:t>External covering or facade system added to a building, often for weather protection, insulation or appearance. In this project, it is relevant because it can affect fire spread and building safety.</w:t>
                </w:r>
              </w:p>
            </w:tc>
          </w:tr>
          <w:tr w:rsidR="00E85AD8" w14:paraId="230930B4" w14:textId="77777777" w:rsidTr="005A15B4">
            <w:trPr>
              <w:jc w:val="center"/>
            </w:trPr>
            <w:tc>
              <w:tcPr>
                <w:tcW w:w="3456" w:type="dxa"/>
              </w:tcPr>
              <w:p w14:paraId="68A99B38" w14:textId="77777777" w:rsidR="00E85AD8" w:rsidRDefault="00E85AD8" w:rsidP="005A15B4">
                <w:r>
                  <w:rPr>
                    <w:rFonts w:ascii="Arial" w:eastAsia="Arial" w:hAnsi="Arial"/>
                    <w:b/>
                    <w:sz w:val="19"/>
                  </w:rPr>
                  <w:t>Compartmentation</w:t>
                </w:r>
              </w:p>
            </w:tc>
            <w:tc>
              <w:tcPr>
                <w:tcW w:w="8063" w:type="dxa"/>
              </w:tcPr>
              <w:p w14:paraId="4DB4901B" w14:textId="77777777" w:rsidR="00E85AD8" w:rsidRDefault="00E85AD8" w:rsidP="005A15B4">
                <w:r>
                  <w:rPr>
                    <w:rFonts w:ascii="Arial" w:eastAsia="Arial" w:hAnsi="Arial"/>
                    <w:sz w:val="19"/>
                  </w:rPr>
                  <w:t>Fire safety design principle where a building is divided into separate fire-resisting sections to slow the spread of fire and smoke.</w:t>
                </w:r>
              </w:p>
            </w:tc>
          </w:tr>
          <w:tr w:rsidR="00E85AD8" w14:paraId="5D6A4A75" w14:textId="77777777" w:rsidTr="005A15B4">
            <w:trPr>
              <w:jc w:val="center"/>
            </w:trPr>
            <w:tc>
              <w:tcPr>
                <w:tcW w:w="3456" w:type="dxa"/>
              </w:tcPr>
              <w:p w14:paraId="329E3B83" w14:textId="77777777" w:rsidR="00E85AD8" w:rsidRDefault="00E85AD8" w:rsidP="005A15B4">
                <w:r>
                  <w:rPr>
                    <w:rFonts w:ascii="Arial" w:eastAsia="Arial" w:hAnsi="Arial"/>
                    <w:b/>
                    <w:sz w:val="19"/>
                  </w:rPr>
                  <w:t>Competent person</w:t>
                </w:r>
              </w:p>
            </w:tc>
            <w:tc>
              <w:tcPr>
                <w:tcW w:w="8063" w:type="dxa"/>
              </w:tcPr>
              <w:p w14:paraId="7B5DED6C" w14:textId="77777777" w:rsidR="00E85AD8" w:rsidRDefault="00E85AD8" w:rsidP="005A15B4">
                <w:r>
                  <w:rPr>
                    <w:rFonts w:ascii="Arial" w:eastAsia="Arial" w:hAnsi="Arial"/>
                    <w:sz w:val="19"/>
                  </w:rPr>
                  <w:t>Someone with the necessary skills, knowledge, training and experience to carry out a task safely and correctly.</w:t>
                </w:r>
              </w:p>
            </w:tc>
          </w:tr>
          <w:tr w:rsidR="00E85AD8" w14:paraId="7F349B42" w14:textId="77777777" w:rsidTr="005A15B4">
            <w:trPr>
              <w:jc w:val="center"/>
            </w:trPr>
            <w:tc>
              <w:tcPr>
                <w:tcW w:w="3456" w:type="dxa"/>
              </w:tcPr>
              <w:p w14:paraId="51B75EDE" w14:textId="77777777" w:rsidR="00E85AD8" w:rsidRDefault="00E85AD8" w:rsidP="005A15B4">
                <w:r>
                  <w:rPr>
                    <w:rFonts w:ascii="Arial" w:eastAsia="Arial" w:hAnsi="Arial"/>
                    <w:b/>
                    <w:sz w:val="19"/>
                  </w:rPr>
                  <w:t>Construction Phase Plan</w:t>
                </w:r>
              </w:p>
            </w:tc>
            <w:tc>
              <w:tcPr>
                <w:tcW w:w="8063" w:type="dxa"/>
              </w:tcPr>
              <w:p w14:paraId="02BF47DD" w14:textId="77777777" w:rsidR="00E85AD8" w:rsidRDefault="00E85AD8" w:rsidP="005A15B4">
                <w:r>
                  <w:rPr>
                    <w:rFonts w:ascii="Arial" w:eastAsia="Arial" w:hAnsi="Arial"/>
                    <w:sz w:val="19"/>
                  </w:rPr>
                  <w:t>A CDM document prepared before construction starts, setting out how health and safety risks will be managed during the works.</w:t>
                </w:r>
              </w:p>
            </w:tc>
          </w:tr>
          <w:tr w:rsidR="00E85AD8" w14:paraId="06DEF7C9" w14:textId="77777777" w:rsidTr="005A15B4">
            <w:trPr>
              <w:jc w:val="center"/>
            </w:trPr>
            <w:tc>
              <w:tcPr>
                <w:tcW w:w="3456" w:type="dxa"/>
              </w:tcPr>
              <w:p w14:paraId="2035391A" w14:textId="77777777" w:rsidR="00E85AD8" w:rsidRDefault="00E85AD8" w:rsidP="005A15B4">
                <w:r>
                  <w:rPr>
                    <w:rFonts w:ascii="Arial" w:eastAsia="Arial" w:hAnsi="Arial"/>
                    <w:b/>
                    <w:sz w:val="19"/>
                  </w:rPr>
                  <w:t>COSHH</w:t>
                </w:r>
              </w:p>
            </w:tc>
            <w:tc>
              <w:tcPr>
                <w:tcW w:w="8063" w:type="dxa"/>
              </w:tcPr>
              <w:p w14:paraId="34DC6A18" w14:textId="77777777" w:rsidR="00E85AD8" w:rsidRDefault="00E85AD8" w:rsidP="005A15B4">
                <w:r>
                  <w:rPr>
                    <w:rFonts w:ascii="Arial" w:eastAsia="Arial" w:hAnsi="Arial"/>
                    <w:sz w:val="19"/>
                  </w:rPr>
                  <w:t>Control of Substances Hazardous to Health Regulations 2002. Regulations requiring employers to control exposure to hazardous substances such as dust, fumes, chemicals and sealants.</w:t>
                </w:r>
              </w:p>
            </w:tc>
          </w:tr>
          <w:tr w:rsidR="00E85AD8" w14:paraId="7B46331C" w14:textId="77777777" w:rsidTr="005A15B4">
            <w:trPr>
              <w:jc w:val="center"/>
            </w:trPr>
            <w:tc>
              <w:tcPr>
                <w:tcW w:w="3456" w:type="dxa"/>
              </w:tcPr>
              <w:p w14:paraId="32D47E10" w14:textId="77777777" w:rsidR="00E85AD8" w:rsidRDefault="00E85AD8" w:rsidP="005A15B4">
                <w:r>
                  <w:rPr>
                    <w:rFonts w:ascii="Arial" w:eastAsia="Arial" w:hAnsi="Arial"/>
                    <w:b/>
                    <w:sz w:val="19"/>
                  </w:rPr>
                  <w:t>Duty holder</w:t>
                </w:r>
              </w:p>
            </w:tc>
            <w:tc>
              <w:tcPr>
                <w:tcW w:w="8063" w:type="dxa"/>
              </w:tcPr>
              <w:p w14:paraId="1CF4ED74" w14:textId="77777777" w:rsidR="00E85AD8" w:rsidRDefault="00E85AD8" w:rsidP="005A15B4">
                <w:r>
                  <w:rPr>
                    <w:rFonts w:ascii="Arial" w:eastAsia="Arial" w:hAnsi="Arial"/>
                    <w:sz w:val="19"/>
                  </w:rPr>
                  <w:t>A person or organisation with legal health and safety responsibilities, such as the client, principal designer, principal contractor, contractors and designers.</w:t>
                </w:r>
              </w:p>
            </w:tc>
          </w:tr>
          <w:tr w:rsidR="00E85AD8" w14:paraId="2D1460DB" w14:textId="77777777" w:rsidTr="005A15B4">
            <w:trPr>
              <w:jc w:val="center"/>
            </w:trPr>
            <w:tc>
              <w:tcPr>
                <w:tcW w:w="3456" w:type="dxa"/>
              </w:tcPr>
              <w:p w14:paraId="4F23AD4F" w14:textId="77777777" w:rsidR="00E85AD8" w:rsidRDefault="00E85AD8" w:rsidP="005A15B4">
                <w:r>
                  <w:rPr>
                    <w:rFonts w:ascii="Arial" w:eastAsia="Arial" w:hAnsi="Arial"/>
                    <w:b/>
                    <w:sz w:val="19"/>
                  </w:rPr>
                  <w:t>Exclusion zone</w:t>
                </w:r>
              </w:p>
            </w:tc>
            <w:tc>
              <w:tcPr>
                <w:tcW w:w="8063" w:type="dxa"/>
              </w:tcPr>
              <w:p w14:paraId="26BC9E5F" w14:textId="77777777" w:rsidR="00E85AD8" w:rsidRDefault="00E85AD8" w:rsidP="005A15B4">
                <w:r>
                  <w:rPr>
                    <w:rFonts w:ascii="Arial" w:eastAsia="Arial" w:hAnsi="Arial"/>
                    <w:sz w:val="19"/>
                  </w:rPr>
                  <w:t>A controlled area where access is restricted to prevent people being exposed to hazards such as falling materials, lifting operations or moving plant.</w:t>
                </w:r>
              </w:p>
            </w:tc>
          </w:tr>
          <w:tr w:rsidR="00E85AD8" w14:paraId="3480FEF2" w14:textId="77777777" w:rsidTr="005A15B4">
            <w:trPr>
              <w:jc w:val="center"/>
            </w:trPr>
            <w:tc>
              <w:tcPr>
                <w:tcW w:w="3456" w:type="dxa"/>
              </w:tcPr>
              <w:p w14:paraId="01D469D5" w14:textId="77777777" w:rsidR="00E85AD8" w:rsidRDefault="00E85AD8" w:rsidP="005A15B4">
                <w:r>
                  <w:rPr>
                    <w:rFonts w:ascii="Arial" w:eastAsia="Arial" w:hAnsi="Arial"/>
                    <w:b/>
                    <w:sz w:val="19"/>
                  </w:rPr>
                  <w:t>Facade</w:t>
                </w:r>
              </w:p>
            </w:tc>
            <w:tc>
              <w:tcPr>
                <w:tcW w:w="8063" w:type="dxa"/>
              </w:tcPr>
              <w:p w14:paraId="4CECD3AA" w14:textId="5FD0A063" w:rsidR="00E85AD8" w:rsidRDefault="00E85AD8" w:rsidP="005A15B4">
                <w:r>
                  <w:rPr>
                    <w:rFonts w:ascii="Arial" w:eastAsia="Arial" w:hAnsi="Arial"/>
                    <w:sz w:val="19"/>
                  </w:rPr>
                  <w:t>The external face or elevation of a building. In this report, it mainly relates to external cladding and weather</w:t>
                </w:r>
                <w:r>
                  <w:rPr>
                    <w:rFonts w:ascii="Arial" w:eastAsia="Arial" w:hAnsi="Arial"/>
                    <w:sz w:val="19"/>
                  </w:rPr>
                  <w:t>-p</w:t>
                </w:r>
                <w:r>
                  <w:rPr>
                    <w:rFonts w:ascii="Arial" w:eastAsia="Arial" w:hAnsi="Arial"/>
                    <w:sz w:val="19"/>
                  </w:rPr>
                  <w:t>roofing works.</w:t>
                </w:r>
              </w:p>
            </w:tc>
          </w:tr>
          <w:tr w:rsidR="00E85AD8" w14:paraId="564FD0C8" w14:textId="77777777" w:rsidTr="005A15B4">
            <w:trPr>
              <w:jc w:val="center"/>
            </w:trPr>
            <w:tc>
              <w:tcPr>
                <w:tcW w:w="3456" w:type="dxa"/>
              </w:tcPr>
              <w:p w14:paraId="53C160C1" w14:textId="77777777" w:rsidR="00E85AD8" w:rsidRDefault="00E85AD8" w:rsidP="005A15B4">
                <w:r>
                  <w:rPr>
                    <w:rFonts w:ascii="Arial" w:eastAsia="Arial" w:hAnsi="Arial"/>
                    <w:b/>
                    <w:sz w:val="19"/>
                  </w:rPr>
                  <w:t>Fire stopping</w:t>
                </w:r>
              </w:p>
            </w:tc>
            <w:tc>
              <w:tcPr>
                <w:tcW w:w="8063" w:type="dxa"/>
              </w:tcPr>
              <w:p w14:paraId="3CA9B9F5" w14:textId="77777777" w:rsidR="00E85AD8" w:rsidRDefault="00E85AD8" w:rsidP="005A15B4">
                <w:r>
                  <w:rPr>
                    <w:rFonts w:ascii="Arial" w:eastAsia="Arial" w:hAnsi="Arial"/>
                    <w:sz w:val="19"/>
                  </w:rPr>
                  <w:t>Materials or systems used to seal gaps and service penetrations to prevent fire and smoke spreading through walls, floors or ceilings.</w:t>
                </w:r>
              </w:p>
            </w:tc>
          </w:tr>
          <w:tr w:rsidR="00E85AD8" w14:paraId="6ADA966C" w14:textId="77777777" w:rsidTr="005A15B4">
            <w:trPr>
              <w:jc w:val="center"/>
            </w:trPr>
            <w:tc>
              <w:tcPr>
                <w:tcW w:w="3456" w:type="dxa"/>
              </w:tcPr>
              <w:p w14:paraId="4F096E42" w14:textId="77777777" w:rsidR="00E85AD8" w:rsidRDefault="00E85AD8" w:rsidP="005A15B4">
                <w:r>
                  <w:rPr>
                    <w:rFonts w:ascii="Arial" w:eastAsia="Arial" w:hAnsi="Arial"/>
                    <w:b/>
                    <w:sz w:val="19"/>
                  </w:rPr>
                  <w:t>H&amp;S</w:t>
                </w:r>
              </w:p>
            </w:tc>
            <w:tc>
              <w:tcPr>
                <w:tcW w:w="8063" w:type="dxa"/>
              </w:tcPr>
              <w:p w14:paraId="37D7BF81" w14:textId="77777777" w:rsidR="00E85AD8" w:rsidRDefault="00E85AD8" w:rsidP="005A15B4">
                <w:r>
                  <w:rPr>
                    <w:rFonts w:ascii="Arial" w:eastAsia="Arial" w:hAnsi="Arial"/>
                    <w:sz w:val="19"/>
                  </w:rPr>
                  <w:t>Health and safety.</w:t>
                </w:r>
              </w:p>
            </w:tc>
          </w:tr>
          <w:tr w:rsidR="00E85AD8" w14:paraId="056D50C4" w14:textId="77777777" w:rsidTr="005A15B4">
            <w:trPr>
              <w:jc w:val="center"/>
            </w:trPr>
            <w:tc>
              <w:tcPr>
                <w:tcW w:w="3456" w:type="dxa"/>
              </w:tcPr>
              <w:p w14:paraId="5EC98FEA" w14:textId="77777777" w:rsidR="00E85AD8" w:rsidRDefault="00E85AD8" w:rsidP="005A15B4">
                <w:r>
                  <w:rPr>
                    <w:rFonts w:ascii="Arial" w:eastAsia="Arial" w:hAnsi="Arial"/>
                    <w:b/>
                    <w:sz w:val="19"/>
                  </w:rPr>
                  <w:t>HASAWA / Health and Safety at Work Act 1974</w:t>
                </w:r>
              </w:p>
            </w:tc>
            <w:tc>
              <w:tcPr>
                <w:tcW w:w="8063" w:type="dxa"/>
              </w:tcPr>
              <w:p w14:paraId="75A2E663" w14:textId="77777777" w:rsidR="00E85AD8" w:rsidRDefault="00E85AD8" w:rsidP="005A15B4">
                <w:r>
                  <w:rPr>
                    <w:rFonts w:ascii="Arial" w:eastAsia="Arial" w:hAnsi="Arial"/>
                    <w:sz w:val="19"/>
                  </w:rPr>
                  <w:t>The main UK health and safety law requiring employers to protect employees and others affected by their work activities.</w:t>
                </w:r>
              </w:p>
            </w:tc>
          </w:tr>
          <w:tr w:rsidR="00E85AD8" w14:paraId="24CDA3ED" w14:textId="77777777" w:rsidTr="005A15B4">
            <w:trPr>
              <w:jc w:val="center"/>
            </w:trPr>
            <w:tc>
              <w:tcPr>
                <w:tcW w:w="3456" w:type="dxa"/>
              </w:tcPr>
              <w:p w14:paraId="4DC018CA" w14:textId="77777777" w:rsidR="00E85AD8" w:rsidRDefault="00E85AD8" w:rsidP="005A15B4">
                <w:r>
                  <w:rPr>
                    <w:rFonts w:ascii="Arial" w:eastAsia="Arial" w:hAnsi="Arial"/>
                    <w:b/>
                    <w:sz w:val="19"/>
                  </w:rPr>
                  <w:lastRenderedPageBreak/>
                  <w:t>HSE</w:t>
                </w:r>
              </w:p>
            </w:tc>
            <w:tc>
              <w:tcPr>
                <w:tcW w:w="8063" w:type="dxa"/>
              </w:tcPr>
              <w:p w14:paraId="5D83CFF4" w14:textId="77777777" w:rsidR="00E85AD8" w:rsidRDefault="00E85AD8" w:rsidP="005A15B4">
                <w:r>
                  <w:rPr>
                    <w:rFonts w:ascii="Arial" w:eastAsia="Arial" w:hAnsi="Arial"/>
                    <w:sz w:val="19"/>
                  </w:rPr>
                  <w:t>Health and Safety Executive. The UK body responsible for regulating and enforcing workplace health and safety.</w:t>
                </w:r>
              </w:p>
            </w:tc>
          </w:tr>
          <w:tr w:rsidR="00E85AD8" w14:paraId="5D3D5871" w14:textId="77777777" w:rsidTr="005A15B4">
            <w:trPr>
              <w:jc w:val="center"/>
            </w:trPr>
            <w:tc>
              <w:tcPr>
                <w:tcW w:w="3456" w:type="dxa"/>
              </w:tcPr>
              <w:p w14:paraId="00167E3D" w14:textId="77777777" w:rsidR="00E85AD8" w:rsidRDefault="00E85AD8" w:rsidP="005A15B4">
                <w:r>
                  <w:rPr>
                    <w:rFonts w:ascii="Arial" w:eastAsia="Arial" w:hAnsi="Arial"/>
                    <w:b/>
                    <w:sz w:val="19"/>
                  </w:rPr>
                  <w:t>LOLER</w:t>
                </w:r>
              </w:p>
            </w:tc>
            <w:tc>
              <w:tcPr>
                <w:tcW w:w="8063" w:type="dxa"/>
              </w:tcPr>
              <w:p w14:paraId="79F5940B" w14:textId="77777777" w:rsidR="00E85AD8" w:rsidRDefault="00E85AD8" w:rsidP="005A15B4">
                <w:r>
                  <w:rPr>
                    <w:rFonts w:ascii="Arial" w:eastAsia="Arial" w:hAnsi="Arial"/>
                    <w:sz w:val="19"/>
                  </w:rPr>
                  <w:t>Lifting Operations and Lifting Equipment Regulations 1998. Regulations covering safe planning, inspection and use of lifting equipment.</w:t>
                </w:r>
              </w:p>
            </w:tc>
          </w:tr>
          <w:tr w:rsidR="00E85AD8" w14:paraId="67CA2EA4" w14:textId="77777777" w:rsidTr="005A15B4">
            <w:trPr>
              <w:jc w:val="center"/>
            </w:trPr>
            <w:tc>
              <w:tcPr>
                <w:tcW w:w="3456" w:type="dxa"/>
              </w:tcPr>
              <w:p w14:paraId="1576C47D" w14:textId="77777777" w:rsidR="00E85AD8" w:rsidRDefault="00E85AD8" w:rsidP="005A15B4">
                <w:r>
                  <w:rPr>
                    <w:rFonts w:ascii="Arial" w:eastAsia="Arial" w:hAnsi="Arial"/>
                    <w:b/>
                    <w:sz w:val="19"/>
                  </w:rPr>
                  <w:t>MEWP</w:t>
                </w:r>
              </w:p>
            </w:tc>
            <w:tc>
              <w:tcPr>
                <w:tcW w:w="8063" w:type="dxa"/>
              </w:tcPr>
              <w:p w14:paraId="085CB64C" w14:textId="3CDC7496" w:rsidR="00E85AD8" w:rsidRDefault="00E85AD8" w:rsidP="005A15B4">
                <w:r>
                  <w:rPr>
                    <w:rFonts w:ascii="Arial" w:eastAsia="Arial" w:hAnsi="Arial"/>
                    <w:sz w:val="19"/>
                  </w:rPr>
                  <w:t>Mobile Elevating Work Platform. A powered access platform, such as a scissor lift, used for working at height.</w:t>
                </w:r>
              </w:p>
            </w:tc>
          </w:tr>
          <w:tr w:rsidR="00E85AD8" w14:paraId="04188399" w14:textId="77777777" w:rsidTr="005A15B4">
            <w:trPr>
              <w:jc w:val="center"/>
            </w:trPr>
            <w:tc>
              <w:tcPr>
                <w:tcW w:w="3456" w:type="dxa"/>
              </w:tcPr>
              <w:p w14:paraId="526C29C9" w14:textId="77777777" w:rsidR="00E85AD8" w:rsidRDefault="00E85AD8" w:rsidP="005A15B4">
                <w:r>
                  <w:rPr>
                    <w:rFonts w:ascii="Arial" w:eastAsia="Arial" w:hAnsi="Arial"/>
                    <w:b/>
                    <w:sz w:val="19"/>
                  </w:rPr>
                  <w:t>Method statement</w:t>
                </w:r>
              </w:p>
            </w:tc>
            <w:tc>
              <w:tcPr>
                <w:tcW w:w="8063" w:type="dxa"/>
              </w:tcPr>
              <w:p w14:paraId="1A8BE68E" w14:textId="77777777" w:rsidR="00E85AD8" w:rsidRDefault="00E85AD8" w:rsidP="005A15B4">
                <w:r>
                  <w:rPr>
                    <w:rFonts w:ascii="Arial" w:eastAsia="Arial" w:hAnsi="Arial"/>
                    <w:sz w:val="19"/>
                  </w:rPr>
                  <w:t>A document explaining how a task will be carried out safely, including the sequence of work, control measures, equipment, PPE and supervision.</w:t>
                </w:r>
              </w:p>
            </w:tc>
          </w:tr>
          <w:tr w:rsidR="00E85AD8" w14:paraId="5D298A1C" w14:textId="77777777" w:rsidTr="005A15B4">
            <w:trPr>
              <w:jc w:val="center"/>
            </w:trPr>
            <w:tc>
              <w:tcPr>
                <w:tcW w:w="3456" w:type="dxa"/>
              </w:tcPr>
              <w:p w14:paraId="3B7D25ED" w14:textId="77777777" w:rsidR="00E85AD8" w:rsidRDefault="00E85AD8" w:rsidP="005A15B4">
                <w:r>
                  <w:rPr>
                    <w:rFonts w:ascii="Arial" w:eastAsia="Arial" w:hAnsi="Arial"/>
                    <w:b/>
                    <w:sz w:val="19"/>
                  </w:rPr>
                  <w:t>PPE</w:t>
                </w:r>
              </w:p>
            </w:tc>
            <w:tc>
              <w:tcPr>
                <w:tcW w:w="8063" w:type="dxa"/>
              </w:tcPr>
              <w:p w14:paraId="4B24C86B" w14:textId="77777777" w:rsidR="00E85AD8" w:rsidRDefault="00E85AD8" w:rsidP="005A15B4">
                <w:r>
                  <w:rPr>
                    <w:rFonts w:ascii="Arial" w:eastAsia="Arial" w:hAnsi="Arial"/>
                    <w:sz w:val="19"/>
                  </w:rPr>
                  <w:t>Personal Protective Equipment. Equipment worn to protect workers, such as helmets, gloves, eye protection, safety footwear, hearing protection, harnesses or respiratory protection.</w:t>
                </w:r>
              </w:p>
            </w:tc>
          </w:tr>
          <w:tr w:rsidR="00E85AD8" w14:paraId="5DFA9F88" w14:textId="77777777" w:rsidTr="005A15B4">
            <w:trPr>
              <w:jc w:val="center"/>
            </w:trPr>
            <w:tc>
              <w:tcPr>
                <w:tcW w:w="3456" w:type="dxa"/>
              </w:tcPr>
              <w:p w14:paraId="1DA43AD3" w14:textId="77777777" w:rsidR="00E85AD8" w:rsidRDefault="00E85AD8" w:rsidP="005A15B4">
                <w:r>
                  <w:rPr>
                    <w:rFonts w:ascii="Arial" w:eastAsia="Arial" w:hAnsi="Arial"/>
                    <w:b/>
                    <w:sz w:val="19"/>
                  </w:rPr>
                  <w:t>Principal contractor</w:t>
                </w:r>
              </w:p>
            </w:tc>
            <w:tc>
              <w:tcPr>
                <w:tcW w:w="8063" w:type="dxa"/>
              </w:tcPr>
              <w:p w14:paraId="407184A6" w14:textId="77777777" w:rsidR="00E85AD8" w:rsidRDefault="00E85AD8" w:rsidP="005A15B4">
                <w:r>
                  <w:rPr>
                    <w:rFonts w:ascii="Arial" w:eastAsia="Arial" w:hAnsi="Arial"/>
                    <w:sz w:val="19"/>
                  </w:rPr>
                  <w:t>The contractor appointed under CDM to plan, manage, monitor and coordinate the construction phase where more than one contractor is involved.</w:t>
                </w:r>
              </w:p>
            </w:tc>
          </w:tr>
          <w:tr w:rsidR="00E85AD8" w14:paraId="457D72C9" w14:textId="77777777" w:rsidTr="005A15B4">
            <w:trPr>
              <w:jc w:val="center"/>
            </w:trPr>
            <w:tc>
              <w:tcPr>
                <w:tcW w:w="3456" w:type="dxa"/>
              </w:tcPr>
              <w:p w14:paraId="72C70C54" w14:textId="77777777" w:rsidR="00E85AD8" w:rsidRDefault="00E85AD8" w:rsidP="005A15B4">
                <w:r>
                  <w:rPr>
                    <w:rFonts w:ascii="Arial" w:eastAsia="Arial" w:hAnsi="Arial"/>
                    <w:b/>
                    <w:sz w:val="19"/>
                  </w:rPr>
                  <w:t>Principal designer</w:t>
                </w:r>
              </w:p>
            </w:tc>
            <w:tc>
              <w:tcPr>
                <w:tcW w:w="8063" w:type="dxa"/>
              </w:tcPr>
              <w:p w14:paraId="5930F03E" w14:textId="77777777" w:rsidR="00E85AD8" w:rsidRDefault="00E85AD8" w:rsidP="005A15B4">
                <w:r>
                  <w:rPr>
                    <w:rFonts w:ascii="Arial" w:eastAsia="Arial" w:hAnsi="Arial"/>
                    <w:sz w:val="19"/>
                  </w:rPr>
                  <w:t>The designer appointed under CDM to plan, manage, monitor and coordinate health and safety during the pre-construction/design stage.</w:t>
                </w:r>
              </w:p>
            </w:tc>
          </w:tr>
          <w:tr w:rsidR="00E85AD8" w14:paraId="3B36BBD1" w14:textId="77777777" w:rsidTr="005A15B4">
            <w:trPr>
              <w:jc w:val="center"/>
            </w:trPr>
            <w:tc>
              <w:tcPr>
                <w:tcW w:w="3456" w:type="dxa"/>
              </w:tcPr>
              <w:p w14:paraId="78A950F3" w14:textId="77777777" w:rsidR="00E85AD8" w:rsidRDefault="00E85AD8" w:rsidP="005A15B4">
                <w:r>
                  <w:rPr>
                    <w:rFonts w:ascii="Arial" w:eastAsia="Arial" w:hAnsi="Arial"/>
                    <w:b/>
                    <w:sz w:val="19"/>
                  </w:rPr>
                  <w:t>PUWER</w:t>
                </w:r>
              </w:p>
            </w:tc>
            <w:tc>
              <w:tcPr>
                <w:tcW w:w="8063" w:type="dxa"/>
              </w:tcPr>
              <w:p w14:paraId="12936281" w14:textId="77777777" w:rsidR="00E85AD8" w:rsidRDefault="00E85AD8" w:rsidP="005A15B4">
                <w:r>
                  <w:rPr>
                    <w:rFonts w:ascii="Arial" w:eastAsia="Arial" w:hAnsi="Arial"/>
                    <w:sz w:val="19"/>
                  </w:rPr>
                  <w:t>Provision and Use of Work Equipment Regulations 1998. Regulations requiring work equipment to be suitable, maintained, inspected and used safely.</w:t>
                </w:r>
              </w:p>
            </w:tc>
          </w:tr>
          <w:tr w:rsidR="00E85AD8" w14:paraId="7021E43D" w14:textId="77777777" w:rsidTr="005A15B4">
            <w:trPr>
              <w:jc w:val="center"/>
            </w:trPr>
            <w:tc>
              <w:tcPr>
                <w:tcW w:w="3456" w:type="dxa"/>
              </w:tcPr>
              <w:p w14:paraId="3DD0094F" w14:textId="77777777" w:rsidR="00E85AD8" w:rsidRDefault="00E85AD8" w:rsidP="005A15B4">
                <w:r>
                  <w:rPr>
                    <w:rFonts w:ascii="Arial" w:eastAsia="Arial" w:hAnsi="Arial"/>
                    <w:b/>
                    <w:sz w:val="19"/>
                  </w:rPr>
                  <w:t>RAMS</w:t>
                </w:r>
              </w:p>
            </w:tc>
            <w:tc>
              <w:tcPr>
                <w:tcW w:w="8063" w:type="dxa"/>
              </w:tcPr>
              <w:p w14:paraId="7101E101" w14:textId="77777777" w:rsidR="00E85AD8" w:rsidRDefault="00E85AD8" w:rsidP="005A15B4">
                <w:r>
                  <w:rPr>
                    <w:rFonts w:ascii="Arial" w:eastAsia="Arial" w:hAnsi="Arial"/>
                    <w:sz w:val="19"/>
                  </w:rPr>
                  <w:t>Risk Assessments and Method Statements. Documents used to identify risks and explain how work will be carried out safely.</w:t>
                </w:r>
              </w:p>
            </w:tc>
          </w:tr>
          <w:tr w:rsidR="00E85AD8" w14:paraId="7AD4A720" w14:textId="77777777" w:rsidTr="005A15B4">
            <w:trPr>
              <w:jc w:val="center"/>
            </w:trPr>
            <w:tc>
              <w:tcPr>
                <w:tcW w:w="3456" w:type="dxa"/>
              </w:tcPr>
              <w:p w14:paraId="5F3DE22F" w14:textId="77777777" w:rsidR="00E85AD8" w:rsidRDefault="00E85AD8" w:rsidP="005A15B4">
                <w:r>
                  <w:rPr>
                    <w:rFonts w:ascii="Arial" w:eastAsia="Arial" w:hAnsi="Arial"/>
                    <w:b/>
                    <w:sz w:val="19"/>
                  </w:rPr>
                  <w:t>RIDDOR</w:t>
                </w:r>
              </w:p>
            </w:tc>
            <w:tc>
              <w:tcPr>
                <w:tcW w:w="8063" w:type="dxa"/>
              </w:tcPr>
              <w:p w14:paraId="641AFFCF" w14:textId="77777777" w:rsidR="00E85AD8" w:rsidRDefault="00E85AD8" w:rsidP="005A15B4">
                <w:r>
                  <w:rPr>
                    <w:rFonts w:ascii="Arial" w:eastAsia="Arial" w:hAnsi="Arial"/>
                    <w:sz w:val="19"/>
                  </w:rPr>
                  <w:t>Reporting of Injuries, Diseases and Dangerous Occurrences Regulations 2013. Regulations requiring certain workplace injuries, diseases and dangerous occurrences to be reported.</w:t>
                </w:r>
              </w:p>
            </w:tc>
          </w:tr>
          <w:tr w:rsidR="00E85AD8" w14:paraId="48BB8A09" w14:textId="77777777" w:rsidTr="005A15B4">
            <w:trPr>
              <w:jc w:val="center"/>
            </w:trPr>
            <w:tc>
              <w:tcPr>
                <w:tcW w:w="3456" w:type="dxa"/>
              </w:tcPr>
              <w:p w14:paraId="4B1C6B4A" w14:textId="77777777" w:rsidR="00E85AD8" w:rsidRDefault="00E85AD8" w:rsidP="005A15B4">
                <w:r>
                  <w:rPr>
                    <w:rFonts w:ascii="Arial" w:eastAsia="Arial" w:hAnsi="Arial"/>
                    <w:b/>
                    <w:sz w:val="19"/>
                  </w:rPr>
                  <w:t>Risk assessment</w:t>
                </w:r>
              </w:p>
            </w:tc>
            <w:tc>
              <w:tcPr>
                <w:tcW w:w="8063" w:type="dxa"/>
              </w:tcPr>
              <w:p w14:paraId="1C4CC8AE" w14:textId="77777777" w:rsidR="00E85AD8" w:rsidRDefault="00E85AD8" w:rsidP="005A15B4">
                <w:r>
                  <w:rPr>
                    <w:rFonts w:ascii="Arial" w:eastAsia="Arial" w:hAnsi="Arial"/>
                    <w:sz w:val="19"/>
                  </w:rPr>
                  <w:t>A process of identifying hazards, assessing the likelihood and severity of harm, and deciding control measures to reduce risk.</w:t>
                </w:r>
              </w:p>
            </w:tc>
          </w:tr>
          <w:tr w:rsidR="00E85AD8" w14:paraId="5F2E3F0C" w14:textId="77777777" w:rsidTr="005A15B4">
            <w:trPr>
              <w:jc w:val="center"/>
            </w:trPr>
            <w:tc>
              <w:tcPr>
                <w:tcW w:w="3456" w:type="dxa"/>
              </w:tcPr>
              <w:p w14:paraId="5DAB5867" w14:textId="77777777" w:rsidR="00E85AD8" w:rsidRDefault="00E85AD8" w:rsidP="005A15B4">
                <w:r>
                  <w:rPr>
                    <w:rFonts w:ascii="Arial" w:eastAsia="Arial" w:hAnsi="Arial"/>
                    <w:b/>
                    <w:sz w:val="19"/>
                  </w:rPr>
                  <w:t>Service penetrations</w:t>
                </w:r>
              </w:p>
            </w:tc>
            <w:tc>
              <w:tcPr>
                <w:tcW w:w="8063" w:type="dxa"/>
              </w:tcPr>
              <w:p w14:paraId="116B5F28" w14:textId="080E0895" w:rsidR="00E85AD8" w:rsidRDefault="00E85AD8" w:rsidP="005A15B4">
                <w:r>
                  <w:rPr>
                    <w:rFonts w:ascii="Arial" w:eastAsia="Arial" w:hAnsi="Arial"/>
                    <w:sz w:val="19"/>
                  </w:rPr>
                  <w:t>Openings made through walls, floors or ceilings for pipes, cables or ducts. These must often be fire</w:t>
                </w:r>
                <w:r>
                  <w:rPr>
                    <w:rFonts w:ascii="Arial" w:eastAsia="Arial" w:hAnsi="Arial"/>
                    <w:sz w:val="19"/>
                  </w:rPr>
                  <w:t>-s</w:t>
                </w:r>
                <w:r>
                  <w:rPr>
                    <w:rFonts w:ascii="Arial" w:eastAsia="Arial" w:hAnsi="Arial"/>
                    <w:sz w:val="19"/>
                  </w:rPr>
                  <w:t>topped to maintain compartmentation.</w:t>
                </w:r>
              </w:p>
            </w:tc>
          </w:tr>
          <w:tr w:rsidR="00E85AD8" w14:paraId="4E15CFCF" w14:textId="77777777" w:rsidTr="005A15B4">
            <w:trPr>
              <w:jc w:val="center"/>
            </w:trPr>
            <w:tc>
              <w:tcPr>
                <w:tcW w:w="3456" w:type="dxa"/>
              </w:tcPr>
              <w:p w14:paraId="0C358E12" w14:textId="77777777" w:rsidR="00E85AD8" w:rsidRDefault="00E85AD8" w:rsidP="005A15B4">
                <w:r>
                  <w:rPr>
                    <w:rFonts w:ascii="Arial" w:eastAsia="Arial" w:hAnsi="Arial"/>
                    <w:b/>
                    <w:sz w:val="19"/>
                  </w:rPr>
                  <w:t>Sprinkler system</w:t>
                </w:r>
              </w:p>
            </w:tc>
            <w:tc>
              <w:tcPr>
                <w:tcW w:w="8063" w:type="dxa"/>
              </w:tcPr>
              <w:p w14:paraId="7D9812CA" w14:textId="77777777" w:rsidR="00E85AD8" w:rsidRDefault="00E85AD8" w:rsidP="005A15B4">
                <w:r>
                  <w:rPr>
                    <w:rFonts w:ascii="Arial" w:eastAsia="Arial" w:hAnsi="Arial"/>
                    <w:sz w:val="19"/>
                  </w:rPr>
                  <w:t>A fixed fire suppression system designed to discharge water automatically when a fire is detected.</w:t>
                </w:r>
              </w:p>
            </w:tc>
          </w:tr>
          <w:tr w:rsidR="00E85AD8" w14:paraId="114E6A24" w14:textId="77777777" w:rsidTr="005A15B4">
            <w:trPr>
              <w:jc w:val="center"/>
            </w:trPr>
            <w:tc>
              <w:tcPr>
                <w:tcW w:w="3456" w:type="dxa"/>
              </w:tcPr>
              <w:p w14:paraId="35D21EC7" w14:textId="77777777" w:rsidR="00E85AD8" w:rsidRDefault="00E85AD8" w:rsidP="005A15B4">
                <w:r>
                  <w:rPr>
                    <w:rFonts w:ascii="Arial" w:eastAsia="Arial" w:hAnsi="Arial"/>
                    <w:b/>
                    <w:sz w:val="19"/>
                  </w:rPr>
                  <w:t>Toolbox talk</w:t>
                </w:r>
              </w:p>
            </w:tc>
            <w:tc>
              <w:tcPr>
                <w:tcW w:w="8063" w:type="dxa"/>
              </w:tcPr>
              <w:p w14:paraId="58F38551" w14:textId="77777777" w:rsidR="00E85AD8" w:rsidRDefault="00E85AD8" w:rsidP="005A15B4">
                <w:r>
                  <w:rPr>
                    <w:rFonts w:ascii="Arial" w:eastAsia="Arial" w:hAnsi="Arial"/>
                    <w:sz w:val="19"/>
                  </w:rPr>
                  <w:t>A short, focused health and safety briefing given to workers before or during construction activities.</w:t>
                </w:r>
              </w:p>
            </w:tc>
          </w:tr>
          <w:tr w:rsidR="00E85AD8" w14:paraId="56CA6E5B" w14:textId="77777777" w:rsidTr="005A15B4">
            <w:trPr>
              <w:jc w:val="center"/>
            </w:trPr>
            <w:tc>
              <w:tcPr>
                <w:tcW w:w="3456" w:type="dxa"/>
              </w:tcPr>
              <w:p w14:paraId="084AA845" w14:textId="77777777" w:rsidR="00E85AD8" w:rsidRDefault="00E85AD8" w:rsidP="005A15B4">
                <w:r>
                  <w:rPr>
                    <w:rFonts w:ascii="Arial" w:eastAsia="Arial" w:hAnsi="Arial"/>
                    <w:b/>
                    <w:sz w:val="19"/>
                  </w:rPr>
                  <w:t>UWTSD Construction</w:t>
                </w:r>
              </w:p>
            </w:tc>
            <w:tc>
              <w:tcPr>
                <w:tcW w:w="8063" w:type="dxa"/>
              </w:tcPr>
              <w:p w14:paraId="33261398" w14:textId="77777777" w:rsidR="00E85AD8" w:rsidRDefault="00E85AD8" w:rsidP="005A15B4">
                <w:r>
                  <w:rPr>
                    <w:rFonts w:ascii="Arial" w:eastAsia="Arial" w:hAnsi="Arial"/>
                    <w:sz w:val="19"/>
                  </w:rPr>
                  <w:t>The fictional construction company named in the assignment scenario.</w:t>
                </w:r>
              </w:p>
            </w:tc>
          </w:tr>
          <w:tr w:rsidR="00E85AD8" w14:paraId="2F8B2658" w14:textId="77777777" w:rsidTr="005A15B4">
            <w:trPr>
              <w:jc w:val="center"/>
            </w:trPr>
            <w:tc>
              <w:tcPr>
                <w:tcW w:w="3456" w:type="dxa"/>
              </w:tcPr>
              <w:p w14:paraId="2EF8857B" w14:textId="77777777" w:rsidR="00E85AD8" w:rsidRDefault="00E85AD8" w:rsidP="005A15B4">
                <w:r>
                  <w:rPr>
                    <w:rFonts w:ascii="Arial" w:eastAsia="Arial" w:hAnsi="Arial"/>
                    <w:b/>
                    <w:sz w:val="19"/>
                  </w:rPr>
                  <w:t>Welfare facilities</w:t>
                </w:r>
              </w:p>
            </w:tc>
            <w:tc>
              <w:tcPr>
                <w:tcW w:w="8063" w:type="dxa"/>
              </w:tcPr>
              <w:p w14:paraId="0F259328" w14:textId="77777777" w:rsidR="00E85AD8" w:rsidRDefault="00E85AD8" w:rsidP="005A15B4">
                <w:r>
                  <w:rPr>
                    <w:rFonts w:ascii="Arial" w:eastAsia="Arial" w:hAnsi="Arial"/>
                    <w:sz w:val="19"/>
                  </w:rPr>
                  <w:t>Facilities required for workers, such as toilets, washing facilities, drinking water, rest areas and changing areas.</w:t>
                </w:r>
              </w:p>
            </w:tc>
          </w:tr>
          <w:tr w:rsidR="00E85AD8" w14:paraId="6F240CBB" w14:textId="77777777" w:rsidTr="005A15B4">
            <w:trPr>
              <w:jc w:val="center"/>
            </w:trPr>
            <w:tc>
              <w:tcPr>
                <w:tcW w:w="3456" w:type="dxa"/>
              </w:tcPr>
              <w:p w14:paraId="084ADC62" w14:textId="77777777" w:rsidR="00E85AD8" w:rsidRDefault="00E85AD8" w:rsidP="005A15B4">
                <w:r>
                  <w:rPr>
                    <w:rFonts w:ascii="Arial" w:eastAsia="Arial" w:hAnsi="Arial"/>
                    <w:b/>
                    <w:sz w:val="19"/>
                  </w:rPr>
                  <w:t>Work at height</w:t>
                </w:r>
              </w:p>
            </w:tc>
            <w:tc>
              <w:tcPr>
                <w:tcW w:w="8063" w:type="dxa"/>
              </w:tcPr>
              <w:p w14:paraId="3AF549FC" w14:textId="77777777" w:rsidR="00E85AD8" w:rsidRDefault="00E85AD8" w:rsidP="005A15B4">
                <w:r>
                  <w:rPr>
                    <w:rFonts w:ascii="Arial" w:eastAsia="Arial" w:hAnsi="Arial"/>
                    <w:sz w:val="19"/>
                  </w:rPr>
                  <w:t>Any work where a person could fall and suffer injury, including work on scaffolds, platforms, ladders, roofs or facade access systems.</w:t>
                </w:r>
              </w:p>
            </w:tc>
          </w:tr>
        </w:tbl>
        <w:p w14:paraId="468A4E71" w14:textId="12ED65D5" w:rsidR="00442119" w:rsidRDefault="00000000">
          <w:pPr>
            <w:spacing w:after="160" w:line="278" w:lineRule="auto"/>
            <w:rPr>
              <w:rFonts w:asciiTheme="majorHAnsi" w:eastAsia="Times New Roman" w:hAnsiTheme="majorHAnsi" w:cstheme="majorBidi"/>
              <w:color w:val="000000" w:themeColor="text1"/>
              <w:sz w:val="40"/>
              <w:szCs w:val="40"/>
              <w:lang w:eastAsia="en-GB"/>
            </w:rPr>
          </w:pPr>
        </w:p>
      </w:sdtContent>
    </w:sdt>
    <w:p w14:paraId="51042D9A" w14:textId="77777777" w:rsidR="00446B06" w:rsidRDefault="00446B06" w:rsidP="00720691">
      <w:pPr>
        <w:pStyle w:val="Heading1"/>
        <w:rPr>
          <w:rFonts w:eastAsia="Times New Roman"/>
          <w:color w:val="000000" w:themeColor="text1"/>
          <w:lang w:eastAsia="en-GB"/>
        </w:rPr>
      </w:pPr>
    </w:p>
    <w:p w14:paraId="1081C339" w14:textId="77777777" w:rsidR="00446B06" w:rsidRDefault="00446B06" w:rsidP="00720691">
      <w:pPr>
        <w:pStyle w:val="Heading1"/>
        <w:rPr>
          <w:rFonts w:eastAsia="Times New Roman"/>
          <w:color w:val="000000" w:themeColor="text1"/>
          <w:lang w:eastAsia="en-GB"/>
        </w:rPr>
      </w:pPr>
    </w:p>
    <w:p w14:paraId="5765AE6E" w14:textId="77777777" w:rsidR="00446B06" w:rsidRDefault="00446B06" w:rsidP="00720691">
      <w:pPr>
        <w:pStyle w:val="Heading1"/>
        <w:rPr>
          <w:rFonts w:eastAsia="Times New Roman"/>
          <w:color w:val="000000" w:themeColor="text1"/>
          <w:lang w:eastAsia="en-GB"/>
        </w:rPr>
      </w:pPr>
    </w:p>
    <w:p w14:paraId="0FA173D2" w14:textId="77777777" w:rsidR="00442119" w:rsidRPr="00442119" w:rsidRDefault="00442119" w:rsidP="00442119">
      <w:pPr>
        <w:rPr>
          <w:lang w:eastAsia="en-GB"/>
        </w:rPr>
      </w:pPr>
    </w:p>
    <w:p w14:paraId="26EF7871" w14:textId="4FCC2B71" w:rsidR="00E5070B" w:rsidRPr="00720691" w:rsidRDefault="00E5070B" w:rsidP="00720691">
      <w:pPr>
        <w:pStyle w:val="Heading1"/>
        <w:rPr>
          <w:rFonts w:eastAsia="Times New Roman"/>
          <w:color w:val="000000" w:themeColor="text1"/>
          <w:lang w:eastAsia="en-GB"/>
        </w:rPr>
      </w:pPr>
      <w:bookmarkStart w:id="1" w:name="_Toc228993347"/>
      <w:r w:rsidRPr="00720691">
        <w:rPr>
          <w:rFonts w:eastAsia="Times New Roman"/>
          <w:color w:val="000000" w:themeColor="text1"/>
          <w:lang w:eastAsia="en-GB"/>
        </w:rPr>
        <w:lastRenderedPageBreak/>
        <w:t>Introduction</w:t>
      </w:r>
      <w:bookmarkEnd w:id="1"/>
    </w:p>
    <w:p w14:paraId="4BEC5666" w14:textId="00117B46"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This report outlines the key health and safety considerations for the proposed retrofit of Croft Street Block 2, a residential tower block in Swansea. The works include new kitchens, bathrooms, fire sprinklers and external weather</w:t>
      </w:r>
      <w:r w:rsidR="00442119">
        <w:rPr>
          <w:rFonts w:eastAsia="Times New Roman" w:cs="Times New Roman"/>
          <w:kern w:val="0"/>
          <w:lang w:eastAsia="en-GB"/>
          <w14:ligatures w14:val="none"/>
        </w:rPr>
        <w:t>-p</w:t>
      </w:r>
      <w:r w:rsidRPr="00E5070B">
        <w:rPr>
          <w:rFonts w:eastAsia="Times New Roman" w:cs="Times New Roman"/>
          <w:kern w:val="0"/>
          <w:lang w:eastAsia="en-GB"/>
          <w14:ligatures w14:val="none"/>
        </w:rPr>
        <w:t>roof cladding. The report assesses the relevance of the Building Safety Act 2022, the Building Safety (Wales) Bill, wider health and safety legislation, and the CDM Regulations 2015.</w:t>
      </w:r>
    </w:p>
    <w:p w14:paraId="44BB6E9B" w14:textId="222C787B" w:rsidR="00E5070B" w:rsidRPr="00720691" w:rsidRDefault="00E5070B" w:rsidP="00720691">
      <w:pPr>
        <w:pStyle w:val="Heading1"/>
        <w:rPr>
          <w:rFonts w:eastAsia="Times New Roman"/>
          <w:color w:val="000000" w:themeColor="text1"/>
          <w:lang w:eastAsia="en-GB"/>
        </w:rPr>
      </w:pPr>
      <w:bookmarkStart w:id="2" w:name="_Toc228993348"/>
      <w:r w:rsidRPr="00720691">
        <w:rPr>
          <w:rFonts w:eastAsia="Times New Roman"/>
          <w:color w:val="000000" w:themeColor="text1"/>
          <w:lang w:eastAsia="en-GB"/>
        </w:rPr>
        <w:t>Project Risk Context</w:t>
      </w:r>
      <w:bookmarkEnd w:id="2"/>
    </w:p>
    <w:p w14:paraId="658F0B32" w14:textId="401ED391"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Croft Street Block 2 is a 14</w:t>
      </w:r>
      <w:r w:rsidR="00442119">
        <w:rPr>
          <w:rFonts w:eastAsia="Times New Roman" w:cs="Times New Roman"/>
          <w:kern w:val="0"/>
          <w:lang w:eastAsia="en-GB"/>
          <w14:ligatures w14:val="none"/>
        </w:rPr>
        <w:t>-s</w:t>
      </w:r>
      <w:r w:rsidRPr="00E5070B">
        <w:rPr>
          <w:rFonts w:eastAsia="Times New Roman" w:cs="Times New Roman"/>
          <w:kern w:val="0"/>
          <w:lang w:eastAsia="en-GB"/>
          <w14:ligatures w14:val="none"/>
        </w:rPr>
        <w:t>torey residential tower block containing 52 flats, so the retrofit must be managed around both construction workers and residents who may be affected by the works (Swansea Council, 2025). The refurbishment creates a mixed risk profile involving internal works, fa</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ade works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afety upgrades.</w:t>
      </w:r>
    </w:p>
    <w:p w14:paraId="3BAD63AB" w14:textId="6A482CF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main risks include work</w:t>
      </w:r>
      <w:r w:rsidR="00940227">
        <w:rPr>
          <w:rFonts w:eastAsia="Times New Roman" w:cs="Times New Roman"/>
          <w:kern w:val="0"/>
          <w:lang w:eastAsia="en-GB"/>
          <w14:ligatures w14:val="none"/>
        </w:rPr>
        <w:t>ing</w:t>
      </w:r>
      <w:r w:rsidRPr="00E5070B">
        <w:rPr>
          <w:rFonts w:eastAsia="Times New Roman" w:cs="Times New Roman"/>
          <w:kern w:val="0"/>
          <w:lang w:eastAsia="en-GB"/>
          <w14:ligatures w14:val="none"/>
        </w:rPr>
        <w:t xml:space="preserve"> at height, falling materials, manual handling, noise, dust, hazardous substances, lifting operations, fire risks and disruption to existing services. Refurbishment may also disturb hidden asbestos</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ontaining materials, which is a recognised risk in existing buildings where workers disturb the building fabric (HSE, 2024). These risks require early planning, competent supervision, resident segregation, suitable welfare arrangements and clear risk assessments before work begins.</w:t>
      </w:r>
    </w:p>
    <w:p w14:paraId="05D55D2F" w14:textId="6DF28A79" w:rsidR="00E5070B" w:rsidRPr="00720691" w:rsidRDefault="00E5070B" w:rsidP="00720691">
      <w:pPr>
        <w:pStyle w:val="Heading1"/>
        <w:rPr>
          <w:rFonts w:eastAsia="Times New Roman"/>
          <w:color w:val="000000" w:themeColor="text1"/>
          <w:lang w:eastAsia="en-GB"/>
        </w:rPr>
      </w:pPr>
      <w:bookmarkStart w:id="3" w:name="_Toc228993349"/>
      <w:r w:rsidRPr="00720691">
        <w:rPr>
          <w:rFonts w:eastAsia="Times New Roman"/>
          <w:color w:val="000000" w:themeColor="text1"/>
          <w:lang w:eastAsia="en-GB"/>
        </w:rPr>
        <w:t>Building Safety Act 2022 and Welsh Building Safety</w:t>
      </w:r>
      <w:bookmarkEnd w:id="3"/>
      <w:r w:rsidRPr="00720691">
        <w:rPr>
          <w:rFonts w:eastAsia="Times New Roman"/>
          <w:color w:val="000000" w:themeColor="text1"/>
          <w:lang w:eastAsia="en-GB"/>
        </w:rPr>
        <w:t xml:space="preserve"> </w:t>
      </w:r>
    </w:p>
    <w:p w14:paraId="6564812E" w14:textId="046D8EB8"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Building Safety Act 2022 is directly relevant to the proposed Croft Street Block 2 retrofit because the project involves a high</w:t>
      </w:r>
      <w:r w:rsidR="00940227">
        <w:rPr>
          <w:rFonts w:eastAsia="Times New Roman" w:cs="Times New Roman"/>
          <w:kern w:val="0"/>
          <w:lang w:eastAsia="en-GB"/>
          <w14:ligatures w14:val="none"/>
        </w:rPr>
        <w:t>-r</w:t>
      </w:r>
      <w:r w:rsidRPr="00E5070B">
        <w:rPr>
          <w:rFonts w:eastAsia="Times New Roman" w:cs="Times New Roman"/>
          <w:kern w:val="0"/>
          <w:lang w:eastAsia="en-GB"/>
          <w14:ligatures w14:val="none"/>
        </w:rPr>
        <w:t>ise residential tower block and works that could affect fire and building safety, including external cladding and fire sprinklers. The Act was introduced to improve accountability, competence and risk management across the design, construction and occupation of higher</w:t>
      </w:r>
      <w:r w:rsidR="00940227">
        <w:rPr>
          <w:rFonts w:eastAsia="Times New Roman" w:cs="Times New Roman"/>
          <w:kern w:val="0"/>
          <w:lang w:eastAsia="en-GB"/>
          <w14:ligatures w14:val="none"/>
        </w:rPr>
        <w:t>-ri</w:t>
      </w:r>
      <w:r w:rsidRPr="00E5070B">
        <w:rPr>
          <w:rFonts w:eastAsia="Times New Roman" w:cs="Times New Roman"/>
          <w:kern w:val="0"/>
          <w:lang w:eastAsia="en-GB"/>
          <w14:ligatures w14:val="none"/>
        </w:rPr>
        <w:t>sk buildings (Building Safety Act 2022). Croft Street Block 2 is a 14</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torey block containing 52 flats, meaning it has the characteristics of a building where fire safety, resident protection and accurate building information are essential (Swansea Council, 2025). Although the detailed regulat</w:t>
      </w:r>
      <w:r w:rsidR="00940227">
        <w:rPr>
          <w:rFonts w:eastAsia="Times New Roman" w:cs="Times New Roman"/>
          <w:kern w:val="0"/>
          <w:lang w:eastAsia="en-GB"/>
          <w14:ligatures w14:val="none"/>
        </w:rPr>
        <w:t>ions</w:t>
      </w:r>
      <w:r w:rsidRPr="00E5070B">
        <w:rPr>
          <w:rFonts w:eastAsia="Times New Roman" w:cs="Times New Roman"/>
          <w:kern w:val="0"/>
          <w:lang w:eastAsia="en-GB"/>
          <w14:ligatures w14:val="none"/>
        </w:rPr>
        <w:t xml:space="preserve"> differ between England and Wales, the principles of the Act are highly applicable because the project involves refurbishment to an occupied residential tower block.</w:t>
      </w:r>
    </w:p>
    <w:p w14:paraId="5BBCA8E3" w14:textId="066C3905"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A key impact of the Building Safety Act is that it strengthens responsibility across the building life cycle. For this project, the client, designers, contractors and building owner would need to show that safety has been considered from planning and design through to completion. This is particularly important for external cladding, as external wall systems can influence fire spread, insulation performance and future maintenance. Welsh fire safety guidance states that external walls should not provide a medium for fire spread where this creates a risk to health and safety, particularly in tall buildings (Welsh Government, 2025). Therefore, the cladding specification, fixing systems, cavity barriers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topping arrangements should be checked by competent professionals.</w:t>
      </w:r>
    </w:p>
    <w:p w14:paraId="6FA7EADF" w14:textId="67B8844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sprinkler installation also creates building safety issues. Sprinklers can improve fire protection, but installation may require penetration</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 xml:space="preserve"> through walls, ceilings and floors. If these penetrations are not sealed correctly, the work could weaken compartmentation and allow fire or smoke to spread between flats, corridors or service risers. Fire safety guidance for Wales identifies compartmentation, means of escape, fire detection, fire resistance and firefighting access as core elements of building fire safety (Welsh Government, 2020). From a management perspective, sprinkler works must be coordinated with the fire strategy, properly inspected, commissioned and recorded before handover.</w:t>
      </w:r>
    </w:p>
    <w:p w14:paraId="17EA681F" w14:textId="32EF171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Building Safety (Wales) Bill is also relevant because the project is in Swansea. The Welsh Government has confirmed that the </w:t>
      </w:r>
      <w:r w:rsidR="00940227">
        <w:rPr>
          <w:rFonts w:eastAsia="Times New Roman" w:cs="Times New Roman"/>
          <w:kern w:val="0"/>
          <w:lang w:eastAsia="en-GB"/>
          <w14:ligatures w14:val="none"/>
        </w:rPr>
        <w:t>b</w:t>
      </w:r>
      <w:r w:rsidRPr="00E5070B">
        <w:rPr>
          <w:rFonts w:eastAsia="Times New Roman" w:cs="Times New Roman"/>
          <w:kern w:val="0"/>
          <w:lang w:eastAsia="en-GB"/>
          <w14:ligatures w14:val="none"/>
        </w:rPr>
        <w:t xml:space="preserve">ill establishes a new building safety regime for residents of shared buildings across Wales, regardless of building height or tenure, and that it is broader than the equivalent </w:t>
      </w:r>
      <w:r w:rsidR="00940227">
        <w:rPr>
          <w:rFonts w:eastAsia="Times New Roman" w:cs="Times New Roman"/>
          <w:kern w:val="0"/>
          <w:lang w:eastAsia="en-GB"/>
          <w14:ligatures w14:val="none"/>
        </w:rPr>
        <w:t>bill</w:t>
      </w:r>
      <w:r w:rsidRPr="00E5070B">
        <w:rPr>
          <w:rFonts w:eastAsia="Times New Roman" w:cs="Times New Roman"/>
          <w:kern w:val="0"/>
          <w:lang w:eastAsia="en-GB"/>
          <w14:ligatures w14:val="none"/>
        </w:rPr>
        <w:t xml:space="preserve"> in England (Welsh Government, 2026). This matters because Croft Street Block 2 is a multi</w:t>
      </w:r>
      <w:r w:rsidR="00940227">
        <w:rPr>
          <w:rFonts w:eastAsia="Times New Roman" w:cs="Times New Roman"/>
          <w:kern w:val="0"/>
          <w:lang w:eastAsia="en-GB"/>
          <w14:ligatures w14:val="none"/>
        </w:rPr>
        <w:t>-o</w:t>
      </w:r>
      <w:r w:rsidRPr="00E5070B">
        <w:rPr>
          <w:rFonts w:eastAsia="Times New Roman" w:cs="Times New Roman"/>
          <w:kern w:val="0"/>
          <w:lang w:eastAsia="en-GB"/>
          <w14:ligatures w14:val="none"/>
        </w:rPr>
        <w:t>ccupied residential building where residents may remain while works take place. The Welsh approach places strong emphasis on resident safety, accountability and clear responsibility for managing building risks.</w:t>
      </w:r>
    </w:p>
    <w:p w14:paraId="16A93186" w14:textId="448789A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In practical terms, building safety legislation affects how the retrofit is planned, delivered and handed over. Before work starts, the design team should review the existing fire strategy, cladding specification and sprinkler design. During construction, UWTSD Construction should maintain records of inspections, fire</w:t>
      </w:r>
      <w:r w:rsidR="00940227">
        <w:rPr>
          <w:rFonts w:eastAsia="Times New Roman" w:cs="Times New Roman"/>
          <w:kern w:val="0"/>
          <w:lang w:eastAsia="en-GB"/>
          <w14:ligatures w14:val="none"/>
        </w:rPr>
        <w:t>-st</w:t>
      </w:r>
      <w:r w:rsidRPr="00E5070B">
        <w:rPr>
          <w:rFonts w:eastAsia="Times New Roman" w:cs="Times New Roman"/>
          <w:kern w:val="0"/>
          <w:lang w:eastAsia="en-GB"/>
          <w14:ligatures w14:val="none"/>
        </w:rPr>
        <w:t xml:space="preserve">opping details, product information, design changes and commissioning certificates. Residents should also be informed about disruption, access arrangements, temporary fire precautions and any changes to escape routes. At completion, accurate handover information should support future maintenance and safe occupation. Therefore, the Building Safety Act 2022 and Welsh regime shape the </w:t>
      </w:r>
      <w:r w:rsidRPr="00E5070B">
        <w:rPr>
          <w:rFonts w:eastAsia="Times New Roman" w:cs="Times New Roman"/>
          <w:kern w:val="0"/>
          <w:lang w:eastAsia="en-GB"/>
          <w14:ligatures w14:val="none"/>
        </w:rPr>
        <w:lastRenderedPageBreak/>
        <w:t>competence, documentation, communication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afety controls required throughout the retrofit.</w:t>
      </w:r>
    </w:p>
    <w:p w14:paraId="73DDA75C" w14:textId="2B992DE7" w:rsidR="00E5070B" w:rsidRPr="00720691" w:rsidRDefault="00E5070B" w:rsidP="00720691">
      <w:pPr>
        <w:pStyle w:val="Heading1"/>
        <w:rPr>
          <w:rFonts w:eastAsia="Times New Roman"/>
          <w:color w:val="000000" w:themeColor="text1"/>
          <w:lang w:eastAsia="en-GB"/>
        </w:rPr>
      </w:pPr>
      <w:bookmarkStart w:id="4" w:name="_Toc228993350"/>
      <w:r w:rsidRPr="00720691">
        <w:rPr>
          <w:rFonts w:eastAsia="Times New Roman"/>
          <w:color w:val="000000" w:themeColor="text1"/>
          <w:lang w:eastAsia="en-GB"/>
        </w:rPr>
        <w:t>Wider Health and Safety Legislation and Management Controls</w:t>
      </w:r>
      <w:bookmarkEnd w:id="4"/>
    </w:p>
    <w:p w14:paraId="196A71C8" w14:textId="10EC398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Health and Safety at Work Act 1974 provides the overall legal framework for managing health and safety on the Croft Street Block 2 retrofit. It requires employers to protect employees’ health, safety and welfare, while also protecting others affected by the works, such as residents, visitors and the public (Health and Safety at Work Act 1974; HSE, 2024). For this project, management compliance would involve competent supervision, safe systems of work, controlled access, maintained plant and equipment, and suitable information, instruction and training.</w:t>
      </w:r>
    </w:p>
    <w:p w14:paraId="239BB4CA" w14:textId="7777777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Management of Health and Safety at Work Regulations 1999 require risks to be assessed and managed before work begins. HSE guidance explains that employers must identify what could cause injury or illness, decide how likely harm is, and take action to eliminate or control the risk (HSE, 2025a). On this project, this should be achieved through risk assessments and method statements for cladding installation, sprinkler works, kitchen and bathroom replacement, service isolations and waste removal. These documents should address the specific risks of working in a residential tower block, including resident segregation, emergency access, fire precautions and coordination between trades.</w:t>
      </w:r>
    </w:p>
    <w:p w14:paraId="27736687" w14:textId="06B87AE1"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Work at Height Regulations 2005 </w:t>
      </w:r>
      <w:r w:rsidR="00940227" w:rsidRPr="00E5070B">
        <w:rPr>
          <w:rFonts w:eastAsia="Times New Roman" w:cs="Times New Roman"/>
          <w:kern w:val="0"/>
          <w:lang w:eastAsia="en-GB"/>
          <w14:ligatures w14:val="none"/>
        </w:rPr>
        <w:t>is</w:t>
      </w:r>
      <w:r w:rsidRPr="00E5070B">
        <w:rPr>
          <w:rFonts w:eastAsia="Times New Roman" w:cs="Times New Roman"/>
          <w:kern w:val="0"/>
          <w:lang w:eastAsia="en-GB"/>
          <w14:ligatures w14:val="none"/>
        </w:rPr>
        <w:t xml:space="preserve"> particularly important because the external cladding and weather</w:t>
      </w:r>
      <w:r w:rsidR="00940227">
        <w:rPr>
          <w:rFonts w:eastAsia="Times New Roman" w:cs="Times New Roman"/>
          <w:kern w:val="0"/>
          <w:lang w:eastAsia="en-GB"/>
          <w14:ligatures w14:val="none"/>
        </w:rPr>
        <w:t>-p</w:t>
      </w:r>
      <w:r w:rsidRPr="00E5070B">
        <w:rPr>
          <w:rFonts w:eastAsia="Times New Roman" w:cs="Times New Roman"/>
          <w:kern w:val="0"/>
          <w:lang w:eastAsia="en-GB"/>
          <w14:ligatures w14:val="none"/>
        </w:rPr>
        <w:t>roofing works will require safe fa</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 xml:space="preserve">ade access. The </w:t>
      </w:r>
      <w:r w:rsidR="00940227">
        <w:rPr>
          <w:rFonts w:eastAsia="Times New Roman" w:cs="Times New Roman"/>
          <w:kern w:val="0"/>
          <w:lang w:eastAsia="en-GB"/>
          <w14:ligatures w14:val="none"/>
        </w:rPr>
        <w:t>r</w:t>
      </w:r>
      <w:r w:rsidRPr="00E5070B">
        <w:rPr>
          <w:rFonts w:eastAsia="Times New Roman" w:cs="Times New Roman"/>
          <w:kern w:val="0"/>
          <w:lang w:eastAsia="en-GB"/>
          <w14:ligatures w14:val="none"/>
        </w:rPr>
        <w:t>egulations require work at height to be planned, supervised and carried out by competent people using suitable equipment (HSE, 2024). Management should avoid work at height where possible, but where it cannot be avoided, appropriate systems such as scaffolding, mast climbers or mobile elevating work platforms should be used rather than ladders. Scaffolds should be designed, erected, altered and dismantled only by competent people under competent supervision (HSE, 2026a). Exclusion zones should also protect residents and the public from falling materials.</w:t>
      </w:r>
    </w:p>
    <w:p w14:paraId="113104EA" w14:textId="406AC83D"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Control of Substances Hazardous to Health Regulations 2002 apply because refurbishment can expose workers to dust, fumes, adhesives, sealants, paints and other hazardous substances. HSE identifies construction dust as a risk to workers’ lungs, </w:t>
      </w:r>
      <w:r w:rsidRPr="00E5070B">
        <w:rPr>
          <w:rFonts w:eastAsia="Times New Roman" w:cs="Times New Roman"/>
          <w:kern w:val="0"/>
          <w:lang w:eastAsia="en-GB"/>
          <w14:ligatures w14:val="none"/>
        </w:rPr>
        <w:lastRenderedPageBreak/>
        <w:t>particularly where cutting, drilling or demolition releases silica or fine particles (HSE, 2024). Management should use COSHH assessments, safety data sheets, local exhaust ventilation, water suppression, respiratory protective equipment and good housekeeping. Refurbishment also creates an asbestos risk because hidden asbestos</w:t>
      </w:r>
      <w:r w:rsidR="00391B20">
        <w:rPr>
          <w:rFonts w:eastAsia="Times New Roman" w:cs="Times New Roman"/>
          <w:kern w:val="0"/>
          <w:lang w:eastAsia="en-GB"/>
          <w14:ligatures w14:val="none"/>
        </w:rPr>
        <w:t>-c</w:t>
      </w:r>
      <w:r w:rsidRPr="00E5070B">
        <w:rPr>
          <w:rFonts w:eastAsia="Times New Roman" w:cs="Times New Roman"/>
          <w:kern w:val="0"/>
          <w:lang w:eastAsia="en-GB"/>
          <w14:ligatures w14:val="none"/>
        </w:rPr>
        <w:t>ontaining materials may be disturbed when kitchens, bathrooms, ceilings, floors or service risers are opened. Before intrusive works begin, asbestos information or surveys should be available so asbestos can be identified and managed safely (HSE, 2024).</w:t>
      </w:r>
    </w:p>
    <w:p w14:paraId="20963D82" w14:textId="1C2433E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Manual Handling Operations Regulations 1992 are relevant to moving kitchen units, bathroom fittings, pipework, cladding panels, plasterboard and waste materials. HSE guidance states that employers should avoid hazardous manual handling where reasonably practicable, assess unavoidable tasks and reduce injury risk (HSE, 2024). Materials should be delivered close to the workface, mechanical aids should be used where suitable, and access routes should be kept clear. Workers should receive manual handling training, especially where materials must be moved through corridors, stairwells or occupied areas.</w:t>
      </w:r>
    </w:p>
    <w:p w14:paraId="3EC2560E" w14:textId="55855375"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Lifting Operations and Lifting Equipment Regulations 1998 and Provision and Use of Work Equipment Regulations 1998 would apply where hoists, MEWPs, telehandlers, lifting accessories or power tools are used. HSE guidance states that lifting operations must be planned by a competent person, supervised and carried out safely (HSE, 2026). Lifting accessories and equipment must also be inspected, maintained and thoroughly examined where required (HSE, 2024). Lifting plans, exclusion zones, inspection records and competent operators would be required when moving cladding panels, plant or heavy materials.</w:t>
      </w:r>
    </w:p>
    <w:p w14:paraId="406C28E8" w14:textId="76DF9999"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Personal Protective Equipment at Work Regulations 1992, as amended by the 2022 Regulations, are relevant where risks remain after other control measures. PPE should not be the first control measure, but it may be necessary for dust, noise, sharp materials, falling objects and chemical contact. HSE guidance states that employers must provide PPE free of charge where needed, including safety helmets, gloves, eye protection, hearing protection, high-visibility clothing, safety footwear, harnesses and respiratory protective equipment (HSE, 2026). Workers must be trained to use, store and report defects in PPE.</w:t>
      </w:r>
    </w:p>
    <w:p w14:paraId="106A339C" w14:textId="7B148A93"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Fire safety must be managed throughout because cladding, sprinkler installation and internal refurbishment could temporarily affect escape routes, compartmentation and fire protection. </w:t>
      </w:r>
      <w:r w:rsidRPr="00E5070B">
        <w:rPr>
          <w:rFonts w:eastAsia="Times New Roman" w:cs="Times New Roman"/>
          <w:kern w:val="0"/>
          <w:lang w:eastAsia="en-GB"/>
          <w14:ligatures w14:val="none"/>
        </w:rPr>
        <w:lastRenderedPageBreak/>
        <w:t>Management should maintain clear escape routes, control combustible materials, use hot works permits, protect fire stopping around service penetrations and communicate temporary fire arrangements to workers and residents. Finally, the Reporting of Injuries, Diseases and Dangerous Occurrences Regulations 2013 require specified serious injuries, occupational diseases and dangerous occurrences to be reported (HSE, 2025). Accident and near-miss reporting should support legal compliance and help prevent repeat incidents.</w:t>
      </w:r>
    </w:p>
    <w:p w14:paraId="554AADA7" w14:textId="70237516" w:rsidR="00E5070B" w:rsidRPr="00720691" w:rsidRDefault="00E5070B" w:rsidP="00720691">
      <w:pPr>
        <w:pStyle w:val="Heading1"/>
        <w:rPr>
          <w:rFonts w:eastAsia="Times New Roman"/>
          <w:color w:val="000000" w:themeColor="text1"/>
          <w:lang w:eastAsia="en-GB"/>
        </w:rPr>
      </w:pPr>
      <w:bookmarkStart w:id="5" w:name="_Toc228993351"/>
      <w:r w:rsidRPr="00720691">
        <w:rPr>
          <w:rFonts w:eastAsia="Times New Roman"/>
          <w:color w:val="000000" w:themeColor="text1"/>
          <w:lang w:eastAsia="en-GB"/>
        </w:rPr>
        <w:t>CDM Regulations 2015 and Project-Specific Compliance</w:t>
      </w:r>
      <w:bookmarkEnd w:id="5"/>
    </w:p>
    <w:p w14:paraId="2CF4D289" w14:textId="153C2C4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Construction (Design and Management) Regulations 2015 are central to the Croft Street Block 2 retrofit because the works fall within construction work and are likely to involve several contractors, including cladding installers, sprinkler specialists, kitchen and bathroom fitters, electricians, plumbers and waste contractors. CDM requires health and safety to be planned, managed and coordinated throughout the project, rather than only controlled once work has started (Construction (Design and Management) Regulations 2015; HSE, 2026).</w:t>
      </w:r>
    </w:p>
    <w:p w14:paraId="473D96B4" w14:textId="2403072E"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client must make suitable arrangements for managing the project, including allocating enough time and resources, appointing competent </w:t>
      </w:r>
      <w:r w:rsidR="00391B20" w:rsidRPr="00E5070B">
        <w:rPr>
          <w:rFonts w:eastAsia="Times New Roman" w:cs="Times New Roman"/>
          <w:kern w:val="0"/>
          <w:lang w:eastAsia="en-GB"/>
          <w14:ligatures w14:val="none"/>
        </w:rPr>
        <w:t>duty holders</w:t>
      </w:r>
      <w:r w:rsidRPr="00E5070B">
        <w:rPr>
          <w:rFonts w:eastAsia="Times New Roman" w:cs="Times New Roman"/>
          <w:kern w:val="0"/>
          <w:lang w:eastAsia="en-GB"/>
          <w14:ligatures w14:val="none"/>
        </w:rPr>
        <w:t xml:space="preserve"> and ensuring welfare facilities are in place before work starts (HSE, 2026). The client should appoint a principal designer and principal contractor because more than one contractor is likely. The principal designer should coordinate design</w:t>
      </w:r>
      <w:r w:rsidR="00391B20">
        <w:rPr>
          <w:rFonts w:eastAsia="Times New Roman" w:cs="Times New Roman"/>
          <w:kern w:val="0"/>
          <w:lang w:eastAsia="en-GB"/>
          <w14:ligatures w14:val="none"/>
        </w:rPr>
        <w:t>-s</w:t>
      </w:r>
      <w:r w:rsidRPr="00E5070B">
        <w:rPr>
          <w:rFonts w:eastAsia="Times New Roman" w:cs="Times New Roman"/>
          <w:kern w:val="0"/>
          <w:lang w:eastAsia="en-GB"/>
          <w14:ligatures w14:val="none"/>
        </w:rPr>
        <w:t>tage risks linked to cladding, sprinkler installation, fire</w:t>
      </w:r>
      <w:r w:rsidR="00391B20">
        <w:rPr>
          <w:rFonts w:eastAsia="Times New Roman" w:cs="Times New Roman"/>
          <w:kern w:val="0"/>
          <w:lang w:eastAsia="en-GB"/>
          <w14:ligatures w14:val="none"/>
        </w:rPr>
        <w:t>-s</w:t>
      </w:r>
      <w:r w:rsidRPr="00E5070B">
        <w:rPr>
          <w:rFonts w:eastAsia="Times New Roman" w:cs="Times New Roman"/>
          <w:kern w:val="0"/>
          <w:lang w:eastAsia="en-GB"/>
          <w14:ligatures w14:val="none"/>
        </w:rPr>
        <w:t>topping, service penetrations, maintenance access and resident safety. The principal contractor should manage the construction phase, coordinate subcontractors, control site access, organise inductions and ensure the construction phase plan is followed.</w:t>
      </w:r>
    </w:p>
    <w:p w14:paraId="20CB556E" w14:textId="4E4D7F02"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Pre-construction information is important because the existing building may contain hidden hazards. Before work begins, information should be gathered on asbestos, existing services, fire strategy, structural details, access routes, resident occupation, previous refurbishment works and restrictions on deliveries or working hours. HSE guidance states that pr</w:t>
      </w:r>
      <w:r w:rsidR="00391B20">
        <w:rPr>
          <w:rFonts w:eastAsia="Times New Roman" w:cs="Times New Roman"/>
          <w:kern w:val="0"/>
          <w:lang w:eastAsia="en-GB"/>
          <w14:ligatures w14:val="none"/>
        </w:rPr>
        <w:t>e-</w:t>
      </w:r>
      <w:r w:rsidRPr="00E5070B">
        <w:rPr>
          <w:rFonts w:eastAsia="Times New Roman" w:cs="Times New Roman"/>
          <w:kern w:val="0"/>
          <w:lang w:eastAsia="en-GB"/>
          <w14:ligatures w14:val="none"/>
        </w:rPr>
        <w:t>construction information should help designers and contractors identify and control risks (HSE, 2026). On Croft Street Block 2, this information would help contractors plan safe access to flats, avoid damaging live services, manage asbestos risks and maintain fire precautions.</w:t>
      </w:r>
    </w:p>
    <w:p w14:paraId="33990EDD" w14:textId="0E0E4779"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The principal contractor must prepare a construction phase plan before work starts. This should set out arrangements for managing significant health and safety risks, including site rules, emergency procedures, welfare, traffic management, working at height, fire safety, lifting operations, waste management and resident segregation (HSE, 2026). For example, the plan should explain how residents will be kept away from scaffold bases, lifting zones, material storage areas and internal work areas. It should also identify how deliveries of cladding panels, bathroom fittings and kitchen units will be coordinated to avoid blocking escape routes or creating manual handling hazards.</w:t>
      </w:r>
    </w:p>
    <w:p w14:paraId="11DC0D14" w14:textId="35990B7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Risk assessments and method statements should support the construction phase plan by explaining how high-risk activities will be carried out safely. Method statements should cover scaffold erection, cladding installation, sprinkler pipework, hot works, service isolations and bathroom/kitchen strip</w:t>
      </w:r>
      <w:r w:rsidR="00391B20">
        <w:rPr>
          <w:rFonts w:eastAsia="Times New Roman" w:cs="Times New Roman"/>
          <w:kern w:val="0"/>
          <w:lang w:eastAsia="en-GB"/>
          <w14:ligatures w14:val="none"/>
        </w:rPr>
        <w:t>-o</w:t>
      </w:r>
      <w:r w:rsidRPr="00E5070B">
        <w:rPr>
          <w:rFonts w:eastAsia="Times New Roman" w:cs="Times New Roman"/>
          <w:kern w:val="0"/>
          <w:lang w:eastAsia="en-GB"/>
          <w14:ligatures w14:val="none"/>
        </w:rPr>
        <w:t xml:space="preserve">ut. These should set out the work sequence, required plant and equipment, PPE, exclusion zones, training, emergency arrangements and supervision. Workers and subcontractors should receive </w:t>
      </w:r>
      <w:r w:rsidR="00391B20" w:rsidRPr="00E5070B">
        <w:rPr>
          <w:rFonts w:eastAsia="Times New Roman" w:cs="Times New Roman"/>
          <w:kern w:val="0"/>
          <w:lang w:eastAsia="en-GB"/>
          <w14:ligatures w14:val="none"/>
        </w:rPr>
        <w:t>inductions,</w:t>
      </w:r>
      <w:r w:rsidRPr="00E5070B">
        <w:rPr>
          <w:rFonts w:eastAsia="Times New Roman" w:cs="Times New Roman"/>
          <w:kern w:val="0"/>
          <w:lang w:eastAsia="en-GB"/>
          <w14:ligatures w14:val="none"/>
        </w:rPr>
        <w:t xml:space="preserve"> and toolbox talks on occupied residential areas, fire procedures, asbestos awareness, accident reporting, welfare arrangements and resident communication.</w:t>
      </w:r>
    </w:p>
    <w:p w14:paraId="41EE751C" w14:textId="4B593E4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CDM also requires suitable welfare facilities from the start of the project. HSE guidance explains that construction workers should have access to toilets, washing facilities, drinking water, changing areas and rest facilities (HSE, 2026). These are especially important because workers may be exposed to dust, sealants, waste materials and weather conditions during internal and external works.</w:t>
      </w:r>
    </w:p>
    <w:p w14:paraId="740F7987" w14:textId="3473739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Finally, the health and safety file should be prepared and updated for future use. It should include information about the completed cladding system, sprinkler installation, fir</w:t>
      </w:r>
      <w:r w:rsidR="00391B20">
        <w:rPr>
          <w:rFonts w:eastAsia="Times New Roman" w:cs="Times New Roman"/>
          <w:kern w:val="0"/>
          <w:lang w:eastAsia="en-GB"/>
          <w14:ligatures w14:val="none"/>
        </w:rPr>
        <w:t>e-</w:t>
      </w:r>
      <w:r w:rsidRPr="00E5070B">
        <w:rPr>
          <w:rFonts w:eastAsia="Times New Roman" w:cs="Times New Roman"/>
          <w:kern w:val="0"/>
          <w:lang w:eastAsia="en-GB"/>
          <w14:ligatures w14:val="none"/>
        </w:rPr>
        <w:t>stopping, residual risks, maintenance access, significant services and as</w:t>
      </w:r>
      <w:r w:rsidR="00391B20">
        <w:rPr>
          <w:rFonts w:eastAsia="Times New Roman" w:cs="Times New Roman"/>
          <w:kern w:val="0"/>
          <w:lang w:eastAsia="en-GB"/>
          <w14:ligatures w14:val="none"/>
        </w:rPr>
        <w:t>-b</w:t>
      </w:r>
      <w:r w:rsidRPr="00E5070B">
        <w:rPr>
          <w:rFonts w:eastAsia="Times New Roman" w:cs="Times New Roman"/>
          <w:kern w:val="0"/>
          <w:lang w:eastAsia="en-GB"/>
          <w14:ligatures w14:val="none"/>
        </w:rPr>
        <w:t>uilt drawings. Future contractors and building managers will need accurate information to plan maintenance and refurbishment safely. Therefore, CDM compliance should operate as a practical management system covering planning, design, construction, communication, welfare and handover.</w:t>
      </w:r>
    </w:p>
    <w:p w14:paraId="10B61F64" w14:textId="77CCAB9B" w:rsidR="00E5070B" w:rsidRPr="00720691" w:rsidRDefault="00E5070B" w:rsidP="00720691">
      <w:pPr>
        <w:pStyle w:val="Heading1"/>
        <w:rPr>
          <w:rFonts w:eastAsia="Times New Roman"/>
          <w:color w:val="000000" w:themeColor="text1"/>
          <w:lang w:eastAsia="en-GB"/>
        </w:rPr>
      </w:pPr>
      <w:bookmarkStart w:id="6" w:name="_Toc228993352"/>
      <w:r w:rsidRPr="00720691">
        <w:rPr>
          <w:rFonts w:eastAsia="Times New Roman"/>
          <w:color w:val="000000" w:themeColor="text1"/>
          <w:lang w:eastAsia="en-GB"/>
        </w:rPr>
        <w:lastRenderedPageBreak/>
        <w:t>Conclusion</w:t>
      </w:r>
      <w:bookmarkEnd w:id="6"/>
    </w:p>
    <w:p w14:paraId="35DEEFA8" w14:textId="7777777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retrofit of Croft Street Block 2 presents significant but manageable health and safety risks because it involves internal refurbishment, fire-safety upgrades and external cladding to a residential tower block. The Building Safety Act 2022 and Welsh regime emphasise accountability, competence, fire safety and resident protection. Wider health and safety legislation controls risks such as work at height, hazardous substances, manual handling, lifting, PPE, fire safety and reporting. The CDM Regulations 2015 provide the framework to plan, coordinate, supervise and safely hand over the project.</w:t>
      </w:r>
    </w:p>
    <w:p w14:paraId="449CDFF1" w14:textId="77777777" w:rsidR="00E5070B" w:rsidRPr="00720691" w:rsidRDefault="00E5070B" w:rsidP="00720691">
      <w:pPr>
        <w:pStyle w:val="Heading1"/>
        <w:rPr>
          <w:rFonts w:eastAsia="Times New Roman"/>
          <w:color w:val="000000" w:themeColor="text1"/>
          <w:lang w:eastAsia="en-GB"/>
        </w:rPr>
      </w:pPr>
      <w:bookmarkStart w:id="7" w:name="_Toc228993353"/>
      <w:r w:rsidRPr="00720691">
        <w:rPr>
          <w:rFonts w:eastAsia="Times New Roman"/>
          <w:color w:val="000000" w:themeColor="text1"/>
          <w:lang w:eastAsia="en-GB"/>
        </w:rPr>
        <w:t>References</w:t>
      </w:r>
      <w:bookmarkEnd w:id="7"/>
    </w:p>
    <w:p w14:paraId="5147E735" w14:textId="709BF0B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Building Safety Act 2022. Available at: </w:t>
      </w:r>
      <w:hyperlink r:id="rId6" w:tgtFrame="_new" w:history="1">
        <w:r w:rsidRPr="00E5070B">
          <w:rPr>
            <w:rFonts w:eastAsia="Times New Roman" w:cs="Times New Roman"/>
            <w:color w:val="0000FF"/>
            <w:kern w:val="0"/>
            <w:u w:val="single"/>
            <w:lang w:eastAsia="en-GB"/>
            <w14:ligatures w14:val="none"/>
          </w:rPr>
          <w:t>https://www.legislation.gov.uk/ukpga/2022/30/contents</w:t>
        </w:r>
      </w:hyperlink>
      <w:r w:rsidRPr="00E5070B">
        <w:rPr>
          <w:rFonts w:eastAsia="Times New Roman" w:cs="Times New Roman"/>
          <w:kern w:val="0"/>
          <w:lang w:eastAsia="en-GB"/>
          <w14:ligatures w14:val="none"/>
        </w:rPr>
        <w:t> </w:t>
      </w:r>
    </w:p>
    <w:p w14:paraId="4E7DC11B" w14:textId="4A75946B"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Construction (Design and Management) Regulations 2015. Available at: </w:t>
      </w:r>
      <w:hyperlink r:id="rId7" w:tgtFrame="_new" w:history="1">
        <w:r w:rsidRPr="00E5070B">
          <w:rPr>
            <w:rFonts w:eastAsia="Times New Roman" w:cs="Times New Roman"/>
            <w:color w:val="0000FF"/>
            <w:kern w:val="0"/>
            <w:u w:val="single"/>
            <w:lang w:eastAsia="en-GB"/>
            <w14:ligatures w14:val="none"/>
          </w:rPr>
          <w:t>https://www.legislation.gov.uk/uksi/2015/51/contents</w:t>
        </w:r>
      </w:hyperlink>
      <w:r w:rsidRPr="00E5070B">
        <w:rPr>
          <w:rFonts w:eastAsia="Times New Roman" w:cs="Times New Roman"/>
          <w:kern w:val="0"/>
          <w:lang w:eastAsia="en-GB"/>
          <w14:ligatures w14:val="none"/>
        </w:rPr>
        <w:t> </w:t>
      </w:r>
    </w:p>
    <w:p w14:paraId="49661561" w14:textId="2FD86D92"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Control of Substances Hazardous to Health Regulations 2002. Available at: </w:t>
      </w:r>
      <w:hyperlink r:id="rId8" w:tgtFrame="_new" w:history="1">
        <w:r w:rsidRPr="00E5070B">
          <w:rPr>
            <w:rFonts w:eastAsia="Times New Roman" w:cs="Times New Roman"/>
            <w:color w:val="0000FF"/>
            <w:kern w:val="0"/>
            <w:u w:val="single"/>
            <w:lang w:eastAsia="en-GB"/>
            <w14:ligatures w14:val="none"/>
          </w:rPr>
          <w:t>https://www.legislation.gov.uk/uksi/2002/2677/contents</w:t>
        </w:r>
      </w:hyperlink>
      <w:r w:rsidRPr="00E5070B">
        <w:rPr>
          <w:rFonts w:eastAsia="Times New Roman" w:cs="Times New Roman"/>
          <w:kern w:val="0"/>
          <w:lang w:eastAsia="en-GB"/>
          <w14:ligatures w14:val="none"/>
        </w:rPr>
        <w:t> </w:t>
      </w:r>
    </w:p>
    <w:p w14:paraId="6C4F0BA5" w14:textId="7C1BE077"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at Work etc. Act 1974. Available at: </w:t>
      </w:r>
      <w:hyperlink r:id="rId9" w:tgtFrame="_new" w:history="1">
        <w:r w:rsidRPr="00E5070B">
          <w:rPr>
            <w:rFonts w:eastAsia="Times New Roman" w:cs="Times New Roman"/>
            <w:color w:val="0000FF"/>
            <w:kern w:val="0"/>
            <w:u w:val="single"/>
            <w:lang w:eastAsia="en-GB"/>
            <w14:ligatures w14:val="none"/>
          </w:rPr>
          <w:t>https://www.legislation.gov.uk/ukpga/1974/37/contents</w:t>
        </w:r>
      </w:hyperlink>
    </w:p>
    <w:p w14:paraId="2F7E97E0" w14:textId="490B5638"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Health and Safety at Work etc Act 1974</w:t>
      </w:r>
      <w:r w:rsidRPr="00E5070B">
        <w:rPr>
          <w:rFonts w:eastAsia="Times New Roman" w:cs="Times New Roman"/>
          <w:kern w:val="0"/>
          <w:lang w:eastAsia="en-GB"/>
          <w14:ligatures w14:val="none"/>
        </w:rPr>
        <w:t>. Available at: </w:t>
      </w:r>
      <w:hyperlink r:id="rId10" w:tgtFrame="_new" w:history="1">
        <w:r w:rsidRPr="00E5070B">
          <w:rPr>
            <w:rFonts w:eastAsia="Times New Roman" w:cs="Times New Roman"/>
            <w:color w:val="0000FF"/>
            <w:kern w:val="0"/>
            <w:u w:val="single"/>
            <w:lang w:eastAsia="en-GB"/>
            <w14:ligatures w14:val="none"/>
          </w:rPr>
          <w:t>https://www.hse.gov.uk/legislation/hswa.htm</w:t>
        </w:r>
      </w:hyperlink>
      <w:r w:rsidRPr="00E5070B">
        <w:rPr>
          <w:rFonts w:eastAsia="Times New Roman" w:cs="Times New Roman"/>
          <w:kern w:val="0"/>
          <w:lang w:eastAsia="en-GB"/>
          <w14:ligatures w14:val="none"/>
        </w:rPr>
        <w:t> </w:t>
      </w:r>
    </w:p>
    <w:p w14:paraId="26954B9C" w14:textId="2E9C4EBE"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Work at height: The law</w:t>
      </w:r>
      <w:r w:rsidRPr="00E5070B">
        <w:rPr>
          <w:rFonts w:eastAsia="Times New Roman" w:cs="Times New Roman"/>
          <w:kern w:val="0"/>
          <w:lang w:eastAsia="en-GB"/>
          <w14:ligatures w14:val="none"/>
        </w:rPr>
        <w:t>. Available at: </w:t>
      </w:r>
      <w:hyperlink r:id="rId11" w:tgtFrame="_new" w:history="1">
        <w:r w:rsidRPr="00E5070B">
          <w:rPr>
            <w:rFonts w:eastAsia="Times New Roman" w:cs="Times New Roman"/>
            <w:color w:val="0000FF"/>
            <w:kern w:val="0"/>
            <w:u w:val="single"/>
            <w:lang w:eastAsia="en-GB"/>
            <w14:ligatures w14:val="none"/>
          </w:rPr>
          <w:t>https://www.hse.gov.uk/work-at-height/the-law.htm</w:t>
        </w:r>
      </w:hyperlink>
      <w:r w:rsidRPr="00E5070B">
        <w:rPr>
          <w:rFonts w:eastAsia="Times New Roman" w:cs="Times New Roman"/>
          <w:kern w:val="0"/>
          <w:lang w:eastAsia="en-GB"/>
          <w14:ligatures w14:val="none"/>
        </w:rPr>
        <w:t> </w:t>
      </w:r>
    </w:p>
    <w:p w14:paraId="48827457" w14:textId="58F6A271"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Construction dust</w:t>
      </w:r>
      <w:r w:rsidRPr="00E5070B">
        <w:rPr>
          <w:rFonts w:eastAsia="Times New Roman" w:cs="Times New Roman"/>
          <w:kern w:val="0"/>
          <w:lang w:eastAsia="en-GB"/>
          <w14:ligatures w14:val="none"/>
        </w:rPr>
        <w:t>. Available at: </w:t>
      </w:r>
      <w:hyperlink r:id="rId12" w:tgtFrame="_new" w:history="1">
        <w:r w:rsidRPr="00E5070B">
          <w:rPr>
            <w:rFonts w:eastAsia="Times New Roman" w:cs="Times New Roman"/>
            <w:color w:val="0000FF"/>
            <w:kern w:val="0"/>
            <w:u w:val="single"/>
            <w:lang w:eastAsia="en-GB"/>
            <w14:ligatures w14:val="none"/>
          </w:rPr>
          <w:t>https://www.hse.gov.uk/construction/healthrisks/hazardous-substances/construction-dust.htm</w:t>
        </w:r>
      </w:hyperlink>
      <w:r w:rsidRPr="00E5070B">
        <w:rPr>
          <w:rFonts w:eastAsia="Times New Roman" w:cs="Times New Roman"/>
          <w:kern w:val="0"/>
          <w:lang w:eastAsia="en-GB"/>
          <w14:ligatures w14:val="none"/>
        </w:rPr>
        <w:t> </w:t>
      </w:r>
    </w:p>
    <w:p w14:paraId="4FB6112F" w14:textId="47455753"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The duty to manage asbestos in buildings</w:t>
      </w:r>
      <w:r w:rsidRPr="00E5070B">
        <w:rPr>
          <w:rFonts w:eastAsia="Times New Roman" w:cs="Times New Roman"/>
          <w:kern w:val="0"/>
          <w:lang w:eastAsia="en-GB"/>
          <w14:ligatures w14:val="none"/>
        </w:rPr>
        <w:t>. Available at: </w:t>
      </w:r>
      <w:hyperlink r:id="rId13" w:tgtFrame="_new" w:history="1">
        <w:r w:rsidRPr="00E5070B">
          <w:rPr>
            <w:rFonts w:eastAsia="Times New Roman" w:cs="Times New Roman"/>
            <w:color w:val="0000FF"/>
            <w:kern w:val="0"/>
            <w:u w:val="single"/>
            <w:lang w:eastAsia="en-GB"/>
            <w14:ligatures w14:val="none"/>
          </w:rPr>
          <w:t>https://www.hse.gov.uk/asbestos/duty/arrange-asbestos-survey.htm</w:t>
        </w:r>
      </w:hyperlink>
      <w:r w:rsidRPr="00E5070B">
        <w:rPr>
          <w:rFonts w:eastAsia="Times New Roman" w:cs="Times New Roman"/>
          <w:kern w:val="0"/>
          <w:lang w:eastAsia="en-GB"/>
          <w14:ligatures w14:val="none"/>
        </w:rPr>
        <w:t> </w:t>
      </w:r>
    </w:p>
    <w:p w14:paraId="16BE2147" w14:textId="62ED5E3E"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Health and Safety Executive (HSE) (2024d) </w:t>
      </w:r>
      <w:r w:rsidRPr="00E5070B">
        <w:rPr>
          <w:rFonts w:eastAsia="Times New Roman" w:cs="Times New Roman"/>
          <w:i/>
          <w:iCs/>
          <w:kern w:val="0"/>
          <w:lang w:eastAsia="en-GB"/>
          <w14:ligatures w14:val="none"/>
        </w:rPr>
        <w:t>Manual handling at work</w:t>
      </w:r>
      <w:r w:rsidRPr="00E5070B">
        <w:rPr>
          <w:rFonts w:eastAsia="Times New Roman" w:cs="Times New Roman"/>
          <w:kern w:val="0"/>
          <w:lang w:eastAsia="en-GB"/>
          <w14:ligatures w14:val="none"/>
        </w:rPr>
        <w:t>. Available at: </w:t>
      </w:r>
      <w:hyperlink r:id="rId14" w:tgtFrame="_new" w:history="1">
        <w:r w:rsidRPr="00E5070B">
          <w:rPr>
            <w:rFonts w:eastAsia="Times New Roman" w:cs="Times New Roman"/>
            <w:color w:val="0000FF"/>
            <w:kern w:val="0"/>
            <w:u w:val="single"/>
            <w:lang w:eastAsia="en-GB"/>
            <w14:ligatures w14:val="none"/>
          </w:rPr>
          <w:t>https://www.hse.gov.uk/msd/manual-handling/index.htm</w:t>
        </w:r>
      </w:hyperlink>
    </w:p>
    <w:p w14:paraId="170F552C" w14:textId="3DD98A7F"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(2024e) </w:t>
      </w:r>
      <w:r w:rsidRPr="00E5070B">
        <w:rPr>
          <w:rFonts w:eastAsia="Times New Roman" w:cs="Times New Roman"/>
          <w:i/>
          <w:iCs/>
          <w:kern w:val="0"/>
          <w:lang w:eastAsia="en-GB"/>
          <w14:ligatures w14:val="none"/>
        </w:rPr>
        <w:t>Thorough examinations and inspections of lifting equipment</w:t>
      </w:r>
      <w:r w:rsidRPr="00E5070B">
        <w:rPr>
          <w:rFonts w:eastAsia="Times New Roman" w:cs="Times New Roman"/>
          <w:kern w:val="0"/>
          <w:lang w:eastAsia="en-GB"/>
          <w14:ligatures w14:val="none"/>
        </w:rPr>
        <w:t>. Available at: </w:t>
      </w:r>
      <w:hyperlink r:id="rId15" w:tgtFrame="_new" w:history="1">
        <w:r w:rsidRPr="00E5070B">
          <w:rPr>
            <w:rFonts w:eastAsia="Times New Roman" w:cs="Times New Roman"/>
            <w:color w:val="0000FF"/>
            <w:kern w:val="0"/>
            <w:u w:val="single"/>
            <w:lang w:eastAsia="en-GB"/>
            <w14:ligatures w14:val="none"/>
          </w:rPr>
          <w:t>https://www.hse.gov.uk/work-equipment-machinery/thorough-examinations-lifting-equipment.htm</w:t>
        </w:r>
      </w:hyperlink>
    </w:p>
    <w:p w14:paraId="42432B30" w14:textId="506F4FE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(2025a) </w:t>
      </w:r>
      <w:r w:rsidRPr="00E5070B">
        <w:rPr>
          <w:rFonts w:eastAsia="Times New Roman" w:cs="Times New Roman"/>
          <w:i/>
          <w:iCs/>
          <w:kern w:val="0"/>
          <w:lang w:eastAsia="en-GB"/>
          <w14:ligatures w14:val="none"/>
        </w:rPr>
        <w:t>Managing risks and risk assessment at work</w:t>
      </w:r>
      <w:r w:rsidRPr="00E5070B">
        <w:rPr>
          <w:rFonts w:eastAsia="Times New Roman" w:cs="Times New Roman"/>
          <w:kern w:val="0"/>
          <w:lang w:eastAsia="en-GB"/>
          <w14:ligatures w14:val="none"/>
        </w:rPr>
        <w:t>. Available at: </w:t>
      </w:r>
      <w:hyperlink r:id="rId16" w:tgtFrame="_new" w:history="1">
        <w:r w:rsidRPr="00E5070B">
          <w:rPr>
            <w:rFonts w:eastAsia="Times New Roman" w:cs="Times New Roman"/>
            <w:color w:val="0000FF"/>
            <w:kern w:val="0"/>
            <w:u w:val="single"/>
            <w:lang w:eastAsia="en-GB"/>
            <w14:ligatures w14:val="none"/>
          </w:rPr>
          <w:t>https://www.hse.gov.uk/risk/</w:t>
        </w:r>
      </w:hyperlink>
      <w:r w:rsidRPr="00E5070B">
        <w:rPr>
          <w:rFonts w:eastAsia="Times New Roman" w:cs="Times New Roman"/>
          <w:kern w:val="0"/>
          <w:lang w:eastAsia="en-GB"/>
          <w14:ligatures w14:val="none"/>
        </w:rPr>
        <w:t> </w:t>
      </w:r>
    </w:p>
    <w:p w14:paraId="25DC9EBD" w14:textId="5959B60C"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(2025b) </w:t>
      </w:r>
      <w:r w:rsidRPr="00E5070B">
        <w:rPr>
          <w:rFonts w:eastAsia="Times New Roman" w:cs="Times New Roman"/>
          <w:i/>
          <w:iCs/>
          <w:kern w:val="0"/>
          <w:lang w:eastAsia="en-GB"/>
          <w14:ligatures w14:val="none"/>
        </w:rPr>
        <w:t>RIDDOR: Reporting of Injuries, Diseases and Dangerous Occurrences Regulations</w:t>
      </w:r>
      <w:r w:rsidRPr="00E5070B">
        <w:rPr>
          <w:rFonts w:eastAsia="Times New Roman" w:cs="Times New Roman"/>
          <w:kern w:val="0"/>
          <w:lang w:eastAsia="en-GB"/>
          <w14:ligatures w14:val="none"/>
        </w:rPr>
        <w:t>. Available at: </w:t>
      </w:r>
      <w:hyperlink r:id="rId17" w:tgtFrame="_new" w:history="1">
        <w:r w:rsidRPr="00E5070B">
          <w:rPr>
            <w:rFonts w:eastAsia="Times New Roman" w:cs="Times New Roman"/>
            <w:color w:val="0000FF"/>
            <w:kern w:val="0"/>
            <w:u w:val="single"/>
            <w:lang w:eastAsia="en-GB"/>
            <w14:ligatures w14:val="none"/>
          </w:rPr>
          <w:t>https://www.hse.gov.uk/riddor/</w:t>
        </w:r>
      </w:hyperlink>
      <w:r w:rsidRPr="00E5070B">
        <w:rPr>
          <w:rFonts w:eastAsia="Times New Roman" w:cs="Times New Roman"/>
          <w:kern w:val="0"/>
          <w:lang w:eastAsia="en-GB"/>
          <w14:ligatures w14:val="none"/>
        </w:rPr>
        <w:t> </w:t>
      </w:r>
    </w:p>
    <w:p w14:paraId="1BC28B62" w14:textId="07630A56"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(2026a) </w:t>
      </w:r>
      <w:r w:rsidRPr="00E5070B">
        <w:rPr>
          <w:rFonts w:eastAsia="Times New Roman" w:cs="Times New Roman"/>
          <w:i/>
          <w:iCs/>
          <w:kern w:val="0"/>
          <w:lang w:eastAsia="en-GB"/>
          <w14:ligatures w14:val="none"/>
        </w:rPr>
        <w:t>Managing health and safety in construction: Construction (Design and Management) Regulations 2015. Guidance on Regulations</w:t>
      </w:r>
      <w:r w:rsidRPr="00E5070B">
        <w:rPr>
          <w:rFonts w:eastAsia="Times New Roman" w:cs="Times New Roman"/>
          <w:kern w:val="0"/>
          <w:lang w:eastAsia="en-GB"/>
          <w14:ligatures w14:val="none"/>
        </w:rPr>
        <w:t>. Available at: </w:t>
      </w:r>
      <w:hyperlink r:id="rId18" w:tgtFrame="_new" w:history="1">
        <w:r w:rsidRPr="00E5070B">
          <w:rPr>
            <w:rFonts w:eastAsia="Times New Roman" w:cs="Times New Roman"/>
            <w:color w:val="0000FF"/>
            <w:kern w:val="0"/>
            <w:u w:val="single"/>
            <w:lang w:eastAsia="en-GB"/>
            <w14:ligatures w14:val="none"/>
          </w:rPr>
          <w:t>https://www.hse.gov.uk/pubns/books/l153.htm</w:t>
        </w:r>
      </w:hyperlink>
    </w:p>
    <w:p w14:paraId="1169F676" w14:textId="20C2DDAF"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(2026b) </w:t>
      </w:r>
      <w:r w:rsidRPr="00E5070B">
        <w:rPr>
          <w:rFonts w:eastAsia="Times New Roman" w:cs="Times New Roman"/>
          <w:i/>
          <w:iCs/>
          <w:kern w:val="0"/>
          <w:lang w:eastAsia="en-GB"/>
          <w14:ligatures w14:val="none"/>
        </w:rPr>
        <w:t>Construction welfare: Toilets and washing</w:t>
      </w:r>
      <w:r w:rsidRPr="00E5070B">
        <w:rPr>
          <w:rFonts w:eastAsia="Times New Roman" w:cs="Times New Roman"/>
          <w:kern w:val="0"/>
          <w:lang w:eastAsia="en-GB"/>
          <w14:ligatures w14:val="none"/>
        </w:rPr>
        <w:t>. Available at: </w:t>
      </w:r>
      <w:hyperlink r:id="rId19" w:tgtFrame="_new" w:history="1">
        <w:r w:rsidRPr="00E5070B">
          <w:rPr>
            <w:rFonts w:eastAsia="Times New Roman" w:cs="Times New Roman"/>
            <w:color w:val="0000FF"/>
            <w:kern w:val="0"/>
            <w:u w:val="single"/>
            <w:lang w:eastAsia="en-GB"/>
            <w14:ligatures w14:val="none"/>
          </w:rPr>
          <w:t>https://www.hse.gov.uk/construction/safetytopics/toilets-washing.htm</w:t>
        </w:r>
      </w:hyperlink>
      <w:r w:rsidRPr="00E5070B">
        <w:rPr>
          <w:rFonts w:eastAsia="Times New Roman" w:cs="Times New Roman"/>
          <w:kern w:val="0"/>
          <w:lang w:eastAsia="en-GB"/>
          <w14:ligatures w14:val="none"/>
        </w:rPr>
        <w:t> </w:t>
      </w:r>
    </w:p>
    <w:p w14:paraId="2920C7C3" w14:textId="0F837C7D"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(2026c) </w:t>
      </w:r>
      <w:r w:rsidRPr="00E5070B">
        <w:rPr>
          <w:rFonts w:eastAsia="Times New Roman" w:cs="Times New Roman"/>
          <w:i/>
          <w:iCs/>
          <w:kern w:val="0"/>
          <w:lang w:eastAsia="en-GB"/>
          <w14:ligatures w14:val="none"/>
        </w:rPr>
        <w:t>Using personal protective equipment to control risks at work</w:t>
      </w:r>
      <w:r w:rsidRPr="00E5070B">
        <w:rPr>
          <w:rFonts w:eastAsia="Times New Roman" w:cs="Times New Roman"/>
          <w:kern w:val="0"/>
          <w:lang w:eastAsia="en-GB"/>
          <w14:ligatures w14:val="none"/>
        </w:rPr>
        <w:t>. Available at: </w:t>
      </w:r>
      <w:hyperlink r:id="rId20" w:tgtFrame="_new" w:history="1">
        <w:r w:rsidRPr="00E5070B">
          <w:rPr>
            <w:rFonts w:eastAsia="Times New Roman" w:cs="Times New Roman"/>
            <w:color w:val="0000FF"/>
            <w:kern w:val="0"/>
            <w:u w:val="single"/>
            <w:lang w:eastAsia="en-GB"/>
            <w14:ligatures w14:val="none"/>
          </w:rPr>
          <w:t>https://www.hse.gov.uk/ppe/overview.htm</w:t>
        </w:r>
      </w:hyperlink>
    </w:p>
    <w:p w14:paraId="699C54D6" w14:textId="424B8D6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(2026d) </w:t>
      </w:r>
      <w:r w:rsidRPr="00E5070B">
        <w:rPr>
          <w:rFonts w:eastAsia="Times New Roman" w:cs="Times New Roman"/>
          <w:i/>
          <w:iCs/>
          <w:kern w:val="0"/>
          <w:lang w:eastAsia="en-GB"/>
          <w14:ligatures w14:val="none"/>
        </w:rPr>
        <w:t>Scaffolds</w:t>
      </w:r>
      <w:r w:rsidRPr="00E5070B">
        <w:rPr>
          <w:rFonts w:eastAsia="Times New Roman" w:cs="Times New Roman"/>
          <w:kern w:val="0"/>
          <w:lang w:eastAsia="en-GB"/>
          <w14:ligatures w14:val="none"/>
        </w:rPr>
        <w:t>. Available at: </w:t>
      </w:r>
      <w:hyperlink r:id="rId21" w:tgtFrame="_new" w:history="1">
        <w:r w:rsidRPr="00E5070B">
          <w:rPr>
            <w:rFonts w:eastAsia="Times New Roman" w:cs="Times New Roman"/>
            <w:color w:val="0000FF"/>
            <w:kern w:val="0"/>
            <w:u w:val="single"/>
            <w:lang w:eastAsia="en-GB"/>
            <w14:ligatures w14:val="none"/>
          </w:rPr>
          <w:t>https://www.hse.gov.uk/construction/safetytopics/scaffoldinginfo.htm</w:t>
        </w:r>
      </w:hyperlink>
      <w:r w:rsidRPr="00E5070B">
        <w:rPr>
          <w:rFonts w:eastAsia="Times New Roman" w:cs="Times New Roman"/>
          <w:kern w:val="0"/>
          <w:lang w:eastAsia="en-GB"/>
          <w14:ligatures w14:val="none"/>
        </w:rPr>
        <w:t> </w:t>
      </w:r>
    </w:p>
    <w:p w14:paraId="2D6F7D25" w14:textId="211ECB1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(2026e) </w:t>
      </w:r>
      <w:r w:rsidRPr="00E5070B">
        <w:rPr>
          <w:rFonts w:eastAsia="Times New Roman" w:cs="Times New Roman"/>
          <w:i/>
          <w:iCs/>
          <w:kern w:val="0"/>
          <w:lang w:eastAsia="en-GB"/>
          <w14:ligatures w14:val="none"/>
        </w:rPr>
        <w:t>Lifting Operations and Lifting Equipment Regulations 1998: Overview</w:t>
      </w:r>
      <w:r w:rsidRPr="00E5070B">
        <w:rPr>
          <w:rFonts w:eastAsia="Times New Roman" w:cs="Times New Roman"/>
          <w:kern w:val="0"/>
          <w:lang w:eastAsia="en-GB"/>
          <w14:ligatures w14:val="none"/>
        </w:rPr>
        <w:t>. Available at: </w:t>
      </w:r>
      <w:hyperlink r:id="rId22" w:tgtFrame="_new" w:history="1">
        <w:r w:rsidRPr="00E5070B">
          <w:rPr>
            <w:rFonts w:eastAsia="Times New Roman" w:cs="Times New Roman"/>
            <w:color w:val="0000FF"/>
            <w:kern w:val="0"/>
            <w:u w:val="single"/>
            <w:lang w:eastAsia="en-GB"/>
            <w14:ligatures w14:val="none"/>
          </w:rPr>
          <w:t>https://www.hse.gov.uk/work-equipment-machinery/loler-overview.htm</w:t>
        </w:r>
      </w:hyperlink>
      <w:r w:rsidRPr="00E5070B">
        <w:rPr>
          <w:rFonts w:eastAsia="Times New Roman" w:cs="Times New Roman"/>
          <w:kern w:val="0"/>
          <w:lang w:eastAsia="en-GB"/>
          <w14:ligatures w14:val="none"/>
        </w:rPr>
        <w:t> </w:t>
      </w:r>
    </w:p>
    <w:p w14:paraId="2920C165" w14:textId="1974C32B"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Lifting Operations and Lifting Equipment Regulations 1998. Available at: </w:t>
      </w:r>
      <w:hyperlink r:id="rId23" w:tgtFrame="_new" w:history="1">
        <w:r w:rsidRPr="00E5070B">
          <w:rPr>
            <w:rFonts w:eastAsia="Times New Roman" w:cs="Times New Roman"/>
            <w:color w:val="0000FF"/>
            <w:kern w:val="0"/>
            <w:u w:val="single"/>
            <w:lang w:eastAsia="en-GB"/>
            <w14:ligatures w14:val="none"/>
          </w:rPr>
          <w:t>https://www.legislation.gov.uk/uksi/1998/2307/contents</w:t>
        </w:r>
      </w:hyperlink>
      <w:r w:rsidRPr="00E5070B">
        <w:rPr>
          <w:rFonts w:eastAsia="Times New Roman" w:cs="Times New Roman"/>
          <w:kern w:val="0"/>
          <w:lang w:eastAsia="en-GB"/>
          <w14:ligatures w14:val="none"/>
        </w:rPr>
        <w:t> </w:t>
      </w:r>
    </w:p>
    <w:p w14:paraId="68A80812" w14:textId="75FEDE90"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Management of Health and Safety at Work Regulations 1999. Available at: </w:t>
      </w:r>
      <w:hyperlink r:id="rId24" w:tgtFrame="_new" w:history="1">
        <w:r w:rsidRPr="00E5070B">
          <w:rPr>
            <w:rFonts w:eastAsia="Times New Roman" w:cs="Times New Roman"/>
            <w:color w:val="0000FF"/>
            <w:kern w:val="0"/>
            <w:u w:val="single"/>
            <w:lang w:eastAsia="en-GB"/>
            <w14:ligatures w14:val="none"/>
          </w:rPr>
          <w:t>https://www.legislation.gov.uk/uksi/1999/3242/contents</w:t>
        </w:r>
      </w:hyperlink>
      <w:r w:rsidRPr="00E5070B">
        <w:rPr>
          <w:rFonts w:eastAsia="Times New Roman" w:cs="Times New Roman"/>
          <w:kern w:val="0"/>
          <w:lang w:eastAsia="en-GB"/>
          <w14:ligatures w14:val="none"/>
        </w:rPr>
        <w:t> </w:t>
      </w:r>
    </w:p>
    <w:p w14:paraId="114A8637" w14:textId="06BF4D54"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Manual Handling Operations Regulations 1992. Available at: </w:t>
      </w:r>
      <w:hyperlink r:id="rId25" w:tgtFrame="_new" w:history="1">
        <w:r w:rsidRPr="00E5070B">
          <w:rPr>
            <w:rFonts w:eastAsia="Times New Roman" w:cs="Times New Roman"/>
            <w:color w:val="0000FF"/>
            <w:kern w:val="0"/>
            <w:u w:val="single"/>
            <w:lang w:eastAsia="en-GB"/>
            <w14:ligatures w14:val="none"/>
          </w:rPr>
          <w:t>https://www.legislation.gov.uk/uksi/1992/2793/contents</w:t>
        </w:r>
      </w:hyperlink>
    </w:p>
    <w:p w14:paraId="730BA021" w14:textId="2FD7755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Personal Protective Equipment at Work Regulations 1992. Available at: </w:t>
      </w:r>
      <w:hyperlink r:id="rId26" w:tgtFrame="_new" w:history="1">
        <w:r w:rsidRPr="00E5070B">
          <w:rPr>
            <w:rFonts w:eastAsia="Times New Roman" w:cs="Times New Roman"/>
            <w:color w:val="0000FF"/>
            <w:kern w:val="0"/>
            <w:u w:val="single"/>
            <w:lang w:eastAsia="en-GB"/>
            <w14:ligatures w14:val="none"/>
          </w:rPr>
          <w:t>https://www.legislation.gov.uk/uksi/1992/2966/contents</w:t>
        </w:r>
      </w:hyperlink>
      <w:r w:rsidRPr="00E5070B">
        <w:rPr>
          <w:rFonts w:eastAsia="Times New Roman" w:cs="Times New Roman"/>
          <w:kern w:val="0"/>
          <w:lang w:eastAsia="en-GB"/>
          <w14:ligatures w14:val="none"/>
        </w:rPr>
        <w:t> </w:t>
      </w:r>
    </w:p>
    <w:p w14:paraId="200AFC04" w14:textId="4633D4C6"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Provision and Use of Work Equipment Regulations 1998. Available at: </w:t>
      </w:r>
      <w:hyperlink r:id="rId27" w:tgtFrame="_new" w:history="1">
        <w:r w:rsidRPr="00E5070B">
          <w:rPr>
            <w:rFonts w:eastAsia="Times New Roman" w:cs="Times New Roman"/>
            <w:color w:val="0000FF"/>
            <w:kern w:val="0"/>
            <w:u w:val="single"/>
            <w:lang w:eastAsia="en-GB"/>
            <w14:ligatures w14:val="none"/>
          </w:rPr>
          <w:t>https://www.legislation.gov.uk/uksi/1998/2306/contents</w:t>
        </w:r>
      </w:hyperlink>
      <w:r w:rsidRPr="00E5070B">
        <w:rPr>
          <w:rFonts w:eastAsia="Times New Roman" w:cs="Times New Roman"/>
          <w:kern w:val="0"/>
          <w:lang w:eastAsia="en-GB"/>
          <w14:ligatures w14:val="none"/>
        </w:rPr>
        <w:t> </w:t>
      </w:r>
    </w:p>
    <w:p w14:paraId="6072D9D4" w14:textId="56AA269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Reporting of Injuries, Diseases and Dangerous Occurrences Regulations 2013. Available at: </w:t>
      </w:r>
      <w:hyperlink r:id="rId28" w:tgtFrame="_new" w:history="1">
        <w:r w:rsidRPr="00E5070B">
          <w:rPr>
            <w:rFonts w:eastAsia="Times New Roman" w:cs="Times New Roman"/>
            <w:color w:val="0000FF"/>
            <w:kern w:val="0"/>
            <w:u w:val="single"/>
            <w:lang w:eastAsia="en-GB"/>
            <w14:ligatures w14:val="none"/>
          </w:rPr>
          <w:t>https://www.legislation.gov.uk/uksi/2013/1471/contents</w:t>
        </w:r>
      </w:hyperlink>
      <w:r w:rsidRPr="00E5070B">
        <w:rPr>
          <w:rFonts w:eastAsia="Times New Roman" w:cs="Times New Roman"/>
          <w:kern w:val="0"/>
          <w:lang w:eastAsia="en-GB"/>
          <w14:ligatures w14:val="none"/>
        </w:rPr>
        <w:t> </w:t>
      </w:r>
    </w:p>
    <w:p w14:paraId="311B7295" w14:textId="36A5C43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Swansea Council (2025) </w:t>
      </w:r>
      <w:r w:rsidRPr="00E5070B">
        <w:rPr>
          <w:rFonts w:eastAsia="Times New Roman" w:cs="Times New Roman"/>
          <w:i/>
          <w:iCs/>
          <w:kern w:val="0"/>
          <w:lang w:eastAsia="en-GB"/>
          <w14:ligatures w14:val="none"/>
        </w:rPr>
        <w:t>High rise flats owned by Swansea Council</w:t>
      </w:r>
      <w:r w:rsidRPr="00E5070B">
        <w:rPr>
          <w:rFonts w:eastAsia="Times New Roman" w:cs="Times New Roman"/>
          <w:kern w:val="0"/>
          <w:lang w:eastAsia="en-GB"/>
          <w14:ligatures w14:val="none"/>
        </w:rPr>
        <w:t>. Available at: </w:t>
      </w:r>
      <w:hyperlink r:id="rId29" w:tgtFrame="_new" w:history="1">
        <w:r w:rsidRPr="00E5070B">
          <w:rPr>
            <w:rFonts w:eastAsia="Times New Roman" w:cs="Times New Roman"/>
            <w:color w:val="0000FF"/>
            <w:kern w:val="0"/>
            <w:u w:val="single"/>
            <w:lang w:eastAsia="en-GB"/>
            <w14:ligatures w14:val="none"/>
          </w:rPr>
          <w:t>https://www.swansea.gov.uk/article/28709/High-rise-flats-owned-by-Swansea-Council</w:t>
        </w:r>
      </w:hyperlink>
      <w:r w:rsidRPr="00E5070B">
        <w:rPr>
          <w:rFonts w:eastAsia="Times New Roman" w:cs="Times New Roman"/>
          <w:kern w:val="0"/>
          <w:lang w:eastAsia="en-GB"/>
          <w14:ligatures w14:val="none"/>
        </w:rPr>
        <w:t> </w:t>
      </w:r>
    </w:p>
    <w:p w14:paraId="05078C6F" w14:textId="2A3743DF"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(2020) </w:t>
      </w:r>
      <w:r w:rsidRPr="00E5070B">
        <w:rPr>
          <w:rFonts w:eastAsia="Times New Roman" w:cs="Times New Roman"/>
          <w:i/>
          <w:iCs/>
          <w:kern w:val="0"/>
          <w:lang w:eastAsia="en-GB"/>
          <w14:ligatures w14:val="none"/>
        </w:rPr>
        <w:t>Approved Document B: Fire safety, Volume 1 and Volume 2</w:t>
      </w:r>
      <w:r w:rsidRPr="00E5070B">
        <w:rPr>
          <w:rFonts w:eastAsia="Times New Roman" w:cs="Times New Roman"/>
          <w:kern w:val="0"/>
          <w:lang w:eastAsia="en-GB"/>
          <w14:ligatures w14:val="none"/>
        </w:rPr>
        <w:t>. Available at: </w:t>
      </w:r>
      <w:hyperlink r:id="rId30" w:tgtFrame="_new" w:history="1">
        <w:r w:rsidRPr="00E5070B">
          <w:rPr>
            <w:rFonts w:eastAsia="Times New Roman" w:cs="Times New Roman"/>
            <w:color w:val="0000FF"/>
            <w:kern w:val="0"/>
            <w:u w:val="single"/>
            <w:lang w:eastAsia="en-GB"/>
            <w14:ligatures w14:val="none"/>
          </w:rPr>
          <w:t>https://www.gov.wales/building-regulations-approved-documents-fire-safety</w:t>
        </w:r>
      </w:hyperlink>
      <w:r w:rsidRPr="00E5070B">
        <w:rPr>
          <w:rFonts w:eastAsia="Times New Roman" w:cs="Times New Roman"/>
          <w:kern w:val="0"/>
          <w:lang w:eastAsia="en-GB"/>
          <w14:ligatures w14:val="none"/>
        </w:rPr>
        <w:t> </w:t>
      </w:r>
    </w:p>
    <w:p w14:paraId="0DA32AAF" w14:textId="43C73BB8"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(2025) </w:t>
      </w:r>
      <w:r w:rsidRPr="00E5070B">
        <w:rPr>
          <w:rFonts w:eastAsia="Times New Roman" w:cs="Times New Roman"/>
          <w:i/>
          <w:iCs/>
          <w:kern w:val="0"/>
          <w:lang w:eastAsia="en-GB"/>
          <w14:ligatures w14:val="none"/>
        </w:rPr>
        <w:t>Approved Document B: Fire safety, amendments to Volume 1 and Volume 2</w:t>
      </w:r>
      <w:r w:rsidRPr="00E5070B">
        <w:rPr>
          <w:rFonts w:eastAsia="Times New Roman" w:cs="Times New Roman"/>
          <w:kern w:val="0"/>
          <w:lang w:eastAsia="en-GB"/>
          <w14:ligatures w14:val="none"/>
        </w:rPr>
        <w:t>. Available at: </w:t>
      </w:r>
      <w:hyperlink r:id="rId31" w:tgtFrame="_new" w:history="1">
        <w:r w:rsidRPr="00E5070B">
          <w:rPr>
            <w:rFonts w:eastAsia="Times New Roman" w:cs="Times New Roman"/>
            <w:color w:val="0000FF"/>
            <w:kern w:val="0"/>
            <w:u w:val="single"/>
            <w:lang w:eastAsia="en-GB"/>
            <w14:ligatures w14:val="none"/>
          </w:rPr>
          <w:t>https://www.gov.wales/building-regulations-approved-documents-fire-safety</w:t>
        </w:r>
      </w:hyperlink>
      <w:r w:rsidRPr="00E5070B">
        <w:rPr>
          <w:rFonts w:eastAsia="Times New Roman" w:cs="Times New Roman"/>
          <w:kern w:val="0"/>
          <w:lang w:eastAsia="en-GB"/>
          <w14:ligatures w14:val="none"/>
        </w:rPr>
        <w:t> </w:t>
      </w:r>
    </w:p>
    <w:p w14:paraId="47A9436E" w14:textId="4A53ABD6"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(2026) </w:t>
      </w:r>
      <w:r w:rsidRPr="00E5070B">
        <w:rPr>
          <w:rFonts w:eastAsia="Times New Roman" w:cs="Times New Roman"/>
          <w:i/>
          <w:iCs/>
          <w:kern w:val="0"/>
          <w:lang w:eastAsia="en-GB"/>
          <w14:ligatures w14:val="none"/>
        </w:rPr>
        <w:t>‘Huge step forward’ for fire safety in Wales</w:t>
      </w:r>
      <w:r w:rsidRPr="00E5070B">
        <w:rPr>
          <w:rFonts w:eastAsia="Times New Roman" w:cs="Times New Roman"/>
          <w:kern w:val="0"/>
          <w:lang w:eastAsia="en-GB"/>
          <w14:ligatures w14:val="none"/>
        </w:rPr>
        <w:t>. Available at: </w:t>
      </w:r>
      <w:hyperlink r:id="rId32" w:tgtFrame="_new" w:history="1">
        <w:r w:rsidRPr="00E5070B">
          <w:rPr>
            <w:rFonts w:eastAsia="Times New Roman" w:cs="Times New Roman"/>
            <w:color w:val="0000FF"/>
            <w:kern w:val="0"/>
            <w:u w:val="single"/>
            <w:lang w:eastAsia="en-GB"/>
            <w14:ligatures w14:val="none"/>
          </w:rPr>
          <w:t>https://www.gov.wales/huge-step-forward-fire-safety-wales</w:t>
        </w:r>
      </w:hyperlink>
      <w:r w:rsidRPr="00E5070B">
        <w:rPr>
          <w:rFonts w:eastAsia="Times New Roman" w:cs="Times New Roman"/>
          <w:kern w:val="0"/>
          <w:lang w:eastAsia="en-GB"/>
          <w14:ligatures w14:val="none"/>
        </w:rPr>
        <w:t> </w:t>
      </w:r>
    </w:p>
    <w:p w14:paraId="06495F4F" w14:textId="77777777" w:rsidR="007512DD" w:rsidRDefault="007512DD"/>
    <w:sectPr w:rsidR="007512DD" w:rsidSect="00442119">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F838B" w14:textId="77777777" w:rsidR="00E92C25" w:rsidRDefault="00E92C25" w:rsidP="00720691">
      <w:r>
        <w:separator/>
      </w:r>
    </w:p>
  </w:endnote>
  <w:endnote w:type="continuationSeparator" w:id="0">
    <w:p w14:paraId="04B4D061" w14:textId="77777777" w:rsidR="00E92C25" w:rsidRDefault="00E92C25" w:rsidP="00720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4074849"/>
      <w:docPartObj>
        <w:docPartGallery w:val="Page Numbers (Bottom of Page)"/>
        <w:docPartUnique/>
      </w:docPartObj>
    </w:sdtPr>
    <w:sdtContent>
      <w:p w14:paraId="1A47785F" w14:textId="61F9BD45" w:rsidR="00442119" w:rsidRDefault="0044211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4429B2A" w14:textId="77777777" w:rsidR="00442119" w:rsidRDefault="00442119" w:rsidP="004421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202275"/>
      <w:docPartObj>
        <w:docPartGallery w:val="Page Numbers (Bottom of Page)"/>
        <w:docPartUnique/>
      </w:docPartObj>
    </w:sdtPr>
    <w:sdtContent>
      <w:p w14:paraId="529DEB13" w14:textId="4F872821" w:rsidR="00442119" w:rsidRDefault="0044211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BD777D" w14:textId="77777777" w:rsidR="00442119" w:rsidRDefault="00442119" w:rsidP="004421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D6D5" w14:textId="77777777" w:rsidR="00E92C25" w:rsidRDefault="00E92C25" w:rsidP="00720691">
      <w:r>
        <w:separator/>
      </w:r>
    </w:p>
  </w:footnote>
  <w:footnote w:type="continuationSeparator" w:id="0">
    <w:p w14:paraId="3DE7A69F" w14:textId="77777777" w:rsidR="00E92C25" w:rsidRDefault="00E92C25" w:rsidP="007206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0B"/>
    <w:rsid w:val="00391B20"/>
    <w:rsid w:val="00442119"/>
    <w:rsid w:val="00446B06"/>
    <w:rsid w:val="00720691"/>
    <w:rsid w:val="007512DD"/>
    <w:rsid w:val="0089517D"/>
    <w:rsid w:val="00940227"/>
    <w:rsid w:val="00BE6DA3"/>
    <w:rsid w:val="00C47308"/>
    <w:rsid w:val="00DA505D"/>
    <w:rsid w:val="00DD30B5"/>
    <w:rsid w:val="00DE2AA0"/>
    <w:rsid w:val="00E42DC5"/>
    <w:rsid w:val="00E5070B"/>
    <w:rsid w:val="00E85AD8"/>
    <w:rsid w:val="00E92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49AEA"/>
  <w15:chartTrackingRefBased/>
  <w15:docId w15:val="{B1A0F17C-CA43-9B46-B9BC-ADD8DFCA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ecture Format"/>
    <w:qFormat/>
    <w:rsid w:val="00E42DC5"/>
    <w:pPr>
      <w:spacing w:after="0" w:line="240" w:lineRule="auto"/>
    </w:pPr>
    <w:rPr>
      <w:rFonts w:ascii="Times New Roman" w:hAnsi="Times New Roman"/>
    </w:rPr>
  </w:style>
  <w:style w:type="paragraph" w:styleId="Heading1">
    <w:name w:val="heading 1"/>
    <w:basedOn w:val="Normal"/>
    <w:next w:val="Normal"/>
    <w:link w:val="Heading1Char"/>
    <w:uiPriority w:val="9"/>
    <w:qFormat/>
    <w:rsid w:val="00E50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70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70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070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070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070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070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070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7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7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7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70B"/>
    <w:rPr>
      <w:rFonts w:eastAsiaTheme="majorEastAsia" w:cstheme="majorBidi"/>
      <w:color w:val="272727" w:themeColor="text1" w:themeTint="D8"/>
    </w:rPr>
  </w:style>
  <w:style w:type="paragraph" w:styleId="Title">
    <w:name w:val="Title"/>
    <w:basedOn w:val="Normal"/>
    <w:next w:val="Normal"/>
    <w:link w:val="TitleChar"/>
    <w:uiPriority w:val="10"/>
    <w:qFormat/>
    <w:rsid w:val="00E507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7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7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070B"/>
    <w:rPr>
      <w:rFonts w:ascii="Times New Roman" w:hAnsi="Times New Roman"/>
      <w:i/>
      <w:iCs/>
      <w:color w:val="404040" w:themeColor="text1" w:themeTint="BF"/>
    </w:rPr>
  </w:style>
  <w:style w:type="paragraph" w:styleId="ListParagraph">
    <w:name w:val="List Paragraph"/>
    <w:basedOn w:val="Normal"/>
    <w:uiPriority w:val="34"/>
    <w:qFormat/>
    <w:rsid w:val="00E5070B"/>
    <w:pPr>
      <w:ind w:left="720"/>
      <w:contextualSpacing/>
    </w:pPr>
  </w:style>
  <w:style w:type="character" w:styleId="IntenseEmphasis">
    <w:name w:val="Intense Emphasis"/>
    <w:basedOn w:val="DefaultParagraphFont"/>
    <w:uiPriority w:val="21"/>
    <w:qFormat/>
    <w:rsid w:val="00E5070B"/>
    <w:rPr>
      <w:i/>
      <w:iCs/>
      <w:color w:val="0F4761" w:themeColor="accent1" w:themeShade="BF"/>
    </w:rPr>
  </w:style>
  <w:style w:type="paragraph" w:styleId="IntenseQuote">
    <w:name w:val="Intense Quote"/>
    <w:basedOn w:val="Normal"/>
    <w:next w:val="Normal"/>
    <w:link w:val="IntenseQuoteChar"/>
    <w:uiPriority w:val="30"/>
    <w:qFormat/>
    <w:rsid w:val="00E50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70B"/>
    <w:rPr>
      <w:rFonts w:ascii="Times New Roman" w:hAnsi="Times New Roman"/>
      <w:i/>
      <w:iCs/>
      <w:color w:val="0F4761" w:themeColor="accent1" w:themeShade="BF"/>
    </w:rPr>
  </w:style>
  <w:style w:type="character" w:styleId="IntenseReference">
    <w:name w:val="Intense Reference"/>
    <w:basedOn w:val="DefaultParagraphFont"/>
    <w:uiPriority w:val="32"/>
    <w:qFormat/>
    <w:rsid w:val="00E5070B"/>
    <w:rPr>
      <w:b/>
      <w:bCs/>
      <w:smallCaps/>
      <w:color w:val="0F4761" w:themeColor="accent1" w:themeShade="BF"/>
      <w:spacing w:val="5"/>
    </w:rPr>
  </w:style>
  <w:style w:type="paragraph" w:styleId="NormalWeb">
    <w:name w:val="Normal (Web)"/>
    <w:basedOn w:val="Normal"/>
    <w:uiPriority w:val="99"/>
    <w:semiHidden/>
    <w:unhideWhenUsed/>
    <w:rsid w:val="00E5070B"/>
    <w:pPr>
      <w:spacing w:before="100" w:beforeAutospacing="1" w:after="100" w:afterAutospacing="1"/>
    </w:pPr>
    <w:rPr>
      <w:rFonts w:eastAsia="Times New Roman" w:cs="Times New Roman"/>
      <w:kern w:val="0"/>
      <w:lang w:eastAsia="en-GB"/>
      <w14:ligatures w14:val="none"/>
    </w:rPr>
  </w:style>
  <w:style w:type="character" w:customStyle="1" w:styleId="apple-converted-space">
    <w:name w:val="apple-converted-space"/>
    <w:basedOn w:val="DefaultParagraphFont"/>
    <w:rsid w:val="00E5070B"/>
  </w:style>
  <w:style w:type="character" w:styleId="Strong">
    <w:name w:val="Strong"/>
    <w:basedOn w:val="DefaultParagraphFont"/>
    <w:uiPriority w:val="22"/>
    <w:qFormat/>
    <w:rsid w:val="00E5070B"/>
    <w:rPr>
      <w:b/>
      <w:bCs/>
    </w:rPr>
  </w:style>
  <w:style w:type="character" w:styleId="Hyperlink">
    <w:name w:val="Hyperlink"/>
    <w:basedOn w:val="DefaultParagraphFont"/>
    <w:uiPriority w:val="99"/>
    <w:unhideWhenUsed/>
    <w:rsid w:val="00E5070B"/>
    <w:rPr>
      <w:color w:val="0000FF"/>
      <w:u w:val="single"/>
    </w:rPr>
  </w:style>
  <w:style w:type="character" w:styleId="Emphasis">
    <w:name w:val="Emphasis"/>
    <w:basedOn w:val="DefaultParagraphFont"/>
    <w:uiPriority w:val="20"/>
    <w:qFormat/>
    <w:rsid w:val="00E5070B"/>
    <w:rPr>
      <w:i/>
      <w:iCs/>
    </w:rPr>
  </w:style>
  <w:style w:type="paragraph" w:styleId="z-TopofForm">
    <w:name w:val="HTML Top of Form"/>
    <w:basedOn w:val="Normal"/>
    <w:next w:val="Normal"/>
    <w:link w:val="z-TopofFormChar"/>
    <w:hidden/>
    <w:uiPriority w:val="99"/>
    <w:semiHidden/>
    <w:unhideWhenUsed/>
    <w:rsid w:val="00E5070B"/>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5070B"/>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E5070B"/>
    <w:pPr>
      <w:spacing w:before="100" w:beforeAutospacing="1" w:after="100" w:afterAutospacing="1"/>
    </w:pPr>
    <w:rPr>
      <w:rFonts w:eastAsia="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E5070B"/>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5070B"/>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720691"/>
    <w:pPr>
      <w:tabs>
        <w:tab w:val="center" w:pos="4513"/>
        <w:tab w:val="right" w:pos="9026"/>
      </w:tabs>
    </w:pPr>
  </w:style>
  <w:style w:type="character" w:customStyle="1" w:styleId="HeaderChar">
    <w:name w:val="Header Char"/>
    <w:basedOn w:val="DefaultParagraphFont"/>
    <w:link w:val="Header"/>
    <w:uiPriority w:val="99"/>
    <w:rsid w:val="00720691"/>
    <w:rPr>
      <w:rFonts w:ascii="Times New Roman" w:hAnsi="Times New Roman"/>
    </w:rPr>
  </w:style>
  <w:style w:type="paragraph" w:styleId="Footer">
    <w:name w:val="footer"/>
    <w:basedOn w:val="Normal"/>
    <w:link w:val="FooterChar"/>
    <w:uiPriority w:val="99"/>
    <w:unhideWhenUsed/>
    <w:rsid w:val="00720691"/>
    <w:pPr>
      <w:tabs>
        <w:tab w:val="center" w:pos="4513"/>
        <w:tab w:val="right" w:pos="9026"/>
      </w:tabs>
    </w:pPr>
  </w:style>
  <w:style w:type="character" w:customStyle="1" w:styleId="FooterChar">
    <w:name w:val="Footer Char"/>
    <w:basedOn w:val="DefaultParagraphFont"/>
    <w:link w:val="Footer"/>
    <w:uiPriority w:val="99"/>
    <w:rsid w:val="00720691"/>
    <w:rPr>
      <w:rFonts w:ascii="Times New Roman" w:hAnsi="Times New Roman"/>
    </w:rPr>
  </w:style>
  <w:style w:type="paragraph" w:styleId="NoSpacing">
    <w:name w:val="No Spacing"/>
    <w:link w:val="NoSpacingChar"/>
    <w:uiPriority w:val="1"/>
    <w:qFormat/>
    <w:rsid w:val="0044211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42119"/>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442119"/>
  </w:style>
  <w:style w:type="paragraph" w:styleId="TOCHeading">
    <w:name w:val="TOC Heading"/>
    <w:basedOn w:val="Heading1"/>
    <w:next w:val="Normal"/>
    <w:uiPriority w:val="39"/>
    <w:unhideWhenUsed/>
    <w:qFormat/>
    <w:rsid w:val="004421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2119"/>
    <w:pPr>
      <w:spacing w:before="120"/>
    </w:pPr>
    <w:rPr>
      <w:rFonts w:asciiTheme="minorHAnsi" w:hAnsiTheme="minorHAnsi"/>
      <w:b/>
      <w:bCs/>
      <w:i/>
      <w:iCs/>
    </w:rPr>
  </w:style>
  <w:style w:type="paragraph" w:styleId="TOC2">
    <w:name w:val="toc 2"/>
    <w:basedOn w:val="Normal"/>
    <w:next w:val="Normal"/>
    <w:autoRedefine/>
    <w:uiPriority w:val="39"/>
    <w:semiHidden/>
    <w:unhideWhenUsed/>
    <w:rsid w:val="00442119"/>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4211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4211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4211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4211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4211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4211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42119"/>
    <w:pPr>
      <w:ind w:left="1920"/>
    </w:pPr>
    <w:rPr>
      <w:rFonts w:asciiTheme="minorHAnsi" w:hAnsiTheme="minorHAnsi"/>
      <w:sz w:val="20"/>
      <w:szCs w:val="20"/>
    </w:rPr>
  </w:style>
  <w:style w:type="table" w:styleId="TableGrid">
    <w:name w:val="Table Grid"/>
    <w:basedOn w:val="TableNormal"/>
    <w:uiPriority w:val="59"/>
    <w:rsid w:val="00E85AD8"/>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asbestos/duty/arrange-asbestos-survey.htm?utm_source=chatgpt.com" TargetMode="External"/><Relationship Id="rId18" Type="http://schemas.openxmlformats.org/officeDocument/2006/relationships/hyperlink" Target="https://www.hse.gov.uk/pubns/books/l153.htm?utm_source=chatgpt.com" TargetMode="External"/><Relationship Id="rId26" Type="http://schemas.openxmlformats.org/officeDocument/2006/relationships/hyperlink" Target="https://www.legislation.gov.uk/uksi/1992/2966/contents" TargetMode="External"/><Relationship Id="rId3" Type="http://schemas.openxmlformats.org/officeDocument/2006/relationships/webSettings" Target="webSettings.xml"/><Relationship Id="rId21" Type="http://schemas.openxmlformats.org/officeDocument/2006/relationships/hyperlink" Target="https://www.hse.gov.uk/construction/safetytopics/scaffoldinginfo.htm?utm_source=chatgpt.com" TargetMode="External"/><Relationship Id="rId34" Type="http://schemas.openxmlformats.org/officeDocument/2006/relationships/footer" Target="footer2.xml"/><Relationship Id="rId7" Type="http://schemas.openxmlformats.org/officeDocument/2006/relationships/hyperlink" Target="https://www.legislation.gov.uk/uksi/2015/51/contents?utm_source=chatgpt.com" TargetMode="External"/><Relationship Id="rId12" Type="http://schemas.openxmlformats.org/officeDocument/2006/relationships/hyperlink" Target="https://www.hse.gov.uk/construction/healthrisks/hazardous-substances/construction-dust.htm?utm_source=chatgpt.com" TargetMode="External"/><Relationship Id="rId17" Type="http://schemas.openxmlformats.org/officeDocument/2006/relationships/hyperlink" Target="https://www.hse.gov.uk/riddor/?utm_source=chatgpt.com" TargetMode="External"/><Relationship Id="rId25" Type="http://schemas.openxmlformats.org/officeDocument/2006/relationships/hyperlink" Target="https://www.legislation.gov.uk/uksi/1992/2793/contents"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hse.gov.uk/risk/?utm_source=chatgpt.com" TargetMode="External"/><Relationship Id="rId20" Type="http://schemas.openxmlformats.org/officeDocument/2006/relationships/hyperlink" Target="https://www.hse.gov.uk/ppe/overview.htm?utm_source=chatgpt.com" TargetMode="External"/><Relationship Id="rId29" Type="http://schemas.openxmlformats.org/officeDocument/2006/relationships/hyperlink" Target="https://www.swansea.gov.uk/article/28709/High-rise-flats-owned-by-Swansea-Council?utm_source=chatgpt.com" TargetMode="External"/><Relationship Id="rId1" Type="http://schemas.openxmlformats.org/officeDocument/2006/relationships/styles" Target="styles.xml"/><Relationship Id="rId6" Type="http://schemas.openxmlformats.org/officeDocument/2006/relationships/hyperlink" Target="https://www.legislation.gov.uk/ukpga/2022/30/contents" TargetMode="External"/><Relationship Id="rId11" Type="http://schemas.openxmlformats.org/officeDocument/2006/relationships/hyperlink" Target="https://www.hse.gov.uk/work-at-height/the-law.htm?utm_source=chatgpt.com" TargetMode="External"/><Relationship Id="rId24" Type="http://schemas.openxmlformats.org/officeDocument/2006/relationships/hyperlink" Target="https://www.legislation.gov.uk/uksi/1999/3242/contents?utm_source=chatgpt.com" TargetMode="External"/><Relationship Id="rId32" Type="http://schemas.openxmlformats.org/officeDocument/2006/relationships/hyperlink" Target="https://www.gov.wales/huge-step-forward-fire-safety-wales?utm_source=chatgpt.com" TargetMode="External"/><Relationship Id="rId5" Type="http://schemas.openxmlformats.org/officeDocument/2006/relationships/endnotes" Target="endnotes.xml"/><Relationship Id="rId15" Type="http://schemas.openxmlformats.org/officeDocument/2006/relationships/hyperlink" Target="https://www.hse.gov.uk/work-equipment-machinery/thorough-examinations-lifting-equipment.htm?utm_source=chatgpt.com" TargetMode="External"/><Relationship Id="rId23" Type="http://schemas.openxmlformats.org/officeDocument/2006/relationships/hyperlink" Target="https://www.legislation.gov.uk/uksi/1998/2307/contents" TargetMode="External"/><Relationship Id="rId28" Type="http://schemas.openxmlformats.org/officeDocument/2006/relationships/hyperlink" Target="https://www.legislation.gov.uk/uksi/2013/1471/contents?utm_source=chatgpt.com" TargetMode="External"/><Relationship Id="rId36" Type="http://schemas.openxmlformats.org/officeDocument/2006/relationships/theme" Target="theme/theme1.xml"/><Relationship Id="rId10" Type="http://schemas.openxmlformats.org/officeDocument/2006/relationships/hyperlink" Target="https://www.hse.gov.uk/legislation/hswa.htm?utm_source=chatgpt.com" TargetMode="External"/><Relationship Id="rId19" Type="http://schemas.openxmlformats.org/officeDocument/2006/relationships/hyperlink" Target="https://www.hse.gov.uk/construction/safetytopics/toilets-washing.htm" TargetMode="External"/><Relationship Id="rId31" Type="http://schemas.openxmlformats.org/officeDocument/2006/relationships/hyperlink" Target="https://www.gov.wales/building-regulations-approved-documents-fire-safety" TargetMode="External"/><Relationship Id="rId4" Type="http://schemas.openxmlformats.org/officeDocument/2006/relationships/footnotes" Target="footnotes.xml"/><Relationship Id="rId9" Type="http://schemas.openxmlformats.org/officeDocument/2006/relationships/hyperlink" Target="https://www.legislation.gov.uk/ukpga/1974/37/contents?utm_source=chatgpt.com" TargetMode="External"/><Relationship Id="rId14" Type="http://schemas.openxmlformats.org/officeDocument/2006/relationships/hyperlink" Target="https://www.hse.gov.uk/msd/manual-handling/index.htm?utm_source=chatgpt.com" TargetMode="External"/><Relationship Id="rId22" Type="http://schemas.openxmlformats.org/officeDocument/2006/relationships/hyperlink" Target="https://www.hse.gov.uk/work-equipment-machinery/loler-overview.htm?utm_source=chatgpt.com" TargetMode="External"/><Relationship Id="rId27" Type="http://schemas.openxmlformats.org/officeDocument/2006/relationships/hyperlink" Target="https://www.legislation.gov.uk/uksi/1998/2306/contents" TargetMode="External"/><Relationship Id="rId30" Type="http://schemas.openxmlformats.org/officeDocument/2006/relationships/hyperlink" Target="https://www.gov.wales/building-regulations-approved-documents-fire-safety" TargetMode="External"/><Relationship Id="rId35" Type="http://schemas.openxmlformats.org/officeDocument/2006/relationships/fontTable" Target="fontTable.xml"/><Relationship Id="rId8" Type="http://schemas.openxmlformats.org/officeDocument/2006/relationships/hyperlink" Target="https://www.legislation.gov.uk/uksi/2002/267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3749</Words>
  <Characters>24034</Characters>
  <Application>Microsoft Office Word</Application>
  <DocSecurity>0</DocSecurity>
  <Lines>462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Safety &amp; Welfare</dc:title>
  <dc:subject>Trainee Health and safety officer assignment</dc:subject>
  <dc:creator>Cory Sibley (2507186)</dc:creator>
  <cp:keywords/>
  <dc:description/>
  <cp:lastModifiedBy>Cory Sibley (2507186)</cp:lastModifiedBy>
  <cp:revision>6</cp:revision>
  <dcterms:created xsi:type="dcterms:W3CDTF">2026-05-06T12:46:00Z</dcterms:created>
  <dcterms:modified xsi:type="dcterms:W3CDTF">2026-05-06T19:55:00Z</dcterms:modified>
</cp:coreProperties>
</file>