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A20363" w14:textId="77777777" w:rsidR="001C59CD" w:rsidRPr="00AC5E79" w:rsidRDefault="001C59CD" w:rsidP="00AC5E79">
      <w:pPr>
        <w:rPr>
          <w:color w:val="FF0000"/>
        </w:rPr>
      </w:pPr>
    </w:p>
    <w:p w14:paraId="5DA5E0C7" w14:textId="77777777" w:rsidR="001C59CD" w:rsidRPr="004F1836" w:rsidRDefault="001C59CD" w:rsidP="001C59CD">
      <w:pPr>
        <w:pStyle w:val="ListParagraph"/>
        <w:rPr>
          <w:rFonts w:ascii="Baskerville" w:hAnsi="Baskerville"/>
          <w:color w:val="FF0000"/>
        </w:rPr>
      </w:pPr>
    </w:p>
    <w:p w14:paraId="6F5507E3" w14:textId="46685460" w:rsidR="001C59CD" w:rsidRPr="004F1836" w:rsidRDefault="001C59CD" w:rsidP="001C59CD">
      <w:pPr>
        <w:pStyle w:val="ListParagraph"/>
        <w:jc w:val="center"/>
        <w:rPr>
          <w:rFonts w:ascii="Baskerville" w:hAnsi="Baskerville"/>
          <w:color w:val="000000" w:themeColor="text1"/>
          <w:u w:val="single"/>
        </w:rPr>
      </w:pPr>
      <w:r w:rsidRPr="004F1836">
        <w:rPr>
          <w:rFonts w:ascii="Baskerville" w:hAnsi="Baskerville"/>
          <w:color w:val="000000" w:themeColor="text1"/>
          <w:u w:val="single"/>
        </w:rPr>
        <w:t xml:space="preserve">Literature Review </w:t>
      </w:r>
    </w:p>
    <w:p w14:paraId="76AF977F" w14:textId="77777777" w:rsidR="001C59CD" w:rsidRPr="004F1836" w:rsidRDefault="001C59CD" w:rsidP="001C59CD">
      <w:pPr>
        <w:pStyle w:val="ListParagraph"/>
        <w:rPr>
          <w:rFonts w:ascii="Baskerville" w:hAnsi="Baskerville"/>
          <w:color w:val="000000" w:themeColor="text1"/>
        </w:rPr>
      </w:pPr>
    </w:p>
    <w:p w14:paraId="79F08D41" w14:textId="2612192B" w:rsidR="004F1836" w:rsidRDefault="008E5090" w:rsidP="004F1836">
      <w:pPr>
        <w:pStyle w:val="ListParagraph"/>
        <w:rPr>
          <w:rFonts w:ascii="Baskerville" w:hAnsi="Baskerville" w:cs="Arial"/>
          <w:color w:val="000000" w:themeColor="text1"/>
        </w:rPr>
      </w:pPr>
      <w:r w:rsidRPr="004F1836">
        <w:rPr>
          <w:rFonts w:ascii="Baskerville" w:hAnsi="Baskerville"/>
          <w:color w:val="000000" w:themeColor="text1"/>
        </w:rPr>
        <w:tab/>
        <w:t>The research question in which I aim to study is ‘Impact of childhood neglect on adult criminal behaviours’</w:t>
      </w:r>
      <w:r w:rsidR="008D439D" w:rsidRPr="004F1836">
        <w:rPr>
          <w:rFonts w:ascii="Baskerville" w:hAnsi="Baskerville"/>
          <w:color w:val="000000" w:themeColor="text1"/>
        </w:rPr>
        <w:t xml:space="preserve">, this is an area of interest as there is </w:t>
      </w:r>
      <w:r w:rsidR="00417BDB" w:rsidRPr="004F1836">
        <w:rPr>
          <w:rFonts w:ascii="Baskerville" w:hAnsi="Baskerville"/>
          <w:color w:val="000000" w:themeColor="text1"/>
        </w:rPr>
        <w:t xml:space="preserve">common debate that an individual’s behaviours and individual agency are indirectly impacted </w:t>
      </w:r>
      <w:r w:rsidR="00FE69DB" w:rsidRPr="004F1836">
        <w:rPr>
          <w:rFonts w:ascii="Baskerville" w:hAnsi="Baskerville"/>
          <w:color w:val="000000" w:themeColor="text1"/>
        </w:rPr>
        <w:t>by</w:t>
      </w:r>
      <w:r w:rsidR="00417BDB" w:rsidRPr="004F1836">
        <w:rPr>
          <w:rFonts w:ascii="Baskerville" w:hAnsi="Baskerville"/>
          <w:color w:val="000000" w:themeColor="text1"/>
        </w:rPr>
        <w:t xml:space="preserve"> their environment </w:t>
      </w:r>
      <w:r w:rsidR="00712367" w:rsidRPr="004F1836">
        <w:rPr>
          <w:rFonts w:ascii="Baskerville" w:hAnsi="Baskerville"/>
          <w:color w:val="000000" w:themeColor="text1"/>
        </w:rPr>
        <w:t xml:space="preserve">and the magnitude in which a parents influence </w:t>
      </w:r>
      <w:r w:rsidR="00A347DE" w:rsidRPr="004F1836">
        <w:rPr>
          <w:rFonts w:ascii="Baskerville" w:hAnsi="Baskerville"/>
          <w:color w:val="000000" w:themeColor="text1"/>
        </w:rPr>
        <w:t>and in turn the effects</w:t>
      </w:r>
      <w:r w:rsidR="00712367" w:rsidRPr="004F1836">
        <w:rPr>
          <w:rFonts w:ascii="Baskerville" w:hAnsi="Baskerville"/>
          <w:color w:val="000000" w:themeColor="text1"/>
        </w:rPr>
        <w:t xml:space="preserve"> </w:t>
      </w:r>
      <w:r w:rsidR="00A347DE" w:rsidRPr="004F1836">
        <w:rPr>
          <w:rFonts w:ascii="Baskerville" w:hAnsi="Baskerville"/>
          <w:color w:val="000000" w:themeColor="text1"/>
        </w:rPr>
        <w:t xml:space="preserve">on </w:t>
      </w:r>
      <w:r w:rsidR="00712367" w:rsidRPr="004F1836">
        <w:rPr>
          <w:rFonts w:ascii="Baskerville" w:hAnsi="Baskerville"/>
          <w:color w:val="000000" w:themeColor="text1"/>
        </w:rPr>
        <w:t>adolescent and adult criminal behaviour.</w:t>
      </w:r>
      <w:r w:rsidR="007B7DDF" w:rsidRPr="004F1836">
        <w:rPr>
          <w:rFonts w:ascii="Baskerville" w:hAnsi="Baskerville"/>
          <w:color w:val="000000" w:themeColor="text1"/>
        </w:rPr>
        <w:t xml:space="preserve"> This research is crucial as if a causation link was made via childhood neglect/parental influence and the impact that this has on adolescent and criminal behaviour it would make way for revelational policies and </w:t>
      </w:r>
      <w:r w:rsidR="00EC5516" w:rsidRPr="004F1836">
        <w:rPr>
          <w:rFonts w:ascii="Baskerville" w:hAnsi="Baskerville"/>
          <w:color w:val="000000" w:themeColor="text1"/>
        </w:rPr>
        <w:t>stagiaries</w:t>
      </w:r>
      <w:r w:rsidR="007B7DDF" w:rsidRPr="004F1836">
        <w:rPr>
          <w:rFonts w:ascii="Baskerville" w:hAnsi="Baskerville"/>
          <w:color w:val="000000" w:themeColor="text1"/>
        </w:rPr>
        <w:t xml:space="preserve"> t</w:t>
      </w:r>
      <w:r w:rsidR="00A347DE" w:rsidRPr="004F1836">
        <w:rPr>
          <w:rFonts w:ascii="Baskerville" w:hAnsi="Baskerville"/>
          <w:color w:val="000000" w:themeColor="text1"/>
        </w:rPr>
        <w:t>hat aim at</w:t>
      </w:r>
      <w:r w:rsidR="007B7DDF" w:rsidRPr="004F1836">
        <w:rPr>
          <w:rFonts w:ascii="Baskerville" w:hAnsi="Baskerville"/>
          <w:color w:val="000000" w:themeColor="text1"/>
        </w:rPr>
        <w:t xml:space="preserve"> reduc</w:t>
      </w:r>
      <w:r w:rsidR="00A347DE" w:rsidRPr="004F1836">
        <w:rPr>
          <w:rFonts w:ascii="Baskerville" w:hAnsi="Baskerville"/>
          <w:color w:val="000000" w:themeColor="text1"/>
        </w:rPr>
        <w:t>ing</w:t>
      </w:r>
      <w:r w:rsidR="00EC5516" w:rsidRPr="004F1836">
        <w:rPr>
          <w:rFonts w:ascii="Baskerville" w:hAnsi="Baskerville"/>
          <w:color w:val="000000" w:themeColor="text1"/>
        </w:rPr>
        <w:t xml:space="preserve"> criminal behaviours among these groups.</w:t>
      </w:r>
      <w:r w:rsidR="00A347DE" w:rsidRPr="004F1836">
        <w:rPr>
          <w:rFonts w:ascii="Baskerville" w:hAnsi="Baskerville"/>
          <w:color w:val="000000" w:themeColor="text1"/>
        </w:rPr>
        <w:t xml:space="preserve"> </w:t>
      </w:r>
      <w:r w:rsidR="00D3708F" w:rsidRPr="004F1836">
        <w:rPr>
          <w:rFonts w:ascii="Baskerville" w:hAnsi="Baskerville"/>
          <w:color w:val="000000" w:themeColor="text1"/>
        </w:rPr>
        <w:t xml:space="preserve">In contrast the rates of youth crime </w:t>
      </w:r>
      <w:r w:rsidR="00940857" w:rsidRPr="004F1836">
        <w:rPr>
          <w:rFonts w:ascii="Baskerville" w:hAnsi="Baskerville"/>
          <w:color w:val="000000" w:themeColor="text1"/>
        </w:rPr>
        <w:t>have</w:t>
      </w:r>
      <w:r w:rsidR="00D3708F" w:rsidRPr="004F1836">
        <w:rPr>
          <w:rFonts w:ascii="Baskerville" w:hAnsi="Baskerville"/>
          <w:color w:val="000000" w:themeColor="text1"/>
        </w:rPr>
        <w:t xml:space="preserve"> decreased by 10% since the previous year, however, the type of crimes that were committed by youths has become more violent, with violence against the person and public order offenses increased by 2%</w:t>
      </w:r>
      <w:r w:rsidR="00FC5D9A" w:rsidRPr="004F1836">
        <w:rPr>
          <w:rFonts w:ascii="Baskerville" w:hAnsi="Baskerville"/>
          <w:color w:val="000000" w:themeColor="text1"/>
        </w:rPr>
        <w:t xml:space="preserve"> (YJB, 2022)</w:t>
      </w:r>
      <w:r w:rsidR="00D3708F" w:rsidRPr="004F1836">
        <w:rPr>
          <w:rFonts w:ascii="Baskerville" w:hAnsi="Baskerville"/>
          <w:color w:val="000000" w:themeColor="text1"/>
        </w:rPr>
        <w:t xml:space="preserve">. </w:t>
      </w:r>
      <w:r w:rsidR="00940857" w:rsidRPr="004F1836">
        <w:rPr>
          <w:rFonts w:ascii="Baskerville" w:hAnsi="Baskerville"/>
          <w:color w:val="000000" w:themeColor="text1"/>
        </w:rPr>
        <w:t xml:space="preserve">It is also suggested that very little is known about parental influence on a child’ ability to respond to negative peer pressure and their willingness to conform to criminal types of behaviours </w:t>
      </w:r>
      <w:r w:rsidR="003828D1" w:rsidRPr="004F1836">
        <w:rPr>
          <w:rFonts w:ascii="Baskerville" w:hAnsi="Baskerville"/>
          <w:color w:val="000000" w:themeColor="text1"/>
        </w:rPr>
        <w:t>and how vertical socialization compares to oblique socialization in these case</w:t>
      </w:r>
      <w:r w:rsidR="00A70FCD" w:rsidRPr="004F1836">
        <w:rPr>
          <w:rFonts w:ascii="Baskerville" w:hAnsi="Baskerville"/>
          <w:color w:val="000000" w:themeColor="text1"/>
        </w:rPr>
        <w:t>’</w:t>
      </w:r>
      <w:r w:rsidR="003828D1" w:rsidRPr="004F1836">
        <w:rPr>
          <w:rFonts w:ascii="Baskerville" w:hAnsi="Baskerville"/>
          <w:color w:val="000000" w:themeColor="text1"/>
        </w:rPr>
        <w:t xml:space="preserve"> (Diaz. C, 2020)</w:t>
      </w:r>
      <w:r w:rsidR="00D7009E" w:rsidRPr="004F1836">
        <w:rPr>
          <w:rFonts w:ascii="Baskerville" w:hAnsi="Baskerville"/>
          <w:color w:val="000000" w:themeColor="text1"/>
        </w:rPr>
        <w:t xml:space="preserve">, with this study revealing that there is strong evidence to suggest that ‘spill overs on youth criminal activity and of negative effects with parental involvement’. </w:t>
      </w:r>
      <w:r w:rsidR="004F1836" w:rsidRPr="004F1836">
        <w:rPr>
          <w:rFonts w:ascii="Baskerville" w:hAnsi="Baskerville" w:cs="Arial"/>
          <w:color w:val="000000" w:themeColor="text1"/>
        </w:rPr>
        <w:t>In this ever-changing environment the percentage of youth and young adult committing offenses has risen expeditiously and fall hand in hand with the criminological risks such as alcohol and substance abuse. This topic is one in which there is much research already conducted and criminological insight that show correlations between the impact of neglect during childhood and the onset of criminal behaviours and tendencies.</w:t>
      </w:r>
      <w:r w:rsidR="003E13EB">
        <w:rPr>
          <w:rFonts w:ascii="Baskerville" w:hAnsi="Baskerville" w:cs="Arial"/>
          <w:color w:val="000000" w:themeColor="text1"/>
        </w:rPr>
        <w:t xml:space="preserve"> </w:t>
      </w:r>
      <w:r w:rsidR="003E13EB" w:rsidRPr="004E20C7">
        <w:rPr>
          <w:rFonts w:ascii="Baskerville" w:hAnsi="Baskerville" w:cs="Arial"/>
          <w:color w:val="000000" w:themeColor="text1"/>
        </w:rPr>
        <w:t xml:space="preserve">There is evidence that strongly suggests that children that has experiences of child abuse/neglect during their childhood then the probability of being involved in later criminality doubles when compared against those that did not experience childhood abuse/neglect </w:t>
      </w:r>
      <w:r w:rsidR="003E13EB" w:rsidRPr="004E20C7">
        <w:rPr>
          <w:rFonts w:ascii="Baskerville" w:hAnsi="Baskerville" w:cs="Arial"/>
        </w:rPr>
        <w:t>with the effects of this being felt heavier on those from low socio-economic status backgrounds</w:t>
      </w:r>
      <w:r w:rsidR="003E13EB">
        <w:rPr>
          <w:rFonts w:ascii="Baskerville" w:hAnsi="Baskerville" w:cs="Arial"/>
        </w:rPr>
        <w:t xml:space="preserve">. The aim is to also research and explore early prevention tactics and how effective these actually are. </w:t>
      </w:r>
      <w:r w:rsidR="004F1836" w:rsidRPr="004F1836">
        <w:rPr>
          <w:rFonts w:ascii="Baskerville" w:hAnsi="Baskerville" w:cs="Arial"/>
          <w:color w:val="000000" w:themeColor="text1"/>
        </w:rPr>
        <w:t xml:space="preserve"> </w:t>
      </w:r>
    </w:p>
    <w:p w14:paraId="65CD2B2E" w14:textId="77777777" w:rsidR="006B1DDC" w:rsidRDefault="006B1DDC" w:rsidP="004F1836">
      <w:pPr>
        <w:pStyle w:val="ListParagraph"/>
        <w:rPr>
          <w:rFonts w:ascii="Baskerville" w:hAnsi="Baskerville" w:cs="Arial"/>
          <w:color w:val="000000" w:themeColor="text1"/>
        </w:rPr>
      </w:pPr>
    </w:p>
    <w:p w14:paraId="27AC3EEE" w14:textId="77777777" w:rsidR="00877776" w:rsidRDefault="006B1DDC" w:rsidP="004F1836">
      <w:pPr>
        <w:pStyle w:val="ListParagraph"/>
        <w:rPr>
          <w:rFonts w:ascii="Baskerville" w:hAnsi="Baskerville" w:cs="Arial"/>
          <w:color w:val="000000" w:themeColor="text1"/>
        </w:rPr>
      </w:pPr>
      <w:r>
        <w:rPr>
          <w:rFonts w:ascii="Baskerville" w:hAnsi="Baskerville" w:cs="Arial"/>
          <w:color w:val="000000" w:themeColor="text1"/>
        </w:rPr>
        <w:tab/>
        <w:t xml:space="preserve">Before this question can be fully examined first the concept of culpability must be considered. </w:t>
      </w:r>
      <w:r w:rsidR="005C5E11">
        <w:rPr>
          <w:rFonts w:ascii="Baskerville" w:hAnsi="Baskerville" w:cs="Arial"/>
          <w:color w:val="000000" w:themeColor="text1"/>
        </w:rPr>
        <w:t>The term culpability is comprehended by responsibility or being at fault, in terms of a crime, culpability would be referred to as guilty</w:t>
      </w:r>
      <w:r w:rsidR="00B17743">
        <w:rPr>
          <w:rFonts w:ascii="Baskerville" w:hAnsi="Baskerville" w:cs="Arial"/>
          <w:color w:val="000000" w:themeColor="text1"/>
        </w:rPr>
        <w:t>,</w:t>
      </w:r>
      <w:r w:rsidR="005C5E11">
        <w:rPr>
          <w:rFonts w:ascii="Baskerville" w:hAnsi="Baskerville" w:cs="Arial"/>
          <w:color w:val="000000" w:themeColor="text1"/>
        </w:rPr>
        <w:t xml:space="preserve"> perhaps</w:t>
      </w:r>
      <w:r w:rsidR="00C57F9A">
        <w:rPr>
          <w:rFonts w:ascii="Baskerville" w:hAnsi="Baskerville" w:cs="Arial"/>
          <w:color w:val="000000" w:themeColor="text1"/>
        </w:rPr>
        <w:t xml:space="preserve">. However, here the extent in which an individual is culpable ranges, it is not as simple as guilty or not guilty. For example, </w:t>
      </w:r>
      <w:r w:rsidR="005E5994">
        <w:rPr>
          <w:rFonts w:ascii="Baskerville" w:hAnsi="Baskerville" w:cs="Arial"/>
          <w:color w:val="000000" w:themeColor="text1"/>
        </w:rPr>
        <w:t xml:space="preserve">if an adult and a child commit the same crime should they be punished the same? Or if a person was suffering from a mental </w:t>
      </w:r>
      <w:r w:rsidR="006005FE">
        <w:rPr>
          <w:rFonts w:ascii="Baskerville" w:hAnsi="Baskerville" w:cs="Arial"/>
          <w:color w:val="000000" w:themeColor="text1"/>
        </w:rPr>
        <w:t>disorder,</w:t>
      </w:r>
      <w:r w:rsidR="005E5994">
        <w:rPr>
          <w:rFonts w:ascii="Baskerville" w:hAnsi="Baskerville" w:cs="Arial"/>
          <w:color w:val="000000" w:themeColor="text1"/>
        </w:rPr>
        <w:t xml:space="preserve"> then then culpability is diminished</w:t>
      </w:r>
      <w:r w:rsidR="00B26954">
        <w:rPr>
          <w:rFonts w:ascii="Baskerville" w:hAnsi="Baskerville" w:cs="Arial"/>
          <w:color w:val="000000" w:themeColor="text1"/>
        </w:rPr>
        <w:t xml:space="preserve">. </w:t>
      </w:r>
      <w:r w:rsidR="006005FE">
        <w:rPr>
          <w:rFonts w:ascii="Baskerville" w:hAnsi="Baskerville" w:cs="Arial"/>
          <w:color w:val="000000" w:themeColor="text1"/>
        </w:rPr>
        <w:t xml:space="preserve">This idea of culpability is considered with youth crime, whereas ‘punishment’ is seen more as rehabilitative and here the role of mitigation </w:t>
      </w:r>
      <w:r w:rsidR="00AC2383">
        <w:rPr>
          <w:rFonts w:ascii="Baskerville" w:hAnsi="Baskerville" w:cs="Arial"/>
          <w:color w:val="000000" w:themeColor="text1"/>
        </w:rPr>
        <w:t>plays</w:t>
      </w:r>
      <w:r w:rsidR="006005FE">
        <w:rPr>
          <w:rFonts w:ascii="Baskerville" w:hAnsi="Baskerville" w:cs="Arial"/>
          <w:color w:val="000000" w:themeColor="text1"/>
        </w:rPr>
        <w:t xml:space="preserve"> a crucial role in blame and punishment. </w:t>
      </w:r>
      <w:r w:rsidR="00AC2383">
        <w:rPr>
          <w:rFonts w:ascii="Baskerville" w:hAnsi="Baskerville" w:cs="Arial"/>
          <w:color w:val="000000" w:themeColor="text1"/>
        </w:rPr>
        <w:t>There has been research conducted by Elizabeth S. Scott and Laurence Steinberg (2008)</w:t>
      </w:r>
      <w:r w:rsidR="0003645F">
        <w:rPr>
          <w:rFonts w:ascii="Baskerville" w:hAnsi="Baskerville" w:cs="Arial"/>
          <w:color w:val="000000" w:themeColor="text1"/>
        </w:rPr>
        <w:t xml:space="preserve"> that suggested that </w:t>
      </w:r>
      <w:r w:rsidR="00015457">
        <w:rPr>
          <w:rFonts w:ascii="Baskerville" w:hAnsi="Baskerville" w:cs="Arial"/>
          <w:color w:val="000000" w:themeColor="text1"/>
        </w:rPr>
        <w:t xml:space="preserve">within </w:t>
      </w:r>
      <w:r w:rsidR="0003645F">
        <w:rPr>
          <w:rFonts w:ascii="Baskerville" w:hAnsi="Baskerville" w:cs="Arial"/>
          <w:color w:val="000000" w:themeColor="text1"/>
        </w:rPr>
        <w:t>developmental psychology</w:t>
      </w:r>
      <w:r w:rsidR="00015457">
        <w:rPr>
          <w:rFonts w:ascii="Baskerville" w:hAnsi="Baskerville" w:cs="Arial"/>
          <w:color w:val="000000" w:themeColor="text1"/>
        </w:rPr>
        <w:t xml:space="preserve"> there are several</w:t>
      </w:r>
      <w:r w:rsidR="0003645F">
        <w:rPr>
          <w:rFonts w:ascii="Baskerville" w:hAnsi="Baskerville" w:cs="Arial"/>
          <w:color w:val="000000" w:themeColor="text1"/>
        </w:rPr>
        <w:t xml:space="preserve"> characteristics, (such as deficiencies in decision-making, greater vulnerability and external coercion) that lead to the ‘unformed’ nature of adolescent character and ways in which this </w:t>
      </w:r>
      <w:r w:rsidR="004F563E">
        <w:rPr>
          <w:rFonts w:ascii="Baskerville" w:hAnsi="Baskerville" w:cs="Arial"/>
          <w:color w:val="000000" w:themeColor="text1"/>
        </w:rPr>
        <w:t>mitigates</w:t>
      </w:r>
      <w:r w:rsidR="0003645F">
        <w:rPr>
          <w:rFonts w:ascii="Baskerville" w:hAnsi="Baskerville" w:cs="Arial"/>
          <w:color w:val="000000" w:themeColor="text1"/>
        </w:rPr>
        <w:t xml:space="preserve"> culpability. </w:t>
      </w:r>
      <w:r w:rsidR="004F563E">
        <w:rPr>
          <w:rFonts w:ascii="Baskerville" w:hAnsi="Baskerville" w:cs="Arial"/>
          <w:color w:val="000000" w:themeColor="text1"/>
        </w:rPr>
        <w:t xml:space="preserve">This is relevant to </w:t>
      </w:r>
      <w:r w:rsidR="000E5D81">
        <w:rPr>
          <w:rFonts w:ascii="Baskerville" w:hAnsi="Baskerville" w:cs="Arial"/>
          <w:color w:val="000000" w:themeColor="text1"/>
        </w:rPr>
        <w:t xml:space="preserve">the research question as it allows for the </w:t>
      </w:r>
      <w:r w:rsidR="00662EF5">
        <w:rPr>
          <w:rFonts w:ascii="Baskerville" w:hAnsi="Baskerville" w:cs="Arial"/>
          <w:color w:val="000000" w:themeColor="text1"/>
        </w:rPr>
        <w:t>viewpoint</w:t>
      </w:r>
      <w:r w:rsidR="000E5D81">
        <w:rPr>
          <w:rFonts w:ascii="Baskerville" w:hAnsi="Baskerville" w:cs="Arial"/>
          <w:color w:val="000000" w:themeColor="text1"/>
        </w:rPr>
        <w:t xml:space="preserve"> that there is evidence to suggest that young offenders are not as culpable as adults</w:t>
      </w:r>
      <w:r w:rsidR="00D8497E">
        <w:rPr>
          <w:rFonts w:ascii="Baskerville" w:hAnsi="Baskerville" w:cs="Arial"/>
          <w:color w:val="000000" w:themeColor="text1"/>
        </w:rPr>
        <w:t>, it also would suggest that youth crime is a product of an unformed character</w:t>
      </w:r>
      <w:r w:rsidR="000E5D81">
        <w:rPr>
          <w:rFonts w:ascii="Baskerville" w:hAnsi="Baskerville" w:cs="Arial"/>
          <w:color w:val="000000" w:themeColor="text1"/>
        </w:rPr>
        <w:t>.</w:t>
      </w:r>
      <w:r w:rsidR="00D8497E">
        <w:rPr>
          <w:rFonts w:ascii="Baskerville" w:hAnsi="Baskerville" w:cs="Arial"/>
          <w:color w:val="000000" w:themeColor="text1"/>
        </w:rPr>
        <w:t xml:space="preserve"> </w:t>
      </w:r>
      <w:r w:rsidR="00037115">
        <w:rPr>
          <w:rFonts w:ascii="Baskerville" w:hAnsi="Baskerville" w:cs="Arial"/>
          <w:color w:val="000000" w:themeColor="text1"/>
        </w:rPr>
        <w:t xml:space="preserve">Again, there is further research conducted by Richard J. Bonnie and Elizabeth S. Scott (2013) that link neuroscience evidence to risk taking in youths. </w:t>
      </w:r>
      <w:r w:rsidR="00CE2891">
        <w:rPr>
          <w:rFonts w:ascii="Baskerville" w:hAnsi="Baskerville" w:cs="Arial"/>
          <w:color w:val="000000" w:themeColor="text1"/>
        </w:rPr>
        <w:t xml:space="preserve">The aim of this research is to </w:t>
      </w:r>
      <w:r w:rsidR="00CE2891">
        <w:rPr>
          <w:rFonts w:ascii="Baskerville" w:hAnsi="Baskerville" w:cs="Arial"/>
          <w:color w:val="000000" w:themeColor="text1"/>
        </w:rPr>
        <w:lastRenderedPageBreak/>
        <w:t>explore and understand the reasoning in which youths become involved in risky activity an</w:t>
      </w:r>
      <w:r w:rsidR="00167B3F">
        <w:rPr>
          <w:rFonts w:ascii="Baskerville" w:hAnsi="Baskerville" w:cs="Arial"/>
          <w:color w:val="000000" w:themeColor="text1"/>
        </w:rPr>
        <w:t>d</w:t>
      </w:r>
      <w:r w:rsidR="00CE2891">
        <w:rPr>
          <w:rFonts w:ascii="Baskerville" w:hAnsi="Baskerville" w:cs="Arial"/>
          <w:color w:val="000000" w:themeColor="text1"/>
        </w:rPr>
        <w:t xml:space="preserve"> how this affects them later in adulthood</w:t>
      </w:r>
      <w:r w:rsidR="00263E68">
        <w:rPr>
          <w:rFonts w:ascii="Baskerville" w:hAnsi="Baskerville" w:cs="Arial"/>
          <w:color w:val="000000" w:themeColor="text1"/>
        </w:rPr>
        <w:t>, with links between asymmetric’ within the frontal cortex and timing in which this develops and the ways in which the contributes to ‘risky</w:t>
      </w:r>
      <w:r w:rsidR="00A119CE">
        <w:rPr>
          <w:rFonts w:ascii="Baskerville" w:hAnsi="Baskerville" w:cs="Arial"/>
          <w:color w:val="000000" w:themeColor="text1"/>
        </w:rPr>
        <w:t>’</w:t>
      </w:r>
      <w:r w:rsidR="00263E68">
        <w:rPr>
          <w:rFonts w:ascii="Baskerville" w:hAnsi="Baskerville" w:cs="Arial"/>
          <w:color w:val="000000" w:themeColor="text1"/>
        </w:rPr>
        <w:t xml:space="preserve"> </w:t>
      </w:r>
      <w:r w:rsidR="00A119CE">
        <w:rPr>
          <w:rFonts w:ascii="Baskerville" w:hAnsi="Baskerville" w:cs="Arial"/>
          <w:color w:val="000000" w:themeColor="text1"/>
        </w:rPr>
        <w:t>behaviours</w:t>
      </w:r>
      <w:r w:rsidR="00167B3F">
        <w:rPr>
          <w:rFonts w:ascii="Baskerville" w:hAnsi="Baskerville" w:cs="Arial"/>
          <w:color w:val="000000" w:themeColor="text1"/>
        </w:rPr>
        <w:t xml:space="preserve">. This research has captured the attention of </w:t>
      </w:r>
      <w:r w:rsidR="00A119CE">
        <w:rPr>
          <w:rFonts w:ascii="Baskerville" w:hAnsi="Baskerville" w:cs="Arial"/>
          <w:color w:val="000000" w:themeColor="text1"/>
        </w:rPr>
        <w:t>lawmakers</w:t>
      </w:r>
      <w:r w:rsidR="00167B3F">
        <w:rPr>
          <w:rFonts w:ascii="Baskerville" w:hAnsi="Baskerville" w:cs="Arial"/>
          <w:color w:val="000000" w:themeColor="text1"/>
        </w:rPr>
        <w:t xml:space="preserve"> and even cited within courts with the intent to support laws and policies that allow for the more lenient punishment of youth crimes.</w:t>
      </w:r>
      <w:r w:rsidR="00D85AD8">
        <w:rPr>
          <w:rFonts w:ascii="Baskerville" w:hAnsi="Baskerville" w:cs="Arial"/>
          <w:color w:val="000000" w:themeColor="text1"/>
        </w:rPr>
        <w:t xml:space="preserve">  To </w:t>
      </w:r>
      <w:r w:rsidR="006E1CDC">
        <w:rPr>
          <w:rFonts w:ascii="Baskerville" w:hAnsi="Baskerville" w:cs="Arial"/>
          <w:color w:val="000000" w:themeColor="text1"/>
        </w:rPr>
        <w:t>summarize, the</w:t>
      </w:r>
      <w:r w:rsidR="00D85AD8" w:rsidRPr="00D85AD8">
        <w:rPr>
          <w:rFonts w:ascii="Baskerville" w:hAnsi="Baskerville" w:cs="Arial"/>
          <w:color w:val="000000" w:themeColor="text1"/>
        </w:rPr>
        <w:t xml:space="preserve"> adolescent brain reacts differently to stimuli than the adult brain. The combination of exaggerated sensitivity to the rewards offered by many high-risk behaviours, a reduced sensitivity to adverse effects, and the insufficient power of immature frontal cognitive control all contribute to adolescent risk-taking.</w:t>
      </w:r>
      <w:r w:rsidR="006E1CDC">
        <w:rPr>
          <w:rFonts w:ascii="Baskerville" w:hAnsi="Baskerville" w:cs="Arial"/>
          <w:color w:val="000000" w:themeColor="text1"/>
        </w:rPr>
        <w:t xml:space="preserve"> However, the limitation of this study is there is no define reasoning as to why the brain develops in this way and little to no research in to how experience of abuse within childhood could create these </w:t>
      </w:r>
      <w:r w:rsidR="00D5020D">
        <w:rPr>
          <w:rFonts w:ascii="Baskerville" w:hAnsi="Baskerville" w:cs="Arial"/>
          <w:color w:val="000000" w:themeColor="text1"/>
        </w:rPr>
        <w:t xml:space="preserve">characteristics and this is where the research question </w:t>
      </w:r>
      <w:r w:rsidR="00D5020D">
        <w:rPr>
          <w:rFonts w:ascii="Baskerville" w:hAnsi="Baskerville"/>
          <w:color w:val="000000" w:themeColor="text1"/>
        </w:rPr>
        <w:t>i</w:t>
      </w:r>
      <w:r w:rsidR="00D5020D" w:rsidRPr="004F1836">
        <w:rPr>
          <w:rFonts w:ascii="Baskerville" w:hAnsi="Baskerville"/>
          <w:color w:val="000000" w:themeColor="text1"/>
        </w:rPr>
        <w:t>mpact of childhood neglect on adult criminal behaviours</w:t>
      </w:r>
      <w:r w:rsidR="00D5020D">
        <w:rPr>
          <w:rFonts w:ascii="Baskerville" w:hAnsi="Baskerville"/>
          <w:color w:val="000000" w:themeColor="text1"/>
        </w:rPr>
        <w:t xml:space="preserve"> aims to fill that gap</w:t>
      </w:r>
      <w:r w:rsidR="006E1CDC">
        <w:rPr>
          <w:rFonts w:ascii="Baskerville" w:hAnsi="Baskerville" w:cs="Arial"/>
          <w:color w:val="000000" w:themeColor="text1"/>
        </w:rPr>
        <w:t>.</w:t>
      </w:r>
    </w:p>
    <w:p w14:paraId="5A88D7C6" w14:textId="77777777" w:rsidR="0090223C" w:rsidRDefault="0090223C" w:rsidP="004F1836">
      <w:pPr>
        <w:pStyle w:val="ListParagraph"/>
        <w:rPr>
          <w:rFonts w:ascii="Baskerville" w:hAnsi="Baskerville" w:cs="Arial"/>
          <w:color w:val="000000" w:themeColor="text1"/>
        </w:rPr>
      </w:pPr>
    </w:p>
    <w:p w14:paraId="543F2B64" w14:textId="4D2536A5" w:rsidR="000B53C9" w:rsidRPr="00B73BCC" w:rsidRDefault="0090223C" w:rsidP="00A11265">
      <w:pPr>
        <w:pStyle w:val="ListParagraph"/>
        <w:rPr>
          <w:rFonts w:ascii="Baskerville" w:hAnsi="Baskerville" w:cs="Arial"/>
          <w:color w:val="000000" w:themeColor="text1"/>
        </w:rPr>
      </w:pPr>
      <w:r>
        <w:rPr>
          <w:rFonts w:ascii="Baskerville" w:hAnsi="Baskerville" w:cs="Arial"/>
          <w:color w:val="000000" w:themeColor="text1"/>
        </w:rPr>
        <w:tab/>
        <w:t xml:space="preserve">A research study was conducted in (2015) that explored the effects if physical and emotional child abuse and its causation link to crime within adulthood. </w:t>
      </w:r>
      <w:r w:rsidR="00352E72">
        <w:rPr>
          <w:rFonts w:ascii="Baskerville" w:hAnsi="Baskerville" w:cs="Arial"/>
          <w:color w:val="000000" w:themeColor="text1"/>
        </w:rPr>
        <w:t xml:space="preserve">The study suggested that there is an abundance of strong evidence to suggest that physical and emotional child abuse is linked to later forms of anti-social behaviours and criminal activity. </w:t>
      </w:r>
      <w:r w:rsidR="006F6449">
        <w:rPr>
          <w:rFonts w:ascii="Baskerville" w:hAnsi="Baskerville" w:cs="Arial"/>
          <w:color w:val="000000" w:themeColor="text1"/>
        </w:rPr>
        <w:t xml:space="preserve">The methodology of this study focused on prospectively measuring the occurrence of physical and emotional abuse occurrence and length (chronicity) and compare to an adult self-respect </w:t>
      </w:r>
      <w:r w:rsidR="00B90821">
        <w:rPr>
          <w:rFonts w:ascii="Baskerville" w:hAnsi="Baskerville" w:cs="Arial"/>
          <w:color w:val="000000" w:themeColor="text1"/>
        </w:rPr>
        <w:t>crime</w:t>
      </w:r>
      <w:r w:rsidR="00DC0A78">
        <w:rPr>
          <w:rFonts w:ascii="Baskerville" w:hAnsi="Baskerville" w:cs="Arial"/>
          <w:color w:val="000000" w:themeColor="text1"/>
        </w:rPr>
        <w:t xml:space="preserve"> and was concluded that there were significantly higher rates of arrests at the age of 24 amongst the participants who has been abused</w:t>
      </w:r>
      <w:r w:rsidR="006F6449">
        <w:rPr>
          <w:rFonts w:ascii="Baskerville" w:hAnsi="Baskerville" w:cs="Arial"/>
          <w:color w:val="000000" w:themeColor="text1"/>
        </w:rPr>
        <w:t xml:space="preserve">. </w:t>
      </w:r>
      <w:r w:rsidR="00B90821">
        <w:rPr>
          <w:rFonts w:ascii="Baskerville" w:hAnsi="Baskerville" w:cs="Arial"/>
          <w:color w:val="000000" w:themeColor="text1"/>
        </w:rPr>
        <w:t xml:space="preserve">It was concluded by </w:t>
      </w:r>
      <w:r w:rsidR="00B90821" w:rsidRPr="00B24E8A">
        <w:rPr>
          <w:rFonts w:ascii="Baskerville" w:hAnsi="Baskerville" w:cs="Arial"/>
          <w:color w:val="000000" w:themeColor="text1"/>
        </w:rPr>
        <w:t>Smith and Thornberry (1995)</w:t>
      </w:r>
      <w:r w:rsidR="006F6449" w:rsidRPr="00B24E8A">
        <w:rPr>
          <w:rFonts w:ascii="Baskerville" w:hAnsi="Baskerville" w:cs="Arial"/>
          <w:color w:val="000000" w:themeColor="text1"/>
        </w:rPr>
        <w:t xml:space="preserve"> </w:t>
      </w:r>
      <w:r w:rsidR="00B90821">
        <w:rPr>
          <w:rFonts w:ascii="Baskerville" w:hAnsi="Baskerville" w:cs="Arial"/>
          <w:color w:val="000000" w:themeColor="text1"/>
        </w:rPr>
        <w:t xml:space="preserve">that measure of officially recorded child abuse was linked closely with more serious forms of crime, including by not limited to, theft, assault and anti-social behaviour in adolescent’. </w:t>
      </w:r>
      <w:r w:rsidR="0075484A">
        <w:rPr>
          <w:rFonts w:ascii="Baskerville" w:hAnsi="Baskerville" w:cs="Arial"/>
          <w:color w:val="000000" w:themeColor="text1"/>
        </w:rPr>
        <w:t xml:space="preserve">It is important to note here that during this research the association between abuse types was not maintained when certain demographics such as gender, race and family structure were </w:t>
      </w:r>
      <w:r w:rsidR="00DC0A78">
        <w:rPr>
          <w:rFonts w:ascii="Baskerville" w:hAnsi="Baskerville" w:cs="Arial"/>
          <w:color w:val="000000" w:themeColor="text1"/>
        </w:rPr>
        <w:t>considered</w:t>
      </w:r>
      <w:r w:rsidR="0075484A">
        <w:rPr>
          <w:rFonts w:ascii="Baskerville" w:hAnsi="Baskerville" w:cs="Arial"/>
          <w:color w:val="000000" w:themeColor="text1"/>
        </w:rPr>
        <w:t>, here this is a limitation of the study as this greatly affects the internal validity and makes it difficult to expand the findings into other areas.</w:t>
      </w:r>
      <w:r w:rsidR="00C00A3B">
        <w:rPr>
          <w:rFonts w:ascii="Baskerville" w:hAnsi="Baskerville" w:cs="Arial"/>
          <w:color w:val="000000" w:themeColor="text1"/>
        </w:rPr>
        <w:t xml:space="preserve"> </w:t>
      </w:r>
      <w:r w:rsidR="00197A6A">
        <w:rPr>
          <w:rFonts w:ascii="Baskerville" w:hAnsi="Baskerville" w:cs="Arial"/>
          <w:color w:val="000000" w:themeColor="text1"/>
        </w:rPr>
        <w:t>There however, was a causation link that was found during this study</w:t>
      </w:r>
      <w:r w:rsidR="00DC430E">
        <w:rPr>
          <w:rFonts w:ascii="Baskerville" w:hAnsi="Baskerville" w:cs="Arial"/>
          <w:color w:val="000000" w:themeColor="text1"/>
        </w:rPr>
        <w:t xml:space="preserve"> between the frequency of abuse reports and violent crime through the ages of 13 to 17 years</w:t>
      </w:r>
      <w:r w:rsidR="004D70AB">
        <w:rPr>
          <w:rFonts w:ascii="Baskerville" w:hAnsi="Baskerville" w:cs="Arial"/>
          <w:color w:val="000000" w:themeColor="text1"/>
        </w:rPr>
        <w:t xml:space="preserve"> old</w:t>
      </w:r>
      <w:r w:rsidR="00DC430E">
        <w:rPr>
          <w:rFonts w:ascii="Baskerville" w:hAnsi="Baskerville" w:cs="Arial"/>
          <w:color w:val="000000" w:themeColor="text1"/>
        </w:rPr>
        <w:t>.</w:t>
      </w:r>
      <w:r w:rsidR="00792B52">
        <w:rPr>
          <w:rFonts w:ascii="Baskerville" w:hAnsi="Baskerville" w:cs="Arial"/>
          <w:color w:val="000000" w:themeColor="text1"/>
        </w:rPr>
        <w:t xml:space="preserve"> </w:t>
      </w:r>
      <w:r w:rsidR="00D51D65">
        <w:rPr>
          <w:rFonts w:ascii="Baskerville" w:hAnsi="Baskerville" w:cs="Arial"/>
          <w:color w:val="000000" w:themeColor="text1"/>
        </w:rPr>
        <w:t xml:space="preserve">This leading to the researchers to conclude that multiple child abuse reports lead to an increased risk of youth violent offensives later being </w:t>
      </w:r>
      <w:r w:rsidR="006D1300">
        <w:rPr>
          <w:rFonts w:ascii="Baskerville" w:hAnsi="Baskerville" w:cs="Arial"/>
          <w:color w:val="000000" w:themeColor="text1"/>
        </w:rPr>
        <w:t>committed</w:t>
      </w:r>
      <w:r w:rsidR="00D51D65">
        <w:rPr>
          <w:rFonts w:ascii="Baskerville" w:hAnsi="Baskerville" w:cs="Arial"/>
          <w:color w:val="000000" w:themeColor="text1"/>
        </w:rPr>
        <w:t xml:space="preserve"> as well as an increased risk of substance abuse and child abuse perpetration in adulthood.</w:t>
      </w:r>
      <w:r w:rsidR="00CB1852">
        <w:rPr>
          <w:rFonts w:ascii="Baskerville" w:hAnsi="Baskerville" w:cs="Arial"/>
          <w:color w:val="000000" w:themeColor="text1"/>
        </w:rPr>
        <w:t xml:space="preserve"> </w:t>
      </w:r>
      <w:r w:rsidR="00CB1852" w:rsidRPr="00CB1852">
        <w:rPr>
          <w:rFonts w:ascii="Baskerville" w:hAnsi="Baskerville" w:cs="Arial"/>
          <w:color w:val="000000" w:themeColor="text1"/>
        </w:rPr>
        <w:t>H</w:t>
      </w:r>
      <w:r w:rsidR="00352E72" w:rsidRPr="00CB1852">
        <w:rPr>
          <w:rFonts w:ascii="Baskerville" w:hAnsi="Baskerville" w:cs="Arial"/>
          <w:color w:val="000000" w:themeColor="text1"/>
        </w:rPr>
        <w:t xml:space="preserve">owever, there is little to no evidence into the unique effects on adulthood criminality verse the type of abuse either physical or emotional and thus the compounding risk of abuse chronicity. </w:t>
      </w:r>
      <w:r w:rsidR="00B73BCC">
        <w:rPr>
          <w:rFonts w:ascii="Baskerville" w:hAnsi="Baskerville" w:cs="Arial"/>
          <w:color w:val="000000" w:themeColor="text1"/>
        </w:rPr>
        <w:t xml:space="preserve">One possible explanation of this could be a theory that is referred to as social learning theory. Albert Bandura’ social learning theory is described within his book (social learning theory, 1977) as </w:t>
      </w:r>
      <w:r w:rsidR="00B73BCC" w:rsidRPr="00B73BCC">
        <w:rPr>
          <w:rFonts w:ascii="Baskerville" w:hAnsi="Baskerville" w:cs="Arial"/>
          <w:color w:val="000000" w:themeColor="text1"/>
        </w:rPr>
        <w:t xml:space="preserve">"most human behavior is learned observationally through </w:t>
      </w:r>
      <w:r w:rsidR="00B73BCC" w:rsidRPr="00B73BCC">
        <w:rPr>
          <w:rFonts w:ascii="Baskerville" w:hAnsi="Baskerville" w:cs="Arial"/>
          <w:color w:val="000000" w:themeColor="text1"/>
        </w:rPr>
        <w:t>modelling</w:t>
      </w:r>
      <w:r w:rsidR="00B73BCC" w:rsidRPr="00B73BCC">
        <w:rPr>
          <w:rFonts w:ascii="Baskerville" w:hAnsi="Baskerville" w:cs="Arial"/>
          <w:color w:val="000000" w:themeColor="text1"/>
        </w:rPr>
        <w:t>: from observing others one forms an idea of how new behaviors are performed, and on later occasions, this coded information serves as a guide for action"</w:t>
      </w:r>
      <w:r w:rsidR="007C263E">
        <w:rPr>
          <w:rFonts w:ascii="Baskerville" w:hAnsi="Baskerville" w:cs="Arial"/>
          <w:color w:val="000000" w:themeColor="text1"/>
        </w:rPr>
        <w:t xml:space="preserve">. </w:t>
      </w:r>
      <w:r w:rsidR="00CA10B0">
        <w:rPr>
          <w:rFonts w:ascii="Baskerville" w:hAnsi="Baskerville" w:cs="Arial"/>
          <w:color w:val="000000" w:themeColor="text1"/>
        </w:rPr>
        <w:t xml:space="preserve">Which means that every individual </w:t>
      </w:r>
      <w:r w:rsidR="008F20A0">
        <w:rPr>
          <w:rFonts w:ascii="Baskerville" w:hAnsi="Baskerville" w:cs="Arial"/>
          <w:color w:val="000000" w:themeColor="text1"/>
        </w:rPr>
        <w:t>experience</w:t>
      </w:r>
      <w:r w:rsidR="00CA10B0">
        <w:rPr>
          <w:rFonts w:ascii="Baskerville" w:hAnsi="Baskerville" w:cs="Arial"/>
          <w:color w:val="000000" w:themeColor="text1"/>
        </w:rPr>
        <w:t xml:space="preserve"> different </w:t>
      </w:r>
      <w:r w:rsidR="0087221B">
        <w:rPr>
          <w:rFonts w:ascii="Baskerville" w:hAnsi="Baskerville" w:cs="Arial"/>
          <w:color w:val="000000" w:themeColor="text1"/>
        </w:rPr>
        <w:t>environment</w:t>
      </w:r>
      <w:r w:rsidR="00CA10B0">
        <w:rPr>
          <w:rFonts w:ascii="Baskerville" w:hAnsi="Baskerville" w:cs="Arial"/>
          <w:color w:val="000000" w:themeColor="text1"/>
        </w:rPr>
        <w:t xml:space="preserve"> during childhood whether this be positive or negative and this indirectly has an impact on development of criminal behaviours and tendencies. For example, if a child’ environment and relationships within the home is hostile they are very likely to display the same behaviours outside of the home.</w:t>
      </w:r>
      <w:r w:rsidR="008F20A0">
        <w:rPr>
          <w:rFonts w:ascii="Baskerville" w:hAnsi="Baskerville" w:cs="Arial"/>
          <w:color w:val="000000" w:themeColor="text1"/>
        </w:rPr>
        <w:t xml:space="preserve"> </w:t>
      </w:r>
      <w:r w:rsidR="004372E3">
        <w:rPr>
          <w:rFonts w:ascii="Baskerville" w:hAnsi="Baskerville" w:cs="Arial"/>
          <w:color w:val="000000" w:themeColor="text1"/>
        </w:rPr>
        <w:t>This assumption gives a strong indicator that the act of violence is a learned behaviour within childhood and repeated in their adult relationships</w:t>
      </w:r>
      <w:r w:rsidR="000B53C9">
        <w:rPr>
          <w:rFonts w:ascii="Baskerville" w:hAnsi="Baskerville" w:cs="Arial"/>
          <w:color w:val="000000" w:themeColor="text1"/>
        </w:rPr>
        <w:t xml:space="preserve"> and develops an u</w:t>
      </w:r>
      <w:r w:rsidR="000B53C9" w:rsidRPr="00B73BCC">
        <w:rPr>
          <w:rFonts w:ascii="Baskerville" w:hAnsi="Baskerville" w:cs="Arial"/>
          <w:color w:val="000000" w:themeColor="text1"/>
        </w:rPr>
        <w:t xml:space="preserve">nderstanding social learning principles can be </w:t>
      </w:r>
      <w:r w:rsidR="000B53C9" w:rsidRPr="00B73BCC">
        <w:rPr>
          <w:rFonts w:ascii="Baskerville" w:hAnsi="Baskerville" w:cs="Arial"/>
          <w:color w:val="000000" w:themeColor="text1"/>
        </w:rPr>
        <w:lastRenderedPageBreak/>
        <w:t>used to address problematic behaviours by identifying and modifying the social influences that may be contributing to them. </w:t>
      </w:r>
    </w:p>
    <w:p w14:paraId="37A4FD90" w14:textId="77777777" w:rsidR="00120E8B" w:rsidRDefault="00120E8B" w:rsidP="00120E8B">
      <w:pPr>
        <w:pStyle w:val="ListParagraph"/>
        <w:rPr>
          <w:rFonts w:ascii="Baskerville" w:hAnsi="Baskerville" w:cs="Arial"/>
          <w:color w:val="000000" w:themeColor="text1"/>
        </w:rPr>
      </w:pPr>
    </w:p>
    <w:p w14:paraId="34B6B89D" w14:textId="742423D4" w:rsidR="00E2655C" w:rsidRDefault="000B53C9" w:rsidP="007A63BF">
      <w:pPr>
        <w:pStyle w:val="ListParagraph"/>
        <w:rPr>
          <w:rFonts w:ascii="Baskerville" w:hAnsi="Baskerville" w:cs="Arial"/>
          <w:color w:val="000000" w:themeColor="text1"/>
        </w:rPr>
      </w:pPr>
      <w:r>
        <w:rPr>
          <w:rFonts w:ascii="Baskerville" w:hAnsi="Baskerville" w:cs="Arial"/>
          <w:color w:val="000000" w:themeColor="text1"/>
        </w:rPr>
        <w:tab/>
      </w:r>
      <w:r w:rsidR="007D471D">
        <w:rPr>
          <w:rFonts w:ascii="Baskerville" w:hAnsi="Baskerville" w:cs="Arial"/>
          <w:color w:val="000000" w:themeColor="text1"/>
        </w:rPr>
        <w:t>In contrast to this the general strain theory (</w:t>
      </w:r>
      <w:r w:rsidR="007D471D" w:rsidRPr="00B24E8A">
        <w:rPr>
          <w:rFonts w:ascii="Baskerville" w:hAnsi="Baskerville" w:cs="Arial"/>
          <w:color w:val="000000" w:themeColor="text1"/>
        </w:rPr>
        <w:t>Agnew, 1992, 1997</w:t>
      </w:r>
      <w:r w:rsidR="007D471D">
        <w:rPr>
          <w:rFonts w:ascii="Baskerville" w:hAnsi="Baskerville" w:cs="Arial"/>
          <w:color w:val="000000" w:themeColor="text1"/>
        </w:rPr>
        <w:t xml:space="preserve">), </w:t>
      </w:r>
      <w:r w:rsidR="00452697">
        <w:rPr>
          <w:rFonts w:ascii="Baskerville" w:hAnsi="Baskerville" w:cs="Arial"/>
          <w:color w:val="000000" w:themeColor="text1"/>
        </w:rPr>
        <w:t xml:space="preserve">offers a varying viewpoint to the one discussed above, with the view that the experience of being abused can lead to a child developing negative emotions such as anger and shame that acts as a drive to perpetrate anti-social behaviours as they lack the </w:t>
      </w:r>
      <w:r w:rsidR="00A07BFF">
        <w:rPr>
          <w:rFonts w:ascii="Baskerville" w:hAnsi="Baskerville" w:cs="Arial"/>
          <w:color w:val="000000" w:themeColor="text1"/>
        </w:rPr>
        <w:t>ability</w:t>
      </w:r>
      <w:r w:rsidR="00452697">
        <w:rPr>
          <w:rFonts w:ascii="Baskerville" w:hAnsi="Baskerville" w:cs="Arial"/>
          <w:color w:val="000000" w:themeColor="text1"/>
        </w:rPr>
        <w:t xml:space="preserve"> to regulate these emotions</w:t>
      </w:r>
      <w:r w:rsidR="00A07BFF">
        <w:rPr>
          <w:rFonts w:ascii="Baskerville" w:hAnsi="Baskerville" w:cs="Arial"/>
          <w:color w:val="000000" w:themeColor="text1"/>
        </w:rPr>
        <w:t xml:space="preserve">, rather than being a learnt behaviour. </w:t>
      </w:r>
      <w:r w:rsidR="00B35331">
        <w:rPr>
          <w:rFonts w:ascii="Baskerville" w:hAnsi="Baskerville" w:cs="Arial"/>
          <w:color w:val="000000" w:themeColor="text1"/>
        </w:rPr>
        <w:t xml:space="preserve">The key aspect of general strain theory </w:t>
      </w:r>
      <w:r w:rsidR="000A4DC9">
        <w:rPr>
          <w:rFonts w:ascii="Baskerville" w:hAnsi="Baskerville" w:cs="Arial"/>
          <w:color w:val="000000" w:themeColor="text1"/>
        </w:rPr>
        <w:t xml:space="preserve">(GST) </w:t>
      </w:r>
      <w:r w:rsidR="00B35331">
        <w:rPr>
          <w:rFonts w:ascii="Baskerville" w:hAnsi="Baskerville" w:cs="Arial"/>
          <w:color w:val="000000" w:themeColor="text1"/>
        </w:rPr>
        <w:t>being</w:t>
      </w:r>
      <w:r w:rsidR="00B35331" w:rsidRPr="00B35331">
        <w:rPr>
          <w:rFonts w:ascii="Baskerville" w:hAnsi="Baskerville" w:cs="Arial"/>
          <w:color w:val="000000" w:themeColor="text1"/>
        </w:rPr>
        <w:t xml:space="preserve"> identifies three main types of strains: </w:t>
      </w:r>
      <w:r w:rsidR="00F52E62">
        <w:rPr>
          <w:rFonts w:ascii="Baskerville" w:hAnsi="Baskerville" w:cs="Arial"/>
          <w:color w:val="000000" w:themeColor="text1"/>
        </w:rPr>
        <w:t>such as, f</w:t>
      </w:r>
      <w:r w:rsidR="00B35331" w:rsidRPr="00120E8B">
        <w:rPr>
          <w:rFonts w:ascii="Baskerville" w:hAnsi="Baskerville" w:cs="Arial"/>
          <w:color w:val="000000" w:themeColor="text1"/>
        </w:rPr>
        <w:t>ailure to achieve positively valued goals</w:t>
      </w:r>
      <w:r w:rsidR="00F52E62">
        <w:rPr>
          <w:rFonts w:ascii="Baskerville" w:hAnsi="Baskerville" w:cs="Arial"/>
          <w:color w:val="000000" w:themeColor="text1"/>
        </w:rPr>
        <w:t>, t</w:t>
      </w:r>
      <w:r w:rsidR="00B35331" w:rsidRPr="00120E8B">
        <w:rPr>
          <w:rFonts w:ascii="Baskerville" w:hAnsi="Baskerville" w:cs="Arial"/>
          <w:color w:val="000000" w:themeColor="text1"/>
        </w:rPr>
        <w:t>his includes situations where individuals are unable to reach desired outcomes, such as education, employment, or social status. </w:t>
      </w:r>
      <w:r w:rsidR="00120E8B">
        <w:rPr>
          <w:rFonts w:ascii="Baskerville" w:hAnsi="Baskerville" w:cs="Arial"/>
          <w:color w:val="000000" w:themeColor="text1"/>
        </w:rPr>
        <w:t xml:space="preserve">The second being, </w:t>
      </w:r>
      <w:r w:rsidR="00F52E62">
        <w:rPr>
          <w:rFonts w:ascii="Baskerville" w:hAnsi="Baskerville" w:cs="Arial"/>
          <w:color w:val="000000" w:themeColor="text1"/>
        </w:rPr>
        <w:t>r</w:t>
      </w:r>
      <w:r w:rsidR="00B35331" w:rsidRPr="00120E8B">
        <w:rPr>
          <w:rFonts w:ascii="Baskerville" w:hAnsi="Baskerville" w:cs="Arial"/>
          <w:color w:val="000000" w:themeColor="text1"/>
        </w:rPr>
        <w:t>emoval of positively valued stimuli</w:t>
      </w:r>
      <w:r w:rsidR="00F52E62">
        <w:rPr>
          <w:rFonts w:ascii="Baskerville" w:hAnsi="Baskerville" w:cs="Arial"/>
          <w:color w:val="000000" w:themeColor="text1"/>
        </w:rPr>
        <w:t>, t</w:t>
      </w:r>
      <w:r w:rsidR="00B35331" w:rsidRPr="00120E8B">
        <w:rPr>
          <w:rFonts w:ascii="Baskerville" w:hAnsi="Baskerville" w:cs="Arial"/>
          <w:color w:val="000000" w:themeColor="text1"/>
        </w:rPr>
        <w:t xml:space="preserve">his refers to the loss of something valued, </w:t>
      </w:r>
      <w:r w:rsidR="00F52E62">
        <w:rPr>
          <w:rFonts w:ascii="Baskerville" w:hAnsi="Baskerville" w:cs="Arial"/>
          <w:color w:val="000000" w:themeColor="text1"/>
        </w:rPr>
        <w:t>such</w:t>
      </w:r>
      <w:r w:rsidR="00B35331" w:rsidRPr="00120E8B">
        <w:rPr>
          <w:rFonts w:ascii="Baskerville" w:hAnsi="Baskerville" w:cs="Arial"/>
          <w:color w:val="000000" w:themeColor="text1"/>
        </w:rPr>
        <w:t xml:space="preserve"> a</w:t>
      </w:r>
      <w:r w:rsidR="00F52E62">
        <w:rPr>
          <w:rFonts w:ascii="Baskerville" w:hAnsi="Baskerville" w:cs="Arial"/>
          <w:color w:val="000000" w:themeColor="text1"/>
        </w:rPr>
        <w:t>s</w:t>
      </w:r>
      <w:r w:rsidR="00B35331" w:rsidRPr="00120E8B">
        <w:rPr>
          <w:rFonts w:ascii="Baskerville" w:hAnsi="Baskerville" w:cs="Arial"/>
          <w:color w:val="000000" w:themeColor="text1"/>
        </w:rPr>
        <w:t xml:space="preserve"> </w:t>
      </w:r>
      <w:r w:rsidR="00F52E62">
        <w:rPr>
          <w:rFonts w:ascii="Baskerville" w:hAnsi="Baskerville" w:cs="Arial"/>
          <w:color w:val="000000" w:themeColor="text1"/>
        </w:rPr>
        <w:t xml:space="preserve">a </w:t>
      </w:r>
      <w:r w:rsidR="00B35331" w:rsidRPr="00120E8B">
        <w:rPr>
          <w:rFonts w:ascii="Baskerville" w:hAnsi="Baskerville" w:cs="Arial"/>
          <w:color w:val="000000" w:themeColor="text1"/>
        </w:rPr>
        <w:t>relationship, job, or property. </w:t>
      </w:r>
      <w:r w:rsidR="00120E8B">
        <w:rPr>
          <w:rFonts w:ascii="Baskerville" w:hAnsi="Baskerville" w:cs="Arial"/>
          <w:color w:val="000000" w:themeColor="text1"/>
        </w:rPr>
        <w:t xml:space="preserve">Thirdly, </w:t>
      </w:r>
      <w:r w:rsidR="00F52E62">
        <w:rPr>
          <w:rFonts w:ascii="Baskerville" w:hAnsi="Baskerville" w:cs="Arial"/>
          <w:color w:val="000000" w:themeColor="text1"/>
        </w:rPr>
        <w:t>p</w:t>
      </w:r>
      <w:r w:rsidR="00B35331" w:rsidRPr="00120E8B">
        <w:rPr>
          <w:rFonts w:ascii="Baskerville" w:hAnsi="Baskerville" w:cs="Arial"/>
          <w:color w:val="000000" w:themeColor="text1"/>
        </w:rPr>
        <w:t>resentation of noxious stimuli</w:t>
      </w:r>
      <w:r w:rsidR="00F52E62">
        <w:rPr>
          <w:rFonts w:ascii="Baskerville" w:hAnsi="Baskerville" w:cs="Arial"/>
          <w:color w:val="000000" w:themeColor="text1"/>
        </w:rPr>
        <w:t>, t</w:t>
      </w:r>
      <w:r w:rsidR="00B35331" w:rsidRPr="00120E8B">
        <w:rPr>
          <w:rFonts w:ascii="Baskerville" w:hAnsi="Baskerville" w:cs="Arial"/>
          <w:color w:val="000000" w:themeColor="text1"/>
        </w:rPr>
        <w:t>his involves experiencing negative experiences or stimuli, such as abuse, violence, or discrimination. Coping Mechanisms: GST posits that individuals may cope with these negative emotions and strains through various strategies, including crime and delinquenc</w:t>
      </w:r>
      <w:r w:rsidR="00B35331" w:rsidRPr="00120E8B">
        <w:rPr>
          <w:rFonts w:ascii="Baskerville" w:hAnsi="Baskerville" w:cs="Arial"/>
          <w:color w:val="000000" w:themeColor="text1"/>
        </w:rPr>
        <w:t>y</w:t>
      </w:r>
      <w:r w:rsidR="00F52E62">
        <w:rPr>
          <w:rFonts w:ascii="Baskerville" w:hAnsi="Baskerville" w:cs="Arial"/>
          <w:color w:val="000000" w:themeColor="text1"/>
        </w:rPr>
        <w:t xml:space="preserve"> and</w:t>
      </w:r>
      <w:r w:rsidR="007D54B2">
        <w:rPr>
          <w:rFonts w:ascii="Baskerville" w:hAnsi="Baskerville" w:cs="Arial"/>
          <w:color w:val="000000" w:themeColor="text1"/>
        </w:rPr>
        <w:t xml:space="preserve"> </w:t>
      </w:r>
      <w:r w:rsidR="007D54B2" w:rsidRPr="007D54B2">
        <w:rPr>
          <w:rFonts w:ascii="Baskerville" w:hAnsi="Baskerville" w:cs="Arial"/>
          <w:color w:val="000000" w:themeColor="text1"/>
        </w:rPr>
        <w:t>GST argues that strains, particularly those that are perceived as unjust or severe, can trigger negative emotions that motivate individuals to seek relief or revenge</w:t>
      </w:r>
      <w:r w:rsidR="00F52E62">
        <w:rPr>
          <w:rFonts w:ascii="Baskerville" w:hAnsi="Baskerville" w:cs="Arial"/>
          <w:color w:val="000000" w:themeColor="text1"/>
        </w:rPr>
        <w:t xml:space="preserve"> via criminal behaviours</w:t>
      </w:r>
      <w:r w:rsidR="007D54B2">
        <w:rPr>
          <w:rFonts w:ascii="Baskerville" w:hAnsi="Baskerville" w:cs="Arial"/>
          <w:color w:val="000000" w:themeColor="text1"/>
        </w:rPr>
        <w:t>.</w:t>
      </w:r>
      <w:r w:rsidR="00C767DC">
        <w:rPr>
          <w:rFonts w:ascii="Baskerville" w:hAnsi="Baskerville" w:cs="Arial"/>
          <w:color w:val="000000" w:themeColor="text1"/>
        </w:rPr>
        <w:t xml:space="preserve"> To</w:t>
      </w:r>
      <w:r w:rsidR="007A63BF" w:rsidRPr="007A63BF">
        <w:rPr>
          <w:rFonts w:ascii="Baskerville" w:hAnsi="Baskerville" w:cs="Arial"/>
          <w:color w:val="000000" w:themeColor="text1"/>
        </w:rPr>
        <w:t xml:space="preserve"> summar</w:t>
      </w:r>
      <w:r w:rsidR="00C767DC">
        <w:rPr>
          <w:rFonts w:ascii="Baskerville" w:hAnsi="Baskerville" w:cs="Arial"/>
          <w:color w:val="000000" w:themeColor="text1"/>
        </w:rPr>
        <w:t>ize</w:t>
      </w:r>
      <w:r w:rsidR="007A63BF" w:rsidRPr="007A63BF">
        <w:rPr>
          <w:rFonts w:ascii="Baskerville" w:hAnsi="Baskerville" w:cs="Arial"/>
          <w:color w:val="000000" w:themeColor="text1"/>
        </w:rPr>
        <w:t>, General Strain Theory provides a valuable framework for understanding how various strains, negative experiences, and stressors can contribute to criminal behavior</w:t>
      </w:r>
      <w:r w:rsidR="00F52E62">
        <w:rPr>
          <w:rFonts w:ascii="Baskerville" w:hAnsi="Baskerville" w:cs="Arial"/>
          <w:color w:val="000000" w:themeColor="text1"/>
        </w:rPr>
        <w:t xml:space="preserve"> especially during adolescence b</w:t>
      </w:r>
      <w:r w:rsidR="007A63BF" w:rsidRPr="007A63BF">
        <w:rPr>
          <w:rFonts w:ascii="Baskerville" w:hAnsi="Baskerville" w:cs="Arial"/>
          <w:color w:val="000000" w:themeColor="text1"/>
        </w:rPr>
        <w:t>y focusing on the interplay of strains, negative emotions, and coping mechanisms, GST offers insights into why some individuals resort to crime while others do not</w:t>
      </w:r>
      <w:r w:rsidR="00CA7950">
        <w:rPr>
          <w:rFonts w:ascii="Baskerville" w:hAnsi="Baskerville" w:cs="Arial"/>
          <w:color w:val="000000" w:themeColor="text1"/>
        </w:rPr>
        <w:t xml:space="preserve"> </w:t>
      </w:r>
      <w:r w:rsidR="00CA7950">
        <w:rPr>
          <w:rFonts w:ascii="Baskerville" w:hAnsi="Baskerville" w:cs="Arial"/>
          <w:color w:val="000000" w:themeColor="text1"/>
        </w:rPr>
        <w:t>(</w:t>
      </w:r>
      <w:r w:rsidR="00CA7950" w:rsidRPr="00B24E8A">
        <w:rPr>
          <w:rFonts w:ascii="Baskerville" w:hAnsi="Baskerville" w:cs="Arial"/>
          <w:color w:val="000000" w:themeColor="text1"/>
        </w:rPr>
        <w:t>Agnew, 1992, 1997</w:t>
      </w:r>
      <w:r w:rsidR="00CA7950">
        <w:rPr>
          <w:rFonts w:ascii="Baskerville" w:hAnsi="Baskerville" w:cs="Arial"/>
          <w:color w:val="000000" w:themeColor="text1"/>
        </w:rPr>
        <w:t>)</w:t>
      </w:r>
      <w:r w:rsidR="007A63BF" w:rsidRPr="007A63BF">
        <w:rPr>
          <w:rFonts w:ascii="Baskerville" w:hAnsi="Baskerville" w:cs="Arial"/>
          <w:color w:val="000000" w:themeColor="text1"/>
        </w:rPr>
        <w:t>. </w:t>
      </w:r>
      <w:r w:rsidR="00E24A1F">
        <w:rPr>
          <w:rFonts w:ascii="Baskerville" w:hAnsi="Baskerville" w:cs="Arial"/>
          <w:color w:val="000000" w:themeColor="text1"/>
        </w:rPr>
        <w:t>However, a limitation of GST is that it can be considered as being broad and complex making research difficult as influences of group i</w:t>
      </w:r>
      <w:r w:rsidR="00EA7F1C">
        <w:rPr>
          <w:rFonts w:ascii="Baskerville" w:hAnsi="Baskerville" w:cs="Arial"/>
          <w:color w:val="000000" w:themeColor="text1"/>
        </w:rPr>
        <w:t>n</w:t>
      </w:r>
      <w:r w:rsidR="00E24A1F">
        <w:rPr>
          <w:rFonts w:ascii="Baskerville" w:hAnsi="Baskerville" w:cs="Arial"/>
          <w:color w:val="000000" w:themeColor="text1"/>
        </w:rPr>
        <w:t xml:space="preserve"> home settings is ignored thus having low validity.</w:t>
      </w:r>
      <w:r w:rsidR="00EA7F1C">
        <w:rPr>
          <w:rFonts w:ascii="Baskerville" w:hAnsi="Baskerville" w:cs="Arial"/>
          <w:color w:val="000000" w:themeColor="text1"/>
        </w:rPr>
        <w:t xml:space="preserve"> Here this creates a gap within research </w:t>
      </w:r>
      <w:r w:rsidR="003736E6">
        <w:rPr>
          <w:rFonts w:ascii="Baskerville" w:hAnsi="Baskerville" w:cs="Arial"/>
          <w:color w:val="000000" w:themeColor="text1"/>
        </w:rPr>
        <w:t>whereas</w:t>
      </w:r>
      <w:r w:rsidR="00EA7F1C">
        <w:rPr>
          <w:rFonts w:ascii="Baskerville" w:hAnsi="Baskerville" w:cs="Arial"/>
          <w:color w:val="000000" w:themeColor="text1"/>
        </w:rPr>
        <w:t xml:space="preserve"> the research question can fill and be relevant, offering a scope and viewpoint that is not explored fully here. </w:t>
      </w:r>
      <w:r w:rsidR="003736E6">
        <w:rPr>
          <w:rFonts w:ascii="Baskerville" w:hAnsi="Baskerville" w:cs="Arial"/>
          <w:color w:val="000000" w:themeColor="text1"/>
        </w:rPr>
        <w:t xml:space="preserve"> </w:t>
      </w:r>
    </w:p>
    <w:p w14:paraId="6D950AD2" w14:textId="77777777" w:rsidR="00E2655C" w:rsidRDefault="00E2655C" w:rsidP="007A63BF">
      <w:pPr>
        <w:pStyle w:val="ListParagraph"/>
        <w:rPr>
          <w:rFonts w:ascii="Baskerville" w:hAnsi="Baskerville" w:cs="Arial"/>
          <w:color w:val="000000" w:themeColor="text1"/>
        </w:rPr>
      </w:pPr>
    </w:p>
    <w:p w14:paraId="3CA27995" w14:textId="77777777" w:rsidR="004E20C7" w:rsidRDefault="00E2655C" w:rsidP="00AF17D2">
      <w:pPr>
        <w:pStyle w:val="ListParagraph"/>
        <w:rPr>
          <w:rFonts w:ascii="Baskerville" w:hAnsi="Baskerville" w:cs="Arial"/>
          <w:color w:val="000000" w:themeColor="text1"/>
        </w:rPr>
      </w:pPr>
      <w:r>
        <w:rPr>
          <w:rFonts w:ascii="Baskerville" w:hAnsi="Baskerville" w:cs="Arial"/>
          <w:color w:val="000000" w:themeColor="text1"/>
        </w:rPr>
        <w:tab/>
        <w:t xml:space="preserve">With </w:t>
      </w:r>
      <w:r w:rsidR="00ED2D2C">
        <w:rPr>
          <w:rFonts w:ascii="Baskerville" w:hAnsi="Baskerville" w:cs="Arial"/>
          <w:color w:val="000000" w:themeColor="text1"/>
        </w:rPr>
        <w:t>all</w:t>
      </w:r>
      <w:r>
        <w:rPr>
          <w:rFonts w:ascii="Baskerville" w:hAnsi="Baskerville" w:cs="Arial"/>
          <w:color w:val="000000" w:themeColor="text1"/>
        </w:rPr>
        <w:t xml:space="preserve"> the research and evidence that has been conducted, the aim of this research question is to fill the gap that has been identified as well as being able to explore solutions and the validity of a prevention.</w:t>
      </w:r>
      <w:r w:rsidR="00ED2D2C">
        <w:rPr>
          <w:rFonts w:ascii="Baskerville" w:hAnsi="Baskerville" w:cs="Arial"/>
          <w:color w:val="000000" w:themeColor="text1"/>
        </w:rPr>
        <w:t xml:space="preserve"> </w:t>
      </w:r>
      <w:r w:rsidR="00642B54">
        <w:rPr>
          <w:rFonts w:ascii="Baskerville" w:hAnsi="Baskerville" w:cs="Arial"/>
          <w:color w:val="000000" w:themeColor="text1"/>
        </w:rPr>
        <w:t xml:space="preserve">Prevention is the </w:t>
      </w:r>
      <w:r w:rsidR="00D76A6C">
        <w:rPr>
          <w:rFonts w:ascii="Baskerville" w:hAnsi="Baskerville" w:cs="Arial"/>
          <w:color w:val="000000" w:themeColor="text1"/>
        </w:rPr>
        <w:t>goal</w:t>
      </w:r>
      <w:r w:rsidR="00642B54">
        <w:rPr>
          <w:rFonts w:ascii="Baskerville" w:hAnsi="Baskerville" w:cs="Arial"/>
          <w:color w:val="000000" w:themeColor="text1"/>
        </w:rPr>
        <w:t xml:space="preserve"> with youth </w:t>
      </w:r>
      <w:r w:rsidR="00D76A6C">
        <w:rPr>
          <w:rFonts w:ascii="Baskerville" w:hAnsi="Baskerville" w:cs="Arial"/>
          <w:color w:val="000000" w:themeColor="text1"/>
        </w:rPr>
        <w:t>crime,</w:t>
      </w:r>
      <w:r w:rsidR="00642B54">
        <w:rPr>
          <w:rFonts w:ascii="Baskerville" w:hAnsi="Baskerville" w:cs="Arial"/>
          <w:color w:val="000000" w:themeColor="text1"/>
        </w:rPr>
        <w:t xml:space="preserve"> but this again is not a simple as it first may seem. </w:t>
      </w:r>
      <w:r w:rsidR="00D76A6C">
        <w:rPr>
          <w:rFonts w:ascii="Baskerville" w:hAnsi="Baskerville" w:cs="Arial"/>
          <w:color w:val="000000" w:themeColor="text1"/>
        </w:rPr>
        <w:t>The initial early intervention programme was first purposed and rolled out in May 1999 and was branded ‘catch them early’ and its main objective was to identify young individuals that were considered on the cusp of committing a crime and instead of waiting by acting early enough with the right support and help via the use of discipline framework as a means to prevent</w:t>
      </w:r>
      <w:r w:rsidR="00B47B52">
        <w:rPr>
          <w:rFonts w:ascii="Baskerville" w:hAnsi="Baskerville" w:cs="Arial"/>
          <w:color w:val="000000" w:themeColor="text1"/>
        </w:rPr>
        <w:t>, with this being an area of much political focus</w:t>
      </w:r>
      <w:r w:rsidR="008C726B">
        <w:rPr>
          <w:rFonts w:ascii="Baskerville" w:hAnsi="Baskerville" w:cs="Arial"/>
          <w:color w:val="000000" w:themeColor="text1"/>
        </w:rPr>
        <w:t xml:space="preserve"> (Blyth. M, and Solomon. E, 2009)</w:t>
      </w:r>
      <w:r w:rsidR="00B47B52">
        <w:rPr>
          <w:rFonts w:ascii="Baskerville" w:hAnsi="Baskerville" w:cs="Arial"/>
          <w:color w:val="000000" w:themeColor="text1"/>
        </w:rPr>
        <w:t>.</w:t>
      </w:r>
      <w:r w:rsidR="002F46CD">
        <w:rPr>
          <w:rFonts w:ascii="Baskerville" w:hAnsi="Baskerville" w:cs="Arial"/>
          <w:color w:val="000000" w:themeColor="text1"/>
        </w:rPr>
        <w:t xml:space="preserve"> </w:t>
      </w:r>
      <w:r w:rsidR="005D70F5">
        <w:rPr>
          <w:rFonts w:ascii="Baskerville" w:hAnsi="Baskerville" w:cs="Arial"/>
          <w:color w:val="000000" w:themeColor="text1"/>
        </w:rPr>
        <w:t xml:space="preserve">The ‘Pre-crime Division’ in minority report suggest that they target to intervene where young individuals are ‘thought’ to be likely to commit a crime via the use of providing help and support to those normally aged between 8 and 17 who may have been referred via different routes such as education or social care routes.   </w:t>
      </w:r>
      <w:r w:rsidR="006D672A" w:rsidRPr="00AF17D2">
        <w:rPr>
          <w:rFonts w:ascii="Baskerville" w:hAnsi="Baskerville" w:cs="Arial"/>
          <w:color w:val="000000" w:themeColor="text1"/>
        </w:rPr>
        <w:t xml:space="preserve">The limitation of early intervention is that it relies on practitioners being able to effectively identify predict those young individuals that are at risk of engaging in criminal behaviour before a crime has been committed </w:t>
      </w:r>
      <w:r w:rsidR="002F46CD" w:rsidRPr="00AF17D2">
        <w:rPr>
          <w:rFonts w:ascii="Baskerville" w:hAnsi="Baskerville" w:cs="Arial"/>
          <w:color w:val="000000" w:themeColor="text1"/>
        </w:rPr>
        <w:t xml:space="preserve">it is </w:t>
      </w:r>
      <w:r w:rsidR="006D672A" w:rsidRPr="00AF17D2">
        <w:rPr>
          <w:rFonts w:ascii="Baskerville" w:hAnsi="Baskerville" w:cs="Arial"/>
          <w:color w:val="000000" w:themeColor="text1"/>
        </w:rPr>
        <w:t xml:space="preserve">also </w:t>
      </w:r>
      <w:r w:rsidR="002F46CD" w:rsidRPr="00AF17D2">
        <w:rPr>
          <w:rFonts w:ascii="Baskerville" w:hAnsi="Baskerville" w:cs="Arial"/>
          <w:color w:val="000000" w:themeColor="text1"/>
        </w:rPr>
        <w:t xml:space="preserve">important to note that early intervention has pros it also runs the risk of labelling young individuals </w:t>
      </w:r>
      <w:r w:rsidR="00AF17D2">
        <w:rPr>
          <w:rFonts w:ascii="Baskerville" w:hAnsi="Baskerville" w:cs="Arial"/>
          <w:color w:val="000000" w:themeColor="text1"/>
        </w:rPr>
        <w:t xml:space="preserve">that have not yet committed any criminal offenses </w:t>
      </w:r>
      <w:r w:rsidR="002F46CD" w:rsidRPr="00AF17D2">
        <w:rPr>
          <w:rFonts w:ascii="Baskerville" w:hAnsi="Baskerville" w:cs="Arial"/>
          <w:color w:val="000000" w:themeColor="text1"/>
        </w:rPr>
        <w:t>as ‘pre criminals’ which can create stigma</w:t>
      </w:r>
      <w:r w:rsidR="006D672A" w:rsidRPr="00AF17D2">
        <w:rPr>
          <w:rFonts w:ascii="Baskerville" w:hAnsi="Baskerville" w:cs="Arial"/>
          <w:color w:val="000000" w:themeColor="text1"/>
        </w:rPr>
        <w:t xml:space="preserve"> within a community that may be considered as at risk for young offenders</w:t>
      </w:r>
      <w:r w:rsidR="002F46CD" w:rsidRPr="00AF17D2">
        <w:rPr>
          <w:rFonts w:ascii="Baskerville" w:hAnsi="Baskerville" w:cs="Arial"/>
          <w:color w:val="000000" w:themeColor="text1"/>
        </w:rPr>
        <w:t>.</w:t>
      </w:r>
      <w:r w:rsidR="00AF17D2">
        <w:rPr>
          <w:rFonts w:ascii="Baskerville" w:hAnsi="Baskerville" w:cs="Arial"/>
          <w:color w:val="000000" w:themeColor="text1"/>
        </w:rPr>
        <w:t xml:space="preserve"> </w:t>
      </w:r>
      <w:r w:rsidR="004E20C7">
        <w:rPr>
          <w:rFonts w:ascii="Baskerville" w:hAnsi="Baskerville" w:cs="Arial"/>
          <w:color w:val="000000" w:themeColor="text1"/>
        </w:rPr>
        <w:t>Instead,</w:t>
      </w:r>
      <w:r w:rsidR="00343CD6">
        <w:rPr>
          <w:rFonts w:ascii="Baskerville" w:hAnsi="Baskerville" w:cs="Arial"/>
          <w:color w:val="000000" w:themeColor="text1"/>
        </w:rPr>
        <w:t xml:space="preserve"> an approach that advocated social justices would be much more effective as there is no labelling or stigmatization of young individuals and focus </w:t>
      </w:r>
      <w:r w:rsidR="00D8134B">
        <w:rPr>
          <w:rFonts w:ascii="Baskerville" w:hAnsi="Baskerville" w:cs="Arial"/>
          <w:color w:val="000000" w:themeColor="text1"/>
        </w:rPr>
        <w:t>largely</w:t>
      </w:r>
      <w:r w:rsidR="00343CD6">
        <w:rPr>
          <w:rFonts w:ascii="Baskerville" w:hAnsi="Baskerville" w:cs="Arial"/>
          <w:color w:val="000000" w:themeColor="text1"/>
        </w:rPr>
        <w:t xml:space="preserve"> on creating </w:t>
      </w:r>
      <w:r w:rsidR="00343CD6">
        <w:rPr>
          <w:rFonts w:ascii="Baskerville" w:hAnsi="Baskerville" w:cs="Arial"/>
          <w:color w:val="000000" w:themeColor="text1"/>
        </w:rPr>
        <w:lastRenderedPageBreak/>
        <w:t>opportunities and goals for young individuals in a positive way</w:t>
      </w:r>
      <w:r w:rsidR="00D8134B">
        <w:rPr>
          <w:rFonts w:ascii="Baskerville" w:hAnsi="Baskerville" w:cs="Arial"/>
          <w:color w:val="000000" w:themeColor="text1"/>
        </w:rPr>
        <w:t xml:space="preserve"> </w:t>
      </w:r>
      <w:r w:rsidR="004E20C7">
        <w:rPr>
          <w:rFonts w:ascii="Baskerville" w:hAnsi="Baskerville" w:cs="Arial"/>
          <w:color w:val="000000" w:themeColor="text1"/>
        </w:rPr>
        <w:t xml:space="preserve">which would increase validity and relevance in turn </w:t>
      </w:r>
      <w:r w:rsidR="00D8134B">
        <w:rPr>
          <w:rFonts w:ascii="Baskerville" w:hAnsi="Baskerville" w:cs="Arial"/>
          <w:color w:val="000000" w:themeColor="text1"/>
        </w:rPr>
        <w:t>(</w:t>
      </w:r>
      <w:proofErr w:type="spellStart"/>
      <w:r w:rsidR="00D8134B">
        <w:rPr>
          <w:rFonts w:ascii="Baskerville" w:hAnsi="Baskerville" w:cs="Arial"/>
          <w:color w:val="000000" w:themeColor="text1"/>
        </w:rPr>
        <w:t>Creaney</w:t>
      </w:r>
      <w:proofErr w:type="spellEnd"/>
      <w:r w:rsidR="00D8134B">
        <w:rPr>
          <w:rFonts w:ascii="Baskerville" w:hAnsi="Baskerville" w:cs="Arial"/>
          <w:color w:val="000000" w:themeColor="text1"/>
        </w:rPr>
        <w:t>. S, 2012)</w:t>
      </w:r>
      <w:r w:rsidR="00343CD6">
        <w:rPr>
          <w:rFonts w:ascii="Baskerville" w:hAnsi="Baskerville" w:cs="Arial"/>
          <w:color w:val="000000" w:themeColor="text1"/>
        </w:rPr>
        <w:t xml:space="preserve">. </w:t>
      </w:r>
    </w:p>
    <w:p w14:paraId="04D55E0C" w14:textId="77777777" w:rsidR="004E20C7" w:rsidRDefault="004E20C7" w:rsidP="00AF17D2">
      <w:pPr>
        <w:pStyle w:val="ListParagraph"/>
        <w:rPr>
          <w:rFonts w:ascii="Baskerville" w:hAnsi="Baskerville" w:cs="Arial"/>
          <w:color w:val="000000" w:themeColor="text1"/>
        </w:rPr>
      </w:pPr>
    </w:p>
    <w:p w14:paraId="4B1ACD25" w14:textId="75F9AF93" w:rsidR="00463009" w:rsidRDefault="004E20C7" w:rsidP="00463009">
      <w:pPr>
        <w:jc w:val="both"/>
        <w:rPr>
          <w:rFonts w:ascii="Baskerville" w:hAnsi="Baskerville" w:cs="Arial"/>
          <w:color w:val="000000" w:themeColor="text1"/>
        </w:rPr>
      </w:pPr>
      <w:r>
        <w:rPr>
          <w:rFonts w:ascii="Baskerville" w:hAnsi="Baskerville" w:cs="Arial"/>
          <w:color w:val="000000" w:themeColor="text1"/>
        </w:rPr>
        <w:tab/>
      </w:r>
      <w:r w:rsidRPr="004E20C7">
        <w:rPr>
          <w:rFonts w:ascii="Baskerville" w:hAnsi="Baskerville" w:cs="Arial"/>
          <w:color w:val="000000" w:themeColor="text1"/>
        </w:rPr>
        <w:t xml:space="preserve">To conclude, </w:t>
      </w:r>
      <w:r>
        <w:rPr>
          <w:rFonts w:ascii="Baskerville" w:hAnsi="Baskerville" w:cs="Arial"/>
          <w:color w:val="000000" w:themeColor="text1"/>
        </w:rPr>
        <w:t>t</w:t>
      </w:r>
      <w:r w:rsidRPr="004E20C7">
        <w:rPr>
          <w:rFonts w:ascii="Baskerville" w:hAnsi="Baskerville" w:cs="Arial"/>
          <w:color w:val="000000" w:themeColor="text1"/>
        </w:rPr>
        <w:t>he topic of this dissertation will be ‘Impact on childhood neglect on adult criminal behaviour</w:t>
      </w:r>
      <w:r w:rsidR="00161A06">
        <w:rPr>
          <w:rFonts w:ascii="Baskerville" w:hAnsi="Baskerville" w:cs="Arial"/>
          <w:color w:val="000000" w:themeColor="text1"/>
        </w:rPr>
        <w:t xml:space="preserve"> and more effective ways of prevention</w:t>
      </w:r>
      <w:r w:rsidRPr="004E20C7">
        <w:rPr>
          <w:rFonts w:ascii="Baskerville" w:hAnsi="Baskerville" w:cs="Arial"/>
          <w:color w:val="000000" w:themeColor="text1"/>
        </w:rPr>
        <w:t xml:space="preserve">’. In this ever-changing environment the percentage of youth and young adult committing offenses has risen expeditiously and fall hand in hand with the criminological risks such as alcohol and substance abuse. This topic is one in which there is much research already conducted and criminological insight that show correlations between the impact of neglect during childhood and the onset of criminal behaviours and tendencies; this allows for a large amount of research to be considered when drawing upon a conclusion.   There is evidence that strongly suggests that children that has experiences of child abuse/neglect during their childhood then the probability of being involved in later criminality doubles when compared against those that did not experience childhood abuse/neglect </w:t>
      </w:r>
      <w:r w:rsidRPr="004E20C7">
        <w:rPr>
          <w:rFonts w:ascii="Baskerville" w:hAnsi="Baskerville" w:cs="Arial"/>
        </w:rPr>
        <w:t>with the effects of this being felt heavier on those from low socio-economic status backgrounds. This dissertation will aim to identify and analysis links between these two variables and find a solution in which to successfully reduce this</w:t>
      </w:r>
      <w:r w:rsidR="00827C88">
        <w:rPr>
          <w:rFonts w:ascii="Baskerville" w:hAnsi="Baskerville" w:cs="Arial"/>
        </w:rPr>
        <w:t xml:space="preserve"> more effectively than early intervention programme that were earlier proposed</w:t>
      </w:r>
      <w:r w:rsidRPr="004E20C7">
        <w:rPr>
          <w:rFonts w:ascii="Baskerville" w:hAnsi="Baskerville" w:cs="Arial"/>
        </w:rPr>
        <w:t xml:space="preserve">. </w:t>
      </w:r>
      <w:r w:rsidRPr="004E20C7">
        <w:rPr>
          <w:rFonts w:ascii="Baskerville" w:hAnsi="Baskerville" w:cs="Arial"/>
          <w:color w:val="000000" w:themeColor="text1"/>
        </w:rPr>
        <w:t>There are a number of ethical considerations that must be carefully considered during this research, such as but not limited to, the risk of harm being minimised to those that participate, this could include ensuring that anyone who part-took in a survey about their childhood were psychologically protected and left the study in the same psychological state in which they began (protection from harm). Also ensuring that any participants were made aware of their right to withdraw their data from the study at any given time (right to withdraw) and that the identities of those that part-took were protected (confidentiality) and that correct fully informed consent was given for the data collection</w:t>
      </w:r>
      <w:r w:rsidR="00827C88">
        <w:rPr>
          <w:rFonts w:ascii="Baskerville" w:hAnsi="Baskerville" w:cs="Arial"/>
          <w:color w:val="000000" w:themeColor="text1"/>
        </w:rPr>
        <w:t xml:space="preserve">. </w:t>
      </w:r>
      <w:r w:rsidR="00FD3D00">
        <w:rPr>
          <w:rFonts w:ascii="Baskerville" w:hAnsi="Baskerville" w:cs="Arial"/>
          <w:color w:val="000000" w:themeColor="text1"/>
        </w:rPr>
        <w:t>It is clear from the evidence and research concluded above that there is a gap within research that considers all aspects, emotional and physical abuse alongside biological aspects</w:t>
      </w:r>
      <w:r w:rsidR="00747A1B">
        <w:rPr>
          <w:rFonts w:ascii="Baskerville" w:hAnsi="Baskerville" w:cs="Arial"/>
          <w:color w:val="000000" w:themeColor="text1"/>
        </w:rPr>
        <w:t xml:space="preserve"> (Foe example, is a person born a criminal?)</w:t>
      </w:r>
      <w:r w:rsidR="00FD3D00">
        <w:rPr>
          <w:rFonts w:ascii="Baskerville" w:hAnsi="Baskerville" w:cs="Arial"/>
          <w:color w:val="000000" w:themeColor="text1"/>
        </w:rPr>
        <w:t xml:space="preserve"> and environmental aspects </w:t>
      </w:r>
      <w:r w:rsidR="00747A1B">
        <w:rPr>
          <w:rFonts w:ascii="Baskerville" w:hAnsi="Baskerville" w:cs="Arial"/>
          <w:color w:val="000000" w:themeColor="text1"/>
        </w:rPr>
        <w:t xml:space="preserve">(such as are behaviours such as violence learnt?) </w:t>
      </w:r>
      <w:r w:rsidR="00FD3D00">
        <w:rPr>
          <w:rFonts w:ascii="Baskerville" w:hAnsi="Baskerville" w:cs="Arial"/>
          <w:color w:val="000000" w:themeColor="text1"/>
        </w:rPr>
        <w:t>with the inclusion of the value of individua</w:t>
      </w:r>
      <w:r w:rsidR="00747A1B">
        <w:rPr>
          <w:rFonts w:ascii="Baskerville" w:hAnsi="Baskerville" w:cs="Arial"/>
          <w:color w:val="000000" w:themeColor="text1"/>
        </w:rPr>
        <w:t>l</w:t>
      </w:r>
      <w:r w:rsidR="00FD3D00">
        <w:rPr>
          <w:rFonts w:ascii="Baskerville" w:hAnsi="Baskerville" w:cs="Arial"/>
          <w:color w:val="000000" w:themeColor="text1"/>
        </w:rPr>
        <w:t xml:space="preserve"> agency and freewill</w:t>
      </w:r>
      <w:r w:rsidR="00747A1B">
        <w:rPr>
          <w:rFonts w:ascii="Baskerville" w:hAnsi="Baskerville" w:cs="Arial"/>
          <w:color w:val="000000" w:themeColor="text1"/>
        </w:rPr>
        <w:t xml:space="preserve"> choices</w:t>
      </w:r>
      <w:r w:rsidR="00463009">
        <w:rPr>
          <w:rFonts w:ascii="Baskerville" w:hAnsi="Baskerville" w:cs="Arial"/>
          <w:color w:val="000000" w:themeColor="text1"/>
        </w:rPr>
        <w:t xml:space="preserve"> which have high internal validity so that it</w:t>
      </w:r>
      <w:r w:rsidR="00463009" w:rsidRPr="00463009">
        <w:rPr>
          <w:rFonts w:ascii="Baskerville" w:hAnsi="Baskerville" w:cs="Arial"/>
          <w:color w:val="000000" w:themeColor="text1"/>
        </w:rPr>
        <w:t xml:space="preserve"> determines whether observed effects in a study are truly caused by the independent variable, or if other factors are influencing the results. Without high internal validity, any conclusions about a cause-and-effect relationship are unreliable. </w:t>
      </w:r>
    </w:p>
    <w:p w14:paraId="4648CF6F" w14:textId="77777777" w:rsidR="00BF7271" w:rsidRDefault="00BF7271" w:rsidP="00463009">
      <w:pPr>
        <w:jc w:val="both"/>
        <w:rPr>
          <w:rFonts w:ascii="Baskerville" w:hAnsi="Baskerville" w:cs="Arial"/>
          <w:color w:val="000000" w:themeColor="text1"/>
        </w:rPr>
      </w:pPr>
    </w:p>
    <w:p w14:paraId="35121CBC" w14:textId="6A6BF67C" w:rsidR="00BF7271" w:rsidRPr="00BF7271" w:rsidRDefault="00BF7271" w:rsidP="00463009">
      <w:pPr>
        <w:jc w:val="both"/>
        <w:rPr>
          <w:rFonts w:ascii="Baskerville" w:hAnsi="Baskerville" w:cs="Arial"/>
          <w:b/>
          <w:bCs/>
          <w:color w:val="000000" w:themeColor="text1"/>
        </w:rPr>
      </w:pPr>
      <w:r w:rsidRPr="00BF7271">
        <w:rPr>
          <w:rFonts w:ascii="Baskerville" w:hAnsi="Baskerville" w:cs="Arial"/>
          <w:b/>
          <w:bCs/>
          <w:color w:val="000000" w:themeColor="text1"/>
        </w:rPr>
        <w:t>Word count - 2278</w:t>
      </w:r>
    </w:p>
    <w:p w14:paraId="168CDC67" w14:textId="55BD66E3" w:rsidR="00E2655C" w:rsidRPr="00FD3D00" w:rsidRDefault="00FD3D00" w:rsidP="00FD3D00">
      <w:pPr>
        <w:jc w:val="both"/>
        <w:rPr>
          <w:rFonts w:ascii="Baskerville" w:hAnsi="Baskerville" w:cs="Arial"/>
        </w:rPr>
      </w:pPr>
      <w:r>
        <w:rPr>
          <w:rFonts w:ascii="Baskerville" w:hAnsi="Baskerville" w:cs="Arial"/>
          <w:color w:val="000000" w:themeColor="text1"/>
        </w:rPr>
        <w:t xml:space="preserve"> </w:t>
      </w:r>
    </w:p>
    <w:p w14:paraId="7AA2FFE6" w14:textId="77777777" w:rsidR="00E2655C" w:rsidRDefault="00E2655C" w:rsidP="007A63BF">
      <w:pPr>
        <w:pStyle w:val="ListParagraph"/>
        <w:rPr>
          <w:rFonts w:ascii="Baskerville" w:hAnsi="Baskerville" w:cs="Arial"/>
          <w:color w:val="000000" w:themeColor="text1"/>
        </w:rPr>
      </w:pPr>
    </w:p>
    <w:p w14:paraId="0BF51E7A" w14:textId="5A402492" w:rsidR="007A63BF" w:rsidRPr="007A63BF" w:rsidRDefault="00E2655C" w:rsidP="007A63BF">
      <w:pPr>
        <w:pStyle w:val="ListParagraph"/>
        <w:rPr>
          <w:rFonts w:ascii="Baskerville" w:hAnsi="Baskerville" w:cs="Arial"/>
          <w:color w:val="000000" w:themeColor="text1"/>
        </w:rPr>
      </w:pPr>
      <w:r>
        <w:rPr>
          <w:rFonts w:ascii="Baskerville" w:hAnsi="Baskerville" w:cs="Arial"/>
          <w:color w:val="000000" w:themeColor="text1"/>
        </w:rPr>
        <w:tab/>
      </w:r>
      <w:r w:rsidR="00E24A1F">
        <w:rPr>
          <w:rFonts w:ascii="Baskerville" w:hAnsi="Baskerville" w:cs="Arial"/>
          <w:color w:val="000000" w:themeColor="text1"/>
        </w:rPr>
        <w:t xml:space="preserve"> </w:t>
      </w:r>
    </w:p>
    <w:p w14:paraId="559EF13B" w14:textId="77777777" w:rsidR="007A63BF" w:rsidRPr="007A63BF" w:rsidRDefault="007A63BF" w:rsidP="007A63BF">
      <w:pPr>
        <w:pStyle w:val="ListParagraph"/>
        <w:rPr>
          <w:rFonts w:ascii="Baskerville" w:hAnsi="Baskerville" w:cs="Arial"/>
          <w:color w:val="000000" w:themeColor="text1"/>
        </w:rPr>
      </w:pPr>
    </w:p>
    <w:p w14:paraId="07BD0029" w14:textId="4D994624" w:rsidR="00B35331" w:rsidRPr="00120E8B" w:rsidRDefault="00B35331" w:rsidP="00120E8B">
      <w:pPr>
        <w:pStyle w:val="ListParagraph"/>
        <w:rPr>
          <w:rFonts w:ascii="Baskerville" w:hAnsi="Baskerville" w:cs="Arial"/>
          <w:color w:val="000000" w:themeColor="text1"/>
        </w:rPr>
      </w:pPr>
    </w:p>
    <w:p w14:paraId="0A049742" w14:textId="20608152" w:rsidR="00FC5D9A" w:rsidRPr="00481E2D" w:rsidRDefault="00FC5D9A" w:rsidP="00481E2D">
      <w:pPr>
        <w:pStyle w:val="ListParagraph"/>
        <w:jc w:val="center"/>
        <w:rPr>
          <w:rFonts w:ascii="Baskerville" w:hAnsi="Baskerville" w:cs="Arial"/>
          <w:color w:val="000000" w:themeColor="text1"/>
          <w:u w:val="single"/>
        </w:rPr>
      </w:pPr>
      <w:r w:rsidRPr="00481E2D">
        <w:rPr>
          <w:rFonts w:ascii="Baskerville" w:hAnsi="Baskerville"/>
          <w:color w:val="000000" w:themeColor="text1"/>
          <w:u w:val="single"/>
        </w:rPr>
        <w:t>Reference:</w:t>
      </w:r>
    </w:p>
    <w:p w14:paraId="4FE0A2CD" w14:textId="386D8ADD" w:rsidR="00B24E8A" w:rsidRDefault="00B24E8A" w:rsidP="00B24E8A">
      <w:pPr>
        <w:pStyle w:val="ListParagraph"/>
        <w:numPr>
          <w:ilvl w:val="0"/>
          <w:numId w:val="1"/>
        </w:numPr>
        <w:rPr>
          <w:rFonts w:ascii="Baskerville" w:hAnsi="Baskerville"/>
          <w:color w:val="000000" w:themeColor="text1"/>
        </w:rPr>
      </w:pPr>
      <w:r w:rsidRPr="00B24E8A">
        <w:rPr>
          <w:rFonts w:ascii="Baskerville" w:hAnsi="Baskerville" w:cs="Arial"/>
          <w:color w:val="000000" w:themeColor="text1"/>
        </w:rPr>
        <w:t>Agnew, 1992, 1997</w:t>
      </w:r>
      <w:r>
        <w:rPr>
          <w:rFonts w:ascii="Baskerville" w:hAnsi="Baskerville" w:cs="Arial"/>
          <w:color w:val="000000" w:themeColor="text1"/>
        </w:rPr>
        <w:t xml:space="preserve"> – Agnew R. Foundation for a general strain theory of crime and delinquency. Criminology. 1992; 30(1): 47 – 87. </w:t>
      </w:r>
    </w:p>
    <w:p w14:paraId="1E8C3C72" w14:textId="1EC85B13" w:rsidR="007D471D" w:rsidRDefault="007D471D" w:rsidP="007D471D">
      <w:pPr>
        <w:pStyle w:val="ListParagraph"/>
        <w:numPr>
          <w:ilvl w:val="0"/>
          <w:numId w:val="1"/>
        </w:numPr>
        <w:rPr>
          <w:rFonts w:ascii="Baskerville" w:hAnsi="Baskerville"/>
          <w:color w:val="000000" w:themeColor="text1"/>
        </w:rPr>
      </w:pPr>
      <w:r>
        <w:rPr>
          <w:rFonts w:ascii="Baskerville" w:hAnsi="Baskerville"/>
          <w:color w:val="000000" w:themeColor="text1"/>
        </w:rPr>
        <w:t xml:space="preserve">Albert Banduras social learning theory- Uc </w:t>
      </w:r>
      <w:proofErr w:type="spellStart"/>
      <w:r>
        <w:rPr>
          <w:rFonts w:ascii="Baskerville" w:hAnsi="Baskerville"/>
          <w:color w:val="000000" w:themeColor="text1"/>
        </w:rPr>
        <w:t>Berkerly</w:t>
      </w:r>
      <w:proofErr w:type="spellEnd"/>
      <w:r>
        <w:rPr>
          <w:rFonts w:ascii="Baskerville" w:hAnsi="Baskerville"/>
          <w:color w:val="000000" w:themeColor="text1"/>
        </w:rPr>
        <w:t xml:space="preserve">, How social learning theory works, published {online} and available at; </w:t>
      </w:r>
      <w:hyperlink r:id="rId7" w:history="1">
        <w:r w:rsidRPr="00D307E1">
          <w:rPr>
            <w:rStyle w:val="Hyperlink"/>
            <w:rFonts w:ascii="Baskerville" w:hAnsi="Baskerville"/>
          </w:rPr>
          <w:t>https://hr.berkeley.edu/grow/grow-your-community/wisdom-café-wednesday/how-social-learning-theory-works#:~:text=Albert%20Bandura's%20social%20learning%20theory,being%20used%20in%20the%20workplace</w:t>
        </w:r>
      </w:hyperlink>
      <w:r w:rsidRPr="007D471D">
        <w:rPr>
          <w:rFonts w:ascii="Baskerville" w:hAnsi="Baskerville"/>
          <w:color w:val="000000" w:themeColor="text1"/>
        </w:rPr>
        <w:t>.</w:t>
      </w:r>
      <w:r>
        <w:rPr>
          <w:rFonts w:ascii="Baskerville" w:hAnsi="Baskerville"/>
          <w:color w:val="000000" w:themeColor="text1"/>
        </w:rPr>
        <w:t xml:space="preserve"> </w:t>
      </w:r>
    </w:p>
    <w:p w14:paraId="39F02516" w14:textId="7B639DA4" w:rsidR="008C726B" w:rsidRPr="001063C0" w:rsidRDefault="008C726B" w:rsidP="007D471D">
      <w:pPr>
        <w:pStyle w:val="ListParagraph"/>
        <w:numPr>
          <w:ilvl w:val="0"/>
          <w:numId w:val="1"/>
        </w:numPr>
        <w:rPr>
          <w:rFonts w:ascii="Baskerville" w:hAnsi="Baskerville"/>
          <w:color w:val="000000" w:themeColor="text1"/>
        </w:rPr>
      </w:pPr>
      <w:r>
        <w:rPr>
          <w:rFonts w:ascii="Baskerville" w:hAnsi="Baskerville" w:cs="Arial"/>
          <w:color w:val="000000" w:themeColor="text1"/>
        </w:rPr>
        <w:t>Blyth. M, and Solomon. E, 2009</w:t>
      </w:r>
      <w:r>
        <w:rPr>
          <w:rFonts w:ascii="Baskerville" w:hAnsi="Baskerville" w:cs="Arial"/>
          <w:color w:val="000000" w:themeColor="text1"/>
        </w:rPr>
        <w:t xml:space="preserve"> </w:t>
      </w:r>
      <w:r w:rsidR="00FF7BA7">
        <w:rPr>
          <w:rFonts w:ascii="Baskerville" w:hAnsi="Baskerville" w:cs="Arial"/>
          <w:color w:val="000000" w:themeColor="text1"/>
        </w:rPr>
        <w:t>–</w:t>
      </w:r>
      <w:r>
        <w:rPr>
          <w:rFonts w:ascii="Baskerville" w:hAnsi="Baskerville" w:cs="Arial"/>
          <w:color w:val="000000" w:themeColor="text1"/>
        </w:rPr>
        <w:t xml:space="preserve"> </w:t>
      </w:r>
      <w:r w:rsidR="00FF7BA7">
        <w:rPr>
          <w:rFonts w:ascii="Baskerville" w:hAnsi="Baskerville" w:cs="Arial"/>
          <w:color w:val="000000" w:themeColor="text1"/>
        </w:rPr>
        <w:t xml:space="preserve">Blyth. M, and Solomon, E., for crime and justice studies. (2009). Prevention and youth crime: is early intervention working? Policy Press. </w:t>
      </w:r>
    </w:p>
    <w:p w14:paraId="35176323" w14:textId="24D84FAB" w:rsidR="001063C0" w:rsidRDefault="001063C0" w:rsidP="007D471D">
      <w:pPr>
        <w:pStyle w:val="ListParagraph"/>
        <w:numPr>
          <w:ilvl w:val="0"/>
          <w:numId w:val="1"/>
        </w:numPr>
        <w:rPr>
          <w:rFonts w:ascii="Baskerville" w:hAnsi="Baskerville"/>
          <w:color w:val="000000" w:themeColor="text1"/>
        </w:rPr>
      </w:pPr>
      <w:proofErr w:type="spellStart"/>
      <w:r>
        <w:rPr>
          <w:rFonts w:ascii="Baskerville" w:hAnsi="Baskerville" w:cs="Arial"/>
          <w:color w:val="000000" w:themeColor="text1"/>
        </w:rPr>
        <w:lastRenderedPageBreak/>
        <w:t>Creaney</w:t>
      </w:r>
      <w:proofErr w:type="spellEnd"/>
      <w:r>
        <w:rPr>
          <w:rFonts w:ascii="Baskerville" w:hAnsi="Baskerville" w:cs="Arial"/>
          <w:color w:val="000000" w:themeColor="text1"/>
        </w:rPr>
        <w:t>. S, 2012</w:t>
      </w:r>
      <w:r>
        <w:rPr>
          <w:rFonts w:ascii="Baskerville" w:hAnsi="Baskerville" w:cs="Arial"/>
          <w:color w:val="000000" w:themeColor="text1"/>
        </w:rPr>
        <w:t xml:space="preserve"> – </w:t>
      </w:r>
      <w:proofErr w:type="spellStart"/>
      <w:r>
        <w:rPr>
          <w:rFonts w:ascii="Baskerville" w:hAnsi="Baskerville" w:cs="Arial"/>
          <w:color w:val="000000" w:themeColor="text1"/>
        </w:rPr>
        <w:t>Creaney</w:t>
      </w:r>
      <w:proofErr w:type="spellEnd"/>
      <w:r>
        <w:rPr>
          <w:rFonts w:ascii="Baskerville" w:hAnsi="Baskerville" w:cs="Arial"/>
          <w:color w:val="000000" w:themeColor="text1"/>
        </w:rPr>
        <w:t xml:space="preserve">, ‘Sean., Predicting criminality: youth justice and early intervention. In OpenDemocracy (London). OpenDemocracy. </w:t>
      </w:r>
    </w:p>
    <w:p w14:paraId="78D9D00E" w14:textId="7608092F" w:rsidR="003828D1" w:rsidRDefault="003828D1" w:rsidP="003828D1">
      <w:pPr>
        <w:pStyle w:val="ListParagraph"/>
        <w:numPr>
          <w:ilvl w:val="0"/>
          <w:numId w:val="1"/>
        </w:numPr>
        <w:rPr>
          <w:rFonts w:ascii="Baskerville" w:hAnsi="Baskerville"/>
          <w:color w:val="000000" w:themeColor="text1"/>
        </w:rPr>
      </w:pPr>
      <w:r>
        <w:rPr>
          <w:rFonts w:ascii="Baskerville" w:hAnsi="Baskerville"/>
          <w:color w:val="000000" w:themeColor="text1"/>
        </w:rPr>
        <w:t xml:space="preserve">Diaz. C, 2020 – Carlos Diaz. (2020). Parents, </w:t>
      </w:r>
      <w:r w:rsidR="00430E54">
        <w:rPr>
          <w:rFonts w:ascii="Baskerville" w:hAnsi="Baskerville"/>
          <w:color w:val="000000" w:themeColor="text1"/>
        </w:rPr>
        <w:t>Neighbours</w:t>
      </w:r>
      <w:r>
        <w:rPr>
          <w:rFonts w:ascii="Baskerville" w:hAnsi="Baskerville"/>
          <w:color w:val="000000" w:themeColor="text1"/>
        </w:rPr>
        <w:t xml:space="preserve"> and Youth Crime. IZA – Institute of Labour Economics. {Book} </w:t>
      </w:r>
    </w:p>
    <w:p w14:paraId="78959BD2" w14:textId="7E2E9D9F" w:rsidR="00AC2383" w:rsidRPr="0090223C" w:rsidRDefault="00AC2383" w:rsidP="003828D1">
      <w:pPr>
        <w:pStyle w:val="ListParagraph"/>
        <w:numPr>
          <w:ilvl w:val="0"/>
          <w:numId w:val="1"/>
        </w:numPr>
        <w:rPr>
          <w:rFonts w:ascii="Baskerville" w:hAnsi="Baskerville"/>
          <w:color w:val="000000" w:themeColor="text1"/>
        </w:rPr>
      </w:pPr>
      <w:r>
        <w:rPr>
          <w:rFonts w:ascii="Baskerville" w:hAnsi="Baskerville" w:cs="Arial"/>
          <w:color w:val="000000" w:themeColor="text1"/>
        </w:rPr>
        <w:t xml:space="preserve">Elizabeth S. Scott and Laurence Steinberg (2008) – Scott, Elizabeth. S, and Laurence Steinburg. ‘Adolescent Development and the Regulation of Youth Crime’. The Future of </w:t>
      </w:r>
      <w:r w:rsidR="00037115">
        <w:rPr>
          <w:rFonts w:ascii="Baskerville" w:hAnsi="Baskerville" w:cs="Arial"/>
          <w:color w:val="000000" w:themeColor="text1"/>
        </w:rPr>
        <w:t>Children</w:t>
      </w:r>
      <w:r>
        <w:rPr>
          <w:rFonts w:ascii="Baskerville" w:hAnsi="Baskerville" w:cs="Arial"/>
          <w:color w:val="000000" w:themeColor="text1"/>
        </w:rPr>
        <w:t>, vol.18, no.2, 2008, pp. 15-33. JESTOR, htpps://www.jstor.org/stable/2017997. Accessed 5</w:t>
      </w:r>
      <w:r w:rsidRPr="00AC2383">
        <w:rPr>
          <w:rFonts w:ascii="Baskerville" w:hAnsi="Baskerville" w:cs="Arial"/>
          <w:color w:val="000000" w:themeColor="text1"/>
          <w:vertAlign w:val="superscript"/>
        </w:rPr>
        <w:t>TH</w:t>
      </w:r>
      <w:r>
        <w:rPr>
          <w:rFonts w:ascii="Baskerville" w:hAnsi="Baskerville" w:cs="Arial"/>
          <w:color w:val="000000" w:themeColor="text1"/>
        </w:rPr>
        <w:t xml:space="preserve"> May 2025. </w:t>
      </w:r>
    </w:p>
    <w:p w14:paraId="360AA43C" w14:textId="17999370" w:rsidR="0090223C" w:rsidRPr="00037115" w:rsidRDefault="0090223C" w:rsidP="003828D1">
      <w:pPr>
        <w:pStyle w:val="ListParagraph"/>
        <w:numPr>
          <w:ilvl w:val="0"/>
          <w:numId w:val="1"/>
        </w:numPr>
        <w:rPr>
          <w:rFonts w:ascii="Baskerville" w:hAnsi="Baskerville"/>
          <w:color w:val="000000" w:themeColor="text1"/>
        </w:rPr>
      </w:pPr>
      <w:r>
        <w:rPr>
          <w:rFonts w:ascii="Baskerville" w:hAnsi="Baskerville" w:cs="Arial"/>
          <w:color w:val="000000" w:themeColor="text1"/>
        </w:rPr>
        <w:t xml:space="preserve">Jung, H., </w:t>
      </w:r>
      <w:proofErr w:type="spellStart"/>
      <w:r>
        <w:rPr>
          <w:rFonts w:ascii="Baskerville" w:hAnsi="Baskerville" w:cs="Arial"/>
          <w:color w:val="000000" w:themeColor="text1"/>
        </w:rPr>
        <w:t>Herrenkohl</w:t>
      </w:r>
      <w:proofErr w:type="spellEnd"/>
      <w:r>
        <w:rPr>
          <w:rFonts w:ascii="Baskerville" w:hAnsi="Baskerville" w:cs="Arial"/>
          <w:color w:val="000000" w:themeColor="text1"/>
        </w:rPr>
        <w:t xml:space="preserve">, T. I., Lee, J. O., </w:t>
      </w:r>
      <w:proofErr w:type="spellStart"/>
      <w:r>
        <w:rPr>
          <w:rFonts w:ascii="Baskerville" w:hAnsi="Baskerville" w:cs="Arial"/>
          <w:color w:val="000000" w:themeColor="text1"/>
        </w:rPr>
        <w:t>Klika</w:t>
      </w:r>
      <w:proofErr w:type="spellEnd"/>
      <w:r>
        <w:rPr>
          <w:rFonts w:ascii="Baskerville" w:hAnsi="Baskerville" w:cs="Arial"/>
          <w:color w:val="000000" w:themeColor="text1"/>
        </w:rPr>
        <w:t xml:space="preserve">, J. B., &amp; Skinner, M. L. (2015). Effects </w:t>
      </w:r>
      <w:proofErr w:type="spellStart"/>
      <w:r>
        <w:rPr>
          <w:rFonts w:ascii="Baskerville" w:hAnsi="Baskerville" w:cs="Arial"/>
          <w:color w:val="000000" w:themeColor="text1"/>
        </w:rPr>
        <w:t>og</w:t>
      </w:r>
      <w:proofErr w:type="spellEnd"/>
      <w:r>
        <w:rPr>
          <w:rFonts w:ascii="Baskerville" w:hAnsi="Baskerville" w:cs="Arial"/>
          <w:color w:val="000000" w:themeColor="text1"/>
        </w:rPr>
        <w:t xml:space="preserve"> physical and Emotional Child Abuse and Its Chronicity on Crime Into Adulthood. </w:t>
      </w:r>
      <w:r>
        <w:rPr>
          <w:rFonts w:ascii="Baskerville" w:hAnsi="Baskerville" w:cs="Arial"/>
          <w:i/>
          <w:iCs/>
          <w:color w:val="000000" w:themeColor="text1"/>
        </w:rPr>
        <w:t xml:space="preserve">Violence and victims, 30(6), </w:t>
      </w:r>
      <w:r>
        <w:rPr>
          <w:rFonts w:ascii="Baskerville" w:hAnsi="Baskerville" w:cs="Arial"/>
          <w:color w:val="000000" w:themeColor="text1"/>
        </w:rPr>
        <w:t xml:space="preserve">1004 – 1018.. </w:t>
      </w:r>
      <w:proofErr w:type="spellStart"/>
      <w:r>
        <w:rPr>
          <w:rFonts w:ascii="Baskerville" w:hAnsi="Baskerville" w:cs="Arial"/>
          <w:color w:val="000000" w:themeColor="text1"/>
        </w:rPr>
        <w:t>Htpps</w:t>
      </w:r>
      <w:proofErr w:type="spellEnd"/>
      <w:r>
        <w:rPr>
          <w:rFonts w:ascii="Baskerville" w:hAnsi="Baskerville" w:cs="Arial"/>
          <w:color w:val="000000" w:themeColor="text1"/>
        </w:rPr>
        <w:t xml:space="preserve">;//doi.org/10.1891/0886-6708.VV-D14-00071  </w:t>
      </w:r>
    </w:p>
    <w:p w14:paraId="09167FD3" w14:textId="29AE2023" w:rsidR="00037115" w:rsidRPr="00B24E8A" w:rsidRDefault="00037115" w:rsidP="003828D1">
      <w:pPr>
        <w:pStyle w:val="ListParagraph"/>
        <w:numPr>
          <w:ilvl w:val="0"/>
          <w:numId w:val="1"/>
        </w:numPr>
        <w:rPr>
          <w:rFonts w:ascii="Baskerville" w:hAnsi="Baskerville"/>
          <w:color w:val="000000" w:themeColor="text1"/>
        </w:rPr>
      </w:pPr>
      <w:r>
        <w:rPr>
          <w:rFonts w:ascii="Baskerville" w:hAnsi="Baskerville" w:cs="Arial"/>
          <w:color w:val="000000" w:themeColor="text1"/>
        </w:rPr>
        <w:t xml:space="preserve">Richard J. Bonnie and Elizabeth S. Scott (2013) – Bonnie, Richard. J, and Elizabeth S. Scott. “The teenage Brain: Adolescent Brain Research and the Law.” Current Directions in Psychological Science 22, no. 2 (2013): 158 – 61. htpps://www.jstor.org/stable/44318652.  </w:t>
      </w:r>
    </w:p>
    <w:p w14:paraId="021F3BED" w14:textId="6A97BD6C" w:rsidR="00B24E8A" w:rsidRDefault="00B24E8A" w:rsidP="003828D1">
      <w:pPr>
        <w:pStyle w:val="ListParagraph"/>
        <w:numPr>
          <w:ilvl w:val="0"/>
          <w:numId w:val="1"/>
        </w:numPr>
        <w:rPr>
          <w:rFonts w:ascii="Baskerville" w:hAnsi="Baskerville"/>
          <w:color w:val="000000" w:themeColor="text1"/>
        </w:rPr>
      </w:pPr>
      <w:r w:rsidRPr="00B24E8A">
        <w:rPr>
          <w:rFonts w:ascii="Baskerville" w:hAnsi="Baskerville" w:cs="Arial"/>
          <w:color w:val="000000" w:themeColor="text1"/>
        </w:rPr>
        <w:t>Smith and Thornberry (1995)</w:t>
      </w:r>
      <w:r>
        <w:rPr>
          <w:rFonts w:ascii="Baskerville" w:hAnsi="Baskerville" w:cs="Arial"/>
          <w:color w:val="000000" w:themeColor="text1"/>
        </w:rPr>
        <w:t xml:space="preserve"> – Smith CA, Thornberry TP. The relationship between childhood maltreatment and adolescent involvement in delinquency. Criminology. 1995: 33(4):451 – 481. Htpps://dx.dio.org/10.1111/j.1745-9125.1955.tb01186.x. </w:t>
      </w:r>
    </w:p>
    <w:p w14:paraId="0361520F" w14:textId="6F13AE40" w:rsidR="008E5090" w:rsidRPr="008E5090" w:rsidRDefault="00FC5D9A" w:rsidP="00FC5D9A">
      <w:pPr>
        <w:pStyle w:val="ListParagraph"/>
        <w:numPr>
          <w:ilvl w:val="0"/>
          <w:numId w:val="1"/>
        </w:numPr>
        <w:rPr>
          <w:rFonts w:ascii="Baskerville" w:hAnsi="Baskerville"/>
          <w:color w:val="000000" w:themeColor="text1"/>
        </w:rPr>
      </w:pPr>
      <w:r>
        <w:rPr>
          <w:rFonts w:ascii="Baskerville" w:hAnsi="Baskerville"/>
          <w:color w:val="000000" w:themeColor="text1"/>
        </w:rPr>
        <w:t xml:space="preserve">YJB – Youth Justice board, Youth Justice Statistics: </w:t>
      </w:r>
      <w:r w:rsidR="00344DCA">
        <w:rPr>
          <w:rFonts w:ascii="Baskerville" w:hAnsi="Baskerville"/>
          <w:color w:val="000000" w:themeColor="text1"/>
        </w:rPr>
        <w:t>2021 to 2022, published {online} 26</w:t>
      </w:r>
      <w:r w:rsidR="00344DCA" w:rsidRPr="00344DCA">
        <w:rPr>
          <w:rFonts w:ascii="Baskerville" w:hAnsi="Baskerville"/>
          <w:color w:val="000000" w:themeColor="text1"/>
          <w:vertAlign w:val="superscript"/>
        </w:rPr>
        <w:t>th</w:t>
      </w:r>
      <w:r w:rsidR="00344DCA">
        <w:rPr>
          <w:rFonts w:ascii="Baskerville" w:hAnsi="Baskerville"/>
          <w:color w:val="000000" w:themeColor="text1"/>
        </w:rPr>
        <w:t xml:space="preserve"> January 2023 and available at: </w:t>
      </w:r>
      <w:hyperlink r:id="rId8" w:anchor=":~:text=the%20previous%20year.-,2.,on%20year%20decrease%20(10%25)" w:history="1">
        <w:r w:rsidR="00344DCA" w:rsidRPr="00D307E1">
          <w:rPr>
            <w:rStyle w:val="Hyperlink"/>
            <w:rFonts w:ascii="Baskerville" w:hAnsi="Baskerville"/>
          </w:rPr>
          <w:t>https://www.gov.uk/government/statistics/youth-justice-statistics-2021-to-2022/youth-justice-statistics-2021-to-2022-accessible-version#:~:text=the%20previous%20year.-,2.,on%20year%20decrease%20(10%25)</w:t>
        </w:r>
      </w:hyperlink>
      <w:r w:rsidR="00344DCA" w:rsidRPr="00344DCA">
        <w:rPr>
          <w:rFonts w:ascii="Baskerville" w:hAnsi="Baskerville"/>
          <w:color w:val="000000" w:themeColor="text1"/>
        </w:rPr>
        <w:t>.</w:t>
      </w:r>
      <w:r w:rsidR="00344DCA">
        <w:rPr>
          <w:rFonts w:ascii="Baskerville" w:hAnsi="Baskerville"/>
          <w:color w:val="000000" w:themeColor="text1"/>
        </w:rPr>
        <w:t xml:space="preserve"> </w:t>
      </w:r>
      <w:r w:rsidR="007B7DDF">
        <w:rPr>
          <w:rFonts w:ascii="Baskerville" w:hAnsi="Baskerville"/>
          <w:color w:val="000000" w:themeColor="text1"/>
        </w:rPr>
        <w:t xml:space="preserve">  </w:t>
      </w:r>
      <w:r w:rsidR="00712367">
        <w:rPr>
          <w:rFonts w:ascii="Baskerville" w:hAnsi="Baskerville"/>
          <w:color w:val="000000" w:themeColor="text1"/>
        </w:rPr>
        <w:t xml:space="preserve"> </w:t>
      </w:r>
    </w:p>
    <w:sectPr w:rsidR="008E5090" w:rsidRPr="008E5090">
      <w:headerReference w:type="even" r:id="rId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333A6F" w14:textId="77777777" w:rsidR="00666963" w:rsidRDefault="00666963" w:rsidP="00AC5E79">
      <w:r>
        <w:separator/>
      </w:r>
    </w:p>
  </w:endnote>
  <w:endnote w:type="continuationSeparator" w:id="0">
    <w:p w14:paraId="68F09F45" w14:textId="77777777" w:rsidR="00666963" w:rsidRDefault="00666963" w:rsidP="00AC5E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Baskerville">
    <w:panose1 w:val="02020502070401020303"/>
    <w:charset w:val="00"/>
    <w:family w:val="roman"/>
    <w:pitch w:val="variable"/>
    <w:sig w:usb0="80000067" w:usb1="02000000"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A049EC" w14:textId="77777777" w:rsidR="00666963" w:rsidRDefault="00666963" w:rsidP="00AC5E79">
      <w:r>
        <w:separator/>
      </w:r>
    </w:p>
  </w:footnote>
  <w:footnote w:type="continuationSeparator" w:id="0">
    <w:p w14:paraId="09A88162" w14:textId="77777777" w:rsidR="00666963" w:rsidRDefault="00666963" w:rsidP="00AC5E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02479196"/>
      <w:docPartObj>
        <w:docPartGallery w:val="Page Numbers (Top of Page)"/>
        <w:docPartUnique/>
      </w:docPartObj>
    </w:sdtPr>
    <w:sdtContent>
      <w:p w14:paraId="73DA9657" w14:textId="0EC5AB05" w:rsidR="00AC5E79" w:rsidRDefault="00AC5E79" w:rsidP="00D307E1">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229EC8" w14:textId="77777777" w:rsidR="00AC5E79" w:rsidRDefault="00AC5E79" w:rsidP="00AC5E79">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53050644"/>
      <w:docPartObj>
        <w:docPartGallery w:val="Page Numbers (Top of Page)"/>
        <w:docPartUnique/>
      </w:docPartObj>
    </w:sdtPr>
    <w:sdtContent>
      <w:p w14:paraId="50DB6821" w14:textId="5504DDBE" w:rsidR="00AC5E79" w:rsidRDefault="00AC5E79" w:rsidP="00D307E1">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6524B6" w14:textId="74C25EB5" w:rsidR="00AC5E79" w:rsidRDefault="00AC5E79" w:rsidP="00AC5E79">
    <w:pPr>
      <w:pStyle w:val="Header"/>
      <w:ind w:firstLine="360"/>
    </w:pPr>
  </w:p>
  <w:p w14:paraId="22C5B040" w14:textId="2DCD791C" w:rsidR="00AC5E79" w:rsidRDefault="00AC5E79" w:rsidP="00AC5E79">
    <w:pPr>
      <w:pStyle w:val="Header"/>
      <w:ind w:firstLine="360"/>
    </w:pPr>
    <w:r>
      <w:t xml:space="preserve">Adam Zennadi – (2236303) </w:t>
    </w:r>
  </w:p>
  <w:p w14:paraId="24530F80" w14:textId="77777777" w:rsidR="00AC5E79" w:rsidRDefault="00AC5E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DB2ED6"/>
    <w:multiLevelType w:val="hybridMultilevel"/>
    <w:tmpl w:val="A07C408E"/>
    <w:lvl w:ilvl="0" w:tplc="F222AF1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B38C6"/>
    <w:multiLevelType w:val="multilevel"/>
    <w:tmpl w:val="A120D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3B7B8D"/>
    <w:multiLevelType w:val="multilevel"/>
    <w:tmpl w:val="408EE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8031622">
    <w:abstractNumId w:val="0"/>
  </w:num>
  <w:num w:numId="2" w16cid:durableId="2124492658">
    <w:abstractNumId w:val="1"/>
  </w:num>
  <w:num w:numId="3" w16cid:durableId="3622901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EBC"/>
    <w:rsid w:val="00015457"/>
    <w:rsid w:val="0003645F"/>
    <w:rsid w:val="00037115"/>
    <w:rsid w:val="00054706"/>
    <w:rsid w:val="000A4DC9"/>
    <w:rsid w:val="000B53C9"/>
    <w:rsid w:val="000E5D81"/>
    <w:rsid w:val="000E7A78"/>
    <w:rsid w:val="001063C0"/>
    <w:rsid w:val="00120E8B"/>
    <w:rsid w:val="00161A06"/>
    <w:rsid w:val="00167B3F"/>
    <w:rsid w:val="00197A6A"/>
    <w:rsid w:val="001C59CD"/>
    <w:rsid w:val="00242774"/>
    <w:rsid w:val="00263E68"/>
    <w:rsid w:val="002F46CD"/>
    <w:rsid w:val="00343CD6"/>
    <w:rsid w:val="00344DCA"/>
    <w:rsid w:val="00352E72"/>
    <w:rsid w:val="003736E6"/>
    <w:rsid w:val="003828D1"/>
    <w:rsid w:val="00397020"/>
    <w:rsid w:val="003E13EB"/>
    <w:rsid w:val="003F396B"/>
    <w:rsid w:val="00417BDB"/>
    <w:rsid w:val="00430E54"/>
    <w:rsid w:val="004372E3"/>
    <w:rsid w:val="00452697"/>
    <w:rsid w:val="00463009"/>
    <w:rsid w:val="00481E2D"/>
    <w:rsid w:val="004D70AB"/>
    <w:rsid w:val="004D7684"/>
    <w:rsid w:val="004E20C7"/>
    <w:rsid w:val="004F1836"/>
    <w:rsid w:val="004F563E"/>
    <w:rsid w:val="005C5E11"/>
    <w:rsid w:val="005D70F5"/>
    <w:rsid w:val="005E5994"/>
    <w:rsid w:val="006005FE"/>
    <w:rsid w:val="00642B54"/>
    <w:rsid w:val="00662EF5"/>
    <w:rsid w:val="00666963"/>
    <w:rsid w:val="00667ECC"/>
    <w:rsid w:val="006B1DDC"/>
    <w:rsid w:val="006D1300"/>
    <w:rsid w:val="006D672A"/>
    <w:rsid w:val="006E1CDC"/>
    <w:rsid w:val="006F6449"/>
    <w:rsid w:val="00712367"/>
    <w:rsid w:val="00747A1B"/>
    <w:rsid w:val="0075484A"/>
    <w:rsid w:val="00792B52"/>
    <w:rsid w:val="007A63BF"/>
    <w:rsid w:val="007A71FC"/>
    <w:rsid w:val="007B7DDF"/>
    <w:rsid w:val="007C263E"/>
    <w:rsid w:val="007D471D"/>
    <w:rsid w:val="007D54B2"/>
    <w:rsid w:val="00827C88"/>
    <w:rsid w:val="0087221B"/>
    <w:rsid w:val="00877776"/>
    <w:rsid w:val="008C726B"/>
    <w:rsid w:val="008D439D"/>
    <w:rsid w:val="008E5090"/>
    <w:rsid w:val="008F20A0"/>
    <w:rsid w:val="0090223C"/>
    <w:rsid w:val="00940857"/>
    <w:rsid w:val="009B0103"/>
    <w:rsid w:val="00A07BFF"/>
    <w:rsid w:val="00A11265"/>
    <w:rsid w:val="00A119CE"/>
    <w:rsid w:val="00A347DE"/>
    <w:rsid w:val="00A70FCD"/>
    <w:rsid w:val="00AB69D1"/>
    <w:rsid w:val="00AC2383"/>
    <w:rsid w:val="00AC5E79"/>
    <w:rsid w:val="00AF17D2"/>
    <w:rsid w:val="00AF60E5"/>
    <w:rsid w:val="00B17743"/>
    <w:rsid w:val="00B24E8A"/>
    <w:rsid w:val="00B26954"/>
    <w:rsid w:val="00B35331"/>
    <w:rsid w:val="00B47B52"/>
    <w:rsid w:val="00B73BCC"/>
    <w:rsid w:val="00B90821"/>
    <w:rsid w:val="00BF7271"/>
    <w:rsid w:val="00C00A3B"/>
    <w:rsid w:val="00C57F9A"/>
    <w:rsid w:val="00C767DC"/>
    <w:rsid w:val="00CA10B0"/>
    <w:rsid w:val="00CA7950"/>
    <w:rsid w:val="00CB1852"/>
    <w:rsid w:val="00CE2891"/>
    <w:rsid w:val="00D3708F"/>
    <w:rsid w:val="00D5020D"/>
    <w:rsid w:val="00D51D65"/>
    <w:rsid w:val="00D7009E"/>
    <w:rsid w:val="00D76A6C"/>
    <w:rsid w:val="00D8134B"/>
    <w:rsid w:val="00D8497E"/>
    <w:rsid w:val="00D85AD8"/>
    <w:rsid w:val="00D85EBC"/>
    <w:rsid w:val="00DC0A78"/>
    <w:rsid w:val="00DC430E"/>
    <w:rsid w:val="00E24A1F"/>
    <w:rsid w:val="00E2655C"/>
    <w:rsid w:val="00EA7F1C"/>
    <w:rsid w:val="00EC5516"/>
    <w:rsid w:val="00ED2D2C"/>
    <w:rsid w:val="00F52E62"/>
    <w:rsid w:val="00FB64A0"/>
    <w:rsid w:val="00FC5D9A"/>
    <w:rsid w:val="00FD3D00"/>
    <w:rsid w:val="00FE69DB"/>
    <w:rsid w:val="00FF7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53B780"/>
  <w15:chartTrackingRefBased/>
  <w15:docId w15:val="{AFB21033-46B0-B840-9C53-F11D66953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5E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5E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5E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5E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5E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5EB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5EB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5EB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5EB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5E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5E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5E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5E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5E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5E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5E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5E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5EBC"/>
    <w:rPr>
      <w:rFonts w:eastAsiaTheme="majorEastAsia" w:cstheme="majorBidi"/>
      <w:color w:val="272727" w:themeColor="text1" w:themeTint="D8"/>
    </w:rPr>
  </w:style>
  <w:style w:type="paragraph" w:styleId="Title">
    <w:name w:val="Title"/>
    <w:basedOn w:val="Normal"/>
    <w:next w:val="Normal"/>
    <w:link w:val="TitleChar"/>
    <w:uiPriority w:val="10"/>
    <w:qFormat/>
    <w:rsid w:val="00D85EB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5E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5EB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5E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5EB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85EBC"/>
    <w:rPr>
      <w:i/>
      <w:iCs/>
      <w:color w:val="404040" w:themeColor="text1" w:themeTint="BF"/>
    </w:rPr>
  </w:style>
  <w:style w:type="paragraph" w:styleId="ListParagraph">
    <w:name w:val="List Paragraph"/>
    <w:basedOn w:val="Normal"/>
    <w:uiPriority w:val="34"/>
    <w:qFormat/>
    <w:rsid w:val="00D85EBC"/>
    <w:pPr>
      <w:ind w:left="720"/>
      <w:contextualSpacing/>
    </w:pPr>
  </w:style>
  <w:style w:type="character" w:styleId="IntenseEmphasis">
    <w:name w:val="Intense Emphasis"/>
    <w:basedOn w:val="DefaultParagraphFont"/>
    <w:uiPriority w:val="21"/>
    <w:qFormat/>
    <w:rsid w:val="00D85EBC"/>
    <w:rPr>
      <w:i/>
      <w:iCs/>
      <w:color w:val="0F4761" w:themeColor="accent1" w:themeShade="BF"/>
    </w:rPr>
  </w:style>
  <w:style w:type="paragraph" w:styleId="IntenseQuote">
    <w:name w:val="Intense Quote"/>
    <w:basedOn w:val="Normal"/>
    <w:next w:val="Normal"/>
    <w:link w:val="IntenseQuoteChar"/>
    <w:uiPriority w:val="30"/>
    <w:qFormat/>
    <w:rsid w:val="00D85E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5EBC"/>
    <w:rPr>
      <w:i/>
      <w:iCs/>
      <w:color w:val="0F4761" w:themeColor="accent1" w:themeShade="BF"/>
    </w:rPr>
  </w:style>
  <w:style w:type="character" w:styleId="IntenseReference">
    <w:name w:val="Intense Reference"/>
    <w:basedOn w:val="DefaultParagraphFont"/>
    <w:uiPriority w:val="32"/>
    <w:qFormat/>
    <w:rsid w:val="00D85EBC"/>
    <w:rPr>
      <w:b/>
      <w:bCs/>
      <w:smallCaps/>
      <w:color w:val="0F4761" w:themeColor="accent1" w:themeShade="BF"/>
      <w:spacing w:val="5"/>
    </w:rPr>
  </w:style>
  <w:style w:type="character" w:styleId="Hyperlink">
    <w:name w:val="Hyperlink"/>
    <w:basedOn w:val="DefaultParagraphFont"/>
    <w:uiPriority w:val="99"/>
    <w:unhideWhenUsed/>
    <w:rsid w:val="00344DCA"/>
    <w:rPr>
      <w:color w:val="467886" w:themeColor="hyperlink"/>
      <w:u w:val="single"/>
    </w:rPr>
  </w:style>
  <w:style w:type="character" w:styleId="UnresolvedMention">
    <w:name w:val="Unresolved Mention"/>
    <w:basedOn w:val="DefaultParagraphFont"/>
    <w:uiPriority w:val="99"/>
    <w:semiHidden/>
    <w:unhideWhenUsed/>
    <w:rsid w:val="00344DCA"/>
    <w:rPr>
      <w:color w:val="605E5C"/>
      <w:shd w:val="clear" w:color="auto" w:fill="E1DFDD"/>
    </w:rPr>
  </w:style>
  <w:style w:type="paragraph" w:styleId="Header">
    <w:name w:val="header"/>
    <w:basedOn w:val="Normal"/>
    <w:link w:val="HeaderChar"/>
    <w:uiPriority w:val="99"/>
    <w:unhideWhenUsed/>
    <w:rsid w:val="00AC5E79"/>
    <w:pPr>
      <w:tabs>
        <w:tab w:val="center" w:pos="4513"/>
        <w:tab w:val="right" w:pos="9026"/>
      </w:tabs>
    </w:pPr>
  </w:style>
  <w:style w:type="character" w:customStyle="1" w:styleId="HeaderChar">
    <w:name w:val="Header Char"/>
    <w:basedOn w:val="DefaultParagraphFont"/>
    <w:link w:val="Header"/>
    <w:uiPriority w:val="99"/>
    <w:rsid w:val="00AC5E79"/>
  </w:style>
  <w:style w:type="paragraph" w:styleId="Footer">
    <w:name w:val="footer"/>
    <w:basedOn w:val="Normal"/>
    <w:link w:val="FooterChar"/>
    <w:uiPriority w:val="99"/>
    <w:unhideWhenUsed/>
    <w:rsid w:val="00AC5E79"/>
    <w:pPr>
      <w:tabs>
        <w:tab w:val="center" w:pos="4513"/>
        <w:tab w:val="right" w:pos="9026"/>
      </w:tabs>
    </w:pPr>
  </w:style>
  <w:style w:type="character" w:customStyle="1" w:styleId="FooterChar">
    <w:name w:val="Footer Char"/>
    <w:basedOn w:val="DefaultParagraphFont"/>
    <w:link w:val="Footer"/>
    <w:uiPriority w:val="99"/>
    <w:rsid w:val="00AC5E79"/>
  </w:style>
  <w:style w:type="character" w:styleId="PageNumber">
    <w:name w:val="page number"/>
    <w:basedOn w:val="DefaultParagraphFont"/>
    <w:uiPriority w:val="99"/>
    <w:semiHidden/>
    <w:unhideWhenUsed/>
    <w:rsid w:val="00AC5E79"/>
  </w:style>
  <w:style w:type="character" w:styleId="FollowedHyperlink">
    <w:name w:val="FollowedHyperlink"/>
    <w:basedOn w:val="DefaultParagraphFont"/>
    <w:uiPriority w:val="99"/>
    <w:semiHidden/>
    <w:unhideWhenUsed/>
    <w:rsid w:val="0039702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5475325">
      <w:bodyDiv w:val="1"/>
      <w:marLeft w:val="0"/>
      <w:marRight w:val="0"/>
      <w:marTop w:val="0"/>
      <w:marBottom w:val="0"/>
      <w:divBdr>
        <w:top w:val="none" w:sz="0" w:space="0" w:color="auto"/>
        <w:left w:val="none" w:sz="0" w:space="0" w:color="auto"/>
        <w:bottom w:val="none" w:sz="0" w:space="0" w:color="auto"/>
        <w:right w:val="none" w:sz="0" w:space="0" w:color="auto"/>
      </w:divBdr>
      <w:divsChild>
        <w:div w:id="601690797">
          <w:marLeft w:val="0"/>
          <w:marRight w:val="0"/>
          <w:marTop w:val="0"/>
          <w:marBottom w:val="0"/>
          <w:divBdr>
            <w:top w:val="none" w:sz="0" w:space="0" w:color="auto"/>
            <w:left w:val="none" w:sz="0" w:space="0" w:color="auto"/>
            <w:bottom w:val="none" w:sz="0" w:space="0" w:color="auto"/>
            <w:right w:val="none" w:sz="0" w:space="0" w:color="auto"/>
          </w:divBdr>
          <w:divsChild>
            <w:div w:id="83962123">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833840283">
      <w:bodyDiv w:val="1"/>
      <w:marLeft w:val="0"/>
      <w:marRight w:val="0"/>
      <w:marTop w:val="0"/>
      <w:marBottom w:val="0"/>
      <w:divBdr>
        <w:top w:val="none" w:sz="0" w:space="0" w:color="auto"/>
        <w:left w:val="none" w:sz="0" w:space="0" w:color="auto"/>
        <w:bottom w:val="none" w:sz="0" w:space="0" w:color="auto"/>
        <w:right w:val="none" w:sz="0" w:space="0" w:color="auto"/>
      </w:divBdr>
      <w:divsChild>
        <w:div w:id="1830899654">
          <w:marLeft w:val="0"/>
          <w:marRight w:val="0"/>
          <w:marTop w:val="0"/>
          <w:marBottom w:val="0"/>
          <w:divBdr>
            <w:top w:val="none" w:sz="0" w:space="0" w:color="auto"/>
            <w:left w:val="none" w:sz="0" w:space="0" w:color="auto"/>
            <w:bottom w:val="none" w:sz="0" w:space="0" w:color="auto"/>
            <w:right w:val="none" w:sz="0" w:space="0" w:color="auto"/>
          </w:divBdr>
        </w:div>
        <w:div w:id="27537765">
          <w:marLeft w:val="0"/>
          <w:marRight w:val="0"/>
          <w:marTop w:val="0"/>
          <w:marBottom w:val="0"/>
          <w:divBdr>
            <w:top w:val="none" w:sz="0" w:space="0" w:color="auto"/>
            <w:left w:val="none" w:sz="0" w:space="0" w:color="auto"/>
            <w:bottom w:val="none" w:sz="0" w:space="0" w:color="auto"/>
            <w:right w:val="none" w:sz="0" w:space="0" w:color="auto"/>
          </w:divBdr>
        </w:div>
        <w:div w:id="171838192">
          <w:marLeft w:val="0"/>
          <w:marRight w:val="0"/>
          <w:marTop w:val="0"/>
          <w:marBottom w:val="0"/>
          <w:divBdr>
            <w:top w:val="none" w:sz="0" w:space="0" w:color="auto"/>
            <w:left w:val="none" w:sz="0" w:space="0" w:color="auto"/>
            <w:bottom w:val="none" w:sz="0" w:space="0" w:color="auto"/>
            <w:right w:val="none" w:sz="0" w:space="0" w:color="auto"/>
          </w:divBdr>
        </w:div>
      </w:divsChild>
    </w:div>
    <w:div w:id="889069672">
      <w:bodyDiv w:val="1"/>
      <w:marLeft w:val="0"/>
      <w:marRight w:val="0"/>
      <w:marTop w:val="0"/>
      <w:marBottom w:val="0"/>
      <w:divBdr>
        <w:top w:val="none" w:sz="0" w:space="0" w:color="auto"/>
        <w:left w:val="none" w:sz="0" w:space="0" w:color="auto"/>
        <w:bottom w:val="none" w:sz="0" w:space="0" w:color="auto"/>
        <w:right w:val="none" w:sz="0" w:space="0" w:color="auto"/>
      </w:divBdr>
      <w:divsChild>
        <w:div w:id="1173033069">
          <w:marLeft w:val="0"/>
          <w:marRight w:val="0"/>
          <w:marTop w:val="0"/>
          <w:marBottom w:val="0"/>
          <w:divBdr>
            <w:top w:val="none" w:sz="0" w:space="0" w:color="auto"/>
            <w:left w:val="none" w:sz="0" w:space="0" w:color="auto"/>
            <w:bottom w:val="none" w:sz="0" w:space="0" w:color="auto"/>
            <w:right w:val="none" w:sz="0" w:space="0" w:color="auto"/>
          </w:divBdr>
          <w:divsChild>
            <w:div w:id="1044258483">
              <w:marLeft w:val="0"/>
              <w:marRight w:val="0"/>
              <w:marTop w:val="0"/>
              <w:marBottom w:val="0"/>
              <w:divBdr>
                <w:top w:val="none" w:sz="0" w:space="0" w:color="auto"/>
                <w:left w:val="none" w:sz="0" w:space="0" w:color="auto"/>
                <w:bottom w:val="none" w:sz="0" w:space="0" w:color="auto"/>
                <w:right w:val="none" w:sz="0" w:space="0" w:color="auto"/>
              </w:divBdr>
              <w:divsChild>
                <w:div w:id="319239096">
                  <w:marLeft w:val="0"/>
                  <w:marRight w:val="0"/>
                  <w:marTop w:val="0"/>
                  <w:marBottom w:val="0"/>
                  <w:divBdr>
                    <w:top w:val="none" w:sz="0" w:space="0" w:color="auto"/>
                    <w:left w:val="none" w:sz="0" w:space="0" w:color="auto"/>
                    <w:bottom w:val="none" w:sz="0" w:space="0" w:color="auto"/>
                    <w:right w:val="none" w:sz="0" w:space="0" w:color="auto"/>
                  </w:divBdr>
                  <w:divsChild>
                    <w:div w:id="266042844">
                      <w:marLeft w:val="0"/>
                      <w:marRight w:val="0"/>
                      <w:marTop w:val="0"/>
                      <w:marBottom w:val="0"/>
                      <w:divBdr>
                        <w:top w:val="none" w:sz="0" w:space="0" w:color="auto"/>
                        <w:left w:val="none" w:sz="0" w:space="0" w:color="auto"/>
                        <w:bottom w:val="none" w:sz="0" w:space="0" w:color="auto"/>
                        <w:right w:val="none" w:sz="0" w:space="0" w:color="auto"/>
                      </w:divBdr>
                      <w:divsChild>
                        <w:div w:id="136653344">
                          <w:marLeft w:val="0"/>
                          <w:marRight w:val="0"/>
                          <w:marTop w:val="0"/>
                          <w:marBottom w:val="0"/>
                          <w:divBdr>
                            <w:top w:val="none" w:sz="0" w:space="0" w:color="auto"/>
                            <w:left w:val="none" w:sz="0" w:space="0" w:color="auto"/>
                            <w:bottom w:val="none" w:sz="0" w:space="0" w:color="auto"/>
                            <w:right w:val="none" w:sz="0" w:space="0" w:color="auto"/>
                          </w:divBdr>
                          <w:divsChild>
                            <w:div w:id="1701124491">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7671020">
      <w:bodyDiv w:val="1"/>
      <w:marLeft w:val="0"/>
      <w:marRight w:val="0"/>
      <w:marTop w:val="0"/>
      <w:marBottom w:val="0"/>
      <w:divBdr>
        <w:top w:val="none" w:sz="0" w:space="0" w:color="auto"/>
        <w:left w:val="none" w:sz="0" w:space="0" w:color="auto"/>
        <w:bottom w:val="none" w:sz="0" w:space="0" w:color="auto"/>
        <w:right w:val="none" w:sz="0" w:space="0" w:color="auto"/>
      </w:divBdr>
      <w:divsChild>
        <w:div w:id="1537082558">
          <w:marLeft w:val="0"/>
          <w:marRight w:val="0"/>
          <w:marTop w:val="0"/>
          <w:marBottom w:val="0"/>
          <w:divBdr>
            <w:top w:val="none" w:sz="0" w:space="0" w:color="auto"/>
            <w:left w:val="none" w:sz="0" w:space="0" w:color="auto"/>
            <w:bottom w:val="none" w:sz="0" w:space="0" w:color="auto"/>
            <w:right w:val="none" w:sz="0" w:space="0" w:color="auto"/>
          </w:divBdr>
        </w:div>
        <w:div w:id="1706716789">
          <w:marLeft w:val="0"/>
          <w:marRight w:val="0"/>
          <w:marTop w:val="0"/>
          <w:marBottom w:val="0"/>
          <w:divBdr>
            <w:top w:val="none" w:sz="0" w:space="0" w:color="auto"/>
            <w:left w:val="none" w:sz="0" w:space="0" w:color="auto"/>
            <w:bottom w:val="none" w:sz="0" w:space="0" w:color="auto"/>
            <w:right w:val="none" w:sz="0" w:space="0" w:color="auto"/>
          </w:divBdr>
        </w:div>
        <w:div w:id="691103336">
          <w:marLeft w:val="0"/>
          <w:marRight w:val="0"/>
          <w:marTop w:val="0"/>
          <w:marBottom w:val="0"/>
          <w:divBdr>
            <w:top w:val="none" w:sz="0" w:space="0" w:color="auto"/>
            <w:left w:val="none" w:sz="0" w:space="0" w:color="auto"/>
            <w:bottom w:val="none" w:sz="0" w:space="0" w:color="auto"/>
            <w:right w:val="none" w:sz="0" w:space="0" w:color="auto"/>
          </w:divBdr>
        </w:div>
      </w:divsChild>
    </w:div>
    <w:div w:id="1607618854">
      <w:bodyDiv w:val="1"/>
      <w:marLeft w:val="0"/>
      <w:marRight w:val="0"/>
      <w:marTop w:val="0"/>
      <w:marBottom w:val="0"/>
      <w:divBdr>
        <w:top w:val="none" w:sz="0" w:space="0" w:color="auto"/>
        <w:left w:val="none" w:sz="0" w:space="0" w:color="auto"/>
        <w:bottom w:val="none" w:sz="0" w:space="0" w:color="auto"/>
        <w:right w:val="none" w:sz="0" w:space="0" w:color="auto"/>
      </w:divBdr>
      <w:divsChild>
        <w:div w:id="665129794">
          <w:marLeft w:val="0"/>
          <w:marRight w:val="0"/>
          <w:marTop w:val="0"/>
          <w:marBottom w:val="0"/>
          <w:divBdr>
            <w:top w:val="none" w:sz="0" w:space="0" w:color="auto"/>
            <w:left w:val="none" w:sz="0" w:space="0" w:color="auto"/>
            <w:bottom w:val="none" w:sz="0" w:space="0" w:color="auto"/>
            <w:right w:val="none" w:sz="0" w:space="0" w:color="auto"/>
          </w:divBdr>
          <w:divsChild>
            <w:div w:id="913584392">
              <w:marLeft w:val="0"/>
              <w:marRight w:val="0"/>
              <w:marTop w:val="0"/>
              <w:marBottom w:val="0"/>
              <w:divBdr>
                <w:top w:val="none" w:sz="0" w:space="0" w:color="auto"/>
                <w:left w:val="none" w:sz="0" w:space="0" w:color="auto"/>
                <w:bottom w:val="none" w:sz="0" w:space="0" w:color="auto"/>
                <w:right w:val="none" w:sz="0" w:space="0" w:color="auto"/>
              </w:divBdr>
              <w:divsChild>
                <w:div w:id="744454921">
                  <w:marLeft w:val="-420"/>
                  <w:marRight w:val="0"/>
                  <w:marTop w:val="0"/>
                  <w:marBottom w:val="0"/>
                  <w:divBdr>
                    <w:top w:val="none" w:sz="0" w:space="0" w:color="auto"/>
                    <w:left w:val="none" w:sz="0" w:space="0" w:color="auto"/>
                    <w:bottom w:val="none" w:sz="0" w:space="0" w:color="auto"/>
                    <w:right w:val="none" w:sz="0" w:space="0" w:color="auto"/>
                  </w:divBdr>
                  <w:divsChild>
                    <w:div w:id="496918069">
                      <w:marLeft w:val="0"/>
                      <w:marRight w:val="0"/>
                      <w:marTop w:val="0"/>
                      <w:marBottom w:val="0"/>
                      <w:divBdr>
                        <w:top w:val="none" w:sz="0" w:space="0" w:color="auto"/>
                        <w:left w:val="none" w:sz="0" w:space="0" w:color="auto"/>
                        <w:bottom w:val="none" w:sz="0" w:space="0" w:color="auto"/>
                        <w:right w:val="none" w:sz="0" w:space="0" w:color="auto"/>
                      </w:divBdr>
                      <w:divsChild>
                        <w:div w:id="120541417">
                          <w:marLeft w:val="0"/>
                          <w:marRight w:val="0"/>
                          <w:marTop w:val="0"/>
                          <w:marBottom w:val="0"/>
                          <w:divBdr>
                            <w:top w:val="none" w:sz="0" w:space="0" w:color="auto"/>
                            <w:left w:val="none" w:sz="0" w:space="0" w:color="auto"/>
                            <w:bottom w:val="none" w:sz="0" w:space="0" w:color="auto"/>
                            <w:right w:val="none" w:sz="0" w:space="0" w:color="auto"/>
                          </w:divBdr>
                          <w:divsChild>
                            <w:div w:id="169649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3453409">
      <w:bodyDiv w:val="1"/>
      <w:marLeft w:val="0"/>
      <w:marRight w:val="0"/>
      <w:marTop w:val="0"/>
      <w:marBottom w:val="0"/>
      <w:divBdr>
        <w:top w:val="none" w:sz="0" w:space="0" w:color="auto"/>
        <w:left w:val="none" w:sz="0" w:space="0" w:color="auto"/>
        <w:bottom w:val="none" w:sz="0" w:space="0" w:color="auto"/>
        <w:right w:val="none" w:sz="0" w:space="0" w:color="auto"/>
      </w:divBdr>
      <w:divsChild>
        <w:div w:id="648024141">
          <w:marLeft w:val="0"/>
          <w:marRight w:val="0"/>
          <w:marTop w:val="0"/>
          <w:marBottom w:val="0"/>
          <w:divBdr>
            <w:top w:val="none" w:sz="0" w:space="0" w:color="auto"/>
            <w:left w:val="none" w:sz="0" w:space="0" w:color="auto"/>
            <w:bottom w:val="none" w:sz="0" w:space="0" w:color="auto"/>
            <w:right w:val="none" w:sz="0" w:space="0" w:color="auto"/>
          </w:divBdr>
          <w:divsChild>
            <w:div w:id="181017980">
              <w:marLeft w:val="0"/>
              <w:marRight w:val="0"/>
              <w:marTop w:val="0"/>
              <w:marBottom w:val="0"/>
              <w:divBdr>
                <w:top w:val="none" w:sz="0" w:space="0" w:color="auto"/>
                <w:left w:val="none" w:sz="0" w:space="0" w:color="auto"/>
                <w:bottom w:val="none" w:sz="0" w:space="0" w:color="auto"/>
                <w:right w:val="none" w:sz="0" w:space="0" w:color="auto"/>
              </w:divBdr>
              <w:divsChild>
                <w:div w:id="774639684">
                  <w:marLeft w:val="0"/>
                  <w:marRight w:val="0"/>
                  <w:marTop w:val="0"/>
                  <w:marBottom w:val="0"/>
                  <w:divBdr>
                    <w:top w:val="none" w:sz="0" w:space="0" w:color="auto"/>
                    <w:left w:val="none" w:sz="0" w:space="0" w:color="auto"/>
                    <w:bottom w:val="none" w:sz="0" w:space="0" w:color="auto"/>
                    <w:right w:val="none" w:sz="0" w:space="0" w:color="auto"/>
                  </w:divBdr>
                  <w:divsChild>
                    <w:div w:id="1774740782">
                      <w:marLeft w:val="0"/>
                      <w:marRight w:val="0"/>
                      <w:marTop w:val="0"/>
                      <w:marBottom w:val="0"/>
                      <w:divBdr>
                        <w:top w:val="none" w:sz="0" w:space="0" w:color="auto"/>
                        <w:left w:val="none" w:sz="0" w:space="0" w:color="auto"/>
                        <w:bottom w:val="none" w:sz="0" w:space="0" w:color="auto"/>
                        <w:right w:val="none" w:sz="0" w:space="0" w:color="auto"/>
                      </w:divBdr>
                      <w:divsChild>
                        <w:div w:id="1626890867">
                          <w:marLeft w:val="0"/>
                          <w:marRight w:val="0"/>
                          <w:marTop w:val="0"/>
                          <w:marBottom w:val="0"/>
                          <w:divBdr>
                            <w:top w:val="none" w:sz="0" w:space="0" w:color="auto"/>
                            <w:left w:val="none" w:sz="0" w:space="0" w:color="auto"/>
                            <w:bottom w:val="none" w:sz="0" w:space="0" w:color="auto"/>
                            <w:right w:val="none" w:sz="0" w:space="0" w:color="auto"/>
                          </w:divBdr>
                          <w:divsChild>
                            <w:div w:id="446853477">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3504977">
      <w:bodyDiv w:val="1"/>
      <w:marLeft w:val="0"/>
      <w:marRight w:val="0"/>
      <w:marTop w:val="0"/>
      <w:marBottom w:val="0"/>
      <w:divBdr>
        <w:top w:val="none" w:sz="0" w:space="0" w:color="auto"/>
        <w:left w:val="none" w:sz="0" w:space="0" w:color="auto"/>
        <w:bottom w:val="none" w:sz="0" w:space="0" w:color="auto"/>
        <w:right w:val="none" w:sz="0" w:space="0" w:color="auto"/>
      </w:divBdr>
      <w:divsChild>
        <w:div w:id="163015731">
          <w:marLeft w:val="0"/>
          <w:marRight w:val="0"/>
          <w:marTop w:val="0"/>
          <w:marBottom w:val="0"/>
          <w:divBdr>
            <w:top w:val="none" w:sz="0" w:space="0" w:color="auto"/>
            <w:left w:val="none" w:sz="0" w:space="0" w:color="auto"/>
            <w:bottom w:val="none" w:sz="0" w:space="0" w:color="auto"/>
            <w:right w:val="none" w:sz="0" w:space="0" w:color="auto"/>
          </w:divBdr>
          <w:divsChild>
            <w:div w:id="450901233">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2134252456">
      <w:bodyDiv w:val="1"/>
      <w:marLeft w:val="0"/>
      <w:marRight w:val="0"/>
      <w:marTop w:val="0"/>
      <w:marBottom w:val="0"/>
      <w:divBdr>
        <w:top w:val="none" w:sz="0" w:space="0" w:color="auto"/>
        <w:left w:val="none" w:sz="0" w:space="0" w:color="auto"/>
        <w:bottom w:val="none" w:sz="0" w:space="0" w:color="auto"/>
        <w:right w:val="none" w:sz="0" w:space="0" w:color="auto"/>
      </w:divBdr>
      <w:divsChild>
        <w:div w:id="1019282709">
          <w:marLeft w:val="0"/>
          <w:marRight w:val="0"/>
          <w:marTop w:val="0"/>
          <w:marBottom w:val="0"/>
          <w:divBdr>
            <w:top w:val="none" w:sz="0" w:space="0" w:color="auto"/>
            <w:left w:val="none" w:sz="0" w:space="0" w:color="auto"/>
            <w:bottom w:val="none" w:sz="0" w:space="0" w:color="auto"/>
            <w:right w:val="none" w:sz="0" w:space="0" w:color="auto"/>
          </w:divBdr>
          <w:divsChild>
            <w:div w:id="357239130">
              <w:marLeft w:val="0"/>
              <w:marRight w:val="0"/>
              <w:marTop w:val="0"/>
              <w:marBottom w:val="0"/>
              <w:divBdr>
                <w:top w:val="none" w:sz="0" w:space="0" w:color="auto"/>
                <w:left w:val="none" w:sz="0" w:space="0" w:color="auto"/>
                <w:bottom w:val="none" w:sz="0" w:space="0" w:color="auto"/>
                <w:right w:val="none" w:sz="0" w:space="0" w:color="auto"/>
              </w:divBdr>
              <w:divsChild>
                <w:div w:id="1479541177">
                  <w:marLeft w:val="-420"/>
                  <w:marRight w:val="0"/>
                  <w:marTop w:val="0"/>
                  <w:marBottom w:val="0"/>
                  <w:divBdr>
                    <w:top w:val="none" w:sz="0" w:space="0" w:color="auto"/>
                    <w:left w:val="none" w:sz="0" w:space="0" w:color="auto"/>
                    <w:bottom w:val="none" w:sz="0" w:space="0" w:color="auto"/>
                    <w:right w:val="none" w:sz="0" w:space="0" w:color="auto"/>
                  </w:divBdr>
                  <w:divsChild>
                    <w:div w:id="604966715">
                      <w:marLeft w:val="0"/>
                      <w:marRight w:val="0"/>
                      <w:marTop w:val="0"/>
                      <w:marBottom w:val="0"/>
                      <w:divBdr>
                        <w:top w:val="none" w:sz="0" w:space="0" w:color="auto"/>
                        <w:left w:val="none" w:sz="0" w:space="0" w:color="auto"/>
                        <w:bottom w:val="none" w:sz="0" w:space="0" w:color="auto"/>
                        <w:right w:val="none" w:sz="0" w:space="0" w:color="auto"/>
                      </w:divBdr>
                      <w:divsChild>
                        <w:div w:id="650215410">
                          <w:marLeft w:val="0"/>
                          <w:marRight w:val="0"/>
                          <w:marTop w:val="0"/>
                          <w:marBottom w:val="0"/>
                          <w:divBdr>
                            <w:top w:val="none" w:sz="0" w:space="0" w:color="auto"/>
                            <w:left w:val="none" w:sz="0" w:space="0" w:color="auto"/>
                            <w:bottom w:val="none" w:sz="0" w:space="0" w:color="auto"/>
                            <w:right w:val="none" w:sz="0" w:space="0" w:color="auto"/>
                          </w:divBdr>
                          <w:divsChild>
                            <w:div w:id="41498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youth-justice-statistics-2021-to-2022/youth-justice-statistics-2021-to-2022-accessible-version" TargetMode="External"/><Relationship Id="rId3" Type="http://schemas.openxmlformats.org/officeDocument/2006/relationships/settings" Target="settings.xml"/><Relationship Id="rId7" Type="http://schemas.openxmlformats.org/officeDocument/2006/relationships/hyperlink" Target="https://hr.berkeley.edu/grow/grow-your-community/wisdom-caf&#233;-wednesday/how-social-learning-theory-works#:~:text=Albert%20Bandura's%20social%20learning%20theory,being%20used%20in%20the%20workplac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TotalTime>
  <Pages>5</Pages>
  <Words>2572</Words>
  <Characters>14667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Zennadi</dc:creator>
  <cp:keywords/>
  <dc:description/>
  <cp:lastModifiedBy>Adam Zennadi</cp:lastModifiedBy>
  <cp:revision>75</cp:revision>
  <dcterms:created xsi:type="dcterms:W3CDTF">2025-05-05T09:42:00Z</dcterms:created>
  <dcterms:modified xsi:type="dcterms:W3CDTF">2025-05-05T11:35:00Z</dcterms:modified>
</cp:coreProperties>
</file>