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31D2EAA" w:rsidR="00763CB3" w:rsidRPr="00876921" w:rsidRDefault="00735318"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Michael Alyn Price</w:t>
            </w:r>
          </w:p>
        </w:tc>
        <w:tc>
          <w:tcPr>
            <w:tcW w:w="2268" w:type="dxa"/>
            <w:shd w:val="clear" w:color="auto" w:fill="D9D9D9" w:themeFill="background1" w:themeFillShade="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FF873A7" w:rsidR="00763CB3" w:rsidRPr="00876921" w:rsidRDefault="00FA1F1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1910631</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3293" w:type="dxa"/>
          </w:tcPr>
          <w:p w14:paraId="374C0665" w14:textId="77777777" w:rsidR="00763CB3" w:rsidRPr="00876921" w:rsidRDefault="00763CB3" w:rsidP="00E10E2F">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7234CAB" w:rsidR="00763CB3" w:rsidRPr="00876921" w:rsidRDefault="00F9494D"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15</w:t>
            </w:r>
            <w:r w:rsidR="007162C5" w:rsidRPr="007162C5">
              <w:rPr>
                <w:rFonts w:ascii="Arial" w:eastAsia="Times New Roman" w:hAnsi="Arial" w:cs="Arial"/>
                <w:b/>
                <w:vertAlign w:val="superscript"/>
                <w:lang w:eastAsia="en-GB"/>
              </w:rPr>
              <w:t>th</w:t>
            </w:r>
            <w:r w:rsidR="007162C5">
              <w:rPr>
                <w:rFonts w:ascii="Arial" w:eastAsia="Times New Roman" w:hAnsi="Arial" w:cs="Arial"/>
                <w:b/>
                <w:lang w:eastAsia="en-GB"/>
              </w:rPr>
              <w:t xml:space="preserve"> </w:t>
            </w:r>
            <w:r>
              <w:rPr>
                <w:rFonts w:ascii="Arial" w:eastAsia="Times New Roman" w:hAnsi="Arial" w:cs="Arial"/>
                <w:b/>
                <w:lang w:eastAsia="en-GB"/>
              </w:rPr>
              <w:t>February</w:t>
            </w:r>
            <w:r w:rsidR="007162C5">
              <w:rPr>
                <w:rFonts w:ascii="Arial" w:eastAsia="Times New Roman" w:hAnsi="Arial" w:cs="Arial"/>
                <w:b/>
                <w:lang w:eastAsia="en-GB"/>
              </w:rPr>
              <w:t xml:space="preserve"> 202</w:t>
            </w:r>
            <w:r>
              <w:rPr>
                <w:rFonts w:ascii="Arial" w:eastAsia="Times New Roman" w:hAnsi="Arial" w:cs="Arial"/>
                <w:b/>
                <w:lang w:eastAsia="en-GB"/>
              </w:rPr>
              <w:t>1</w:t>
            </w:r>
          </w:p>
        </w:tc>
        <w:tc>
          <w:tcPr>
            <w:tcW w:w="2268" w:type="dxa"/>
            <w:shd w:val="clear"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F39C7E0"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5945ED5" w14:textId="327EDF87" w:rsidR="00F84916" w:rsidRPr="00461E0B" w:rsidRDefault="00810ADD" w:rsidP="0B4505FB">
            <w:pPr>
              <w:pStyle w:val="ListParagraph"/>
              <w:numPr>
                <w:ilvl w:val="0"/>
                <w:numId w:val="4"/>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Compare professional standards requirements within the police service to similar professional organisations</w:t>
            </w:r>
            <w:r w:rsidR="002C3B45" w:rsidRPr="0B4505FB">
              <w:rPr>
                <w:rFonts w:ascii="Arial" w:eastAsia="Times New Roman" w:hAnsi="Arial" w:cs="Arial"/>
                <w:lang w:eastAsia="en-GB"/>
              </w:rPr>
              <w:t xml:space="preserve"> and a</w:t>
            </w:r>
            <w:r w:rsidRPr="0B4505FB">
              <w:rPr>
                <w:rFonts w:ascii="Arial" w:eastAsia="Times New Roman" w:hAnsi="Arial" w:cs="Arial"/>
                <w:lang w:eastAsia="en-GB"/>
              </w:rPr>
              <w:t>nalyse how the police have developed policies and procedures to reduce the possibility of professional malpractice and increase community</w:t>
            </w:r>
            <w:r w:rsidR="25628269" w:rsidRPr="0B4505FB">
              <w:rPr>
                <w:rFonts w:ascii="Arial" w:eastAsia="Times New Roman" w:hAnsi="Arial" w:cs="Arial"/>
                <w:lang w:eastAsia="en-GB"/>
              </w:rPr>
              <w:t xml:space="preserve">. </w:t>
            </w:r>
          </w:p>
          <w:p w14:paraId="6DE588F1" w14:textId="3C77E20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the role that independent bodies such as the IPCC or HMICFRS play in holding the police accountable to the public</w:t>
            </w:r>
            <w:r w:rsidR="34A624EB" w:rsidRPr="0B4505FB">
              <w:rPr>
                <w:rFonts w:ascii="Arial" w:eastAsia="Times New Roman" w:hAnsi="Arial" w:cs="Arial"/>
                <w:lang w:eastAsia="en-GB"/>
              </w:rPr>
              <w:t>.</w:t>
            </w:r>
          </w:p>
          <w:p w14:paraId="42AC5F8C" w14:textId="4E779D75"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why people in positions of respect or authority may fail to comply with policies, procedures, protocols or legislation, and commit criminal offence</w:t>
            </w:r>
            <w:r w:rsidR="679A4339" w:rsidRPr="0B4505FB">
              <w:rPr>
                <w:rFonts w:ascii="Arial" w:eastAsia="Times New Roman" w:hAnsi="Arial" w:cs="Arial"/>
                <w:lang w:eastAsia="en-GB"/>
              </w:rPr>
              <w:t>.</w:t>
            </w:r>
          </w:p>
          <w:p w14:paraId="300E0B73" w14:textId="3206C9F4" w:rsidR="00F84916" w:rsidRPr="00461E0B" w:rsidRDefault="00810ADD"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Review how previous instances of misconduct/malpractice can influence future professional policing</w:t>
            </w:r>
            <w:r w:rsidR="00EF24FE" w:rsidRPr="0B4505FB">
              <w:rPr>
                <w:rFonts w:ascii="Arial" w:eastAsia="Times New Roman" w:hAnsi="Arial" w:cs="Arial"/>
                <w:lang w:eastAsia="en-GB"/>
              </w:rPr>
              <w:t xml:space="preserve"> and r</w:t>
            </w:r>
            <w:r w:rsidRPr="0B4505FB">
              <w:rPr>
                <w:rFonts w:ascii="Arial" w:eastAsia="Times New Roman" w:hAnsi="Arial" w:cs="Arial"/>
                <w:lang w:eastAsia="en-GB"/>
              </w:rPr>
              <w:t>eview the progress being made within the police service to improve professional standards</w:t>
            </w:r>
            <w:r w:rsidR="479AE75F" w:rsidRPr="0B4505FB">
              <w:rPr>
                <w:rFonts w:ascii="Arial" w:eastAsia="Times New Roman" w:hAnsi="Arial" w:cs="Arial"/>
                <w:lang w:eastAsia="en-GB"/>
              </w:rPr>
              <w:t>.</w:t>
            </w:r>
          </w:p>
          <w:p w14:paraId="7644FC64" w14:textId="6E6723B1" w:rsidR="00F84916" w:rsidRPr="00461E0B" w:rsidRDefault="00BB18E4"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 xml:space="preserve">Evaluate </w:t>
            </w:r>
            <w:r w:rsidR="00763CB3" w:rsidRPr="0B4505FB">
              <w:rPr>
                <w:rFonts w:ascii="Arial" w:eastAsia="Times New Roman" w:hAnsi="Arial" w:cs="Arial"/>
                <w:lang w:eastAsia="en-GB"/>
              </w:rPr>
              <w:t xml:space="preserve">partnership collaboration </w:t>
            </w:r>
            <w:r w:rsidR="002C458D" w:rsidRPr="0B4505FB">
              <w:rPr>
                <w:rFonts w:ascii="Arial" w:eastAsia="Times New Roman" w:hAnsi="Arial" w:cs="Arial"/>
                <w:lang w:eastAsia="en-GB"/>
              </w:rPr>
              <w:t>in</w:t>
            </w:r>
            <w:r w:rsidR="00763CB3" w:rsidRPr="0B4505FB">
              <w:rPr>
                <w:rFonts w:ascii="Arial" w:eastAsia="Times New Roman" w:hAnsi="Arial" w:cs="Arial"/>
                <w:lang w:eastAsia="en-GB"/>
              </w:rPr>
              <w:t xml:space="preserve"> respect </w:t>
            </w:r>
            <w:r w:rsidR="002C458D" w:rsidRPr="0B4505FB">
              <w:rPr>
                <w:rFonts w:ascii="Arial" w:eastAsia="Times New Roman" w:hAnsi="Arial" w:cs="Arial"/>
                <w:lang w:eastAsia="en-GB"/>
              </w:rPr>
              <w:t>of</w:t>
            </w:r>
            <w:r w:rsidR="00763CB3" w:rsidRPr="0B4505FB">
              <w:rPr>
                <w:rFonts w:ascii="Arial" w:eastAsia="Times New Roman" w:hAnsi="Arial" w:cs="Arial"/>
                <w:lang w:eastAsia="en-GB"/>
              </w:rPr>
              <w:t xml:space="preserve"> offender rehabilitation</w:t>
            </w:r>
            <w:r w:rsidR="002C458D" w:rsidRPr="0B4505FB">
              <w:rPr>
                <w:rFonts w:ascii="Arial" w:eastAsia="Times New Roman" w:hAnsi="Arial" w:cs="Arial"/>
                <w:lang w:eastAsia="en-GB"/>
              </w:rPr>
              <w:t xml:space="preserve"> and consider how </w:t>
            </w:r>
            <w:r w:rsidR="00763CB3" w:rsidRPr="0B4505FB">
              <w:rPr>
                <w:rFonts w:ascii="Arial" w:eastAsia="Times New Roman" w:hAnsi="Arial" w:cs="Arial"/>
                <w:lang w:eastAsia="en-GB"/>
              </w:rPr>
              <w:t>the diversity of individuals and society impact on the criminal justice system</w:t>
            </w:r>
            <w:r w:rsidR="12E78548" w:rsidRPr="0B4505FB">
              <w:rPr>
                <w:rFonts w:ascii="Arial" w:eastAsia="Times New Roman" w:hAnsi="Arial" w:cs="Arial"/>
                <w:lang w:eastAsia="en-GB"/>
              </w:rPr>
              <w:t>.</w:t>
            </w:r>
          </w:p>
          <w:p w14:paraId="2D51A83F" w14:textId="7B6E8D58"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Critically evaluate the impact upon policing of differing values, ethics and norms within diverse communities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nalyse theories and concepts linked to ethics</w:t>
            </w:r>
            <w:r w:rsidR="73B97DD5" w:rsidRPr="0B4505FB">
              <w:rPr>
                <w:rFonts w:ascii="Arial" w:eastAsia="Times New Roman" w:hAnsi="Arial" w:cs="Arial"/>
                <w:lang w:eastAsia="en-GB"/>
              </w:rPr>
              <w:t xml:space="preserve">. </w:t>
            </w:r>
          </w:p>
          <w:p w14:paraId="01A50FEB" w14:textId="7E1FC357"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Examine instances where law enforcement personnel have misused their position of authority and police powers to commit sexual offences</w:t>
            </w:r>
            <w:r w:rsidR="58FD3AD2" w:rsidRPr="0B4505FB">
              <w:rPr>
                <w:rFonts w:ascii="Arial" w:eastAsia="Times New Roman" w:hAnsi="Arial" w:cs="Arial"/>
                <w:lang w:eastAsia="en-GB"/>
              </w:rPr>
              <w:t xml:space="preserve">. </w:t>
            </w:r>
          </w:p>
          <w:p w14:paraId="593E11AC" w14:textId="69CECF91"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Analyse potential links between serious and organised crime and public protection issues</w:t>
            </w:r>
            <w:r w:rsidR="002C458D" w:rsidRPr="0B4505FB">
              <w:rPr>
                <w:rFonts w:ascii="Arial" w:eastAsia="Times New Roman" w:hAnsi="Arial" w:cs="Arial"/>
                <w:lang w:eastAsia="en-GB"/>
              </w:rPr>
              <w:t xml:space="preserve"> and a</w:t>
            </w:r>
            <w:r w:rsidRPr="0B4505FB">
              <w:rPr>
                <w:rFonts w:ascii="Arial" w:eastAsia="Times New Roman" w:hAnsi="Arial" w:cs="Arial"/>
                <w:lang w:eastAsia="en-GB"/>
              </w:rPr>
              <w:t>ssess the role and impact of MAPPA and the use of community intelligence in managing offenders</w:t>
            </w:r>
            <w:r w:rsidR="39B54C77" w:rsidRPr="0B4505FB">
              <w:rPr>
                <w:rFonts w:ascii="Arial" w:eastAsia="Times New Roman" w:hAnsi="Arial" w:cs="Arial"/>
                <w:lang w:eastAsia="en-GB"/>
              </w:rPr>
              <w:t xml:space="preserve">. </w:t>
            </w:r>
          </w:p>
          <w:p w14:paraId="225AFA33" w14:textId="7381C26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Explain how personal attitudes, values and biases can impact on a public protection investigation</w:t>
            </w:r>
            <w:r w:rsidR="002C458D" w:rsidRPr="0B4505FB">
              <w:rPr>
                <w:rFonts w:ascii="Arial" w:eastAsia="Times New Roman" w:hAnsi="Arial" w:cs="Arial"/>
                <w:lang w:eastAsia="en-GB"/>
              </w:rPr>
              <w:t xml:space="preserve"> and the psychological impact of abuse on victims</w:t>
            </w:r>
            <w:r w:rsidR="51E7D854" w:rsidRPr="0B4505FB">
              <w:rPr>
                <w:rFonts w:ascii="Arial" w:eastAsia="Times New Roman" w:hAnsi="Arial" w:cs="Arial"/>
                <w:lang w:eastAsia="en-GB"/>
              </w:rPr>
              <w:t xml:space="preserve">. </w:t>
            </w:r>
          </w:p>
          <w:p w14:paraId="1DA6E66F" w14:textId="0538FA29" w:rsidR="00F84916" w:rsidRPr="00461E0B" w:rsidRDefault="00F84916" w:rsidP="0B4505FB">
            <w:pPr>
              <w:pStyle w:val="ListParagraph"/>
              <w:numPr>
                <w:ilvl w:val="0"/>
                <w:numId w:val="4"/>
              </w:numPr>
              <w:spacing w:before="240" w:after="0" w:line="240" w:lineRule="auto"/>
              <w:jc w:val="both"/>
              <w:rPr>
                <w:lang w:eastAsia="en-GB"/>
              </w:rPr>
            </w:pPr>
            <w:r w:rsidRPr="0B4505FB">
              <w:rPr>
                <w:rFonts w:ascii="Arial" w:eastAsia="Times New Roman" w:hAnsi="Arial" w:cs="Arial"/>
                <w:lang w:eastAsia="en-GB"/>
              </w:rPr>
              <w:t>Evaluate the effectiveness of current public protection practices in investigating public protection incidents</w:t>
            </w:r>
            <w:r w:rsidR="002C458D" w:rsidRPr="0B4505FB">
              <w:rPr>
                <w:rFonts w:ascii="Arial" w:eastAsia="Times New Roman" w:hAnsi="Arial" w:cs="Arial"/>
                <w:lang w:eastAsia="en-GB"/>
              </w:rPr>
              <w:t xml:space="preserve"> and the effect of media coverage on public protection policing strategy</w:t>
            </w:r>
            <w:r w:rsidR="607A97F1" w:rsidRPr="0B4505FB">
              <w:rPr>
                <w:rFonts w:ascii="Arial" w:eastAsia="Times New Roman" w:hAnsi="Arial" w:cs="Arial"/>
                <w:lang w:eastAsia="en-GB"/>
              </w:rPr>
              <w:t xml:space="preserve">. </w:t>
            </w:r>
          </w:p>
          <w:p w14:paraId="17789FA0" w14:textId="257BB675" w:rsidR="00461E0B" w:rsidRDefault="00F84916" w:rsidP="0B4505FB">
            <w:pPr>
              <w:pStyle w:val="ListParagraph"/>
              <w:numPr>
                <w:ilvl w:val="0"/>
                <w:numId w:val="3"/>
              </w:numPr>
              <w:spacing w:before="240" w:after="0" w:line="240" w:lineRule="auto"/>
              <w:jc w:val="both"/>
              <w:rPr>
                <w:rFonts w:ascii="Arial" w:eastAsia="Times New Roman" w:hAnsi="Arial" w:cs="Arial"/>
                <w:lang w:eastAsia="en-GB"/>
              </w:rPr>
            </w:pPr>
            <w:r w:rsidRPr="0B4505FB">
              <w:rPr>
                <w:rFonts w:ascii="Arial" w:eastAsia="Times New Roman" w:hAnsi="Arial" w:cs="Arial"/>
                <w:lang w:eastAsia="en-GB"/>
              </w:rPr>
              <w:t>Analyse the developing issue of youth gangs targeting vulnerable people, or people at risk of harm</w:t>
            </w:r>
            <w:r w:rsidR="00846F01" w:rsidRPr="0B4505FB">
              <w:rPr>
                <w:rFonts w:ascii="Arial" w:eastAsia="Times New Roman" w:hAnsi="Arial" w:cs="Arial"/>
                <w:lang w:eastAsia="en-GB"/>
              </w:rPr>
              <w:t xml:space="preserve"> and the theories of how a person becomes a victim</w:t>
            </w:r>
            <w:r w:rsidR="5C4DC925" w:rsidRPr="0B4505FB">
              <w:rPr>
                <w:rFonts w:ascii="Arial" w:eastAsia="Times New Roman" w:hAnsi="Arial" w:cs="Arial"/>
                <w:lang w:eastAsia="en-GB"/>
              </w:rPr>
              <w:t xml:space="preserve">. </w:t>
            </w:r>
          </w:p>
          <w:p w14:paraId="2D39D2C2" w14:textId="1CD551DD" w:rsidR="00461E0B" w:rsidRDefault="002C458D"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Understand the</w:t>
            </w:r>
            <w:r w:rsidR="00F84916" w:rsidRPr="0B4505FB">
              <w:rPr>
                <w:rFonts w:ascii="Arial" w:eastAsia="Times New Roman" w:hAnsi="Arial" w:cs="Arial"/>
                <w:lang w:eastAsia="en-GB"/>
              </w:rPr>
              <w:t xml:space="preserve"> impact upon the offending curve of early intervention</w:t>
            </w:r>
            <w:r w:rsidR="00846F01" w:rsidRPr="0B4505FB">
              <w:rPr>
                <w:rFonts w:ascii="Arial" w:eastAsia="Times New Roman" w:hAnsi="Arial" w:cs="Arial"/>
                <w:lang w:eastAsia="en-GB"/>
              </w:rPr>
              <w:t xml:space="preserve"> and </w:t>
            </w:r>
            <w:r w:rsidR="00F84916" w:rsidRPr="0B4505FB">
              <w:rPr>
                <w:rFonts w:ascii="Arial" w:eastAsia="Times New Roman" w:hAnsi="Arial" w:cs="Arial"/>
                <w:lang w:eastAsia="en-GB"/>
              </w:rPr>
              <w:t>theories about the onset of offending</w:t>
            </w:r>
            <w:r w:rsidR="230DF93C" w:rsidRPr="0B4505FB">
              <w:rPr>
                <w:rFonts w:ascii="Arial" w:eastAsia="Times New Roman" w:hAnsi="Arial" w:cs="Arial"/>
                <w:lang w:eastAsia="en-GB"/>
              </w:rPr>
              <w:t xml:space="preserve">. </w:t>
            </w:r>
          </w:p>
          <w:p w14:paraId="6FA83C2D" w14:textId="37A31313" w:rsidR="00461E0B" w:rsidRDefault="00BB18E4" w:rsidP="0B4505FB">
            <w:pPr>
              <w:pStyle w:val="ListParagraph"/>
              <w:numPr>
                <w:ilvl w:val="0"/>
                <w:numId w:val="3"/>
              </w:numPr>
              <w:spacing w:before="240" w:after="0" w:line="240" w:lineRule="auto"/>
              <w:jc w:val="both"/>
              <w:rPr>
                <w:lang w:eastAsia="en-GB"/>
              </w:rPr>
            </w:pPr>
            <w:r w:rsidRPr="0B4505FB">
              <w:rPr>
                <w:rFonts w:ascii="Arial" w:eastAsia="Times New Roman" w:hAnsi="Arial" w:cs="Arial"/>
                <w:lang w:eastAsia="en-GB"/>
              </w:rPr>
              <w:t>Evaluate and apply a range of theories and practices associated with communication</w:t>
            </w:r>
            <w:r w:rsidR="4297C0EA" w:rsidRPr="0B4505FB">
              <w:rPr>
                <w:rFonts w:ascii="Arial" w:eastAsia="Times New Roman" w:hAnsi="Arial" w:cs="Arial"/>
                <w:lang w:eastAsia="en-GB"/>
              </w:rPr>
              <w:t>.</w:t>
            </w:r>
          </w:p>
          <w:p w14:paraId="6E494D01" w14:textId="4B8CB27D" w:rsidR="00461E0B" w:rsidRPr="00876921" w:rsidRDefault="00461E0B"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p w14:paraId="4EBE8BCD" w14:textId="479579B2" w:rsidR="0B4505FB" w:rsidRDefault="0B4505FB" w:rsidP="0B4505FB">
      <w:pPr>
        <w:spacing w:after="0" w:line="240" w:lineRule="auto"/>
        <w:rPr>
          <w:rFonts w:ascii="Arial" w:eastAsia="Times New Roman" w:hAnsi="Arial" w:cs="Arial"/>
          <w:b/>
          <w:bCs/>
          <w:sz w:val="20"/>
          <w:szCs w:val="20"/>
          <w:lang w:eastAsia="en-GB"/>
        </w:rPr>
      </w:pPr>
    </w:p>
    <w:p w14:paraId="370FED64" w14:textId="4780305D" w:rsidR="0B4505FB" w:rsidRDefault="0B4505FB" w:rsidP="0B4505FB">
      <w:pPr>
        <w:spacing w:after="0" w:line="240" w:lineRule="auto"/>
        <w:rPr>
          <w:rFonts w:ascii="Arial" w:eastAsia="Times New Roman" w:hAnsi="Arial" w:cs="Arial"/>
          <w:b/>
          <w:bCs/>
          <w:sz w:val="20"/>
          <w:szCs w:val="20"/>
          <w:lang w:eastAsia="en-GB"/>
        </w:rPr>
      </w:pPr>
    </w:p>
    <w:p w14:paraId="31AAB77B" w14:textId="7966DDD8" w:rsidR="0B4505FB" w:rsidRDefault="0B4505FB" w:rsidP="0B4505FB">
      <w:pPr>
        <w:spacing w:after="0" w:line="240" w:lineRule="auto"/>
        <w:rPr>
          <w:rFonts w:ascii="Arial" w:eastAsia="Times New Roman" w:hAnsi="Arial" w:cs="Arial"/>
          <w:b/>
          <w:bCs/>
          <w:sz w:val="20"/>
          <w:szCs w:val="20"/>
          <w:lang w:eastAsia="en-GB"/>
        </w:rPr>
      </w:pPr>
    </w:p>
    <w:p w14:paraId="12BBA76F" w14:textId="0D8EA3B2" w:rsidR="0B4505FB" w:rsidRDefault="0B4505FB" w:rsidP="0B4505FB">
      <w:pPr>
        <w:spacing w:after="0" w:line="240" w:lineRule="auto"/>
        <w:rPr>
          <w:rFonts w:ascii="Arial" w:eastAsia="Times New Roman" w:hAnsi="Arial" w:cs="Arial"/>
          <w:b/>
          <w:bCs/>
          <w:sz w:val="20"/>
          <w:szCs w:val="20"/>
          <w:lang w:eastAsia="en-GB"/>
        </w:rPr>
      </w:pPr>
    </w:p>
    <w:p w14:paraId="1EAE83E1" w14:textId="56BF7819" w:rsidR="0B4505FB" w:rsidRDefault="0B4505FB" w:rsidP="0B4505FB">
      <w:pPr>
        <w:spacing w:after="0" w:line="240" w:lineRule="auto"/>
        <w:rPr>
          <w:rFonts w:ascii="Arial" w:eastAsia="Times New Roman" w:hAnsi="Arial" w:cs="Arial"/>
          <w:b/>
          <w:bCs/>
          <w:sz w:val="20"/>
          <w:szCs w:val="20"/>
          <w:lang w:eastAsia="en-GB"/>
        </w:rPr>
      </w:pPr>
    </w:p>
    <w:p w14:paraId="330D46FB" w14:textId="385BCA31" w:rsidR="0B4505FB" w:rsidRDefault="0B4505FB" w:rsidP="0B4505FB">
      <w:pPr>
        <w:spacing w:after="0" w:line="240" w:lineRule="auto"/>
        <w:rPr>
          <w:rFonts w:ascii="Arial" w:eastAsia="Times New Roman" w:hAnsi="Arial" w:cs="Arial"/>
          <w:b/>
          <w:bCs/>
          <w:sz w:val="20"/>
          <w:szCs w:val="20"/>
          <w:lang w:eastAsia="en-GB"/>
        </w:rPr>
      </w:pPr>
    </w:p>
    <w:p w14:paraId="237BC19A" w14:textId="30B2EC52" w:rsidR="0B4505FB" w:rsidRDefault="0B4505FB" w:rsidP="0B4505FB">
      <w:pPr>
        <w:spacing w:after="0" w:line="240" w:lineRule="auto"/>
        <w:rPr>
          <w:rFonts w:ascii="Arial" w:eastAsia="Times New Roman" w:hAnsi="Arial" w:cs="Arial"/>
          <w:b/>
          <w:bCs/>
          <w:sz w:val="20"/>
          <w:szCs w:val="20"/>
          <w:lang w:eastAsia="en-GB"/>
        </w:rPr>
      </w:pPr>
    </w:p>
    <w:p w14:paraId="1E74AF36" w14:textId="54D45A53" w:rsidR="0B4505FB" w:rsidRDefault="0B4505FB" w:rsidP="0B4505FB">
      <w:pPr>
        <w:spacing w:after="0" w:line="240" w:lineRule="auto"/>
        <w:rPr>
          <w:rFonts w:ascii="Arial" w:eastAsia="Times New Roman" w:hAnsi="Arial" w:cs="Arial"/>
          <w:b/>
          <w:bCs/>
          <w:sz w:val="20"/>
          <w:szCs w:val="20"/>
          <w:lang w:eastAsia="en-GB"/>
        </w:rPr>
      </w:pPr>
    </w:p>
    <w:p w14:paraId="561CE2C4" w14:textId="6D70BD33" w:rsidR="0B4505FB" w:rsidRDefault="0B4505FB" w:rsidP="0B4505FB">
      <w:pPr>
        <w:spacing w:after="0" w:line="240" w:lineRule="auto"/>
        <w:rPr>
          <w:rFonts w:ascii="Arial" w:eastAsia="Times New Roman" w:hAnsi="Arial" w:cs="Arial"/>
          <w:b/>
          <w:bCs/>
          <w:sz w:val="20"/>
          <w:szCs w:val="20"/>
          <w:lang w:eastAsia="en-GB"/>
        </w:rPr>
      </w:pPr>
    </w:p>
    <w:p w14:paraId="2D17039C" w14:textId="243E1AD2" w:rsidR="0B4505FB" w:rsidRDefault="0B4505FB" w:rsidP="0B4505FB">
      <w:pPr>
        <w:spacing w:after="0" w:line="240" w:lineRule="auto"/>
        <w:rPr>
          <w:rFonts w:ascii="Arial" w:eastAsia="Times New Roman" w:hAnsi="Arial" w:cs="Arial"/>
          <w:b/>
          <w:bCs/>
          <w:sz w:val="20"/>
          <w:szCs w:val="20"/>
          <w:lang w:eastAsia="en-GB"/>
        </w:rPr>
      </w:pPr>
    </w:p>
    <w:p w14:paraId="5933FF64" w14:textId="5E9F5AED" w:rsidR="0B4505FB" w:rsidRDefault="0B4505FB" w:rsidP="0B4505FB">
      <w:pPr>
        <w:spacing w:after="0" w:line="240" w:lineRule="auto"/>
        <w:rPr>
          <w:rFonts w:ascii="Arial" w:eastAsia="Times New Roman" w:hAnsi="Arial" w:cs="Arial"/>
          <w:b/>
          <w:bCs/>
          <w:sz w:val="20"/>
          <w:szCs w:val="20"/>
          <w:lang w:eastAsia="en-GB"/>
        </w:rPr>
      </w:pPr>
    </w:p>
    <w:p w14:paraId="548B54C7" w14:textId="519E613D" w:rsidR="0B4505FB" w:rsidRDefault="0B4505FB" w:rsidP="0B4505FB">
      <w:pPr>
        <w:spacing w:after="0" w:line="240" w:lineRule="auto"/>
        <w:rPr>
          <w:rFonts w:ascii="Arial" w:eastAsia="Times New Roman" w:hAnsi="Arial" w:cs="Arial"/>
          <w:b/>
          <w:bCs/>
          <w:sz w:val="20"/>
          <w:szCs w:val="20"/>
          <w:lang w:eastAsia="en-GB"/>
        </w:rPr>
      </w:pPr>
    </w:p>
    <w:p w14:paraId="778FD67D" w14:textId="13C09C23" w:rsidR="0B4505FB" w:rsidRDefault="0B4505FB" w:rsidP="0B4505FB">
      <w:pPr>
        <w:spacing w:after="0" w:line="240" w:lineRule="auto"/>
        <w:rPr>
          <w:rFonts w:ascii="Arial" w:eastAsia="Times New Roman" w:hAnsi="Arial" w:cs="Arial"/>
          <w:b/>
          <w:bCs/>
          <w:sz w:val="20"/>
          <w:szCs w:val="20"/>
          <w:lang w:eastAsia="en-GB"/>
        </w:rPr>
      </w:pPr>
    </w:p>
    <w:p w14:paraId="3D6747DE" w14:textId="4C920325" w:rsidR="0B4505FB" w:rsidRDefault="0B4505FB" w:rsidP="0B4505FB">
      <w:pPr>
        <w:spacing w:after="0" w:line="240" w:lineRule="auto"/>
        <w:rPr>
          <w:rFonts w:ascii="Arial" w:eastAsia="Times New Roman" w:hAnsi="Arial" w:cs="Arial"/>
          <w:b/>
          <w:bCs/>
          <w:sz w:val="20"/>
          <w:szCs w:val="20"/>
          <w:lang w:eastAsia="en-GB"/>
        </w:rPr>
      </w:pPr>
    </w:p>
    <w:p w14:paraId="1EDBB264" w14:textId="3F7AC715" w:rsidR="0B4505FB" w:rsidRDefault="0B4505FB" w:rsidP="0B4505FB">
      <w:pPr>
        <w:spacing w:after="0" w:line="240" w:lineRule="auto"/>
        <w:rPr>
          <w:rFonts w:ascii="Arial" w:eastAsia="Times New Roman" w:hAnsi="Arial" w:cs="Arial"/>
          <w:b/>
          <w:bCs/>
          <w:sz w:val="20"/>
          <w:szCs w:val="20"/>
          <w:lang w:eastAsia="en-GB"/>
        </w:rPr>
      </w:pPr>
    </w:p>
    <w:p w14:paraId="4354B134" w14:textId="2434B1A4" w:rsidR="0B4505FB" w:rsidRDefault="0B4505FB" w:rsidP="0B4505FB">
      <w:pPr>
        <w:spacing w:after="0" w:line="240" w:lineRule="auto"/>
        <w:rPr>
          <w:rFonts w:ascii="Arial" w:eastAsia="Times New Roman" w:hAnsi="Arial" w:cs="Arial"/>
          <w:b/>
          <w:bCs/>
          <w:sz w:val="20"/>
          <w:szCs w:val="20"/>
          <w:lang w:eastAsia="en-GB"/>
        </w:rPr>
      </w:pPr>
    </w:p>
    <w:p w14:paraId="35E6CFC1" w14:textId="6D2D884F" w:rsidR="0B4505FB" w:rsidRDefault="0B4505FB" w:rsidP="0B4505FB">
      <w:pPr>
        <w:spacing w:after="0" w:line="240" w:lineRule="auto"/>
        <w:rPr>
          <w:rFonts w:ascii="Arial" w:eastAsia="Times New Roman" w:hAnsi="Arial" w:cs="Arial"/>
          <w:b/>
          <w:bCs/>
          <w:sz w:val="20"/>
          <w:szCs w:val="20"/>
          <w:lang w:eastAsia="en-GB"/>
        </w:rPr>
      </w:pPr>
    </w:p>
    <w:p w14:paraId="7D61AD7E" w14:textId="32CF96B9" w:rsidR="0B4505FB" w:rsidRDefault="0B4505FB" w:rsidP="0B4505FB">
      <w:pPr>
        <w:spacing w:after="0" w:line="240" w:lineRule="auto"/>
        <w:rPr>
          <w:rFonts w:ascii="Arial" w:eastAsia="Times New Roman" w:hAnsi="Arial" w:cs="Arial"/>
          <w:b/>
          <w:bCs/>
          <w:sz w:val="20"/>
          <w:szCs w:val="20"/>
          <w:lang w:eastAsia="en-GB"/>
        </w:rPr>
      </w:pPr>
    </w:p>
    <w:p w14:paraId="553922FA" w14:textId="382D18A7" w:rsidR="0B4505FB" w:rsidRDefault="0B4505FB" w:rsidP="0B4505FB">
      <w:pPr>
        <w:spacing w:after="0" w:line="240" w:lineRule="auto"/>
        <w:rPr>
          <w:rFonts w:ascii="Arial" w:eastAsia="Times New Roman" w:hAnsi="Arial" w:cs="Arial"/>
          <w:b/>
          <w:bCs/>
          <w:sz w:val="20"/>
          <w:szCs w:val="20"/>
          <w:lang w:eastAsia="en-GB"/>
        </w:rPr>
      </w:pPr>
    </w:p>
    <w:p w14:paraId="447361E7" w14:textId="44D4228A" w:rsidR="0B4505FB" w:rsidRDefault="0B4505FB" w:rsidP="0B4505FB">
      <w:pPr>
        <w:spacing w:after="0" w:line="240" w:lineRule="auto"/>
        <w:rPr>
          <w:rFonts w:ascii="Arial" w:eastAsia="Times New Roman" w:hAnsi="Arial" w:cs="Arial"/>
          <w:b/>
          <w:bCs/>
          <w:sz w:val="20"/>
          <w:szCs w:val="20"/>
          <w:lang w:eastAsia="en-GB"/>
        </w:rPr>
      </w:pPr>
    </w:p>
    <w:p w14:paraId="21C3FEF9" w14:textId="2C4413F6" w:rsidR="0B4505FB" w:rsidRDefault="0B4505FB" w:rsidP="0B4505FB">
      <w:pPr>
        <w:spacing w:after="0" w:line="240" w:lineRule="auto"/>
        <w:rPr>
          <w:rFonts w:ascii="Arial" w:eastAsia="Times New Roman" w:hAnsi="Arial" w:cs="Arial"/>
          <w:b/>
          <w:bCs/>
          <w:sz w:val="20"/>
          <w:szCs w:val="20"/>
          <w:lang w:eastAsia="en-GB"/>
        </w:rPr>
      </w:pPr>
    </w:p>
    <w:p w14:paraId="1F48C0E3" w14:textId="0D0EC756" w:rsidR="0B4505FB" w:rsidRDefault="0B4505FB" w:rsidP="0B4505FB">
      <w:pPr>
        <w:spacing w:after="0" w:line="240" w:lineRule="auto"/>
        <w:rPr>
          <w:rFonts w:ascii="Arial" w:eastAsia="Times New Roman" w:hAnsi="Arial" w:cs="Arial"/>
          <w:b/>
          <w:bCs/>
          <w:sz w:val="20"/>
          <w:szCs w:val="20"/>
          <w:lang w:eastAsia="en-GB"/>
        </w:rPr>
      </w:pPr>
    </w:p>
    <w:p w14:paraId="1AF4FD02" w14:textId="3AAB601B" w:rsidR="0B4505FB" w:rsidRDefault="0B4505FB" w:rsidP="0B4505FB">
      <w:pPr>
        <w:spacing w:after="0" w:line="240" w:lineRule="auto"/>
        <w:rPr>
          <w:rFonts w:ascii="Arial" w:eastAsia="Times New Roman" w:hAnsi="Arial" w:cs="Arial"/>
          <w:b/>
          <w:bCs/>
          <w:sz w:val="20"/>
          <w:szCs w:val="20"/>
          <w:lang w:eastAsia="en-GB"/>
        </w:rPr>
      </w:pPr>
    </w:p>
    <w:p w14:paraId="7D8E1C66" w14:textId="44E0BA73" w:rsidR="0B4505FB" w:rsidRDefault="0B4505FB" w:rsidP="0B4505FB">
      <w:pPr>
        <w:spacing w:after="0" w:line="240" w:lineRule="auto"/>
        <w:rPr>
          <w:rFonts w:ascii="Arial" w:eastAsia="Times New Roman" w:hAnsi="Arial" w:cs="Arial"/>
          <w:b/>
          <w:bCs/>
          <w:sz w:val="20"/>
          <w:szCs w:val="20"/>
          <w:lang w:eastAsia="en-GB"/>
        </w:rPr>
      </w:pPr>
    </w:p>
    <w:p w14:paraId="7ACD64D6" w14:textId="3206B1F6" w:rsidR="0B4505FB" w:rsidRDefault="0B4505FB" w:rsidP="0B4505FB">
      <w:pPr>
        <w:spacing w:after="0" w:line="240" w:lineRule="auto"/>
        <w:rPr>
          <w:rFonts w:ascii="Arial" w:eastAsia="Times New Roman" w:hAnsi="Arial" w:cs="Arial"/>
          <w:b/>
          <w:bCs/>
          <w:sz w:val="20"/>
          <w:szCs w:val="20"/>
          <w:lang w:eastAsia="en-GB"/>
        </w:rPr>
      </w:pPr>
    </w:p>
    <w:p w14:paraId="1B93D19C" w14:textId="292C242E" w:rsidR="0B4505FB" w:rsidRDefault="0B4505FB" w:rsidP="0B4505FB">
      <w:pPr>
        <w:spacing w:after="0" w:line="240" w:lineRule="auto"/>
        <w:rPr>
          <w:rFonts w:ascii="Arial" w:eastAsia="Times New Roman" w:hAnsi="Arial" w:cs="Arial"/>
          <w:b/>
          <w:bCs/>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4ADD6153" w14:textId="6BF40EC0" w:rsidR="00BB18E4" w:rsidRPr="007C06EC" w:rsidRDefault="2ED03A9B" w:rsidP="0B4505FB">
      <w:pPr>
        <w:spacing w:after="0" w:line="24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 a 1000-word essay under each of the following titles:</w:t>
      </w:r>
      <w:r w:rsidRPr="0B4505FB">
        <w:rPr>
          <w:rFonts w:ascii="Arial" w:eastAsia="Times New Roman" w:hAnsi="Arial" w:cs="Arial"/>
          <w:i/>
          <w:iCs/>
          <w:lang w:eastAsia="en-GB"/>
        </w:rPr>
        <w:t xml:space="preserve"> </w:t>
      </w:r>
    </w:p>
    <w:p w14:paraId="680B1760" w14:textId="0192ACCA" w:rsidR="00BB18E4" w:rsidRPr="007C06EC" w:rsidRDefault="00BB18E4" w:rsidP="0B4505FB">
      <w:pPr>
        <w:spacing w:after="0" w:line="240" w:lineRule="auto"/>
        <w:ind w:left="426"/>
        <w:rPr>
          <w:rFonts w:ascii="Arial" w:eastAsia="Times New Roman" w:hAnsi="Arial" w:cs="Arial"/>
          <w:i/>
          <w:iCs/>
          <w:lang w:eastAsia="en-GB"/>
        </w:rPr>
      </w:pPr>
    </w:p>
    <w:p w14:paraId="57DFAA10" w14:textId="18DFEBEF" w:rsidR="00BB18E4" w:rsidRPr="00963C8B" w:rsidRDefault="00157265" w:rsidP="0B4505FB">
      <w:pPr>
        <w:spacing w:after="0" w:line="240" w:lineRule="auto"/>
        <w:ind w:left="426"/>
        <w:jc w:val="both"/>
        <w:rPr>
          <w:rFonts w:ascii="Arial" w:eastAsia="Times New Roman" w:hAnsi="Arial" w:cs="Arial"/>
          <w:b/>
          <w:bCs/>
          <w:i/>
          <w:iCs/>
          <w:lang w:eastAsia="en-GB"/>
        </w:rPr>
      </w:pPr>
      <w:r w:rsidRPr="00963C8B">
        <w:rPr>
          <w:rFonts w:ascii="Arial" w:eastAsia="Times New Roman" w:hAnsi="Arial" w:cs="Arial"/>
          <w:b/>
          <w:bCs/>
          <w:i/>
          <w:iCs/>
          <w:lang w:eastAsia="en-GB"/>
        </w:rPr>
        <w:t>Policing responsibilities in the 21</w:t>
      </w:r>
      <w:r w:rsidRPr="00963C8B">
        <w:rPr>
          <w:rFonts w:ascii="Arial" w:eastAsia="Times New Roman" w:hAnsi="Arial" w:cs="Arial"/>
          <w:b/>
          <w:bCs/>
          <w:i/>
          <w:iCs/>
          <w:vertAlign w:val="superscript"/>
          <w:lang w:eastAsia="en-GB"/>
        </w:rPr>
        <w:t>st</w:t>
      </w:r>
      <w:r w:rsidRPr="00963C8B">
        <w:rPr>
          <w:rFonts w:ascii="Arial" w:eastAsia="Times New Roman" w:hAnsi="Arial" w:cs="Arial"/>
          <w:b/>
          <w:bCs/>
          <w:i/>
          <w:iCs/>
          <w:lang w:eastAsia="en-GB"/>
        </w:rPr>
        <w:t xml:space="preserve"> Century are shared amongst several agencies. Multi agency Public Protection Arrangements (MAPPA) are key to the successful management of serious offenders and their reintegration into society following their prison sentences. </w:t>
      </w:r>
    </w:p>
    <w:p w14:paraId="59E757E0" w14:textId="17F44D6D" w:rsidR="002161A0" w:rsidRPr="00963C8B" w:rsidRDefault="002161A0" w:rsidP="002161A0">
      <w:pPr>
        <w:spacing w:after="0" w:line="240" w:lineRule="auto"/>
        <w:ind w:left="426"/>
        <w:rPr>
          <w:rFonts w:ascii="Arial" w:eastAsia="Times New Roman" w:hAnsi="Arial" w:cs="Arial"/>
          <w:b/>
          <w:bCs/>
          <w:sz w:val="24"/>
          <w:szCs w:val="24"/>
          <w:lang w:eastAsia="en-GB"/>
        </w:rPr>
      </w:pPr>
    </w:p>
    <w:p w14:paraId="124B05F9" w14:textId="77777777" w:rsidR="002161A0" w:rsidRPr="00963C8B" w:rsidRDefault="002161A0" w:rsidP="002161A0">
      <w:pPr>
        <w:spacing w:after="0" w:line="240" w:lineRule="auto"/>
        <w:ind w:left="426"/>
        <w:rPr>
          <w:rFonts w:ascii="Arial" w:eastAsia="Times New Roman" w:hAnsi="Arial" w:cs="Arial"/>
          <w:b/>
          <w:bCs/>
          <w:sz w:val="24"/>
          <w:szCs w:val="24"/>
          <w:lang w:eastAsia="en-GB"/>
        </w:rPr>
      </w:pPr>
    </w:p>
    <w:p w14:paraId="4EB028AD" w14:textId="6F62B6FF" w:rsidR="002161A0" w:rsidRDefault="7737B8CD" w:rsidP="002161A0">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63C8B">
        <w:rPr>
          <w:rFonts w:ascii="Arial" w:eastAsia="Times New Roman" w:hAnsi="Arial" w:cs="Arial"/>
          <w:b/>
          <w:bCs/>
          <w:lang w:eastAsia="en-GB"/>
        </w:rPr>
        <w:t xml:space="preserve">Title 1: </w:t>
      </w:r>
      <w:r w:rsidR="00157265" w:rsidRPr="00963C8B">
        <w:rPr>
          <w:rFonts w:ascii="Arial" w:eastAsia="Times New Roman" w:hAnsi="Arial" w:cs="Arial"/>
          <w:b/>
          <w:bCs/>
          <w:lang w:eastAsia="en-GB"/>
        </w:rPr>
        <w:t>Analyse potential links between serious and organised crime and public protection issues and assess the role and impact of MAPPA</w:t>
      </w:r>
      <w:r w:rsidR="002161A0" w:rsidRPr="00963C8B">
        <w:rPr>
          <w:rFonts w:ascii="Arial" w:eastAsia="Times New Roman" w:hAnsi="Arial" w:cs="Arial"/>
          <w:b/>
          <w:bCs/>
          <w:lang w:eastAsia="en-GB"/>
        </w:rPr>
        <w:t>. Consider</w:t>
      </w:r>
      <w:r w:rsidR="00157265" w:rsidRPr="00963C8B">
        <w:rPr>
          <w:rFonts w:ascii="Arial" w:eastAsia="Times New Roman" w:hAnsi="Arial" w:cs="Arial"/>
          <w:b/>
          <w:bCs/>
          <w:lang w:eastAsia="en-GB"/>
        </w:rPr>
        <w:t xml:space="preserve"> the use of community intelligence in managing offenders</w:t>
      </w:r>
      <w:r w:rsidR="002161A0" w:rsidRPr="00963C8B">
        <w:rPr>
          <w:rFonts w:ascii="Arial" w:eastAsia="Times New Roman" w:hAnsi="Arial" w:cs="Arial"/>
          <w:b/>
          <w:bCs/>
          <w:lang w:eastAsia="en-GB"/>
        </w:rPr>
        <w:t xml:space="preserve"> and evaluate the effectiveness of current public protection practices in investigating public protection incidents and the effect of media coverage on public protection policing strategy</w:t>
      </w:r>
      <w:r w:rsidR="00BF4C98" w:rsidRPr="0B4505FB">
        <w:rPr>
          <w:rFonts w:ascii="Arial" w:eastAsia="Times New Roman" w:hAnsi="Arial" w:cs="Arial"/>
          <w:lang w:eastAsia="en-GB"/>
        </w:rPr>
        <w:t>.</w:t>
      </w:r>
    </w:p>
    <w:p w14:paraId="5F15DBFD" w14:textId="77777777" w:rsidR="00963C8B" w:rsidRDefault="00963C8B" w:rsidP="00963C8B">
      <w:pPr>
        <w:spacing w:after="0" w:line="360" w:lineRule="auto"/>
        <w:jc w:val="both"/>
        <w:rPr>
          <w:rFonts w:ascii="Times New Roman" w:hAnsi="Times New Roman" w:cs="Times New Roman"/>
        </w:rPr>
      </w:pPr>
    </w:p>
    <w:p w14:paraId="67F79BA3" w14:textId="0ACF8629" w:rsidR="00963C8B" w:rsidRPr="003C5698" w:rsidRDefault="00963C8B" w:rsidP="00A73A70">
      <w:pPr>
        <w:spacing w:after="0" w:line="360" w:lineRule="auto"/>
        <w:jc w:val="both"/>
        <w:rPr>
          <w:rFonts w:ascii="Times New Roman" w:hAnsi="Times New Roman" w:cs="Times New Roman"/>
        </w:rPr>
      </w:pPr>
      <w:r w:rsidRPr="003C5698">
        <w:rPr>
          <w:rFonts w:ascii="Times New Roman" w:hAnsi="Times New Roman" w:cs="Times New Roman"/>
        </w:rPr>
        <w:t xml:space="preserve">The objective of this entry is to explain the role of MAPPA in managing offenders who have been released into the community and to highlight the importance of the individual’s supervision. </w:t>
      </w:r>
      <w:r w:rsidR="002E1664" w:rsidRPr="003C5698">
        <w:rPr>
          <w:rFonts w:ascii="Times New Roman" w:hAnsi="Times New Roman" w:cs="Times New Roman"/>
        </w:rPr>
        <w:t>Also,</w:t>
      </w:r>
      <w:bookmarkStart w:id="0" w:name="_GoBack"/>
      <w:bookmarkEnd w:id="0"/>
      <w:r w:rsidRPr="003C5698">
        <w:rPr>
          <w:rFonts w:ascii="Times New Roman" w:hAnsi="Times New Roman" w:cs="Times New Roman"/>
        </w:rPr>
        <w:t xml:space="preserve"> to show how the importance of partnership working is to effectively carry out the responsibilities placed on the relevant agencies to establish trust and to safely protect the public.</w:t>
      </w:r>
    </w:p>
    <w:p w14:paraId="211AA557" w14:textId="77777777" w:rsidR="00963C8B" w:rsidRPr="003C5698" w:rsidRDefault="00963C8B" w:rsidP="00A73A70">
      <w:pPr>
        <w:autoSpaceDE w:val="0"/>
        <w:autoSpaceDN w:val="0"/>
        <w:adjustRightInd w:val="0"/>
        <w:spacing w:after="0" w:line="360" w:lineRule="auto"/>
        <w:jc w:val="both"/>
        <w:rPr>
          <w:rFonts w:ascii="Times New Roman" w:hAnsi="Times New Roman" w:cs="Times New Roman"/>
          <w:color w:val="000000"/>
        </w:rPr>
      </w:pPr>
      <w:r w:rsidRPr="003C5698">
        <w:rPr>
          <w:rFonts w:ascii="Times New Roman" w:hAnsi="Times New Roman" w:cs="Times New Roman"/>
        </w:rPr>
        <w:t>MAPPA (Multi Agency Public Protection Arrangements) was first introduced in 2003 under the Criminal Justice Act 2003. The need for MAPPA came as a result of certain incidents that were in the public eye through media portrayal which highlighted the current shortfalls that existed. Masson (2006) stated “</w:t>
      </w:r>
      <w:r w:rsidRPr="003C5698">
        <w:rPr>
          <w:rFonts w:ascii="Times New Roman" w:hAnsi="Times New Roman" w:cs="Times New Roman"/>
          <w:i/>
          <w:iCs/>
        </w:rPr>
        <w:t>The inquiry into the death of Victoria Climbié was portrayed as the most wide-ranging inquiry into failure to protect a child. It was instrumental in the development of the new safeguarding agenda and joined-up children's services in the Children Act 2004”.</w:t>
      </w:r>
    </w:p>
    <w:p w14:paraId="1645CE61" w14:textId="77777777" w:rsidR="00963C8B" w:rsidRPr="003C5698" w:rsidRDefault="00963C8B" w:rsidP="00A73A70">
      <w:pPr>
        <w:autoSpaceDE w:val="0"/>
        <w:autoSpaceDN w:val="0"/>
        <w:adjustRightInd w:val="0"/>
        <w:spacing w:after="0" w:line="360" w:lineRule="auto"/>
        <w:jc w:val="both"/>
        <w:rPr>
          <w:rFonts w:ascii="Times New Roman" w:hAnsi="Times New Roman" w:cs="Times New Roman"/>
          <w:color w:val="000000"/>
        </w:rPr>
      </w:pPr>
    </w:p>
    <w:p w14:paraId="0F0B1591" w14:textId="77777777" w:rsidR="00963C8B" w:rsidRPr="003C5698" w:rsidRDefault="00963C8B" w:rsidP="00A73A70">
      <w:pPr>
        <w:autoSpaceDE w:val="0"/>
        <w:autoSpaceDN w:val="0"/>
        <w:adjustRightInd w:val="0"/>
        <w:spacing w:after="0" w:line="360" w:lineRule="auto"/>
        <w:jc w:val="both"/>
        <w:rPr>
          <w:rFonts w:ascii="Times New Roman" w:hAnsi="Times New Roman" w:cs="Times New Roman"/>
          <w:i/>
          <w:iCs/>
          <w:color w:val="000000"/>
        </w:rPr>
      </w:pPr>
      <w:r w:rsidRPr="003C5698">
        <w:rPr>
          <w:rFonts w:ascii="Times New Roman" w:hAnsi="Times New Roman" w:cs="Times New Roman"/>
          <w:color w:val="000000"/>
        </w:rPr>
        <w:t xml:space="preserve">Public protection legislation at the time was under heavy scrutiny due to the management of offenders. As a result of these issues the public’s perception of the agencies tasked with the management of these offenders was severely damaged.  </w:t>
      </w:r>
      <w:r w:rsidRPr="003C5698">
        <w:rPr>
          <w:rFonts w:ascii="Times New Roman" w:hAnsi="Times New Roman" w:cs="Times New Roman"/>
        </w:rPr>
        <w:t>It was agreed that there needed to be clear statutory guidance to manage and assess potential risks that may occur from violent and sexual offenders and to do so partnership working and communication through multi agencies was essential (Blackstones 2020. P298) “</w:t>
      </w:r>
      <w:r w:rsidRPr="003C5698">
        <w:rPr>
          <w:rFonts w:ascii="Times New Roman" w:hAnsi="Times New Roman" w:cs="Times New Roman"/>
          <w:i/>
          <w:iCs/>
        </w:rPr>
        <w:t>Multi agency public protection arrangements (MAPPA) are considered by many organisations as key to the successful management of violent and sexual offenders, especially their reintegration into society after a prison sentence”.</w:t>
      </w:r>
    </w:p>
    <w:p w14:paraId="3747033D" w14:textId="77777777" w:rsidR="00963C8B" w:rsidRPr="003C5698" w:rsidRDefault="00963C8B" w:rsidP="00A73A70">
      <w:pPr>
        <w:autoSpaceDE w:val="0"/>
        <w:autoSpaceDN w:val="0"/>
        <w:adjustRightInd w:val="0"/>
        <w:spacing w:after="0" w:line="360" w:lineRule="auto"/>
        <w:jc w:val="both"/>
        <w:rPr>
          <w:rFonts w:ascii="Times New Roman" w:hAnsi="Times New Roman" w:cs="Times New Roman"/>
          <w:b/>
          <w:bCs/>
          <w:color w:val="000000"/>
        </w:rPr>
      </w:pPr>
    </w:p>
    <w:p w14:paraId="3A541167" w14:textId="77777777" w:rsidR="00963C8B" w:rsidRPr="003C5698" w:rsidRDefault="00963C8B" w:rsidP="00A73A70">
      <w:pPr>
        <w:spacing w:after="0" w:line="360" w:lineRule="auto"/>
        <w:jc w:val="both"/>
        <w:rPr>
          <w:rFonts w:ascii="Times New Roman" w:hAnsi="Times New Roman" w:cs="Times New Roman"/>
          <w:color w:val="000000"/>
        </w:rPr>
      </w:pPr>
      <w:r w:rsidRPr="003C5698">
        <w:rPr>
          <w:rFonts w:ascii="Times New Roman" w:hAnsi="Times New Roman" w:cs="Times New Roman"/>
          <w:color w:val="000000"/>
        </w:rPr>
        <w:t>Offenders convicted of serious sexual or violent crimes upon their release from prison are given certain licence conditions. This is to ensure that the offender will have to act accordantly and if they fail to adhere to these conditions they may return to jail as the conditions have been breached. These conditions are usually made for the safety of the victim and include not contacting the victim by any means and not entering the area of their work or home. Bail conditions are set out to identify any potential risks to safeguard the victim, when enforcing these conditions consideration should be made to ensure that the suspect is able to abide by these conditions (CPS. 2019)</w:t>
      </w:r>
    </w:p>
    <w:p w14:paraId="462C78E1" w14:textId="77777777" w:rsidR="00963C8B" w:rsidRPr="003C5698" w:rsidRDefault="00963C8B" w:rsidP="00A73A70">
      <w:pPr>
        <w:spacing w:after="0" w:line="360" w:lineRule="auto"/>
        <w:jc w:val="both"/>
        <w:rPr>
          <w:rFonts w:ascii="Times New Roman" w:hAnsi="Times New Roman" w:cs="Times New Roman"/>
          <w:color w:val="000000"/>
        </w:rPr>
      </w:pPr>
      <w:r w:rsidRPr="003C5698">
        <w:rPr>
          <w:rFonts w:ascii="Times New Roman" w:hAnsi="Times New Roman" w:cs="Times New Roman"/>
          <w:color w:val="000000"/>
        </w:rPr>
        <w:lastRenderedPageBreak/>
        <w:t>Victims of violent and sexual offenders place a great deal of trust into MAPPA and understandably may be terrified when they hear that the offender is being released from prison. This is where MAPPA guidelines are implemented under national framework, and four key points are addressed to ensure the safety of the victim and to support the offender’s rehabilitation.</w:t>
      </w:r>
    </w:p>
    <w:p w14:paraId="33262F20" w14:textId="065F20A1" w:rsidR="00963C8B" w:rsidRDefault="00963C8B" w:rsidP="00A73A70">
      <w:pPr>
        <w:spacing w:after="0" w:line="360" w:lineRule="auto"/>
        <w:jc w:val="both"/>
        <w:rPr>
          <w:rFonts w:ascii="Times New Roman" w:hAnsi="Times New Roman" w:cs="Times New Roman"/>
          <w:color w:val="000000"/>
        </w:rPr>
      </w:pPr>
      <w:r w:rsidRPr="003C5698">
        <w:rPr>
          <w:rFonts w:ascii="Times New Roman" w:hAnsi="Times New Roman" w:cs="Times New Roman"/>
          <w:color w:val="000000"/>
        </w:rPr>
        <w:t>This framework comprises four fundamental functions which include recognising MAPPA offenders, sharing of relevant information among those agencies involved, assessing and handling the risk of harm identified (Blackstones 2020. P298). By following the framework MAPPA can effectively produce a risk assessment that will best safeguard the victim and public.</w:t>
      </w:r>
    </w:p>
    <w:p w14:paraId="0A7361AF" w14:textId="77777777" w:rsidR="00347039" w:rsidRPr="003C5698" w:rsidRDefault="00347039" w:rsidP="00A73A70">
      <w:pPr>
        <w:spacing w:after="0" w:line="360" w:lineRule="auto"/>
        <w:jc w:val="both"/>
        <w:rPr>
          <w:rFonts w:ascii="Times New Roman" w:hAnsi="Times New Roman" w:cs="Times New Roman"/>
          <w:color w:val="000000"/>
        </w:rPr>
      </w:pPr>
    </w:p>
    <w:p w14:paraId="5AEA9ADE" w14:textId="07773BF6" w:rsidR="00963C8B" w:rsidRDefault="00963C8B" w:rsidP="00A73A70">
      <w:pPr>
        <w:spacing w:after="0" w:line="360" w:lineRule="auto"/>
        <w:jc w:val="both"/>
        <w:rPr>
          <w:rFonts w:ascii="Times New Roman" w:hAnsi="Times New Roman" w:cs="Times New Roman"/>
          <w:i/>
          <w:iCs/>
        </w:rPr>
      </w:pPr>
      <w:r w:rsidRPr="003C5698">
        <w:rPr>
          <w:rFonts w:ascii="Times New Roman" w:hAnsi="Times New Roman" w:cs="Times New Roman"/>
        </w:rPr>
        <w:t xml:space="preserve">The guidance stipulates three categories for the managed offenders. This is decided upon the offenders requirements in order to manage them efficiently and control the risk, once the offender is placed in the appropriate level they can be moved higher up if it is felt that more supervision and other agencies are required, or down a level if it is deemed that they are more suited to less supervision. (Blackstones 2020. P298) writes </w:t>
      </w:r>
      <w:r w:rsidRPr="003C5698">
        <w:rPr>
          <w:rFonts w:ascii="Times New Roman" w:hAnsi="Times New Roman" w:cs="Times New Roman"/>
          <w:i/>
          <w:iCs/>
        </w:rPr>
        <w:t>“Category one states “registered sex sexual offenders as defined in Part 2 of the sexual offences act 2003”. Category two “violent offenders sentence to 12 months or more imprisonment sexual offenders not included in category one and offenders disqualified from working with children” Category three “other dangerous offenders who are not included in the first two categories but nonetheless still regarded by the responsible authority as presenting a serious risk to the public”.</w:t>
      </w:r>
    </w:p>
    <w:p w14:paraId="0444077D" w14:textId="77777777" w:rsidR="00347039" w:rsidRPr="003C5698" w:rsidRDefault="00347039" w:rsidP="00A73A70">
      <w:pPr>
        <w:spacing w:after="0" w:line="360" w:lineRule="auto"/>
        <w:jc w:val="both"/>
        <w:rPr>
          <w:rFonts w:ascii="Times New Roman" w:hAnsi="Times New Roman" w:cs="Times New Roman"/>
          <w:color w:val="000000"/>
        </w:rPr>
      </w:pPr>
    </w:p>
    <w:p w14:paraId="754411FC" w14:textId="5F7AF1DA" w:rsidR="00963C8B" w:rsidRPr="00A012CF" w:rsidRDefault="00963C8B" w:rsidP="00A73A70">
      <w:pPr>
        <w:spacing w:after="0" w:line="360" w:lineRule="auto"/>
        <w:jc w:val="both"/>
        <w:rPr>
          <w:rFonts w:ascii="Times New Roman" w:hAnsi="Times New Roman" w:cs="Times New Roman"/>
          <w:i/>
          <w:iCs/>
        </w:rPr>
      </w:pPr>
      <w:r w:rsidRPr="003C5698">
        <w:rPr>
          <w:rFonts w:ascii="Times New Roman" w:hAnsi="Times New Roman" w:cs="Times New Roman"/>
        </w:rPr>
        <w:t xml:space="preserve">MAPPA are responsible for co ordinating and collaborating with the three core authorities in each area, the police, probation and prison service, and this is referred to as a responsible authority (Blackstones 2020. P298) </w:t>
      </w:r>
      <w:r w:rsidRPr="00A012CF">
        <w:rPr>
          <w:rFonts w:ascii="Times New Roman" w:hAnsi="Times New Roman" w:cs="Times New Roman"/>
        </w:rPr>
        <w:t xml:space="preserve">state </w:t>
      </w:r>
      <w:r w:rsidRPr="00A012CF">
        <w:rPr>
          <w:rFonts w:ascii="Times New Roman" w:hAnsi="Times New Roman" w:cs="Times New Roman"/>
          <w:i/>
          <w:iCs/>
        </w:rPr>
        <w:t>“the police, probation and prison service in each area form a responsible authority for MAPPA, and work together with other agency’s such as social services, electronic monitoring providers, registered social landlords</w:t>
      </w:r>
      <w:r w:rsidR="00A012CF">
        <w:rPr>
          <w:rFonts w:ascii="Times New Roman" w:hAnsi="Times New Roman" w:cs="Times New Roman"/>
          <w:i/>
          <w:iCs/>
        </w:rPr>
        <w:t>”.</w:t>
      </w:r>
    </w:p>
    <w:p w14:paraId="4F72DA7F" w14:textId="066F860A" w:rsidR="00963C8B" w:rsidRPr="003C5698" w:rsidRDefault="00963C8B" w:rsidP="00A73A70">
      <w:pPr>
        <w:autoSpaceDE w:val="0"/>
        <w:autoSpaceDN w:val="0"/>
        <w:adjustRightInd w:val="0"/>
        <w:spacing w:after="0" w:line="360" w:lineRule="auto"/>
        <w:jc w:val="both"/>
        <w:rPr>
          <w:rFonts w:ascii="Times New Roman" w:hAnsi="Times New Roman" w:cs="Times New Roman"/>
          <w:i/>
          <w:iCs/>
          <w:color w:val="000000"/>
        </w:rPr>
      </w:pPr>
      <w:r w:rsidRPr="003C5698">
        <w:rPr>
          <w:rFonts w:ascii="Times New Roman" w:hAnsi="Times New Roman" w:cs="Times New Roman"/>
          <w:color w:val="000000"/>
        </w:rPr>
        <w:t xml:space="preserve">Partnership working is essential in order for MAPPA to be effective. Unless every agency is willing to cooperate and support the others then the MAPPA will be ineffective and as a result could cause harm to the victim or public as vital information may be missed by not being shared correctly. Communication plays a vital role in the success of MAPPA and it is critical that information is shared in real time to the relevant people. If there is not a clear line of communication to the offender’s manager then this could in time lead to the offender reoffending and compromise public safety as a result due to information being missed. Greenway </w:t>
      </w:r>
      <w:r w:rsidRPr="003C5698">
        <w:rPr>
          <w:rFonts w:ascii="Times New Roman" w:hAnsi="Times New Roman" w:cs="Times New Roman"/>
          <w:i/>
          <w:iCs/>
          <w:color w:val="000000"/>
        </w:rPr>
        <w:t>et al</w:t>
      </w:r>
      <w:r w:rsidRPr="003C5698">
        <w:rPr>
          <w:rFonts w:ascii="Times New Roman" w:hAnsi="Times New Roman" w:cs="Times New Roman"/>
          <w:color w:val="000000"/>
        </w:rPr>
        <w:t xml:space="preserve"> (2015) claims “</w:t>
      </w:r>
      <w:r w:rsidRPr="003C5698">
        <w:rPr>
          <w:rFonts w:ascii="Times New Roman" w:hAnsi="Times New Roman" w:cs="Times New Roman"/>
          <w:i/>
          <w:iCs/>
          <w:color w:val="000000"/>
        </w:rPr>
        <w:t>The ability to communicate with others is one of the most important human social functions</w:t>
      </w:r>
      <w:r w:rsidR="00B14796">
        <w:rPr>
          <w:rFonts w:ascii="Times New Roman" w:hAnsi="Times New Roman" w:cs="Times New Roman"/>
          <w:i/>
          <w:iCs/>
          <w:color w:val="000000"/>
        </w:rPr>
        <w:t>”.</w:t>
      </w:r>
    </w:p>
    <w:p w14:paraId="04350DFC" w14:textId="77777777" w:rsidR="00963C8B" w:rsidRPr="003C5698" w:rsidRDefault="00963C8B" w:rsidP="00A73A70">
      <w:pPr>
        <w:autoSpaceDE w:val="0"/>
        <w:autoSpaceDN w:val="0"/>
        <w:adjustRightInd w:val="0"/>
        <w:spacing w:after="0" w:line="360" w:lineRule="auto"/>
        <w:jc w:val="both"/>
        <w:rPr>
          <w:rFonts w:ascii="Times New Roman" w:hAnsi="Times New Roman" w:cs="Times New Roman"/>
          <w:color w:val="000000"/>
        </w:rPr>
      </w:pPr>
    </w:p>
    <w:p w14:paraId="026639D8" w14:textId="77777777" w:rsidR="00963C8B" w:rsidRPr="003C5698" w:rsidRDefault="00963C8B" w:rsidP="00A73A70">
      <w:pPr>
        <w:spacing w:after="0" w:line="360" w:lineRule="auto"/>
        <w:jc w:val="both"/>
        <w:rPr>
          <w:rFonts w:ascii="Times New Roman" w:hAnsi="Times New Roman" w:cs="Times New Roman"/>
          <w:color w:val="000000"/>
        </w:rPr>
      </w:pPr>
      <w:r w:rsidRPr="003C5698">
        <w:rPr>
          <w:rFonts w:ascii="Times New Roman" w:hAnsi="Times New Roman" w:cs="Times New Roman"/>
          <w:color w:val="000000"/>
        </w:rPr>
        <w:t>It is only when all the relevant agencies work together that it will be truly effective. By working in unison this will drastically reduce the likelihood of an offender reoffending simply by correctly managing the risk by providing the best possible supervision of the offender, which in turn will ensure public protection and the correct management of each induvial offender’s requirements.</w:t>
      </w:r>
    </w:p>
    <w:p w14:paraId="26C5B6E9" w14:textId="75E27F72" w:rsidR="00963C8B" w:rsidRDefault="00963C8B" w:rsidP="00A73A70">
      <w:pPr>
        <w:spacing w:after="0" w:line="360" w:lineRule="auto"/>
        <w:jc w:val="both"/>
        <w:rPr>
          <w:rFonts w:ascii="Times New Roman" w:hAnsi="Times New Roman" w:cs="Times New Roman"/>
          <w:i/>
          <w:iCs/>
          <w:color w:val="000000"/>
        </w:rPr>
      </w:pPr>
      <w:r w:rsidRPr="003C5698">
        <w:rPr>
          <w:rFonts w:ascii="Times New Roman" w:hAnsi="Times New Roman" w:cs="Times New Roman"/>
          <w:color w:val="000000"/>
        </w:rPr>
        <w:t>With the management of violent offenders there is always the possibility that the offenders will have links with organised crime. An example of this could be a managed offender with terrorism offences, partnership working in this instance is vital as each agency has a different skill set to provide support, such as police being able to provide intelligence from various sources which can be disseminated to probation and ensure the offender is correctly managed. Village and Hooper (2015) both claim “</w:t>
      </w:r>
      <w:r w:rsidRPr="003C5698">
        <w:rPr>
          <w:rFonts w:ascii="Times New Roman" w:hAnsi="Times New Roman" w:cs="Times New Roman"/>
          <w:i/>
          <w:iCs/>
          <w:color w:val="000000"/>
        </w:rPr>
        <w:t xml:space="preserve">Partnership Working in Child Protection, which should be viewed </w:t>
      </w:r>
      <w:r w:rsidRPr="003C5698">
        <w:rPr>
          <w:rFonts w:ascii="Times New Roman" w:hAnsi="Times New Roman" w:cs="Times New Roman"/>
          <w:i/>
          <w:iCs/>
          <w:color w:val="000000"/>
        </w:rPr>
        <w:lastRenderedPageBreak/>
        <w:t>first, portrays pressures on the child protection system and identifies how hospitals and local authorities can work together more effectively to protect children, and identify and reduce the risk of maltreatment and neglect. Its key messages include the importance of the Munro Review (2011) in shaping policy and practice, and of a multiagency approach to early intervention and prevention</w:t>
      </w:r>
      <w:r w:rsidR="00347039">
        <w:rPr>
          <w:rFonts w:ascii="Times New Roman" w:hAnsi="Times New Roman" w:cs="Times New Roman"/>
          <w:i/>
          <w:iCs/>
          <w:color w:val="000000"/>
        </w:rPr>
        <w:t>”.</w:t>
      </w:r>
    </w:p>
    <w:p w14:paraId="0D40395E" w14:textId="77777777" w:rsidR="00347039" w:rsidRPr="003C5698" w:rsidRDefault="00347039" w:rsidP="00A73A70">
      <w:pPr>
        <w:spacing w:after="0" w:line="360" w:lineRule="auto"/>
        <w:jc w:val="both"/>
        <w:rPr>
          <w:rFonts w:ascii="Times New Roman" w:hAnsi="Times New Roman" w:cs="Times New Roman"/>
          <w:color w:val="000000"/>
        </w:rPr>
      </w:pPr>
    </w:p>
    <w:p w14:paraId="0A06DF45" w14:textId="485F15C1" w:rsidR="00963C8B" w:rsidRDefault="00963C8B" w:rsidP="00A73A70">
      <w:pPr>
        <w:spacing w:after="0" w:line="360" w:lineRule="auto"/>
        <w:jc w:val="both"/>
        <w:rPr>
          <w:rFonts w:ascii="Times New Roman" w:hAnsi="Times New Roman" w:cs="Times New Roman"/>
          <w:i/>
          <w:iCs/>
          <w:color w:val="000000"/>
        </w:rPr>
      </w:pPr>
      <w:r w:rsidRPr="003C5698">
        <w:rPr>
          <w:rFonts w:ascii="Times New Roman" w:hAnsi="Times New Roman" w:cs="Times New Roman"/>
          <w:color w:val="000000"/>
        </w:rPr>
        <w:t>Once the offenders have been placed into a suitable category, a detailed risk assessment would then be conducted in order to finalise and implement an ongoing management plan for the offender. By conducting a risk assessment this would highlight any potential susceptibilities in the management plan and reduce the possibility of the offender reoffending. This can be done by analysing the offender’s previous criminal past and identify any patterns to prevent further harm to any potential future victims by working closely with the offenders manager. Beijersbergen et al (2016) believe “</w:t>
      </w:r>
      <w:r w:rsidRPr="003C5698">
        <w:rPr>
          <w:rFonts w:ascii="Times New Roman" w:hAnsi="Times New Roman" w:cs="Times New Roman"/>
          <w:i/>
          <w:iCs/>
          <w:color w:val="000000"/>
        </w:rPr>
        <w:t>One aspect of prison life that may potentially affect prisoners’ reoffending behavior refers to the extent to which prisoners feel they are being treated in a fair and decent way. This notion is central to procedural justice theories, which argue that people will be more likely to comply with the law when they feel treated in a procedurally just manner by actors who enforce the law</w:t>
      </w:r>
      <w:r w:rsidR="00347039">
        <w:rPr>
          <w:rFonts w:ascii="Times New Roman" w:hAnsi="Times New Roman" w:cs="Times New Roman"/>
          <w:i/>
          <w:iCs/>
          <w:color w:val="000000"/>
        </w:rPr>
        <w:t>”.</w:t>
      </w:r>
    </w:p>
    <w:p w14:paraId="02D256B2" w14:textId="77777777" w:rsidR="00347039" w:rsidRPr="003C5698" w:rsidRDefault="00347039" w:rsidP="00A73A70">
      <w:pPr>
        <w:spacing w:after="0" w:line="360" w:lineRule="auto"/>
        <w:jc w:val="both"/>
        <w:rPr>
          <w:rFonts w:ascii="Times New Roman" w:hAnsi="Times New Roman" w:cs="Times New Roman"/>
          <w:i/>
          <w:iCs/>
          <w:color w:val="000000"/>
        </w:rPr>
      </w:pPr>
    </w:p>
    <w:p w14:paraId="44AFFD48" w14:textId="1B724892" w:rsidR="00963C8B" w:rsidRDefault="00963C8B" w:rsidP="00A73A70">
      <w:pPr>
        <w:spacing w:after="0" w:line="360" w:lineRule="auto"/>
        <w:jc w:val="both"/>
        <w:rPr>
          <w:rFonts w:ascii="Times New Roman" w:hAnsi="Times New Roman" w:cs="Times New Roman"/>
          <w:i/>
          <w:iCs/>
          <w:color w:val="000000"/>
        </w:rPr>
      </w:pPr>
      <w:r w:rsidRPr="003C5698">
        <w:rPr>
          <w:rFonts w:ascii="Times New Roman" w:hAnsi="Times New Roman" w:cs="Times New Roman"/>
          <w:color w:val="000000"/>
        </w:rPr>
        <w:t>Once the risk assessment has been accepted, a management plan can then be implemented for the offender which are tailored specifically to each offender as each will have different requirements for supervision with such stipulations as a Sexual Harm Prevention Order (</w:t>
      </w:r>
      <w:r w:rsidRPr="003C5698">
        <w:rPr>
          <w:rFonts w:ascii="Times New Roman" w:hAnsi="Times New Roman" w:cs="Times New Roman"/>
          <w:i/>
          <w:iCs/>
          <w:color w:val="000000"/>
        </w:rPr>
        <w:t>Blackstones</w:t>
      </w:r>
      <w:r w:rsidRPr="003C5698">
        <w:rPr>
          <w:rFonts w:ascii="Times New Roman" w:hAnsi="Times New Roman" w:cs="Times New Roman"/>
          <w:color w:val="000000"/>
        </w:rPr>
        <w:t xml:space="preserve"> 2020. P395) “</w:t>
      </w:r>
      <w:r w:rsidRPr="003C5698">
        <w:rPr>
          <w:rFonts w:ascii="Times New Roman" w:hAnsi="Times New Roman" w:cs="Times New Roman"/>
          <w:i/>
          <w:iCs/>
          <w:color w:val="000000"/>
        </w:rPr>
        <w:t>A sexual harm prevention order (SHPO) is applicable to anyone convicted or cautioned for a sexual or violent offence. It can be issued by a court upon conviction, or the police or the National Crime Agency (NCA) can apply to Magistrates Court. The order is used if it is deemed necessary to protect the public or a specific member of the public up from sexual harm”</w:t>
      </w:r>
      <w:r w:rsidR="00FF6E4C">
        <w:rPr>
          <w:rFonts w:ascii="Times New Roman" w:hAnsi="Times New Roman" w:cs="Times New Roman"/>
          <w:i/>
          <w:iCs/>
          <w:color w:val="000000"/>
        </w:rPr>
        <w:t>.</w:t>
      </w:r>
    </w:p>
    <w:p w14:paraId="0A56DAF0" w14:textId="77777777" w:rsidR="00B74E82" w:rsidRPr="003C5698" w:rsidRDefault="00B74E82" w:rsidP="00A73A70">
      <w:pPr>
        <w:spacing w:after="0" w:line="360" w:lineRule="auto"/>
        <w:jc w:val="both"/>
        <w:rPr>
          <w:rFonts w:ascii="Times New Roman" w:hAnsi="Times New Roman" w:cs="Times New Roman"/>
          <w:i/>
          <w:iCs/>
          <w:color w:val="000000"/>
        </w:rPr>
      </w:pPr>
    </w:p>
    <w:p w14:paraId="2E949B3C" w14:textId="77777777" w:rsidR="00963C8B" w:rsidRPr="003C5698" w:rsidRDefault="00963C8B" w:rsidP="002C4660">
      <w:pPr>
        <w:spacing w:after="0" w:line="360" w:lineRule="auto"/>
        <w:jc w:val="both"/>
        <w:rPr>
          <w:rFonts w:ascii="Times New Roman" w:hAnsi="Times New Roman" w:cs="Times New Roman"/>
          <w:color w:val="000000"/>
        </w:rPr>
      </w:pPr>
      <w:r w:rsidRPr="003C5698">
        <w:rPr>
          <w:rFonts w:ascii="Times New Roman" w:hAnsi="Times New Roman" w:cs="Times New Roman"/>
          <w:color w:val="000000"/>
        </w:rPr>
        <w:t xml:space="preserve">Over the course of this entry it has become clear to me that although the management of offenders through MAPPA is highly complex, it will not succeed without simple effective communication and various agencies working in union to achieve a common goal to protect the victims and the public from the offenders they manage. The framework that has been set out has to be adhered to and closely managed to ensure public safety. The number of offenders that are under the management of MAPPA has been increasing for a number of years (Blackstones 2020. P298) </w:t>
      </w:r>
      <w:r w:rsidRPr="003C5698">
        <w:rPr>
          <w:rFonts w:ascii="Times New Roman" w:hAnsi="Times New Roman" w:cs="Times New Roman"/>
          <w:i/>
          <w:iCs/>
          <w:color w:val="000000"/>
        </w:rPr>
        <w:t xml:space="preserve">“The number of MAPPA- eligible offenders’ in the UK has been steadily increasing since 2007, at an annual rate of about 7 per cent”. </w:t>
      </w:r>
      <w:r w:rsidRPr="003C5698">
        <w:rPr>
          <w:rFonts w:ascii="Times New Roman" w:hAnsi="Times New Roman" w:cs="Times New Roman"/>
          <w:color w:val="000000"/>
        </w:rPr>
        <w:t>Without the correct supervision, partnership working, and key communication skills from every agency involved it would be impossible to safeguard the vulnerable victims and public that MAPPA was formed to protect.</w:t>
      </w:r>
    </w:p>
    <w:p w14:paraId="2186D5EC" w14:textId="642D9721" w:rsidR="001B0429" w:rsidRPr="003C5698" w:rsidRDefault="001B0429" w:rsidP="002C4660">
      <w:pPr>
        <w:spacing w:after="0" w:line="360" w:lineRule="auto"/>
        <w:jc w:val="both"/>
        <w:rPr>
          <w:rFonts w:ascii="Times New Roman" w:hAnsi="Times New Roman" w:cs="Times New Roman"/>
          <w:b/>
          <w:bCs/>
        </w:rPr>
      </w:pPr>
      <w:r>
        <w:rPr>
          <w:rFonts w:ascii="Times New Roman" w:hAnsi="Times New Roman" w:cs="Times New Roman"/>
          <w:b/>
          <w:bCs/>
        </w:rPr>
        <w:t xml:space="preserve">Word Count </w:t>
      </w:r>
      <w:r w:rsidR="002C4660">
        <w:rPr>
          <w:rFonts w:ascii="Times New Roman" w:hAnsi="Times New Roman" w:cs="Times New Roman"/>
          <w:b/>
          <w:bCs/>
        </w:rPr>
        <w:t>–</w:t>
      </w:r>
      <w:r>
        <w:rPr>
          <w:rFonts w:ascii="Times New Roman" w:hAnsi="Times New Roman" w:cs="Times New Roman"/>
          <w:b/>
          <w:bCs/>
        </w:rPr>
        <w:t xml:space="preserve"> 1038</w:t>
      </w:r>
      <w:r w:rsidR="002C4660">
        <w:rPr>
          <w:rFonts w:ascii="Times New Roman" w:hAnsi="Times New Roman" w:cs="Times New Roman"/>
          <w:b/>
          <w:bCs/>
        </w:rPr>
        <w:t>.</w:t>
      </w:r>
    </w:p>
    <w:p w14:paraId="391354B1" w14:textId="77777777" w:rsidR="005A5D63" w:rsidRPr="002161A0" w:rsidRDefault="005A5D63" w:rsidP="001B0429">
      <w:pPr>
        <w:overflowPunct w:val="0"/>
        <w:autoSpaceDE w:val="0"/>
        <w:autoSpaceDN w:val="0"/>
        <w:adjustRightInd w:val="0"/>
        <w:spacing w:before="240" w:after="0" w:line="360" w:lineRule="auto"/>
        <w:ind w:left="426"/>
        <w:jc w:val="center"/>
        <w:textAlignment w:val="baseline"/>
        <w:rPr>
          <w:rFonts w:ascii="Arial" w:eastAsia="Times New Roman" w:hAnsi="Arial" w:cs="Arial"/>
          <w:lang w:eastAsia="en-GB"/>
        </w:rPr>
      </w:pPr>
    </w:p>
    <w:p w14:paraId="6BB25FEA"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F33F75F" w14:textId="77777777" w:rsidR="002C4660" w:rsidRDefault="002C4660">
      <w:pPr>
        <w:rPr>
          <w:rFonts w:ascii="Arial" w:eastAsia="Times New Roman" w:hAnsi="Arial" w:cs="Arial"/>
          <w:i/>
          <w:iCs/>
          <w:lang w:eastAsia="en-GB"/>
        </w:rPr>
      </w:pPr>
      <w:r>
        <w:rPr>
          <w:rFonts w:ascii="Arial" w:eastAsia="Times New Roman" w:hAnsi="Arial" w:cs="Arial"/>
          <w:i/>
          <w:iCs/>
          <w:lang w:eastAsia="en-GB"/>
        </w:rPr>
        <w:br w:type="page"/>
      </w:r>
    </w:p>
    <w:p w14:paraId="418F1CEA" w14:textId="440BAE8C" w:rsidR="002161A0" w:rsidRPr="002C4660" w:rsidRDefault="00BF4C98" w:rsidP="00157265">
      <w:pPr>
        <w:overflowPunct w:val="0"/>
        <w:autoSpaceDE w:val="0"/>
        <w:autoSpaceDN w:val="0"/>
        <w:adjustRightInd w:val="0"/>
        <w:spacing w:before="240" w:after="0" w:line="240" w:lineRule="auto"/>
        <w:ind w:left="426"/>
        <w:jc w:val="both"/>
        <w:textAlignment w:val="baseline"/>
        <w:rPr>
          <w:rFonts w:ascii="Arial" w:eastAsia="Times New Roman" w:hAnsi="Arial" w:cs="Arial"/>
          <w:b/>
          <w:bCs/>
          <w:i/>
          <w:iCs/>
          <w:lang w:eastAsia="en-GB"/>
        </w:rPr>
      </w:pPr>
      <w:r w:rsidRPr="002C4660">
        <w:rPr>
          <w:rFonts w:ascii="Arial" w:eastAsia="Times New Roman" w:hAnsi="Arial" w:cs="Arial"/>
          <w:b/>
          <w:bCs/>
          <w:i/>
          <w:iCs/>
          <w:lang w:eastAsia="en-GB"/>
        </w:rPr>
        <w:lastRenderedPageBreak/>
        <w:t xml:space="preserve">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 </w:t>
      </w:r>
    </w:p>
    <w:p w14:paraId="06401B76" w14:textId="646A2A4C" w:rsidR="00BB18E4" w:rsidRPr="002C4660" w:rsidRDefault="00BB18E4" w:rsidP="00157265">
      <w:pPr>
        <w:spacing w:after="0" w:line="240" w:lineRule="auto"/>
        <w:ind w:left="426"/>
        <w:rPr>
          <w:rFonts w:ascii="Arial" w:eastAsia="Times New Roman" w:hAnsi="Arial" w:cs="Arial"/>
          <w:b/>
          <w:bCs/>
          <w:sz w:val="24"/>
          <w:szCs w:val="24"/>
          <w:lang w:eastAsia="en-GB"/>
        </w:rPr>
      </w:pPr>
    </w:p>
    <w:p w14:paraId="7D9EBAC3" w14:textId="13C4BE37" w:rsidR="00BF4C98" w:rsidRPr="002C4660" w:rsidRDefault="2D4F8166"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b/>
          <w:bCs/>
          <w:lang w:eastAsia="en-GB"/>
        </w:rPr>
      </w:pPr>
      <w:r w:rsidRPr="002C4660">
        <w:rPr>
          <w:rFonts w:ascii="Arial" w:eastAsia="Times New Roman" w:hAnsi="Arial" w:cs="Arial"/>
          <w:b/>
          <w:bCs/>
          <w:lang w:eastAsia="en-GB"/>
        </w:rPr>
        <w:t xml:space="preserve">Title 2: </w:t>
      </w:r>
      <w:r w:rsidR="00BF4C98" w:rsidRPr="002C4660">
        <w:rPr>
          <w:rFonts w:ascii="Arial" w:eastAsia="Times New Roman" w:hAnsi="Arial" w:cs="Arial"/>
          <w:b/>
          <w:bCs/>
          <w:lang w:eastAsia="en-GB"/>
        </w:rPr>
        <w:t>Analyse the role of professional standards and independent bodies such as the IOPC or HMICFRS in holding the police accountable to the public and the impact of ma</w:t>
      </w:r>
      <w:r w:rsidR="00180632" w:rsidRPr="002C4660">
        <w:rPr>
          <w:rFonts w:ascii="Arial" w:eastAsia="Times New Roman" w:hAnsi="Arial" w:cs="Arial"/>
          <w:b/>
          <w:bCs/>
          <w:lang w:eastAsia="en-GB"/>
        </w:rPr>
        <w:t>l</w:t>
      </w:r>
      <w:r w:rsidR="00BF4C98" w:rsidRPr="002C4660">
        <w:rPr>
          <w:rFonts w:ascii="Arial" w:eastAsia="Times New Roman" w:hAnsi="Arial" w:cs="Arial"/>
          <w:b/>
          <w:bCs/>
          <w:lang w:eastAsia="en-GB"/>
        </w:rPr>
        <w:t>practice and corruption on policing using examples to support your argument.</w:t>
      </w:r>
    </w:p>
    <w:p w14:paraId="49B13283" w14:textId="77777777" w:rsidR="00F43C4D" w:rsidRDefault="00F43C4D" w:rsidP="00BE5412">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02A8953E" w14:textId="212A43AC"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The role of the professional standards department (PSD) is one that is heavily criticised by many of the officers it polices, the public perception is that the police are a law unto themselves. This is where the PSD comes in and it is their role to ensure that the police are accountable in their actions. The PSD are not the only ones who hold the police accountable, this is also done by the Independent Office for Police Conduct (IOPC) which is an independent body who oversee all the forces in the UK. The role of each will be explained and analysed in the following.</w:t>
      </w:r>
    </w:p>
    <w:p w14:paraId="18721257" w14:textId="77777777"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The PSD comprise of officers within the forces whose role it is to receive, record, investigate and resolve any reports of misconduct or public complaints of staff. Misconduct is classified as behaviour which falls below the acceptable standards of professional behaviour</w:t>
      </w:r>
      <w:r w:rsidRPr="00072B24">
        <w:rPr>
          <w:rFonts w:ascii="Times New Roman" w:hAnsi="Times New Roman" w:cs="Times New Roman"/>
          <w:b/>
          <w:bCs/>
        </w:rPr>
        <w:t xml:space="preserve"> </w:t>
      </w:r>
      <w:r w:rsidRPr="00072B24">
        <w:rPr>
          <w:rFonts w:ascii="Times New Roman" w:hAnsi="Times New Roman" w:cs="Times New Roman"/>
        </w:rPr>
        <w:t xml:space="preserve">(Blackstones 2020. P85) </w:t>
      </w:r>
    </w:p>
    <w:p w14:paraId="6B364A87" w14:textId="7AF36FD8" w:rsidR="006710D6" w:rsidRPr="00072B24" w:rsidRDefault="006710D6" w:rsidP="006710D6">
      <w:pPr>
        <w:spacing w:line="360" w:lineRule="auto"/>
        <w:jc w:val="both"/>
        <w:rPr>
          <w:rFonts w:ascii="Times New Roman" w:hAnsi="Times New Roman" w:cs="Times New Roman"/>
          <w:b/>
          <w:bCs/>
        </w:rPr>
      </w:pPr>
      <w:r w:rsidRPr="00072B24">
        <w:rPr>
          <w:rFonts w:ascii="Times New Roman" w:hAnsi="Times New Roman" w:cs="Times New Roman"/>
        </w:rPr>
        <w:t>Their objective is to fully investigate any complaints to ensure that the integrity of the police is maintained, and by doing so helps to build and keep public confidence. The department handle all complaints and is administered by the Police reform act and the IOPC statutory guidance on the complaint’s procedure. There are two categories of investigation regarding the conduct of the police. Conduct matters is when an allegation of wrongdoing has been made by colleagues and complaints which are accusations of misconduct by a member of the public (Blackstones 2020. P85) will say “</w:t>
      </w:r>
      <w:r w:rsidRPr="00072B24">
        <w:rPr>
          <w:rFonts w:ascii="Times New Roman" w:hAnsi="Times New Roman" w:cs="Times New Roman"/>
          <w:i/>
          <w:iCs/>
        </w:rPr>
        <w:t>’Conduct matters’, which concern allegations made against a police officer by a colleague and ‘Complaints’ which are allegations made by a member of the public about the conduct of a police officer</w:t>
      </w:r>
      <w:r w:rsidR="00B74E82">
        <w:rPr>
          <w:rFonts w:ascii="Times New Roman" w:hAnsi="Times New Roman" w:cs="Times New Roman"/>
          <w:i/>
          <w:iCs/>
        </w:rPr>
        <w:t>”.</w:t>
      </w:r>
    </w:p>
    <w:p w14:paraId="1CD6135B" w14:textId="77777777"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The department determines the standards by which the police should conduct themselves by following the policing principles, code of ethics and the ten standards of professional behaviour, in particular challenging and reporting improper behaviour, (Blackstones 2020. P76) says “</w:t>
      </w:r>
      <w:r w:rsidRPr="00072B24">
        <w:rPr>
          <w:rFonts w:ascii="Times New Roman" w:hAnsi="Times New Roman" w:cs="Times New Roman"/>
          <w:i/>
          <w:iCs/>
        </w:rPr>
        <w:t>Police officers report, challenge or take action against the conduct of colleagues which has fallen below the standards of professional behaviour”.</w:t>
      </w:r>
      <w:r w:rsidRPr="00072B24">
        <w:rPr>
          <w:rFonts w:ascii="Times New Roman" w:hAnsi="Times New Roman" w:cs="Times New Roman"/>
        </w:rPr>
        <w:t xml:space="preserve"> These ten standards along with the national decision model is what PSD and the public expect of the police, and if officers and staff are not adhering to these expectations then they will be scrutinised and investigated to ensure that no one falls below the standards and any wrongdoings are eliminated.</w:t>
      </w:r>
    </w:p>
    <w:p w14:paraId="5BB15CB4" w14:textId="77777777"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 xml:space="preserve">Officers and staff who fall below the expected standards or fail to adhere to the ten standards of professional behaviour may find themselves being investigated by the department, meaning the department will examine any complaint impartially without any predisposition until a conclusion is reached. The professional standards department have worked towards developing a more positive working relationship with officers and staff in recent years. The PSD are there to ensure that every person who is employed by the force is upholding the standards that are expected of them, the department have published guidelines which help officers avoid the mistakes that could lead them towards a complaint. The professional standards department are a vital resource to ensure that every person </w:t>
      </w:r>
      <w:r w:rsidRPr="00072B24">
        <w:rPr>
          <w:rFonts w:ascii="Times New Roman" w:hAnsi="Times New Roman" w:cs="Times New Roman"/>
        </w:rPr>
        <w:lastRenderedPageBreak/>
        <w:t xml:space="preserve">within the force is maintaining the best possible ethics and to continue to hold police liable in order to give the public confidence. </w:t>
      </w:r>
    </w:p>
    <w:p w14:paraId="3E3E4CA4" w14:textId="695F99DF"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 xml:space="preserve">Most conduct and complaints procedures can be dealt with by the PSD at a local level, however more serious complaints are escalated to the Independent office for police conduct (IOPC). Certain incidents such as if an allegation of dishonesty or assault has occurred and if death or serious injury has been caused, before, during or after police contact then this </w:t>
      </w:r>
      <w:r w:rsidRPr="00072B24">
        <w:rPr>
          <w:rFonts w:ascii="Times New Roman" w:hAnsi="Times New Roman" w:cs="Times New Roman"/>
          <w:lang w:val="en"/>
        </w:rPr>
        <w:t xml:space="preserve">must be reported by law to the IOPC </w:t>
      </w:r>
      <w:r w:rsidRPr="00072B24">
        <w:rPr>
          <w:rFonts w:ascii="Times New Roman" w:hAnsi="Times New Roman" w:cs="Times New Roman"/>
          <w:i/>
          <w:iCs/>
          <w:lang w:val="en"/>
        </w:rPr>
        <w:t>(Blackstones 2020. P88) “Investigations into more serious matters will involve the IOPC. An IOPC supervised investigation is used for complaints or allegations of misconduct which are of considerable significance and probable public concern</w:t>
      </w:r>
      <w:r w:rsidR="005C7F48">
        <w:rPr>
          <w:rFonts w:ascii="Times New Roman" w:hAnsi="Times New Roman" w:cs="Times New Roman"/>
          <w:i/>
          <w:iCs/>
          <w:lang w:val="en"/>
        </w:rPr>
        <w:t>”.</w:t>
      </w:r>
      <w:r w:rsidRPr="00072B24">
        <w:rPr>
          <w:rFonts w:ascii="Times New Roman" w:hAnsi="Times New Roman" w:cs="Times New Roman"/>
          <w:i/>
          <w:iCs/>
          <w:lang w:val="en"/>
        </w:rPr>
        <w:t xml:space="preserve"> </w:t>
      </w:r>
      <w:r w:rsidRPr="00072B24">
        <w:rPr>
          <w:rFonts w:ascii="Times New Roman" w:hAnsi="Times New Roman" w:cs="Times New Roman"/>
        </w:rPr>
        <w:t xml:space="preserve">The IOPC manage the standards in complaint management and set the benchmark for all forces and they constantly research various areas in order to publish annual reports allowing them to present the statistics that is published by forces (Independent Office for Police Conduct 2020). The IOPC exist in order to withhold the standards of which all forces should conduct themselves, they do this by sharing information so that when a mistake does occur, others can learn from it to avoid this mistake from re-occurring. The IOPC are independent from both the police and the government which ensures all investigations and reports are impartial and factual. </w:t>
      </w:r>
    </w:p>
    <w:p w14:paraId="770F14F4" w14:textId="77777777"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 xml:space="preserve">The IOPC has been active since January 2018 replacing the Independent Police Complaint Commission (IPCC). The IOPC govern not only the police but various other organisations such as the National Crime Agency (NCA), Her Majesty Revenue and Customs (HMRC) and the mayor’s office. When a referral from a force’s PSD is received, the IOPC assess the referral and place into one of four categories (Blackstones 2020. P87) states “ </w:t>
      </w:r>
      <w:r w:rsidRPr="00072B24">
        <w:rPr>
          <w:rFonts w:ascii="Times New Roman" w:hAnsi="Times New Roman" w:cs="Times New Roman"/>
          <w:i/>
          <w:iCs/>
        </w:rPr>
        <w:t>When the IOPC receives a referral from a police force the IOPC assessment unit reviews the information they have received. The IOPC then decide if the matter requires an investigation, and if so what type. There are four different types of investigation: local, supervised, managed and independent”</w:t>
      </w:r>
      <w:r w:rsidRPr="00072B24">
        <w:rPr>
          <w:rFonts w:ascii="Times New Roman" w:hAnsi="Times New Roman" w:cs="Times New Roman"/>
        </w:rPr>
        <w:t xml:space="preserve">. Investigations at a local and supervised level are not carried out directly by the IOPC and remain with the police to resolve, however are overseen with guidance from the IOPC. </w:t>
      </w:r>
    </w:p>
    <w:p w14:paraId="18A3CBA1" w14:textId="77777777"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 xml:space="preserve">Although both PSD and the IOPC go above and beyond to hold all accountable to the ten standards of professional behaviour, there have been several high profile incidents where the police have failed to adhere to these standards and misconduct has been highlighted in the media which results in public perception to be diminished. </w:t>
      </w:r>
    </w:p>
    <w:p w14:paraId="5EC7A40C" w14:textId="7666E383" w:rsidR="006710D6" w:rsidRPr="00072B24" w:rsidRDefault="006710D6" w:rsidP="006710D6">
      <w:pPr>
        <w:spacing w:line="360" w:lineRule="auto"/>
        <w:jc w:val="both"/>
        <w:rPr>
          <w:rFonts w:ascii="Times New Roman" w:hAnsi="Times New Roman" w:cs="Times New Roman"/>
          <w:i/>
          <w:iCs/>
        </w:rPr>
      </w:pPr>
      <w:r w:rsidRPr="00072B24">
        <w:rPr>
          <w:rFonts w:ascii="Times New Roman" w:hAnsi="Times New Roman" w:cs="Times New Roman"/>
        </w:rPr>
        <w:t>An example of this is the murder of Lynette White who was brutally murdered in 1988 and the involvement of the police is still being scrutinised to this day due to their conduct. Over thirty years later public perception of the police is still being questioned due to the miscarriage of justice that occurred in this case. Campbell 2012 claims “</w:t>
      </w:r>
      <w:r w:rsidRPr="00072B24">
        <w:rPr>
          <w:rFonts w:ascii="Times New Roman" w:hAnsi="Times New Roman" w:cs="Times New Roman"/>
          <w:i/>
          <w:iCs/>
        </w:rPr>
        <w:t>Her murder led to one of the greatest judicial scandals of the last half century and the largest ever trial of British police officers, yet the story has still to reach a just and final conclusion</w:t>
      </w:r>
      <w:r w:rsidR="005C7F48">
        <w:rPr>
          <w:rFonts w:ascii="Times New Roman" w:hAnsi="Times New Roman" w:cs="Times New Roman"/>
          <w:i/>
          <w:iCs/>
        </w:rPr>
        <w:t>”.</w:t>
      </w:r>
    </w:p>
    <w:p w14:paraId="2BED41EB" w14:textId="14039B42" w:rsidR="006710D6" w:rsidRPr="00072B24" w:rsidRDefault="006710D6" w:rsidP="006710D6">
      <w:pPr>
        <w:spacing w:line="360" w:lineRule="auto"/>
        <w:jc w:val="both"/>
        <w:rPr>
          <w:rFonts w:ascii="Times New Roman" w:hAnsi="Times New Roman" w:cs="Times New Roman"/>
        </w:rPr>
      </w:pPr>
      <w:r w:rsidRPr="00072B24">
        <w:rPr>
          <w:rFonts w:ascii="Times New Roman" w:hAnsi="Times New Roman" w:cs="Times New Roman"/>
        </w:rPr>
        <w:t>Often referred to as the Cardiff three, five innocent men were wrongly convicted of murder due to police actions which led to findings of corruption, fabrication of evidence and withholding of key evidence. Campbell 2012 went on to say “</w:t>
      </w:r>
      <w:r w:rsidRPr="00072B24">
        <w:rPr>
          <w:rFonts w:ascii="Times New Roman" w:hAnsi="Times New Roman" w:cs="Times New Roman"/>
          <w:i/>
          <w:iCs/>
        </w:rPr>
        <w:t>It was said that documents essential to the case, which should have been disclosed to the defence, had been destroyed”</w:t>
      </w:r>
      <w:r w:rsidRPr="00072B24">
        <w:rPr>
          <w:rFonts w:ascii="Times New Roman" w:hAnsi="Times New Roman" w:cs="Times New Roman"/>
        </w:rPr>
        <w:t>. There were claims that the police coerced witnesses into giving a false account simply to fit their own criteria. “</w:t>
      </w:r>
      <w:r w:rsidRPr="00072B24">
        <w:rPr>
          <w:rFonts w:ascii="Times New Roman" w:hAnsi="Times New Roman" w:cs="Times New Roman"/>
          <w:i/>
          <w:iCs/>
        </w:rPr>
        <w:t xml:space="preserve">During their trial in 2008, they claimed they had been harassed into lying by the police. The judge, Mr Justice Maddison, accepted that "you were seriously hounded, bullied, threatened, abused and manipulated by </w:t>
      </w:r>
      <w:r w:rsidRPr="00072B24">
        <w:rPr>
          <w:rFonts w:ascii="Times New Roman" w:hAnsi="Times New Roman" w:cs="Times New Roman"/>
          <w:i/>
          <w:iCs/>
        </w:rPr>
        <w:lastRenderedPageBreak/>
        <w:t>the police … as a result of which you felt compelled to agree to false accounts they suggested to you". He added that what they had been subjected to was "unacceptable in a civilised society"</w:t>
      </w:r>
      <w:r w:rsidR="005C7F48">
        <w:rPr>
          <w:rFonts w:ascii="Times New Roman" w:hAnsi="Times New Roman" w:cs="Times New Roman"/>
        </w:rPr>
        <w:t>.</w:t>
      </w:r>
    </w:p>
    <w:p w14:paraId="06C0CE70" w14:textId="1C7E3D9D" w:rsidR="008F5A08" w:rsidRDefault="006710D6" w:rsidP="008F5A08">
      <w:pPr>
        <w:spacing w:line="360" w:lineRule="auto"/>
        <w:jc w:val="both"/>
        <w:rPr>
          <w:rFonts w:ascii="Times New Roman" w:hAnsi="Times New Roman" w:cs="Times New Roman"/>
        </w:rPr>
      </w:pPr>
      <w:r w:rsidRPr="00072B24">
        <w:rPr>
          <w:rFonts w:ascii="Times New Roman" w:hAnsi="Times New Roman" w:cs="Times New Roman"/>
        </w:rPr>
        <w:t>In conclusion it is clear to see the public look to the police in times of need and if they do not have the faith in the police to carry out their duties then public perception may never be restored. It is only through being held accountable that the police will be able to rectify their negative image to the public and start earning and rebuilding the faith of the public in the police (Blackstones 2020. P76) “</w:t>
      </w:r>
      <w:r w:rsidRPr="00072B24">
        <w:rPr>
          <w:rFonts w:ascii="Times New Roman" w:hAnsi="Times New Roman" w:cs="Times New Roman"/>
          <w:i/>
          <w:iCs/>
        </w:rPr>
        <w:t>Police officers are honest, act with integrity, and do not compromise or abuse their position</w:t>
      </w:r>
      <w:r w:rsidR="005C7F48">
        <w:rPr>
          <w:rFonts w:ascii="Times New Roman" w:hAnsi="Times New Roman" w:cs="Times New Roman"/>
          <w:i/>
          <w:iCs/>
        </w:rPr>
        <w:t>”.</w:t>
      </w:r>
      <w:r w:rsidRPr="00072B24">
        <w:rPr>
          <w:rFonts w:ascii="Times New Roman" w:hAnsi="Times New Roman" w:cs="Times New Roman"/>
          <w:i/>
          <w:iCs/>
        </w:rPr>
        <w:t xml:space="preserve"> </w:t>
      </w:r>
      <w:r w:rsidRPr="00072B24">
        <w:rPr>
          <w:rFonts w:ascii="Times New Roman" w:hAnsi="Times New Roman" w:cs="Times New Roman"/>
        </w:rPr>
        <w:t>The existence of the PSD and the IOPC is crucial if the public are to have any faith in the police in today’s culture. Police forces in England and Wales have a duty to provide the best possible service to the public and an independent governing body who hold forces accountable gives the public confidence by being open and transparent with their findings, which can only increase public perception for the better.</w:t>
      </w:r>
    </w:p>
    <w:p w14:paraId="7321F8D7" w14:textId="20F58A21" w:rsidR="008F5A08" w:rsidRPr="008F5A08" w:rsidRDefault="008F5A08" w:rsidP="008F5A08">
      <w:pPr>
        <w:spacing w:line="360" w:lineRule="auto"/>
        <w:jc w:val="both"/>
        <w:rPr>
          <w:rFonts w:ascii="Times New Roman" w:hAnsi="Times New Roman" w:cs="Times New Roman"/>
        </w:rPr>
      </w:pPr>
      <w:r w:rsidRPr="008F5A08">
        <w:rPr>
          <w:rFonts w:ascii="Times New Roman" w:hAnsi="Times New Roman" w:cs="Times New Roman"/>
          <w:b/>
          <w:bCs/>
        </w:rPr>
        <w:t>Word Count – 1068.</w:t>
      </w:r>
    </w:p>
    <w:p w14:paraId="092D62A1" w14:textId="407080A8" w:rsidR="002C4660" w:rsidRDefault="002C4660">
      <w:pPr>
        <w:rPr>
          <w:rFonts w:ascii="Arial" w:eastAsia="Times New Roman" w:hAnsi="Arial" w:cs="Arial"/>
          <w:i/>
          <w:iCs/>
          <w:lang w:eastAsia="en-GB"/>
        </w:rPr>
      </w:pPr>
    </w:p>
    <w:p w14:paraId="2AD17C24" w14:textId="77777777" w:rsidR="008F5A08" w:rsidRDefault="008F5A08">
      <w:pPr>
        <w:rPr>
          <w:rFonts w:ascii="Arial" w:eastAsia="Times New Roman" w:hAnsi="Arial" w:cs="Arial"/>
          <w:i/>
          <w:iCs/>
          <w:lang w:eastAsia="en-GB"/>
        </w:rPr>
      </w:pPr>
      <w:r>
        <w:rPr>
          <w:rFonts w:ascii="Arial" w:eastAsia="Times New Roman" w:hAnsi="Arial" w:cs="Arial"/>
          <w:i/>
          <w:iCs/>
          <w:lang w:eastAsia="en-GB"/>
        </w:rPr>
        <w:br w:type="page"/>
      </w:r>
    </w:p>
    <w:p w14:paraId="033A01D9" w14:textId="2DBC45E0" w:rsidR="00180632" w:rsidRPr="006A3BDD"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b/>
          <w:bCs/>
          <w:i/>
          <w:iCs/>
          <w:lang w:eastAsia="en-GB"/>
        </w:rPr>
      </w:pPr>
      <w:r w:rsidRPr="006A3BDD">
        <w:rPr>
          <w:rFonts w:ascii="Arial" w:eastAsia="Times New Roman" w:hAnsi="Arial" w:cs="Arial"/>
          <w:b/>
          <w:bCs/>
          <w:i/>
          <w:iCs/>
          <w:lang w:eastAsia="en-GB"/>
        </w:rPr>
        <w:lastRenderedPageBreak/>
        <w:t>In recent years there has been a developing trend of criminality through organised crime groups including youth gangs.</w:t>
      </w:r>
      <w:r w:rsidR="00F43C4D" w:rsidRPr="006A3BDD">
        <w:rPr>
          <w:rFonts w:ascii="Arial" w:eastAsia="Times New Roman" w:hAnsi="Arial" w:cs="Arial"/>
          <w:b/>
          <w:bCs/>
          <w:i/>
          <w:iCs/>
          <w:lang w:eastAsia="en-GB"/>
        </w:rPr>
        <w:t xml:space="preserve"> </w:t>
      </w:r>
      <w:r w:rsidRPr="006A3BDD">
        <w:rPr>
          <w:rFonts w:ascii="Arial" w:eastAsia="Times New Roman" w:hAnsi="Arial" w:cs="Arial"/>
          <w:b/>
          <w:bCs/>
          <w:i/>
          <w:iCs/>
          <w:lang w:eastAsia="en-GB"/>
        </w:rPr>
        <w:t xml:space="preserve"> </w:t>
      </w:r>
    </w:p>
    <w:p w14:paraId="533EB128" w14:textId="77777777" w:rsidR="00180632" w:rsidRPr="006A3BDD" w:rsidRDefault="00180632" w:rsidP="00180632">
      <w:pPr>
        <w:overflowPunct w:val="0"/>
        <w:autoSpaceDE w:val="0"/>
        <w:autoSpaceDN w:val="0"/>
        <w:adjustRightInd w:val="0"/>
        <w:spacing w:before="240" w:after="0" w:line="240" w:lineRule="auto"/>
        <w:ind w:left="426"/>
        <w:jc w:val="both"/>
        <w:textAlignment w:val="baseline"/>
        <w:rPr>
          <w:rFonts w:ascii="Arial" w:eastAsia="Times New Roman" w:hAnsi="Arial" w:cs="Arial"/>
          <w:b/>
          <w:bCs/>
          <w:i/>
          <w:iCs/>
          <w:lang w:eastAsia="en-GB"/>
        </w:rPr>
      </w:pPr>
    </w:p>
    <w:p w14:paraId="4E41DC71" w14:textId="7FBA8450" w:rsidR="00F43C4D" w:rsidRPr="006A3BDD" w:rsidRDefault="681A8323"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b/>
          <w:bCs/>
          <w:lang w:eastAsia="en-GB"/>
        </w:rPr>
      </w:pPr>
      <w:r w:rsidRPr="006A3BDD">
        <w:rPr>
          <w:rFonts w:ascii="Arial" w:eastAsia="Times New Roman" w:hAnsi="Arial" w:cs="Arial"/>
          <w:b/>
          <w:bCs/>
          <w:lang w:eastAsia="en-GB"/>
        </w:rPr>
        <w:t xml:space="preserve">Title 3: </w:t>
      </w:r>
      <w:r w:rsidR="00F43C4D" w:rsidRPr="006A3BDD">
        <w:rPr>
          <w:rFonts w:ascii="Arial" w:eastAsia="Times New Roman" w:hAnsi="Arial" w:cs="Arial"/>
          <w:b/>
          <w:bCs/>
          <w:lang w:eastAsia="en-GB"/>
        </w:rPr>
        <w:t xml:space="preserve">Analyse the developing issues of youth gangs, and why people are drawn into becoming part of a gang culture. </w:t>
      </w:r>
    </w:p>
    <w:p w14:paraId="5F9E1E49" w14:textId="0CEF9928" w:rsidR="00F43C4D" w:rsidRPr="006A3BDD" w:rsidRDefault="00F43C4D" w:rsidP="00F43C4D">
      <w:pPr>
        <w:overflowPunct w:val="0"/>
        <w:autoSpaceDE w:val="0"/>
        <w:autoSpaceDN w:val="0"/>
        <w:adjustRightInd w:val="0"/>
        <w:spacing w:before="240" w:after="0" w:line="240" w:lineRule="auto"/>
        <w:ind w:left="426"/>
        <w:jc w:val="both"/>
        <w:textAlignment w:val="baseline"/>
        <w:rPr>
          <w:rFonts w:ascii="Arial" w:eastAsia="Times New Roman" w:hAnsi="Arial" w:cs="Arial"/>
          <w:b/>
          <w:bCs/>
          <w:lang w:eastAsia="en-GB"/>
        </w:rPr>
      </w:pPr>
      <w:r w:rsidRPr="006A3BDD">
        <w:rPr>
          <w:rFonts w:ascii="Arial" w:eastAsia="Times New Roman" w:hAnsi="Arial" w:cs="Arial"/>
          <w:b/>
          <w:bCs/>
          <w:lang w:eastAsia="en-GB"/>
        </w:rPr>
        <w:t>Consider how gangs target vulnerable people, people at risk of harm and the theories of victimology.</w:t>
      </w:r>
    </w:p>
    <w:p w14:paraId="6934B6EA" w14:textId="37838137" w:rsidR="00180632" w:rsidRPr="006A3BDD" w:rsidRDefault="00180632" w:rsidP="00BE5412">
      <w:pPr>
        <w:overflowPunct w:val="0"/>
        <w:autoSpaceDE w:val="0"/>
        <w:autoSpaceDN w:val="0"/>
        <w:adjustRightInd w:val="0"/>
        <w:spacing w:before="240" w:after="0" w:line="240" w:lineRule="auto"/>
        <w:jc w:val="both"/>
        <w:textAlignment w:val="baseline"/>
        <w:rPr>
          <w:rFonts w:ascii="Arial" w:eastAsia="Times New Roman" w:hAnsi="Arial" w:cs="Arial"/>
          <w:b/>
          <w:bCs/>
          <w:lang w:eastAsia="en-GB"/>
        </w:rPr>
      </w:pPr>
    </w:p>
    <w:p w14:paraId="461CDCFF" w14:textId="3B2B72A1" w:rsidR="006A3BDD" w:rsidRPr="00C97F7D" w:rsidRDefault="006A3BDD" w:rsidP="006A3BDD">
      <w:pPr>
        <w:spacing w:line="360" w:lineRule="auto"/>
        <w:jc w:val="both"/>
        <w:rPr>
          <w:rFonts w:ascii="Times New Roman" w:hAnsi="Times New Roman" w:cs="Times New Roman"/>
        </w:rPr>
      </w:pPr>
      <w:r w:rsidRPr="00C97F7D">
        <w:rPr>
          <w:rFonts w:ascii="Times New Roman" w:hAnsi="Times New Roman" w:cs="Times New Roman"/>
        </w:rPr>
        <w:t>The nature of this essay is to analyse current issues relating to youth gangs including looking at the reasons behind people becoming part of the gang culture. Also, to explore how vulnerable people and those deemed at risk of harm, become victims of gangs and are exploited for the advantages of the gang. In order to do this, a range of resources will be examined and utilised to ensure a variety of views are explored and compared throughout the essay.</w:t>
      </w:r>
    </w:p>
    <w:p w14:paraId="5C56F0EF" w14:textId="77777777" w:rsidR="006A3BDD" w:rsidRPr="004B304D" w:rsidRDefault="006A3BDD" w:rsidP="006A3BDD">
      <w:pPr>
        <w:spacing w:line="360" w:lineRule="auto"/>
        <w:jc w:val="both"/>
        <w:rPr>
          <w:rFonts w:ascii="Times New Roman" w:hAnsi="Times New Roman" w:cs="Times New Roman"/>
          <w:i/>
          <w:iCs/>
        </w:rPr>
      </w:pPr>
      <w:r w:rsidRPr="00C97F7D">
        <w:rPr>
          <w:rFonts w:ascii="Times New Roman" w:hAnsi="Times New Roman" w:cs="Times New Roman"/>
        </w:rPr>
        <w:t xml:space="preserve">Gang culture has been on the rise in the UK and is becoming more prevalent as time goes on. It was found that many people believe that gang culture is something that only happens in America, or that it only occurs in major cities such as London and that it is not something that is a cause for concern. However the gang culture is a large part of life, especially with those of a younger generation who are drawn in by many factors. Frisby-Osman (2020) argues </w:t>
      </w:r>
      <w:r w:rsidRPr="004B304D">
        <w:rPr>
          <w:rFonts w:ascii="Times New Roman" w:hAnsi="Times New Roman" w:cs="Times New Roman"/>
          <w:i/>
          <w:iCs/>
        </w:rPr>
        <w:t>“The etiology of gang membership is multifaceted with a range of precursors, often occurring simultaneously and across numerous risk factors such as family, individual characteristics, social situations, peer groups, and environmental factors”.</w:t>
      </w:r>
    </w:p>
    <w:p w14:paraId="0E65F9E9" w14:textId="77777777" w:rsidR="006A3BDD" w:rsidRPr="00C97F7D" w:rsidRDefault="006A3BDD" w:rsidP="006A3BDD">
      <w:pPr>
        <w:spacing w:line="360" w:lineRule="auto"/>
        <w:jc w:val="both"/>
        <w:rPr>
          <w:rFonts w:ascii="Times New Roman" w:hAnsi="Times New Roman" w:cs="Times New Roman"/>
          <w:i/>
          <w:iCs/>
        </w:rPr>
      </w:pPr>
      <w:r w:rsidRPr="00C97F7D">
        <w:rPr>
          <w:rFonts w:ascii="Times New Roman" w:hAnsi="Times New Roman" w:cs="Times New Roman"/>
        </w:rPr>
        <w:t xml:space="preserve">The size of a gang can range from a few members to numbers into the thousands with links stretching across the UK and even further abroad. </w:t>
      </w:r>
      <w:r w:rsidRPr="00C97F7D">
        <w:rPr>
          <w:rFonts w:ascii="Times New Roman" w:hAnsi="Times New Roman" w:cs="Times New Roman"/>
          <w:i/>
          <w:iCs/>
        </w:rPr>
        <w:t xml:space="preserve">(Blackstones 2020. P346) states </w:t>
      </w:r>
      <w:r w:rsidRPr="00C97F7D">
        <w:rPr>
          <w:rFonts w:ascii="Times New Roman" w:hAnsi="Times New Roman" w:cs="Times New Roman"/>
        </w:rPr>
        <w:t>“</w:t>
      </w:r>
      <w:r w:rsidRPr="00C97F7D">
        <w:rPr>
          <w:rFonts w:ascii="Times New Roman" w:hAnsi="Times New Roman" w:cs="Times New Roman"/>
          <w:i/>
          <w:iCs/>
        </w:rPr>
        <w:t>Under section 34 (5) of the Policing and Crime Act 2009 a gang is defined (perhaps rather vaguely) as a group that consists of at least three people; uses a name, emblem, or colour or any other identifiable characteristic as associated with a particular area. The ACPO working definition of gang included the notion of a relatively durable, predominantly street based group of young people who see themselves (and are seen by others) as a discernible group and engage in a range of criminal actively and violence”.</w:t>
      </w:r>
    </w:p>
    <w:p w14:paraId="7931277F" w14:textId="77777777" w:rsidR="006A3BDD" w:rsidRPr="00C97F7D" w:rsidRDefault="006A3BDD" w:rsidP="006A3BDD">
      <w:pPr>
        <w:spacing w:line="360" w:lineRule="auto"/>
        <w:jc w:val="both"/>
        <w:rPr>
          <w:rFonts w:ascii="Times New Roman" w:hAnsi="Times New Roman" w:cs="Times New Roman"/>
        </w:rPr>
      </w:pPr>
      <w:r w:rsidRPr="00C97F7D">
        <w:rPr>
          <w:rFonts w:ascii="Times New Roman" w:hAnsi="Times New Roman" w:cs="Times New Roman"/>
        </w:rPr>
        <w:t xml:space="preserve">There are many donating factors that contribute to an individual’s choice to become a member of a gang, these range from reasons such as vanity, extortion and fear of violence. The gang culture has often been glamorised by the media and certain public figures and this has led to a false sense of image among certain demographics who believe that being a member of a gang is normal and in some ways an essential part of belonging in modern day society. There is also the stereotype that comes from the media, particularly television that gang members are young black males with no other prospects in life.  Malik et al (2017) says </w:t>
      </w:r>
      <w:r w:rsidRPr="00C97F7D">
        <w:rPr>
          <w:rFonts w:ascii="Times New Roman" w:hAnsi="Times New Roman" w:cs="Times New Roman"/>
          <w:i/>
          <w:iCs/>
        </w:rPr>
        <w:t>“The rise of the urban, multicultural television drama in the 2000s represents a critical shift in the media’s representations of programmes preoccupied with the notion of a black ‘underclass’, locked in by criminality, social disadvantage and a localised drugs trade; these are notably situated within a social realist framework. This article offers a critical examination of the rise of the black urban crime narrative in the context of public service broadcasting (PSB) in the United Kingdom and analyses the manifold motivations for its production in contemporary cultural and political contexts”.</w:t>
      </w:r>
    </w:p>
    <w:p w14:paraId="6DC53AC1" w14:textId="2A1F86F4" w:rsidR="006A3BDD" w:rsidRPr="00C97F7D" w:rsidRDefault="006A3BDD" w:rsidP="006A3BDD">
      <w:pPr>
        <w:spacing w:line="360" w:lineRule="auto"/>
        <w:jc w:val="both"/>
        <w:rPr>
          <w:rFonts w:ascii="Times New Roman" w:hAnsi="Times New Roman" w:cs="Times New Roman"/>
        </w:rPr>
      </w:pPr>
      <w:r w:rsidRPr="00C97F7D">
        <w:rPr>
          <w:rFonts w:ascii="Times New Roman" w:hAnsi="Times New Roman" w:cs="Times New Roman"/>
        </w:rPr>
        <w:t xml:space="preserve">Each member of a gang joins for their own reasons, in many cases the decision can be made for them through fear. Children as young as ten are now immersed in gang culture and the public now begins to understand the severity of </w:t>
      </w:r>
      <w:r w:rsidRPr="00C97F7D">
        <w:rPr>
          <w:rFonts w:ascii="Times New Roman" w:hAnsi="Times New Roman" w:cs="Times New Roman"/>
        </w:rPr>
        <w:lastRenderedPageBreak/>
        <w:t>the situation, Frisby-Osman (2020) finds “</w:t>
      </w:r>
      <w:r w:rsidRPr="00C97F7D">
        <w:rPr>
          <w:rFonts w:ascii="Times New Roman" w:hAnsi="Times New Roman" w:cs="Times New Roman"/>
          <w:i/>
          <w:iCs/>
        </w:rPr>
        <w:t>Adolescent gang involvement gains widespread attention from professional and public audiences because of the serious implications it has for the youth involved and the social fabric of communities. A recent report estimates that 27,000, 10- to 17-year olds are street gang members and these children tend to have a range of needs, including poor mental and emotional health”</w:t>
      </w:r>
      <w:r w:rsidRPr="00C97F7D">
        <w:rPr>
          <w:rFonts w:ascii="Times New Roman" w:hAnsi="Times New Roman" w:cs="Times New Roman"/>
        </w:rPr>
        <w:t xml:space="preserve">. They are introduced to it through different means such as it’s the way of life in their area, they have older siblings or even parents in the gang or they have been recruited by older members of the gang as they are aware that children under the age of </w:t>
      </w:r>
      <w:r w:rsidR="004B304D">
        <w:rPr>
          <w:rFonts w:ascii="Times New Roman" w:hAnsi="Times New Roman" w:cs="Times New Roman"/>
        </w:rPr>
        <w:t>ten</w:t>
      </w:r>
      <w:r w:rsidRPr="00C97F7D">
        <w:rPr>
          <w:rFonts w:ascii="Times New Roman" w:hAnsi="Times New Roman" w:cs="Times New Roman"/>
        </w:rPr>
        <w:t xml:space="preserve"> cannot be prosecuted and are below the age of criminal consent. </w:t>
      </w:r>
    </w:p>
    <w:p w14:paraId="426BF5A0" w14:textId="77777777" w:rsidR="006A3BDD" w:rsidRPr="00C97F7D" w:rsidRDefault="006A3BDD" w:rsidP="006A3BDD">
      <w:pPr>
        <w:spacing w:line="360" w:lineRule="auto"/>
        <w:jc w:val="both"/>
        <w:rPr>
          <w:rFonts w:ascii="Times New Roman" w:hAnsi="Times New Roman" w:cs="Times New Roman"/>
        </w:rPr>
      </w:pPr>
      <w:r w:rsidRPr="00C97F7D">
        <w:rPr>
          <w:rFonts w:ascii="Times New Roman" w:hAnsi="Times New Roman" w:cs="Times New Roman"/>
        </w:rPr>
        <w:t>In the younger generations the main factors of children wanting to be part of a gang often comes down to something as simple as just wanting a sense of purpose. They feel they will never achieve their potential through conventical means such as school, therefore their only option is to earn the respect in the gang. Some also join because they want to feel as though they belong to something, and often come from a broken home and believe it will give them a sense of inclusion. This is also where the gang culture capitalises on people’s vulnerabilities, by giving them a promise of something better and giving them a false sense of belonging. This is not the only way that gangs target those who are more vulnerable, they also exploit the vulnerable in many other ways. The primary way of exploiting those who are vulnerable is through a form known as cuckooing, this is when a gang member will befriend a vulnerable person and use them for their own personal gain often moving into their home. Coomber and Moyle (2018) say “</w:t>
      </w:r>
      <w:r w:rsidRPr="00C97F7D">
        <w:rPr>
          <w:rFonts w:ascii="Times New Roman" w:hAnsi="Times New Roman" w:cs="Times New Roman"/>
          <w:i/>
          <w:iCs/>
        </w:rPr>
        <w:t>Cuckooing’ (named after the ‘parasitic’ nest stealing practices of wild cuckoos) describes the situation where a county lines dealer ‘takes over’ accommodation located in the provincial drugs market, using it as a local dealing base. This practice has also been identified in Canada (see Butera 2013) and is achieved through targeting local vulnerable populations: addicted drug users who are paid and controlled through access to drugs, or through cultivating relationships with men and woman—often vulnerable through learning difficulties, disabilities or mental health problems</w:t>
      </w:r>
      <w:r w:rsidRPr="00C97F7D">
        <w:rPr>
          <w:rFonts w:ascii="Times New Roman" w:hAnsi="Times New Roman" w:cs="Times New Roman"/>
        </w:rPr>
        <w:t>”. This provides the gang with a place from which they can conduct their illegal business and use the address for a multitude of illegal activities, while the vulnerable person is not able to comprehend that they are being taken advantage of as they believe that the gang members are their friends. These vulnerable individuals often avoid telling their support network due to being afraid of the consequences. This form of abuse can go on for long periods of time and has a detrimental effect on the individual.</w:t>
      </w:r>
    </w:p>
    <w:p w14:paraId="42BACA2D" w14:textId="77777777" w:rsidR="006A3BDD" w:rsidRPr="00C97F7D" w:rsidRDefault="006A3BDD" w:rsidP="006A3BDD">
      <w:pPr>
        <w:spacing w:line="360" w:lineRule="auto"/>
        <w:jc w:val="both"/>
        <w:rPr>
          <w:rFonts w:ascii="Times New Roman" w:hAnsi="Times New Roman" w:cs="Times New Roman"/>
        </w:rPr>
      </w:pPr>
      <w:r w:rsidRPr="00C97F7D">
        <w:rPr>
          <w:rFonts w:ascii="Times New Roman" w:hAnsi="Times New Roman" w:cs="Times New Roman"/>
        </w:rPr>
        <w:t xml:space="preserve">It is not just the vulnerable and those who choose to join who become members of the gang, there are also those who were unaware that they were contemplating joining. These individuals have been conditioned to join, in many cases young females who are cohered into joining with promises of a better life, also who have been lulled into a false relationship where an older male is using the female for personal gain. Gangs will often also target those with money issues in order to get them to join by offering to clear their debts if they carry out a task in return. Unfortunately, there are people who have large debts who feel they have exhausted all other options and see this as their only route. These individuals will often do anything to free themselves from their financial debts and it is only when it is too late do they realise they have unwillingly gained a different form of debt and are now reliant on the gang for a source of income or the promise that one more task or favour will clear the debts. </w:t>
      </w:r>
    </w:p>
    <w:p w14:paraId="12EAEC07" w14:textId="6C0B4054" w:rsidR="006A3BDD" w:rsidRPr="00C97F7D" w:rsidRDefault="006A3BDD" w:rsidP="006A3BDD">
      <w:pPr>
        <w:spacing w:line="360" w:lineRule="auto"/>
        <w:jc w:val="both"/>
        <w:rPr>
          <w:rFonts w:ascii="Times New Roman" w:hAnsi="Times New Roman" w:cs="Times New Roman"/>
        </w:rPr>
      </w:pPr>
      <w:r w:rsidRPr="00C97F7D">
        <w:rPr>
          <w:rFonts w:ascii="Times New Roman" w:hAnsi="Times New Roman" w:cs="Times New Roman"/>
        </w:rPr>
        <w:t xml:space="preserve">Lastly the most effective and common way of gang numbers increasing and becoming broader and more powerful is those who join because it is all they know, they essentially become a product of their environment. They see other members of their community joining the gang culture and this becomes the social norm and a way of life. Miller </w:t>
      </w:r>
      <w:r w:rsidRPr="00C97F7D">
        <w:rPr>
          <w:rFonts w:ascii="Times New Roman" w:hAnsi="Times New Roman" w:cs="Times New Roman"/>
        </w:rPr>
        <w:lastRenderedPageBreak/>
        <w:t xml:space="preserve">(2020) has stated </w:t>
      </w:r>
      <w:r w:rsidRPr="00904507">
        <w:rPr>
          <w:rFonts w:ascii="Times New Roman" w:hAnsi="Times New Roman" w:cs="Times New Roman"/>
          <w:i/>
          <w:iCs/>
        </w:rPr>
        <w:t>“</w:t>
      </w:r>
      <w:r w:rsidRPr="00904507">
        <w:rPr>
          <w:rFonts w:ascii="Times New Roman" w:hAnsi="Times New Roman" w:cs="Times New Roman"/>
          <w:i/>
          <w:iCs/>
          <w:lang w:val="en"/>
        </w:rPr>
        <w:t>Histories, traditions and cultural frames were passed on through social relationships such as parents, relatives, peers and street characters. Through daily social routines, activities, interactions and conversations) they learned the cultural script of the street. Initially this was by observing, listening and interacting with olders in the street”.</w:t>
      </w:r>
      <w:r w:rsidRPr="00C97F7D">
        <w:rPr>
          <w:rFonts w:ascii="Times New Roman" w:hAnsi="Times New Roman" w:cs="Times New Roman"/>
          <w:lang w:val="en"/>
        </w:rPr>
        <w:t xml:space="preserve"> </w:t>
      </w:r>
      <w:r w:rsidRPr="00C97F7D">
        <w:rPr>
          <w:rFonts w:ascii="Times New Roman" w:hAnsi="Times New Roman" w:cs="Times New Roman"/>
        </w:rPr>
        <w:t xml:space="preserve"> They often believe that their friends, family and neighbours are all involved in the gang scene, therefore why shouldn’t they. Miller (2020) also argues </w:t>
      </w:r>
      <w:r w:rsidRPr="00904507">
        <w:rPr>
          <w:rFonts w:ascii="Times New Roman" w:hAnsi="Times New Roman" w:cs="Times New Roman"/>
          <w:i/>
          <w:iCs/>
        </w:rPr>
        <w:t>“</w:t>
      </w:r>
      <w:r w:rsidRPr="00904507">
        <w:rPr>
          <w:rFonts w:ascii="Times New Roman" w:hAnsi="Times New Roman" w:cs="Times New Roman"/>
          <w:i/>
          <w:iCs/>
          <w:lang w:val="en"/>
        </w:rPr>
        <w:t>Gang culture and customs are typically passed on generationally through formal and informal learning, ensuring the continuity of the gang”.</w:t>
      </w:r>
      <w:r w:rsidRPr="00C97F7D">
        <w:rPr>
          <w:rFonts w:ascii="Times New Roman" w:hAnsi="Times New Roman" w:cs="Times New Roman"/>
          <w:lang w:val="en"/>
        </w:rPr>
        <w:t xml:space="preserve"> </w:t>
      </w:r>
      <w:r w:rsidRPr="00C97F7D">
        <w:rPr>
          <w:rFonts w:ascii="Times New Roman" w:hAnsi="Times New Roman" w:cs="Times New Roman"/>
        </w:rPr>
        <w:t xml:space="preserve">This is a self-recruiting way of gangs getting increased numbers as the image and word of mouth from others entices individuals in without the gang having to do anything.  </w:t>
      </w:r>
    </w:p>
    <w:p w14:paraId="596D8D8D" w14:textId="39C16E20" w:rsidR="006A3BDD" w:rsidRDefault="006A3BDD" w:rsidP="006A3BDD">
      <w:pPr>
        <w:spacing w:line="360" w:lineRule="auto"/>
        <w:jc w:val="both"/>
        <w:rPr>
          <w:rFonts w:ascii="Times New Roman" w:hAnsi="Times New Roman" w:cs="Times New Roman"/>
        </w:rPr>
      </w:pPr>
      <w:r w:rsidRPr="00C97F7D">
        <w:rPr>
          <w:rFonts w:ascii="Times New Roman" w:hAnsi="Times New Roman" w:cs="Times New Roman"/>
        </w:rPr>
        <w:t xml:space="preserve">From this assignment the main point I have taken away is that gangs will always find a way to recruit new members and to exploit the victim’s vulnerability no matter the circumstances. Although there are those who join due to exploitation such as fear and disabled people who are often targeted and used as a way of gangs hiding their activities as they are less likely to be identified there will also be those who unfortunately will join due to learnt behaviour and become a product of their environment.  Unless actions are taken to change that environment, it will continue to be a self-recruiting means for gang violence and crime. </w:t>
      </w:r>
    </w:p>
    <w:p w14:paraId="4CAA99BD" w14:textId="7E2DB952" w:rsidR="006A3BDD" w:rsidRPr="001D5299" w:rsidRDefault="001D5299" w:rsidP="006A3BDD">
      <w:pPr>
        <w:spacing w:line="360" w:lineRule="auto"/>
        <w:jc w:val="both"/>
        <w:rPr>
          <w:rFonts w:ascii="Times New Roman" w:hAnsi="Times New Roman" w:cs="Times New Roman"/>
          <w:b/>
          <w:bCs/>
        </w:rPr>
      </w:pPr>
      <w:r>
        <w:rPr>
          <w:rFonts w:ascii="Times New Roman" w:hAnsi="Times New Roman" w:cs="Times New Roman"/>
          <w:b/>
          <w:bCs/>
        </w:rPr>
        <w:t xml:space="preserve">Word Count </w:t>
      </w:r>
      <w:r w:rsidR="007E5FB9">
        <w:rPr>
          <w:rFonts w:ascii="Times New Roman" w:hAnsi="Times New Roman" w:cs="Times New Roman"/>
          <w:b/>
          <w:bCs/>
        </w:rPr>
        <w:t>–</w:t>
      </w:r>
      <w:r>
        <w:rPr>
          <w:rFonts w:ascii="Times New Roman" w:hAnsi="Times New Roman" w:cs="Times New Roman"/>
          <w:b/>
          <w:bCs/>
        </w:rPr>
        <w:t xml:space="preserve"> </w:t>
      </w:r>
      <w:r w:rsidR="00994ED6">
        <w:rPr>
          <w:rFonts w:ascii="Times New Roman" w:hAnsi="Times New Roman" w:cs="Times New Roman"/>
          <w:b/>
          <w:bCs/>
        </w:rPr>
        <w:t>1094</w:t>
      </w:r>
      <w:r w:rsidR="007E5FB9">
        <w:rPr>
          <w:rFonts w:ascii="Times New Roman" w:hAnsi="Times New Roman" w:cs="Times New Roman"/>
          <w:b/>
          <w:bCs/>
        </w:rPr>
        <w:t>.</w:t>
      </w:r>
    </w:p>
    <w:p w14:paraId="43E602A2" w14:textId="5ADC3F3A" w:rsidR="002C4660" w:rsidRDefault="002C4660">
      <w:pPr>
        <w:rPr>
          <w:rFonts w:ascii="Arial" w:eastAsia="Times New Roman" w:hAnsi="Arial" w:cs="Arial"/>
          <w:i/>
          <w:iCs/>
          <w:lang w:eastAsia="en-GB"/>
        </w:rPr>
      </w:pPr>
    </w:p>
    <w:p w14:paraId="0D1E2153" w14:textId="77777777" w:rsidR="00994ED6" w:rsidRDefault="00994ED6">
      <w:pPr>
        <w:rPr>
          <w:rFonts w:ascii="Arial" w:eastAsia="Times New Roman" w:hAnsi="Arial" w:cs="Arial"/>
          <w:i/>
          <w:iCs/>
          <w:lang w:eastAsia="en-GB"/>
        </w:rPr>
      </w:pPr>
      <w:r>
        <w:rPr>
          <w:rFonts w:ascii="Arial" w:eastAsia="Times New Roman" w:hAnsi="Arial" w:cs="Arial"/>
          <w:i/>
          <w:iCs/>
          <w:lang w:eastAsia="en-GB"/>
        </w:rPr>
        <w:br w:type="page"/>
      </w:r>
    </w:p>
    <w:p w14:paraId="4B00F917" w14:textId="094DEA31" w:rsidR="00F43C4D" w:rsidRPr="00994ED6" w:rsidRDefault="00E57026" w:rsidP="00E57026">
      <w:pPr>
        <w:overflowPunct w:val="0"/>
        <w:autoSpaceDE w:val="0"/>
        <w:autoSpaceDN w:val="0"/>
        <w:adjustRightInd w:val="0"/>
        <w:spacing w:before="240" w:after="0" w:line="240" w:lineRule="auto"/>
        <w:ind w:left="360" w:firstLine="66"/>
        <w:jc w:val="both"/>
        <w:textAlignment w:val="baseline"/>
        <w:rPr>
          <w:rFonts w:ascii="Arial" w:eastAsia="Times New Roman" w:hAnsi="Arial" w:cs="Arial"/>
          <w:b/>
          <w:bCs/>
          <w:i/>
          <w:iCs/>
          <w:lang w:eastAsia="en-GB"/>
        </w:rPr>
      </w:pPr>
      <w:r w:rsidRPr="00994ED6">
        <w:rPr>
          <w:rFonts w:ascii="Arial" w:eastAsia="Times New Roman" w:hAnsi="Arial" w:cs="Arial"/>
          <w:b/>
          <w:bCs/>
          <w:i/>
          <w:iCs/>
          <w:lang w:eastAsia="en-GB"/>
        </w:rPr>
        <w:lastRenderedPageBreak/>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14:paraId="3EAF6386" w14:textId="77777777" w:rsidR="00F43C4D" w:rsidRPr="00994ED6" w:rsidRDefault="00F43C4D" w:rsidP="00F43C4D">
      <w:pPr>
        <w:overflowPunct w:val="0"/>
        <w:autoSpaceDE w:val="0"/>
        <w:autoSpaceDN w:val="0"/>
        <w:adjustRightInd w:val="0"/>
        <w:spacing w:before="240" w:after="0" w:line="240" w:lineRule="auto"/>
        <w:ind w:firstLine="426"/>
        <w:jc w:val="both"/>
        <w:textAlignment w:val="baseline"/>
        <w:rPr>
          <w:rFonts w:ascii="Arial" w:eastAsia="Times New Roman" w:hAnsi="Arial" w:cs="Arial"/>
          <w:b/>
          <w:bCs/>
          <w:lang w:eastAsia="en-GB"/>
        </w:rPr>
      </w:pPr>
    </w:p>
    <w:p w14:paraId="6A68562E" w14:textId="0EA52367" w:rsidR="00F43C4D" w:rsidRPr="00994ED6" w:rsidRDefault="3F863814" w:rsidP="00F43C4D">
      <w:pPr>
        <w:overflowPunct w:val="0"/>
        <w:autoSpaceDE w:val="0"/>
        <w:autoSpaceDN w:val="0"/>
        <w:adjustRightInd w:val="0"/>
        <w:spacing w:before="240" w:after="0" w:line="240" w:lineRule="auto"/>
        <w:ind w:left="360"/>
        <w:jc w:val="both"/>
        <w:textAlignment w:val="baseline"/>
        <w:rPr>
          <w:rFonts w:ascii="Arial" w:eastAsia="Times New Roman" w:hAnsi="Arial" w:cs="Arial"/>
          <w:b/>
          <w:bCs/>
          <w:lang w:eastAsia="en-GB"/>
        </w:rPr>
      </w:pPr>
      <w:r w:rsidRPr="00994ED6">
        <w:rPr>
          <w:rFonts w:ascii="Arial" w:eastAsia="Times New Roman" w:hAnsi="Arial" w:cs="Arial"/>
          <w:b/>
          <w:bCs/>
          <w:lang w:eastAsia="en-GB"/>
        </w:rPr>
        <w:t xml:space="preserve">Title 4: </w:t>
      </w:r>
      <w:r w:rsidR="00F43C4D" w:rsidRPr="00994ED6">
        <w:rPr>
          <w:rFonts w:ascii="Arial" w:eastAsia="Times New Roman" w:hAnsi="Arial" w:cs="Arial"/>
          <w:b/>
          <w:bCs/>
          <w:lang w:eastAsia="en-GB"/>
        </w:rPr>
        <w:t xml:space="preserve">Critically evaluate the impact upon policing of differing values, ethics and norms within diverse communities and the importance of effective communication </w:t>
      </w:r>
      <w:r w:rsidR="006E22FC" w:rsidRPr="00994ED6">
        <w:rPr>
          <w:rFonts w:ascii="Arial" w:eastAsia="Times New Roman" w:hAnsi="Arial" w:cs="Arial"/>
          <w:b/>
          <w:bCs/>
          <w:lang w:eastAsia="en-GB"/>
        </w:rPr>
        <w:t>when working within these communities.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CB3C06E" w14:textId="77777777" w:rsidR="00181F42" w:rsidRPr="003473D6" w:rsidRDefault="00181F42" w:rsidP="00B405AC">
      <w:pPr>
        <w:spacing w:line="360" w:lineRule="auto"/>
        <w:jc w:val="both"/>
        <w:rPr>
          <w:rFonts w:ascii="Times New Roman" w:hAnsi="Times New Roman" w:cs="Times New Roman"/>
          <w:i/>
          <w:iCs/>
        </w:rPr>
      </w:pPr>
      <w:r w:rsidRPr="003473D6">
        <w:rPr>
          <w:rFonts w:ascii="Times New Roman" w:hAnsi="Times New Roman" w:cs="Times New Roman"/>
        </w:rPr>
        <w:t>The objective of this essay is to understand the complexities that arise from policing in today’s modern world where an area can have several ethnic and religious communities based together in a concentrated space. Also, how each of these communities have their own individual intricacy’s and the importance of taking the time and effort to understand and learn about these different values which will establish the importance of keeping a strong community ethos with all. There is now a variety of races and cultures that reside in the UK and it is only through engagement will an understanding and mutual respect be earnt. Barros and Albert (2019) claim “</w:t>
      </w:r>
      <w:r w:rsidRPr="003473D6">
        <w:rPr>
          <w:rFonts w:ascii="Times New Roman" w:hAnsi="Times New Roman" w:cs="Times New Roman"/>
          <w:i/>
          <w:iCs/>
        </w:rPr>
        <w:t>It becomes thus an essential requirement to further investigate and shed light on how individuals understand, express and live out their multiple cultural identities in order to develop effective programs, policies and institutions to facilitate adaptation into the receiving society”.</w:t>
      </w:r>
    </w:p>
    <w:p w14:paraId="46EA20BD" w14:textId="77777777" w:rsidR="00181F42" w:rsidRPr="003473D6" w:rsidRDefault="00181F42" w:rsidP="00B405AC">
      <w:pPr>
        <w:spacing w:line="360" w:lineRule="auto"/>
        <w:jc w:val="both"/>
        <w:rPr>
          <w:rFonts w:ascii="Times New Roman" w:hAnsi="Times New Roman" w:cs="Times New Roman"/>
          <w:i/>
          <w:iCs/>
        </w:rPr>
      </w:pPr>
      <w:r w:rsidRPr="003473D6">
        <w:rPr>
          <w:rFonts w:ascii="Times New Roman" w:hAnsi="Times New Roman" w:cs="Times New Roman"/>
        </w:rPr>
        <w:t>Interactions between the police and the public have been heavily scrutinised, especially when those interactions are between different races and beliefs. There has been a long history of allegations from ethnic minorities of being mistreated by the police and occasions where they have been unfairly treated or misjudged, purely as a result of their race and not their actions. Many of these interactions turn violent due to the distrust and uncertainty from both parties, Lipscomb (2020) states “</w:t>
      </w:r>
      <w:r w:rsidRPr="003473D6">
        <w:rPr>
          <w:rFonts w:ascii="Times New Roman" w:hAnsi="Times New Roman" w:cs="Times New Roman"/>
          <w:i/>
          <w:iCs/>
        </w:rPr>
        <w:t xml:space="preserve">This is substantial due to the fact that the rate of police killings, especially that of Black men, has drastically increased over the decades. From 1999 to 2011, law enforcement officers within the United States reported killing over 4,500 people, 96 percent of which were done with the use of firearms and 96 percent of them men of color”. </w:t>
      </w:r>
      <w:r w:rsidRPr="003473D6">
        <w:rPr>
          <w:rFonts w:ascii="Times New Roman" w:hAnsi="Times New Roman" w:cs="Times New Roman"/>
        </w:rPr>
        <w:t xml:space="preserve">These claims should not be ignored by police but instead they should take it upon themselves to change the opinion of those who have previously been mistreated. When an interaction between officers and members of these diverse communities occurs, the opportunity should be taken to build a rapport which will build a bond and give a positive perspective of the police and change the negative stereotype that exists. </w:t>
      </w:r>
    </w:p>
    <w:p w14:paraId="1EF6D857" w14:textId="77777777" w:rsidR="00181F42" w:rsidRPr="003473D6" w:rsidRDefault="00181F42" w:rsidP="00B405AC">
      <w:pPr>
        <w:spacing w:line="360" w:lineRule="auto"/>
        <w:jc w:val="both"/>
        <w:rPr>
          <w:rFonts w:ascii="Times New Roman" w:hAnsi="Times New Roman" w:cs="Times New Roman"/>
        </w:rPr>
      </w:pPr>
      <w:r w:rsidRPr="003473D6">
        <w:rPr>
          <w:rFonts w:ascii="Times New Roman" w:hAnsi="Times New Roman" w:cs="Times New Roman"/>
        </w:rPr>
        <w:t>This is not just an area for concern within the UK but appears to be an issue worldwide, with the recent high profile media coverage of the George Floyd incident who many believe was motivated by race. Barbot (2020) stated “</w:t>
      </w:r>
      <w:r w:rsidRPr="003473D6">
        <w:rPr>
          <w:rFonts w:ascii="Times New Roman" w:hAnsi="Times New Roman" w:cs="Times New Roman"/>
          <w:i/>
          <w:iCs/>
        </w:rPr>
        <w:t>When I think of the torture and murder of George Floyd at the knee of a White police officer, I feel morally wounded. We've been here before”.</w:t>
      </w:r>
      <w:r w:rsidRPr="003473D6">
        <w:rPr>
          <w:rFonts w:ascii="Times New Roman" w:hAnsi="Times New Roman" w:cs="Times New Roman"/>
        </w:rPr>
        <w:t xml:space="preserve"> The public’s image of the police is at an unprecedented low and it is only through earning and establishing the trust with these diverse communities will this improve. </w:t>
      </w:r>
      <w:r w:rsidRPr="00904507">
        <w:rPr>
          <w:rFonts w:ascii="Times New Roman" w:hAnsi="Times New Roman" w:cs="Times New Roman"/>
        </w:rPr>
        <w:t>Mason et al (2014) say</w:t>
      </w:r>
      <w:r w:rsidRPr="003473D6">
        <w:rPr>
          <w:rFonts w:ascii="Times New Roman" w:hAnsi="Times New Roman" w:cs="Times New Roman"/>
        </w:rPr>
        <w:t xml:space="preserve"> “</w:t>
      </w:r>
      <w:r w:rsidRPr="003473D6">
        <w:rPr>
          <w:rFonts w:ascii="Times New Roman" w:hAnsi="Times New Roman" w:cs="Times New Roman"/>
          <w:i/>
          <w:iCs/>
        </w:rPr>
        <w:t>In Britain, substantial cuts in police budgets alongside controversial handling of incidents such as politically sensitive enquiries, public disorder and relations with the media have recently triggered much debate about public knowledge and trust in the police</w:t>
      </w:r>
      <w:r w:rsidRPr="003473D6">
        <w:rPr>
          <w:rFonts w:ascii="Times New Roman" w:hAnsi="Times New Roman" w:cs="Times New Roman"/>
        </w:rPr>
        <w:t>”.</w:t>
      </w:r>
      <w:r w:rsidRPr="003473D6">
        <w:rPr>
          <w:rFonts w:ascii="Times New Roman" w:hAnsi="Times New Roman" w:cs="Times New Roman"/>
          <w:b/>
          <w:bCs/>
        </w:rPr>
        <w:t xml:space="preserve"> </w:t>
      </w:r>
      <w:r w:rsidRPr="003473D6">
        <w:rPr>
          <w:rFonts w:ascii="Times New Roman" w:hAnsi="Times New Roman" w:cs="Times New Roman"/>
        </w:rPr>
        <w:t xml:space="preserve">Many believe that this incident has caused irreparable damage between the public and the police, peoples outlook on the police can be changed for the better by simple interactions which in time will help to rectify the current public image. </w:t>
      </w:r>
    </w:p>
    <w:p w14:paraId="7ED647BC" w14:textId="77777777" w:rsidR="00181F42" w:rsidRPr="003473D6" w:rsidRDefault="00181F42" w:rsidP="00B405AC">
      <w:pPr>
        <w:spacing w:line="360" w:lineRule="auto"/>
        <w:jc w:val="both"/>
        <w:rPr>
          <w:rFonts w:ascii="Times New Roman" w:hAnsi="Times New Roman" w:cs="Times New Roman"/>
          <w:b/>
          <w:bCs/>
        </w:rPr>
      </w:pPr>
      <w:r w:rsidRPr="003473D6">
        <w:rPr>
          <w:rFonts w:ascii="Times New Roman" w:hAnsi="Times New Roman" w:cs="Times New Roman"/>
        </w:rPr>
        <w:lastRenderedPageBreak/>
        <w:t>For the police to best serve and protect these communities it is vital that they understand them, without this engagement it is almost impossible for the police to effectively carry out their role. This can only be done by immersing in the community and by engaging with its members to gather a level of understanding, in turn this will build a stronger bond between the police and these communities. This demonstrates a positive, unbiased image of the police and an ongoing cooperation between members of the community and the police</w:t>
      </w:r>
      <w:r w:rsidRPr="003473D6">
        <w:rPr>
          <w:rFonts w:ascii="Times New Roman" w:hAnsi="Times New Roman" w:cs="Times New Roman"/>
          <w:i/>
          <w:iCs/>
        </w:rPr>
        <w:t xml:space="preserve">. </w:t>
      </w:r>
      <w:r w:rsidRPr="003473D6">
        <w:rPr>
          <w:rFonts w:ascii="Times New Roman" w:hAnsi="Times New Roman" w:cs="Times New Roman"/>
        </w:rPr>
        <w:t>Murphy and Cherney (2011) have said</w:t>
      </w:r>
      <w:r w:rsidRPr="003473D6">
        <w:rPr>
          <w:rFonts w:ascii="Times New Roman" w:hAnsi="Times New Roman" w:cs="Times New Roman"/>
          <w:i/>
          <w:iCs/>
        </w:rPr>
        <w:t xml:space="preserve"> “</w:t>
      </w:r>
      <w:r w:rsidRPr="003473D6">
        <w:rPr>
          <w:rFonts w:ascii="Times New Roman" w:hAnsi="Times New Roman" w:cs="Times New Roman"/>
          <w:i/>
          <w:iCs/>
          <w:lang w:val="en"/>
        </w:rPr>
        <w:t>Public police agencies in Australia and abroad have faced significant challenges in generating voluntary cooperation from ethnic minority groups and have found it difficult to engage ethnic groups in collaborative crime control”.</w:t>
      </w:r>
    </w:p>
    <w:p w14:paraId="7D8AF818" w14:textId="77777777" w:rsidR="00181F42" w:rsidRPr="003473D6" w:rsidRDefault="00181F42" w:rsidP="00B405AC">
      <w:pPr>
        <w:spacing w:line="360" w:lineRule="auto"/>
        <w:jc w:val="both"/>
        <w:rPr>
          <w:rFonts w:ascii="Times New Roman" w:hAnsi="Times New Roman" w:cs="Times New Roman"/>
        </w:rPr>
      </w:pPr>
      <w:r w:rsidRPr="003473D6">
        <w:rPr>
          <w:rFonts w:ascii="Times New Roman" w:hAnsi="Times New Roman" w:cs="Times New Roman"/>
        </w:rPr>
        <w:t xml:space="preserve">As discussed by Nadal et al (2017), within these multi-cultural areas the police are often viewed as an inconvenience, this is due to the fact that either the only previous interactions these members have had with police has been negative or someone they know has been unfairly treated and as a result they have a negative view of the police. It is inevitable that there is going to be a divide as years of indifference bias. It is important that Police are visible in these communities and actively engaging with its members, this in turn will change the perspective of some by changing their outlook of the police and reduce the stereotype that the police are predisposed against ethnic backgrounds and that they hold prejudice towards them. By being present in these communities it will give police opportunities to interact with its members and overcome the cultural barriers that exist between the police and the diverse communities. </w:t>
      </w:r>
    </w:p>
    <w:p w14:paraId="575CBA36" w14:textId="77777777" w:rsidR="00181F42" w:rsidRPr="003473D6" w:rsidRDefault="00181F42" w:rsidP="00B405AC">
      <w:pPr>
        <w:spacing w:line="360" w:lineRule="auto"/>
        <w:jc w:val="both"/>
        <w:rPr>
          <w:rFonts w:ascii="Times New Roman" w:hAnsi="Times New Roman" w:cs="Times New Roman"/>
        </w:rPr>
      </w:pPr>
      <w:r w:rsidRPr="003473D6">
        <w:rPr>
          <w:rFonts w:ascii="Times New Roman" w:hAnsi="Times New Roman" w:cs="Times New Roman"/>
        </w:rPr>
        <w:t>These informal interactions between both parties will aid in rebuilding the trust and support which has been lost. These interactions are mutually beneficial as the police can gather a greater understanding of the communities which will help in future and potentially reduce the rate of crime within that area, this fits in with the broken windows theory as explained by Bottoms (2012) “</w:t>
      </w:r>
      <w:r w:rsidRPr="003473D6">
        <w:rPr>
          <w:rFonts w:ascii="Times New Roman" w:hAnsi="Times New Roman" w:cs="Times New Roman"/>
          <w:i/>
          <w:iCs/>
        </w:rPr>
        <w:t>Briefly, this theory suggests that low-level disorder must be tackled quickly (‘mending the broken windows’) or else the problems in the area will quickly escalate”.</w:t>
      </w:r>
      <w:r w:rsidRPr="003473D6">
        <w:rPr>
          <w:rFonts w:ascii="Times New Roman" w:hAnsi="Times New Roman" w:cs="Times New Roman"/>
        </w:rPr>
        <w:t xml:space="preserve">  A greater level of trust will also benefit the members as they will be more likely to engage with the police, report crimes and support police action if they know that the police will remain impartial and not prejudge them based on their race or beliefs, and will treat them as an individual. </w:t>
      </w:r>
    </w:p>
    <w:p w14:paraId="1B608F73" w14:textId="77777777" w:rsidR="00181F42" w:rsidRPr="003473D6" w:rsidRDefault="00181F42" w:rsidP="00B405AC">
      <w:pPr>
        <w:spacing w:line="360" w:lineRule="auto"/>
        <w:jc w:val="both"/>
        <w:rPr>
          <w:rFonts w:ascii="Times New Roman" w:hAnsi="Times New Roman" w:cs="Times New Roman"/>
        </w:rPr>
      </w:pPr>
      <w:r w:rsidRPr="003473D6">
        <w:rPr>
          <w:rFonts w:ascii="Times New Roman" w:hAnsi="Times New Roman" w:cs="Times New Roman"/>
        </w:rPr>
        <w:t xml:space="preserve">Each culture has its own subtle differences and knowing and understanding these variances is paramount in building public image and trust in the police. These differences can only be learned through Police immersing themselves in the community and taking the time to interact. </w:t>
      </w:r>
    </w:p>
    <w:p w14:paraId="626BDC7B" w14:textId="77777777" w:rsidR="00181F42" w:rsidRPr="003473D6" w:rsidRDefault="00181F42" w:rsidP="00B405AC">
      <w:pPr>
        <w:spacing w:line="360" w:lineRule="auto"/>
        <w:jc w:val="both"/>
        <w:rPr>
          <w:rFonts w:ascii="Times New Roman" w:hAnsi="Times New Roman" w:cs="Times New Roman"/>
        </w:rPr>
      </w:pPr>
      <w:r w:rsidRPr="003473D6">
        <w:rPr>
          <w:rFonts w:ascii="Times New Roman" w:hAnsi="Times New Roman" w:cs="Times New Roman"/>
        </w:rPr>
        <w:t>From this entry it has been clear that there are fundamental barriers that hinder a positive relationship between members of diverse communities and the police. Media portrayal of the police is constantly under a microscope and with the current state of affairs, a lot of negativity is being brought to the attention of the public. The vast majority of these communities draw their inference from the media, when they see that their community is being unfairly treated by the police then that is going to affect how they see the police without having their own personal interactions and a negative opinion has already been formed. Another is hearsay and word of mouth, when a friend or family member who has a negative experience with the police tells another of how they were treated this again will cause a bias against the police.</w:t>
      </w:r>
    </w:p>
    <w:p w14:paraId="6D4D2779" w14:textId="16BC40BA" w:rsidR="00BB18E4" w:rsidRDefault="00181F42" w:rsidP="00B405AC">
      <w:pPr>
        <w:spacing w:after="0" w:line="360" w:lineRule="auto"/>
        <w:jc w:val="both"/>
        <w:rPr>
          <w:rFonts w:ascii="Times New Roman" w:hAnsi="Times New Roman" w:cs="Times New Roman"/>
          <w:i/>
          <w:iCs/>
        </w:rPr>
      </w:pPr>
      <w:r w:rsidRPr="003473D6">
        <w:rPr>
          <w:rFonts w:ascii="Times New Roman" w:hAnsi="Times New Roman" w:cs="Times New Roman"/>
        </w:rPr>
        <w:lastRenderedPageBreak/>
        <w:t xml:space="preserve"> Lastly and importantly is personal experience where these communities have relied upon the police in the past in their hour of need and been treated unfairly therefore the negative opinion they have formed may never be changed. The police have thousands of interactions with the public on a daily basis and it is vital that they take these opportunities to improve public perception and abide by the standards that the public and the force expect of its officers. Every interaction with the members of the community should be centred around the standards of professional behaviour and showing the community that they care and understand (Blackstones 2020. P76) “</w:t>
      </w:r>
      <w:r w:rsidRPr="003473D6">
        <w:rPr>
          <w:rFonts w:ascii="Times New Roman" w:hAnsi="Times New Roman" w:cs="Times New Roman"/>
          <w:i/>
          <w:iCs/>
        </w:rPr>
        <w:t>Police officers act with self- control and tolerance, treating members of the public and colleagues with respect and courtesy. Police officers do not abuse their powers or authority and respect the rights of the individual”.</w:t>
      </w:r>
    </w:p>
    <w:p w14:paraId="4F0BD79E" w14:textId="2104457D" w:rsidR="00B405AC" w:rsidRPr="00F84FE3" w:rsidRDefault="00F84FE3" w:rsidP="00B405AC">
      <w:pPr>
        <w:spacing w:after="0" w:line="360" w:lineRule="auto"/>
        <w:jc w:val="both"/>
        <w:rPr>
          <w:rFonts w:ascii="Arial" w:eastAsia="Times New Roman" w:hAnsi="Arial" w:cs="Arial"/>
          <w:b/>
          <w:bCs/>
          <w:sz w:val="24"/>
          <w:szCs w:val="24"/>
          <w:lang w:eastAsia="en-GB"/>
        </w:rPr>
      </w:pPr>
      <w:r>
        <w:rPr>
          <w:rFonts w:ascii="Times New Roman" w:hAnsi="Times New Roman" w:cs="Times New Roman"/>
          <w:b/>
          <w:bCs/>
        </w:rPr>
        <w:t xml:space="preserve">Word Count </w:t>
      </w:r>
      <w:r w:rsidR="007E5FB9">
        <w:rPr>
          <w:rFonts w:ascii="Times New Roman" w:hAnsi="Times New Roman" w:cs="Times New Roman"/>
          <w:b/>
          <w:bCs/>
        </w:rPr>
        <w:t>–</w:t>
      </w:r>
      <w:r>
        <w:rPr>
          <w:rFonts w:ascii="Times New Roman" w:hAnsi="Times New Roman" w:cs="Times New Roman"/>
          <w:b/>
          <w:bCs/>
        </w:rPr>
        <w:t xml:space="preserve"> </w:t>
      </w:r>
      <w:r w:rsidR="007E5FB9">
        <w:rPr>
          <w:rFonts w:ascii="Times New Roman" w:hAnsi="Times New Roman" w:cs="Times New Roman"/>
          <w:b/>
          <w:bCs/>
        </w:rPr>
        <w:t>1026.</w:t>
      </w:r>
    </w:p>
    <w:p w14:paraId="1F047A9D" w14:textId="77777777" w:rsidR="00763CB3" w:rsidRPr="00573A4A" w:rsidRDefault="00763CB3" w:rsidP="00B405AC">
      <w:pPr>
        <w:spacing w:after="0" w:line="360" w:lineRule="auto"/>
        <w:jc w:val="both"/>
        <w:rPr>
          <w:rFonts w:ascii="Arial" w:eastAsia="Times New Roman" w:hAnsi="Arial" w:cs="Arial"/>
          <w:b/>
          <w:bCs/>
          <w:sz w:val="24"/>
          <w:szCs w:val="24"/>
          <w:lang w:eastAsia="en-GB"/>
        </w:rPr>
      </w:pPr>
    </w:p>
    <w:p w14:paraId="491818D8" w14:textId="7DBEE5E6" w:rsidR="0B4505FB" w:rsidRDefault="0B4505FB" w:rsidP="00B405AC">
      <w:pPr>
        <w:spacing w:after="0" w:line="360" w:lineRule="auto"/>
        <w:jc w:val="both"/>
        <w:rPr>
          <w:rFonts w:ascii="Arial" w:eastAsia="Times New Roman" w:hAnsi="Arial" w:cs="Arial"/>
          <w:b/>
          <w:bCs/>
          <w:sz w:val="24"/>
          <w:szCs w:val="24"/>
          <w:lang w:eastAsia="en-GB"/>
        </w:rPr>
      </w:pPr>
    </w:p>
    <w:p w14:paraId="40361F54" w14:textId="2B2A7182" w:rsidR="0B4505FB" w:rsidRDefault="0B4505FB" w:rsidP="00B405AC">
      <w:pPr>
        <w:spacing w:after="0" w:line="360" w:lineRule="auto"/>
        <w:jc w:val="both"/>
        <w:rPr>
          <w:rFonts w:ascii="Arial" w:eastAsia="Times New Roman" w:hAnsi="Arial" w:cs="Arial"/>
          <w:b/>
          <w:bCs/>
          <w:sz w:val="24"/>
          <w:szCs w:val="24"/>
          <w:lang w:eastAsia="en-GB"/>
        </w:rPr>
      </w:pPr>
    </w:p>
    <w:p w14:paraId="09E094FB" w14:textId="69FFE2DB" w:rsidR="002C4660" w:rsidRDefault="002C4660" w:rsidP="00B405AC">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2FFB2DE0" w14:textId="1E21177C" w:rsidR="00F42162" w:rsidRPr="007A5318" w:rsidRDefault="00F42162" w:rsidP="007A5318">
      <w:pPr>
        <w:pStyle w:val="ListParagraph"/>
        <w:numPr>
          <w:ilvl w:val="0"/>
          <w:numId w:val="6"/>
        </w:numPr>
        <w:rPr>
          <w:rFonts w:cstheme="minorHAnsi"/>
          <w:b/>
          <w:bCs/>
          <w:sz w:val="24"/>
          <w:szCs w:val="24"/>
          <w:u w:val="single"/>
        </w:rPr>
      </w:pPr>
      <w:r w:rsidRPr="007A5318">
        <w:rPr>
          <w:rFonts w:ascii="Times New Roman" w:hAnsi="Times New Roman" w:cs="Times New Roman"/>
          <w:sz w:val="24"/>
          <w:szCs w:val="24"/>
        </w:rPr>
        <w:lastRenderedPageBreak/>
        <w:t xml:space="preserve">Barbot, Oxiris. (2020). George Floyd and Our Collective Moral Injury. </w:t>
      </w:r>
      <w:r w:rsidRPr="007A5318">
        <w:rPr>
          <w:rFonts w:ascii="Times New Roman" w:hAnsi="Times New Roman" w:cs="Times New Roman"/>
          <w:i/>
          <w:iCs/>
          <w:sz w:val="24"/>
          <w:szCs w:val="24"/>
        </w:rPr>
        <w:t>American journal of public health</w:t>
      </w:r>
      <w:r w:rsidRPr="007A5318">
        <w:rPr>
          <w:rFonts w:ascii="Times New Roman" w:hAnsi="Times New Roman" w:cs="Times New Roman"/>
          <w:sz w:val="24"/>
          <w:szCs w:val="24"/>
        </w:rPr>
        <w:t>. 110 (9), p1253.</w:t>
      </w:r>
    </w:p>
    <w:p w14:paraId="521BBCA5"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i/>
          <w:iCs/>
          <w:sz w:val="24"/>
          <w:szCs w:val="24"/>
        </w:rPr>
      </w:pPr>
      <w:r w:rsidRPr="00F42162">
        <w:rPr>
          <w:rFonts w:ascii="Times New Roman" w:hAnsi="Times New Roman" w:cs="Times New Roman"/>
          <w:sz w:val="24"/>
          <w:szCs w:val="24"/>
        </w:rPr>
        <w:t xml:space="preserve">Barros, Stephanie ; Albert, Isabelle. (2019). I Feel More Luxembourgish, but Portuguese Too” Cultural Identities in a Multicultural Society. </w:t>
      </w:r>
      <w:r w:rsidRPr="00F42162">
        <w:rPr>
          <w:rFonts w:ascii="Times New Roman" w:hAnsi="Times New Roman" w:cs="Times New Roman"/>
          <w:i/>
          <w:iCs/>
          <w:sz w:val="24"/>
          <w:szCs w:val="24"/>
        </w:rPr>
        <w:t>Integrative psychological &amp; behavioral science</w:t>
      </w:r>
      <w:r w:rsidRPr="00F42162">
        <w:rPr>
          <w:rFonts w:ascii="Times New Roman" w:hAnsi="Times New Roman" w:cs="Times New Roman"/>
          <w:sz w:val="24"/>
          <w:szCs w:val="24"/>
        </w:rPr>
        <w:t>. 54 (1), p72-103.</w:t>
      </w:r>
    </w:p>
    <w:p w14:paraId="0D20F0B8"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bookmarkStart w:id="1" w:name="_Hlk60592492"/>
      <w:r w:rsidRPr="00F42162">
        <w:rPr>
          <w:rFonts w:ascii="Times New Roman" w:hAnsi="Times New Roman" w:cs="Times New Roman"/>
          <w:color w:val="000000"/>
          <w:sz w:val="24"/>
          <w:szCs w:val="24"/>
        </w:rPr>
        <w:t>Beijersbergen</w:t>
      </w:r>
      <w:bookmarkEnd w:id="1"/>
      <w:r w:rsidRPr="00F42162">
        <w:rPr>
          <w:rFonts w:ascii="Times New Roman" w:hAnsi="Times New Roman" w:cs="Times New Roman"/>
          <w:color w:val="000000"/>
          <w:sz w:val="24"/>
          <w:szCs w:val="24"/>
        </w:rPr>
        <w:t>, Karin A ; Dirkzwager, Anja J E ; Nieuwbeerta, Paul Holtfreter, Kristy. (2016). Reoffending After Release: Does Procedural Justice During Imprisonment Matter? . Criminal justice and behavior. 43 (1), p63-82.</w:t>
      </w:r>
    </w:p>
    <w:p w14:paraId="43BF701A"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Bottoms, A. (2012) Developing Socio-Spatial Criminology, in Maguire, M., Morgan,R. and Reiner, R. (eds) The Oxford Handbook of Criminology (fifth edition). Oxford: Oxford University Press.</w:t>
      </w:r>
    </w:p>
    <w:p w14:paraId="223C6432"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 xml:space="preserve">Bryant R , Bryant S, ed. (2019). </w:t>
      </w:r>
      <w:r w:rsidRPr="00F42162">
        <w:rPr>
          <w:rFonts w:ascii="Times New Roman" w:hAnsi="Times New Roman" w:cs="Times New Roman"/>
          <w:i/>
          <w:iCs/>
          <w:sz w:val="24"/>
          <w:szCs w:val="24"/>
        </w:rPr>
        <w:t>Blackstone's Handbook for policing students 2020.</w:t>
      </w:r>
      <w:r w:rsidRPr="00F42162">
        <w:rPr>
          <w:rFonts w:ascii="Times New Roman" w:hAnsi="Times New Roman" w:cs="Times New Roman"/>
          <w:sz w:val="24"/>
          <w:szCs w:val="24"/>
        </w:rPr>
        <w:t>. 14</w:t>
      </w:r>
      <w:r w:rsidRPr="00F42162">
        <w:rPr>
          <w:rFonts w:ascii="Times New Roman" w:hAnsi="Times New Roman" w:cs="Times New Roman"/>
          <w:sz w:val="24"/>
          <w:szCs w:val="24"/>
          <w:vertAlign w:val="superscript"/>
        </w:rPr>
        <w:t>th</w:t>
      </w:r>
      <w:r w:rsidRPr="00F42162">
        <w:rPr>
          <w:rFonts w:ascii="Times New Roman" w:hAnsi="Times New Roman" w:cs="Times New Roman"/>
          <w:sz w:val="24"/>
          <w:szCs w:val="24"/>
        </w:rPr>
        <w:t xml:space="preserve"> ed. Oxford: Oxford University press. P76</w:t>
      </w:r>
    </w:p>
    <w:p w14:paraId="01DCA856"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Bryant R , Bryant S, ed. (2019). Blackstone's Handbook for policing students 2020.. 14th ed. Oxford: Oxford University press. p298</w:t>
      </w:r>
    </w:p>
    <w:p w14:paraId="09329A60"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Bryant R , Bryant S, ed. (2019). Blackstone's Handbook for policing students 2020.. 14th ed. Oxford: Oxford University press. P346</w:t>
      </w:r>
    </w:p>
    <w:p w14:paraId="75591204"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Bryant R , Bryant S, ed. (2019). Blackstone's Handbook for policing students 2020.. 14th ed. Oxford: Oxford University press. P88</w:t>
      </w:r>
    </w:p>
    <w:p w14:paraId="75151CAD"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Bryant R , Bryant S, ed. (2019). Blackstone's Handbook for policing students 2020.. 14th ed. Oxford: Oxford University press. p395</w:t>
      </w:r>
    </w:p>
    <w:p w14:paraId="45FA05DE"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 xml:space="preserve">Bryant R , Bryant S, ed. (2019). </w:t>
      </w:r>
      <w:r w:rsidRPr="00F42162">
        <w:rPr>
          <w:rFonts w:ascii="Times New Roman" w:hAnsi="Times New Roman" w:cs="Times New Roman"/>
          <w:i/>
          <w:iCs/>
          <w:sz w:val="24"/>
          <w:szCs w:val="24"/>
        </w:rPr>
        <w:t>Blackstone's Handbook for policing students 2020.</w:t>
      </w:r>
      <w:r w:rsidRPr="00F42162">
        <w:rPr>
          <w:rFonts w:ascii="Times New Roman" w:hAnsi="Times New Roman" w:cs="Times New Roman"/>
          <w:sz w:val="24"/>
          <w:szCs w:val="24"/>
        </w:rPr>
        <w:t>. 14th ed. Oxford: Oxford University press. p85.</w:t>
      </w:r>
    </w:p>
    <w:p w14:paraId="23BFFA94"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Bryant R , Bryant S, ed. (2019). Blackstone's Handbook for policing students 2020.. 14th ed. Oxford: Oxford University press. P87</w:t>
      </w:r>
    </w:p>
    <w:p w14:paraId="16FCCCF2"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 xml:space="preserve">Campbell, D. (2012). The Cardiff Three: the long wait for justice. Available: </w:t>
      </w:r>
      <w:hyperlink r:id="rId12" w:history="1">
        <w:r w:rsidRPr="00F42162">
          <w:rPr>
            <w:rStyle w:val="Hyperlink"/>
            <w:rFonts w:ascii="Times New Roman" w:hAnsi="Times New Roman" w:cs="Times New Roman"/>
            <w:sz w:val="24"/>
            <w:szCs w:val="24"/>
          </w:rPr>
          <w:t>https://www.theguardian.com/uk/2012/sep/17/cardiff-three-five-wait-justice. Last accessed 15/12/2020</w:t>
        </w:r>
      </w:hyperlink>
    </w:p>
    <w:p w14:paraId="7B4F16D5"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 xml:space="preserve">Coomber, Ross ; Moyle, Leah. (2018). The Changing Shape of Street-Level Heroin and Crack Supply in England: Commuting, Holidaying and Cuckooing Drug Dealers Across ‘County Lines’. </w:t>
      </w:r>
      <w:r w:rsidRPr="00F42162">
        <w:rPr>
          <w:rFonts w:ascii="Times New Roman" w:hAnsi="Times New Roman" w:cs="Times New Roman"/>
          <w:i/>
          <w:iCs/>
          <w:sz w:val="24"/>
          <w:szCs w:val="24"/>
        </w:rPr>
        <w:t>British journal of criminology</w:t>
      </w:r>
      <w:r w:rsidRPr="00F42162">
        <w:rPr>
          <w:rFonts w:ascii="Times New Roman" w:hAnsi="Times New Roman" w:cs="Times New Roman"/>
          <w:sz w:val="24"/>
          <w:szCs w:val="24"/>
        </w:rPr>
        <w:t>. 58 (6), P1323-1342.</w:t>
      </w:r>
    </w:p>
    <w:p w14:paraId="242BEF0E"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i/>
          <w:iCs/>
          <w:sz w:val="24"/>
          <w:szCs w:val="24"/>
        </w:rPr>
      </w:pPr>
      <w:r w:rsidRPr="00F42162">
        <w:rPr>
          <w:rFonts w:ascii="Times New Roman" w:hAnsi="Times New Roman" w:cs="Times New Roman"/>
          <w:sz w:val="24"/>
          <w:szCs w:val="24"/>
        </w:rPr>
        <w:t xml:space="preserve">David Mason ; Carola Hillenbrand ; Kevin Money. (2014). Are Informed Citizens More Trusting? Transparency of Performance Data and Trust Towards a British Police Force. </w:t>
      </w:r>
      <w:r w:rsidRPr="00F42162">
        <w:rPr>
          <w:rFonts w:ascii="Times New Roman" w:hAnsi="Times New Roman" w:cs="Times New Roman"/>
          <w:i/>
          <w:iCs/>
          <w:sz w:val="24"/>
          <w:szCs w:val="24"/>
        </w:rPr>
        <w:t>Journal of business ethics</w:t>
      </w:r>
      <w:r w:rsidRPr="00F42162">
        <w:rPr>
          <w:rFonts w:ascii="Times New Roman" w:hAnsi="Times New Roman" w:cs="Times New Roman"/>
          <w:sz w:val="24"/>
          <w:szCs w:val="24"/>
        </w:rPr>
        <w:t>. 122 (2), p321-341.</w:t>
      </w:r>
    </w:p>
    <w:p w14:paraId="447EA15C"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 xml:space="preserve">Frisby-Osman, Sarah ; Wood, Jane L Densley, James ; Deuchar, Ross ; Harding, Simon. (2020). Rethinking How We View Gang Members: An Examination into Affective, Behavioral, and Mental Health Predictors of UK Gang-Involved Youth. </w:t>
      </w:r>
      <w:r w:rsidRPr="00F42162">
        <w:rPr>
          <w:rFonts w:ascii="Times New Roman" w:hAnsi="Times New Roman" w:cs="Times New Roman"/>
          <w:i/>
          <w:iCs/>
          <w:sz w:val="24"/>
          <w:szCs w:val="24"/>
        </w:rPr>
        <w:t>Youth justice</w:t>
      </w:r>
      <w:r w:rsidRPr="00F42162">
        <w:rPr>
          <w:rFonts w:ascii="Times New Roman" w:hAnsi="Times New Roman" w:cs="Times New Roman"/>
          <w:sz w:val="24"/>
          <w:szCs w:val="24"/>
        </w:rPr>
        <w:t>. 20 (2), p93-112 .</w:t>
      </w:r>
    </w:p>
    <w:p w14:paraId="490125E1"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lastRenderedPageBreak/>
        <w:t>Greenaway, Katharine H ; Wright, Ruth G ; Willingham, Joanne ; Reynolds, Katherine J ; Haslam, S. Alexander. (2015). Shared Identity Is Key to Effective Communication. Personality &amp; social psychology bulletin. 41 (2), p171-182</w:t>
      </w:r>
    </w:p>
    <w:p w14:paraId="4C171250"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Independent Office for Police Conduct. (2020). Police Complaints: Statistics for England and Wales 2019/2020. Available: https://policeconduct.gov.uk/sites/default/files/Documents/statistics/complaints_statistics_2019_20.pdf. Last accessed 16/12/2020.</w:t>
      </w:r>
    </w:p>
    <w:p w14:paraId="2C265E48"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Judith Masson. (2006). The Climbié Inquiry: Context and Critique. Journal of law and society. 33 (2), p221-243.</w:t>
      </w:r>
    </w:p>
    <w:p w14:paraId="56FBB41D"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Kevin L. Nadal</w:t>
      </w:r>
      <w:r w:rsidRPr="00F42162">
        <w:rPr>
          <w:rFonts w:ascii="Cambria Math" w:hAnsi="Cambria Math" w:cs="Cambria Math"/>
          <w:sz w:val="24"/>
          <w:szCs w:val="24"/>
        </w:rPr>
        <w:t>∗</w:t>
      </w:r>
      <w:r w:rsidRPr="00F42162">
        <w:rPr>
          <w:rFonts w:ascii="Times New Roman" w:hAnsi="Times New Roman" w:cs="Times New Roman"/>
          <w:sz w:val="24"/>
          <w:szCs w:val="24"/>
        </w:rPr>
        <w:t xml:space="preserve">, Kristin C. Davidoff, and Neil Allicock. (2017). Perceptions of Police, Racial Profiling, andPsychological Outcomes: A Mixed MethodologicalStudy. </w:t>
      </w:r>
      <w:r w:rsidRPr="00F42162">
        <w:rPr>
          <w:rFonts w:ascii="Times New Roman" w:hAnsi="Times New Roman" w:cs="Times New Roman"/>
          <w:i/>
          <w:iCs/>
          <w:sz w:val="24"/>
          <w:szCs w:val="24"/>
        </w:rPr>
        <w:t>Journal of Social Issues</w:t>
      </w:r>
      <w:r w:rsidRPr="00F42162">
        <w:rPr>
          <w:rFonts w:ascii="Times New Roman" w:hAnsi="Times New Roman" w:cs="Times New Roman"/>
          <w:sz w:val="24"/>
          <w:szCs w:val="24"/>
        </w:rPr>
        <w:t>. 73 (4), p808-830.</w:t>
      </w:r>
    </w:p>
    <w:p w14:paraId="1139B313"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i/>
          <w:iCs/>
          <w:sz w:val="24"/>
          <w:szCs w:val="24"/>
        </w:rPr>
      </w:pPr>
      <w:r w:rsidRPr="00F42162">
        <w:rPr>
          <w:rFonts w:ascii="Times New Roman" w:hAnsi="Times New Roman" w:cs="Times New Roman"/>
          <w:sz w:val="24"/>
          <w:szCs w:val="24"/>
        </w:rPr>
        <w:t xml:space="preserve">Lipscomb, Allen. (2020). You Have the Right to Exclaim Your Pain: Honoring Black Familial Voices Impacted by Police Induced Trauma in the United States. </w:t>
      </w:r>
      <w:r w:rsidRPr="00F42162">
        <w:rPr>
          <w:rFonts w:ascii="Times New Roman" w:hAnsi="Times New Roman" w:cs="Times New Roman"/>
          <w:i/>
          <w:iCs/>
          <w:sz w:val="24"/>
          <w:szCs w:val="24"/>
        </w:rPr>
        <w:t>Journal of ethnic and cultural studies</w:t>
      </w:r>
      <w:r w:rsidRPr="00F42162">
        <w:rPr>
          <w:rFonts w:ascii="Times New Roman" w:hAnsi="Times New Roman" w:cs="Times New Roman"/>
          <w:sz w:val="24"/>
          <w:szCs w:val="24"/>
        </w:rPr>
        <w:t>. 7 (1), p131-142.</w:t>
      </w:r>
    </w:p>
    <w:p w14:paraId="6D97A103"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Malik, Sarita , Nwonka, Clive James. (2017). Top Boy : Cultural Verisimilitude and the Allure of Black Criminality for UK Public Service Broadcasting Drama. Journal of British Cinema and Television. 14 (4), p423-444.</w:t>
      </w:r>
    </w:p>
    <w:p w14:paraId="6D08EA5F"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 xml:space="preserve">Miller, Johanne. (2020). Passing on gang culture in the theatre of the streets: ‘They’ll grow out of it, then our age will grow into it and then we’ll grow out of it’. </w:t>
      </w:r>
      <w:r w:rsidRPr="00F42162">
        <w:rPr>
          <w:rFonts w:ascii="Times New Roman" w:hAnsi="Times New Roman" w:cs="Times New Roman"/>
          <w:i/>
          <w:iCs/>
          <w:sz w:val="24"/>
          <w:szCs w:val="24"/>
        </w:rPr>
        <w:t>Journal of youth studies</w:t>
      </w:r>
      <w:r w:rsidRPr="00F42162">
        <w:rPr>
          <w:rFonts w:ascii="Times New Roman" w:hAnsi="Times New Roman" w:cs="Times New Roman"/>
          <w:sz w:val="24"/>
          <w:szCs w:val="24"/>
        </w:rPr>
        <w:t>. 23 (8), p1086-1101.</w:t>
      </w:r>
    </w:p>
    <w:p w14:paraId="0A142923"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i/>
          <w:iCs/>
          <w:sz w:val="24"/>
          <w:szCs w:val="24"/>
        </w:rPr>
      </w:pPr>
      <w:r w:rsidRPr="00F42162">
        <w:rPr>
          <w:rFonts w:ascii="Times New Roman" w:hAnsi="Times New Roman" w:cs="Times New Roman"/>
          <w:sz w:val="24"/>
          <w:szCs w:val="24"/>
        </w:rPr>
        <w:t xml:space="preserve">Murphy, Kristina ; Cherney, Adrian. (2011). Fostering cooperation with the police: How do ethnic minorities in Australia respond to procedural justice-based policing?. </w:t>
      </w:r>
      <w:r w:rsidRPr="00F42162">
        <w:rPr>
          <w:rFonts w:ascii="Times New Roman" w:hAnsi="Times New Roman" w:cs="Times New Roman"/>
          <w:i/>
          <w:iCs/>
          <w:sz w:val="24"/>
          <w:szCs w:val="24"/>
        </w:rPr>
        <w:t>Australian &amp; New Zealand Journal of Criminology</w:t>
      </w:r>
      <w:r w:rsidRPr="00F42162">
        <w:rPr>
          <w:rFonts w:ascii="Times New Roman" w:hAnsi="Times New Roman" w:cs="Times New Roman"/>
          <w:sz w:val="24"/>
          <w:szCs w:val="24"/>
        </w:rPr>
        <w:t>. 44 (2), p235-257.</w:t>
      </w:r>
    </w:p>
    <w:p w14:paraId="427AE979"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sz w:val="24"/>
          <w:szCs w:val="24"/>
        </w:rPr>
      </w:pPr>
      <w:r w:rsidRPr="00F42162">
        <w:rPr>
          <w:rFonts w:ascii="Times New Roman" w:hAnsi="Times New Roman" w:cs="Times New Roman"/>
          <w:sz w:val="24"/>
          <w:szCs w:val="24"/>
        </w:rPr>
        <w:t>The Crown Prosecution Service. (2019). Bail. Available: https://www.cps.gov.uk/legal-guidance/bail. Last accessed 17th January 2021.</w:t>
      </w:r>
    </w:p>
    <w:p w14:paraId="005BA4EC" w14:textId="77777777" w:rsidR="00F42162" w:rsidRPr="00F42162" w:rsidRDefault="00F42162" w:rsidP="00F42162">
      <w:pPr>
        <w:pStyle w:val="ListParagraph"/>
        <w:numPr>
          <w:ilvl w:val="0"/>
          <w:numId w:val="5"/>
        </w:numPr>
        <w:spacing w:line="360" w:lineRule="auto"/>
        <w:jc w:val="both"/>
        <w:rPr>
          <w:rFonts w:ascii="Times New Roman" w:hAnsi="Times New Roman" w:cs="Times New Roman"/>
          <w:color w:val="000000"/>
          <w:sz w:val="24"/>
          <w:szCs w:val="24"/>
        </w:rPr>
      </w:pPr>
      <w:r w:rsidRPr="00F42162">
        <w:rPr>
          <w:rFonts w:ascii="Times New Roman" w:hAnsi="Times New Roman" w:cs="Times New Roman"/>
          <w:color w:val="000000"/>
          <w:sz w:val="24"/>
          <w:szCs w:val="24"/>
        </w:rPr>
        <w:t>Village, Linda ; Hooper, Cathy. (2015). Partnership Working in Child Protection. Child abuse review . 24 (5), p385-386.</w:t>
      </w:r>
    </w:p>
    <w:p w14:paraId="18AEDBE1" w14:textId="56D29CAB" w:rsidR="007E5FB9" w:rsidRDefault="007E5FB9">
      <w:pPr>
        <w:rPr>
          <w:rFonts w:ascii="Arial" w:eastAsia="Times New Roman" w:hAnsi="Arial" w:cs="Arial"/>
          <w:sz w:val="24"/>
          <w:szCs w:val="24"/>
          <w:lang w:eastAsia="en-GB"/>
        </w:rPr>
      </w:pPr>
    </w:p>
    <w:p w14:paraId="09E24817" w14:textId="40106A57" w:rsidR="00260D09" w:rsidRDefault="00260D09">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50CC7208"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w:t>
      </w:r>
      <w:r w:rsidRPr="00876921">
        <w:rPr>
          <w:rFonts w:ascii="Arial" w:eastAsia="Times New Roman" w:hAnsi="Arial" w:cs="Arial"/>
          <w:sz w:val="24"/>
          <w:szCs w:val="24"/>
          <w:lang w:eastAsia="en-GB"/>
        </w:rPr>
        <w:lastRenderedPageBreak/>
        <w:t>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19"/>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DE2D5D" w:rsidRDefault="00AD68C8">
      <w:pPr>
        <w:spacing w:after="0" w:line="240" w:lineRule="auto"/>
      </w:pPr>
      <w:r>
        <w:separator/>
      </w:r>
    </w:p>
  </w:endnote>
  <w:endnote w:type="continuationSeparator" w:id="0">
    <w:p w14:paraId="0D55CABB" w14:textId="77777777" w:rsidR="00DE2D5D" w:rsidRDefault="00AD6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95E94D" w14:textId="77777777" w:rsidR="00954585" w:rsidRDefault="00954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152E9D" w:rsidRDefault="002E166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9FE73" w14:textId="77777777" w:rsidR="00954585" w:rsidRDefault="0095458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152E9D" w:rsidRDefault="002E166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DE2D5D" w:rsidRDefault="00AD68C8">
      <w:pPr>
        <w:spacing w:after="0" w:line="240" w:lineRule="auto"/>
      </w:pPr>
      <w:r>
        <w:separator/>
      </w:r>
    </w:p>
  </w:footnote>
  <w:footnote w:type="continuationSeparator" w:id="0">
    <w:p w14:paraId="68E41288" w14:textId="77777777" w:rsidR="00DE2D5D" w:rsidRDefault="00AD68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5ABF1" w14:textId="77777777" w:rsidR="00954585" w:rsidRDefault="009545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9B38DD" w14:textId="77777777" w:rsidR="00954585" w:rsidRDefault="009545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412DE2" w14:textId="77777777" w:rsidR="00954585" w:rsidRDefault="00954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32A44"/>
    <w:multiLevelType w:val="hybridMultilevel"/>
    <w:tmpl w:val="6A060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68D58B0"/>
    <w:multiLevelType w:val="hybridMultilevel"/>
    <w:tmpl w:val="3D0C4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157265"/>
    <w:rsid w:val="00180632"/>
    <w:rsid w:val="00181F42"/>
    <w:rsid w:val="001B0429"/>
    <w:rsid w:val="001D5299"/>
    <w:rsid w:val="002161A0"/>
    <w:rsid w:val="00260D09"/>
    <w:rsid w:val="002A1D8D"/>
    <w:rsid w:val="002C3B45"/>
    <w:rsid w:val="002C458D"/>
    <w:rsid w:val="002C4660"/>
    <w:rsid w:val="002E1664"/>
    <w:rsid w:val="002F3C23"/>
    <w:rsid w:val="00347039"/>
    <w:rsid w:val="00461E0B"/>
    <w:rsid w:val="00473358"/>
    <w:rsid w:val="004B304D"/>
    <w:rsid w:val="00536896"/>
    <w:rsid w:val="005A5D63"/>
    <w:rsid w:val="005C7F48"/>
    <w:rsid w:val="005D6A0C"/>
    <w:rsid w:val="006710D6"/>
    <w:rsid w:val="006A3BDD"/>
    <w:rsid w:val="006A60A5"/>
    <w:rsid w:val="006E22FC"/>
    <w:rsid w:val="007029F2"/>
    <w:rsid w:val="007162C5"/>
    <w:rsid w:val="00735318"/>
    <w:rsid w:val="00763CB3"/>
    <w:rsid w:val="00795C11"/>
    <w:rsid w:val="007A5318"/>
    <w:rsid w:val="007C06EC"/>
    <w:rsid w:val="007E5FB9"/>
    <w:rsid w:val="008035CF"/>
    <w:rsid w:val="00810ADD"/>
    <w:rsid w:val="00846F01"/>
    <w:rsid w:val="00881959"/>
    <w:rsid w:val="008F5A08"/>
    <w:rsid w:val="00904507"/>
    <w:rsid w:val="00954585"/>
    <w:rsid w:val="00963C8B"/>
    <w:rsid w:val="00994ED6"/>
    <w:rsid w:val="00A012CF"/>
    <w:rsid w:val="00A73A70"/>
    <w:rsid w:val="00AD68C8"/>
    <w:rsid w:val="00B14796"/>
    <w:rsid w:val="00B405AC"/>
    <w:rsid w:val="00B74E82"/>
    <w:rsid w:val="00BB18E4"/>
    <w:rsid w:val="00BE5412"/>
    <w:rsid w:val="00BF4C98"/>
    <w:rsid w:val="00BF5574"/>
    <w:rsid w:val="00CF7B26"/>
    <w:rsid w:val="00DB65E1"/>
    <w:rsid w:val="00DE2D5D"/>
    <w:rsid w:val="00E36969"/>
    <w:rsid w:val="00E57026"/>
    <w:rsid w:val="00EF24FE"/>
    <w:rsid w:val="00F42162"/>
    <w:rsid w:val="00F43C4D"/>
    <w:rsid w:val="00F84916"/>
    <w:rsid w:val="00F84FE3"/>
    <w:rsid w:val="00F9494D"/>
    <w:rsid w:val="00FA1F14"/>
    <w:rsid w:val="00FB32CF"/>
    <w:rsid w:val="00FF6E4C"/>
    <w:rsid w:val="07278B60"/>
    <w:rsid w:val="0B4505FB"/>
    <w:rsid w:val="11968AA8"/>
    <w:rsid w:val="12E78548"/>
    <w:rsid w:val="1B9A43F5"/>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954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585"/>
  </w:style>
  <w:style w:type="character" w:styleId="Hyperlink">
    <w:name w:val="Hyperlink"/>
    <w:basedOn w:val="DefaultParagraphFont"/>
    <w:uiPriority w:val="99"/>
    <w:unhideWhenUsed/>
    <w:rsid w:val="00F421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theguardian.com/uk/2012/sep/17/cardiff-three-five-wait-justice.%20Last%20accessed%2015/12/202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DC7599CB-1ABA-41D7-A3BA-F3F73F81DC64}">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25</Pages>
  <Words>9771</Words>
  <Characters>55698</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Price, Michael</cp:lastModifiedBy>
  <cp:revision>34</cp:revision>
  <cp:lastPrinted>2020-03-18T12:27:00Z</cp:lastPrinted>
  <dcterms:created xsi:type="dcterms:W3CDTF">2020-09-17T10:52:00Z</dcterms:created>
  <dcterms:modified xsi:type="dcterms:W3CDTF">2021-02-10T18:52:00Z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Michael.A.Price@gwent.police.uk</vt:lpwstr>
  </property>
  <property fmtid="{D5CDD505-2E9C-101B-9397-08002B2CF9AE}" pid="6" name="MSIP_Label_f2acd28b-79a3-4a0f-b0ff-4b75658b1549_SetDate">
    <vt:lpwstr>2020-09-17T10:52:37.3881782Z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5f6d38c1-71b2-4bb4-8eb9-2c34bd4cf728</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