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203A41" w14:textId="161D7317" w:rsidR="005A4EE0" w:rsidRPr="005A4EE0" w:rsidRDefault="005A4EE0" w:rsidP="005A4EE0">
      <w:pPr>
        <w:rPr>
          <w:u w:val="single"/>
        </w:rPr>
      </w:pPr>
      <w:r>
        <w:t xml:space="preserve">This paper will introduce the primary themes related to the impact of crossing boundaries using dance/performance within </w:t>
      </w:r>
      <w:r w:rsidR="007C3601">
        <w:t>small, rural</w:t>
      </w:r>
      <w:r>
        <w:t xml:space="preserve"> communities</w:t>
      </w:r>
      <w:r w:rsidR="007C3601">
        <w:t xml:space="preserve">. I </w:t>
      </w:r>
      <w:r>
        <w:t xml:space="preserve">will then consider the extent of these barriers and the effect that can transpire within both </w:t>
      </w:r>
      <w:r w:rsidR="007C3601">
        <w:t>areas</w:t>
      </w:r>
      <w:r>
        <w:t xml:space="preserve">. Using academic theorists to support these claims a conclusion will state that crossing boundaries </w:t>
      </w:r>
      <w:r w:rsidR="006A0BBD">
        <w:t xml:space="preserve">can </w:t>
      </w:r>
      <w:r>
        <w:t>augment relationships between communities and performers.</w:t>
      </w:r>
    </w:p>
    <w:p w14:paraId="003E1E42" w14:textId="49818BAB" w:rsidR="001E3036" w:rsidRDefault="005A4EE0" w:rsidP="005A4EE0">
      <w:r>
        <w:t>Investigation will note why small, rural communities have boundaries in accepting dance/performance back</w:t>
      </w:r>
      <w:r w:rsidR="002F3DF9">
        <w:t>ed</w:t>
      </w:r>
      <w:r>
        <w:t xml:space="preserve"> up with references from different sources. How the relationships, interactions, perceptions and understanding between the troupe/troupes and their local community manifest.</w:t>
      </w:r>
      <w:r w:rsidR="004B6F9A">
        <w:t xml:space="preserve"> The paper will identify boundaries of understanding of the performance and the expectations of the audience.</w:t>
      </w:r>
      <w:r>
        <w:t xml:space="preserve"> </w:t>
      </w:r>
    </w:p>
    <w:p w14:paraId="1ED7C4AD" w14:textId="3648AC8C" w:rsidR="005A4EE0" w:rsidRDefault="005A4EE0" w:rsidP="005A4EE0">
      <w:r>
        <w:t xml:space="preserve">The secondary theme will look at identity </w:t>
      </w:r>
      <w:r w:rsidR="004B6F9A">
        <w:t xml:space="preserve"> - how by using clothes , hairstyles, jewellery, beliefs, behaviours, the individuals in the troupe create boundaries to their identity as a whole and how this influences individuals in the group to feel like they belong. Does this identity cause boundaries </w:t>
      </w:r>
      <w:r w:rsidR="002F3DF9">
        <w:t>within communities</w:t>
      </w:r>
      <w:r w:rsidR="004B6F9A">
        <w:t xml:space="preserve"> by commandeering an air of </w:t>
      </w:r>
      <w:r w:rsidR="002F3DF9">
        <w:t>exclusivity? With such a perception is it possible for the performer to engage with the community in the sense of ‘ordinary life’. Are boundaries exhibited through the performance looking at who the performance is for – the audience or the troupe.</w:t>
      </w:r>
    </w:p>
    <w:p w14:paraId="1D105618" w14:textId="1EFB878C" w:rsidR="002F3DF9" w:rsidRDefault="002F3DF9" w:rsidP="005A4EE0">
      <w:r>
        <w:t xml:space="preserve">By comparing and contrasting these ideas and themes I will establish my own </w:t>
      </w:r>
      <w:r w:rsidR="00C05B88">
        <w:t xml:space="preserve">supposition </w:t>
      </w:r>
      <w:r>
        <w:t>and debate.</w:t>
      </w:r>
    </w:p>
    <w:p w14:paraId="05DC86D9" w14:textId="5D188EAE" w:rsidR="002F3DF9" w:rsidRDefault="00CA0C4F" w:rsidP="005A4EE0">
      <w:r>
        <w:t>A</w:t>
      </w:r>
      <w:r w:rsidR="002F3DF9">
        <w:t xml:space="preserve"> conclusion will </w:t>
      </w:r>
      <w:r w:rsidR="009701C1">
        <w:t>state</w:t>
      </w:r>
      <w:r w:rsidR="00EB2124">
        <w:t xml:space="preserve"> that </w:t>
      </w:r>
      <w:r w:rsidR="009701C1">
        <w:t xml:space="preserve">the </w:t>
      </w:r>
      <w:r w:rsidR="00EB2124">
        <w:t xml:space="preserve">crossing of boundaries using dance/performance in small, rural communities </w:t>
      </w:r>
      <w:r w:rsidR="009701C1">
        <w:t>contributes to</w:t>
      </w:r>
      <w:r>
        <w:t xml:space="preserve"> enhancing</w:t>
      </w:r>
      <w:r w:rsidR="009701C1">
        <w:t xml:space="preserve"> </w:t>
      </w:r>
      <w:r>
        <w:t>connections between the society and the troupe</w:t>
      </w:r>
      <w:r w:rsidR="00873B15">
        <w:t xml:space="preserve"> and can influence future relationships between both.</w:t>
      </w:r>
    </w:p>
    <w:p w14:paraId="7496ECB8" w14:textId="4973F5E3" w:rsidR="00902B31" w:rsidRDefault="00902B31" w:rsidP="005A4EE0">
      <w:r>
        <w:t>K.</w:t>
      </w:r>
      <w:r w:rsidR="001C1DE2">
        <w:t xml:space="preserve"> </w:t>
      </w:r>
      <w:proofErr w:type="spellStart"/>
      <w:r>
        <w:t>Cann</w:t>
      </w:r>
      <w:proofErr w:type="spellEnd"/>
      <w:r w:rsidR="008E6CD4">
        <w:t xml:space="preserve"> (2006)</w:t>
      </w:r>
      <w:r>
        <w:t xml:space="preserve"> </w:t>
      </w:r>
      <w:r w:rsidR="008E6CD4">
        <w:t>‘</w:t>
      </w:r>
      <w:r>
        <w:t>Dance/Diversity/Dialogue Bridging Communities and Cultures</w:t>
      </w:r>
      <w:r w:rsidR="008E6CD4">
        <w:t>’</w:t>
      </w:r>
      <w:r>
        <w:t xml:space="preserve">  </w:t>
      </w:r>
    </w:p>
    <w:p w14:paraId="126A5A54" w14:textId="079E941E" w:rsidR="00902B31" w:rsidRDefault="008E6CD4" w:rsidP="005A4EE0">
      <w:r>
        <w:t xml:space="preserve">Available at </w:t>
      </w:r>
      <w:hyperlink r:id="rId5" w:history="1">
        <w:r w:rsidRPr="00DE492A">
          <w:rPr>
            <w:rStyle w:val="Hyperlink"/>
          </w:rPr>
          <w:t>www.jstor.org</w:t>
        </w:r>
      </w:hyperlink>
      <w:r>
        <w:t xml:space="preserve"> (Accessed October 2020)</w:t>
      </w:r>
    </w:p>
    <w:p w14:paraId="3D852665" w14:textId="2E300453" w:rsidR="00902B31" w:rsidRDefault="00902B31" w:rsidP="005A4EE0">
      <w:r>
        <w:t>E. Kenny</w:t>
      </w:r>
      <w:r w:rsidR="008E6CD4">
        <w:t xml:space="preserve"> (2007)</w:t>
      </w:r>
      <w:r>
        <w:t xml:space="preserve"> </w:t>
      </w:r>
      <w:r w:rsidR="006931BC">
        <w:t>‘</w:t>
      </w:r>
      <w:r>
        <w:t>Belly Dance in the Town Square: Leaking Peace through Tribal Style Identity</w:t>
      </w:r>
      <w:r w:rsidR="008E6CD4">
        <w:t>’</w:t>
      </w:r>
      <w:r>
        <w:t xml:space="preserve"> </w:t>
      </w:r>
      <w:r w:rsidR="008E6CD4">
        <w:t>Available a</w:t>
      </w:r>
      <w:r w:rsidR="00AD6EBC">
        <w:t>t</w:t>
      </w:r>
      <w:r w:rsidR="008E6CD4">
        <w:t xml:space="preserve"> </w:t>
      </w:r>
      <w:r w:rsidR="001C1DE2">
        <w:t>www.jstor.org (</w:t>
      </w:r>
      <w:r w:rsidR="008E6CD4">
        <w:t>Accessed October 2020)</w:t>
      </w:r>
    </w:p>
    <w:p w14:paraId="2BCCA48C" w14:textId="1C5F3DE7" w:rsidR="008E6CD4" w:rsidRPr="008E6CD4" w:rsidRDefault="00902B31" w:rsidP="005A4EE0">
      <w:pPr>
        <w:rPr>
          <w:color w:val="0563C1" w:themeColor="hyperlink"/>
          <w:u w:val="single"/>
        </w:rPr>
      </w:pPr>
      <w:proofErr w:type="spellStart"/>
      <w:r>
        <w:lastRenderedPageBreak/>
        <w:t>C.Walker</w:t>
      </w:r>
      <w:proofErr w:type="spellEnd"/>
      <w:r>
        <w:t xml:space="preserve">, </w:t>
      </w:r>
      <w:proofErr w:type="spellStart"/>
      <w:proofErr w:type="gramStart"/>
      <w:r>
        <w:t>C.Fleming</w:t>
      </w:r>
      <w:proofErr w:type="spellEnd"/>
      <w:proofErr w:type="gramEnd"/>
      <w:r>
        <w:t>, K. Sherwood</w:t>
      </w:r>
      <w:r w:rsidR="008E6CD4">
        <w:t xml:space="preserve"> (2003)</w:t>
      </w:r>
      <w:r>
        <w:t xml:space="preserve"> </w:t>
      </w:r>
      <w:r w:rsidR="008E6CD4">
        <w:t>‘</w:t>
      </w:r>
      <w:r w:rsidR="009C46CA">
        <w:t xml:space="preserve"> Building Arts Participation</w:t>
      </w:r>
      <w:r w:rsidR="008E6CD4">
        <w:t>’</w:t>
      </w:r>
      <w:r w:rsidR="009C46CA">
        <w:t xml:space="preserve"> </w:t>
      </w:r>
      <w:r w:rsidR="009C46CA" w:rsidRPr="008E6CD4">
        <w:rPr>
          <w:i/>
          <w:iCs/>
        </w:rPr>
        <w:t>Steps to</w:t>
      </w:r>
      <w:r w:rsidR="009C46CA">
        <w:t xml:space="preserve"> </w:t>
      </w:r>
      <w:r w:rsidR="009C46CA" w:rsidRPr="008E6CD4">
        <w:rPr>
          <w:i/>
          <w:iCs/>
        </w:rPr>
        <w:t>Stronger Cultural and Community Life</w:t>
      </w:r>
      <w:r w:rsidR="009C46CA">
        <w:t xml:space="preserve"> </w:t>
      </w:r>
      <w:r w:rsidR="008E6CD4">
        <w:t xml:space="preserve"> Available at</w:t>
      </w:r>
      <w:r w:rsidR="00AD6EBC">
        <w:t xml:space="preserve"> www.jstor</w:t>
      </w:r>
      <w:r w:rsidR="0061199A">
        <w:t>.org</w:t>
      </w:r>
      <w:r>
        <w:t xml:space="preserve"> </w:t>
      </w:r>
      <w:r w:rsidR="008E6CD4">
        <w:t>(Accessed October 2020)</w:t>
      </w:r>
    </w:p>
    <w:p w14:paraId="5ACE2710" w14:textId="203F5695" w:rsidR="00902B31" w:rsidRDefault="00902B31" w:rsidP="005A4EE0">
      <w:proofErr w:type="spellStart"/>
      <w:r>
        <w:t>D.Walker-Kuhne</w:t>
      </w:r>
      <w:proofErr w:type="spellEnd"/>
      <w:r>
        <w:t xml:space="preserve"> </w:t>
      </w:r>
      <w:r w:rsidR="008E6CD4">
        <w:t>(2005</w:t>
      </w:r>
      <w:r w:rsidR="001C1DE2">
        <w:t xml:space="preserve"> </w:t>
      </w:r>
      <w:r w:rsidR="008E6CD4">
        <w:t>)‘</w:t>
      </w:r>
      <w:r>
        <w:t>Invitation to the Party</w:t>
      </w:r>
      <w:r w:rsidR="008E6CD4">
        <w:t>’</w:t>
      </w:r>
      <w:r>
        <w:t xml:space="preserve"> </w:t>
      </w:r>
      <w:r w:rsidRPr="008E6CD4">
        <w:rPr>
          <w:i/>
          <w:iCs/>
        </w:rPr>
        <w:t>Building bridges to the Arts, Culture</w:t>
      </w:r>
      <w:r>
        <w:t xml:space="preserve"> </w:t>
      </w:r>
      <w:r w:rsidRPr="008E6CD4">
        <w:rPr>
          <w:i/>
          <w:iCs/>
        </w:rPr>
        <w:t>and Community</w:t>
      </w:r>
      <w:r>
        <w:t xml:space="preserve">  </w:t>
      </w:r>
      <w:r w:rsidR="008E6CD4">
        <w:t xml:space="preserve">Available at </w:t>
      </w:r>
      <w:hyperlink r:id="rId6" w:history="1">
        <w:r w:rsidR="00AD6EBC" w:rsidRPr="00DE492A">
          <w:rPr>
            <w:rStyle w:val="Hyperlink"/>
          </w:rPr>
          <w:t>www.j.stor.org</w:t>
        </w:r>
      </w:hyperlink>
      <w:r w:rsidR="00AD6EBC">
        <w:t xml:space="preserve"> </w:t>
      </w:r>
      <w:r w:rsidR="008E6CD4">
        <w:t>(Accessed October 2020)</w:t>
      </w:r>
    </w:p>
    <w:p w14:paraId="2C83151F" w14:textId="49E3ACB6" w:rsidR="00902B31" w:rsidRDefault="008E6CD4" w:rsidP="005A4EE0">
      <w:r>
        <w:t>N. Davies (2020) Email to Sarah Ward October 2020</w:t>
      </w:r>
      <w:r w:rsidR="00902B31">
        <w:t xml:space="preserve"> </w:t>
      </w:r>
    </w:p>
    <w:p w14:paraId="270D052D" w14:textId="77777777" w:rsidR="00902B31" w:rsidRDefault="00902B31" w:rsidP="005A4EE0"/>
    <w:p w14:paraId="17BA0543" w14:textId="77777777" w:rsidR="002F3DF9" w:rsidRDefault="002F3DF9" w:rsidP="005A4EE0"/>
    <w:p w14:paraId="71E3412F" w14:textId="77777777" w:rsidR="002F3DF9" w:rsidRDefault="002F3DF9" w:rsidP="005A4EE0"/>
    <w:p w14:paraId="35761345" w14:textId="77777777" w:rsidR="004B6F9A" w:rsidRDefault="004B6F9A" w:rsidP="005A4EE0"/>
    <w:p w14:paraId="37538B81" w14:textId="77777777" w:rsidR="004B6F9A" w:rsidRDefault="004B6F9A" w:rsidP="005A4EE0"/>
    <w:p w14:paraId="76217DAB" w14:textId="7DDF10E3" w:rsidR="005A4EE0" w:rsidRDefault="005A4EE0" w:rsidP="005A4EE0"/>
    <w:p w14:paraId="7197D9C2" w14:textId="77777777" w:rsidR="005A4EE0" w:rsidRDefault="005A4EE0" w:rsidP="005A4EE0"/>
    <w:p w14:paraId="6FEB89B4" w14:textId="77777777" w:rsidR="005A4EE0" w:rsidRDefault="005A4EE0" w:rsidP="005A4EE0"/>
    <w:p w14:paraId="17886479" w14:textId="77777777" w:rsidR="005A4EE0" w:rsidRDefault="005A4EE0" w:rsidP="001E3036"/>
    <w:p w14:paraId="4A8560AF" w14:textId="6A1B8A7D" w:rsidR="001E3036" w:rsidRDefault="001E3036" w:rsidP="001E3036"/>
    <w:p w14:paraId="69DBDC0F" w14:textId="58543293" w:rsidR="001E3036" w:rsidRDefault="001E3036"/>
    <w:p w14:paraId="4EAA5FB2" w14:textId="77777777" w:rsidR="001E3036" w:rsidRDefault="001E3036"/>
    <w:p w14:paraId="0F411605" w14:textId="77777777" w:rsidR="001E3036" w:rsidRPr="00336EE3" w:rsidRDefault="001E3036"/>
    <w:p w14:paraId="6D08103E" w14:textId="77777777" w:rsidR="00336EE3" w:rsidRDefault="00336EE3" w:rsidP="00CB2776">
      <w:pPr>
        <w:pStyle w:val="NoSpacing"/>
      </w:pPr>
    </w:p>
    <w:p w14:paraId="2C6F3541" w14:textId="77777777" w:rsidR="00336EE3" w:rsidRPr="00CC5353" w:rsidRDefault="00336EE3" w:rsidP="00CB2776">
      <w:pPr>
        <w:pStyle w:val="NoSpacing"/>
      </w:pPr>
    </w:p>
    <w:p w14:paraId="48F5337B" w14:textId="77777777" w:rsidR="00071D87" w:rsidRDefault="00071D87"/>
    <w:p w14:paraId="69AE8A13" w14:textId="77777777" w:rsidR="00071D87" w:rsidRDefault="00071D87"/>
    <w:p w14:paraId="14EAF04C" w14:textId="77777777" w:rsidR="00071D87" w:rsidRDefault="00071D87"/>
    <w:p w14:paraId="2905654B" w14:textId="77777777" w:rsidR="00D830C7" w:rsidRDefault="00D830C7"/>
    <w:p w14:paraId="0DE5E420" w14:textId="77777777" w:rsidR="003316A8" w:rsidRDefault="003316A8"/>
    <w:sectPr w:rsidR="003316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6A8"/>
    <w:rsid w:val="000160BD"/>
    <w:rsid w:val="000224CD"/>
    <w:rsid w:val="00071D87"/>
    <w:rsid w:val="001C1DE2"/>
    <w:rsid w:val="001E3036"/>
    <w:rsid w:val="00296D8B"/>
    <w:rsid w:val="002F3DF9"/>
    <w:rsid w:val="003316A8"/>
    <w:rsid w:val="00336EE3"/>
    <w:rsid w:val="004B6F9A"/>
    <w:rsid w:val="004F10EB"/>
    <w:rsid w:val="005671B1"/>
    <w:rsid w:val="005A4EE0"/>
    <w:rsid w:val="005B5E89"/>
    <w:rsid w:val="005F1A36"/>
    <w:rsid w:val="0061199A"/>
    <w:rsid w:val="006931BC"/>
    <w:rsid w:val="006A0BBD"/>
    <w:rsid w:val="007C3601"/>
    <w:rsid w:val="00873B15"/>
    <w:rsid w:val="008E3CF9"/>
    <w:rsid w:val="008E6CD4"/>
    <w:rsid w:val="00902B31"/>
    <w:rsid w:val="009701C1"/>
    <w:rsid w:val="009C46CA"/>
    <w:rsid w:val="00AC343A"/>
    <w:rsid w:val="00AD6EBC"/>
    <w:rsid w:val="00C05B88"/>
    <w:rsid w:val="00CA0C4F"/>
    <w:rsid w:val="00CB2776"/>
    <w:rsid w:val="00CC5353"/>
    <w:rsid w:val="00D108A7"/>
    <w:rsid w:val="00D830C7"/>
    <w:rsid w:val="00E63B01"/>
    <w:rsid w:val="00EB2124"/>
    <w:rsid w:val="00F601A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6C3DA"/>
  <w15:chartTrackingRefBased/>
  <w15:docId w15:val="{E2B34FCE-9585-4A99-8E09-D701E47FB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omic Sans MS" w:eastAsiaTheme="minorHAnsi" w:hAnsi="Comic Sans MS"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B2776"/>
    <w:pPr>
      <w:spacing w:after="0" w:line="240" w:lineRule="auto"/>
    </w:pPr>
  </w:style>
  <w:style w:type="character" w:styleId="Hyperlink">
    <w:name w:val="Hyperlink"/>
    <w:basedOn w:val="DefaultParagraphFont"/>
    <w:uiPriority w:val="99"/>
    <w:unhideWhenUsed/>
    <w:rsid w:val="00902B31"/>
    <w:rPr>
      <w:color w:val="0563C1" w:themeColor="hyperlink"/>
      <w:u w:val="single"/>
    </w:rPr>
  </w:style>
  <w:style w:type="character" w:styleId="UnresolvedMention">
    <w:name w:val="Unresolved Mention"/>
    <w:basedOn w:val="DefaultParagraphFont"/>
    <w:uiPriority w:val="99"/>
    <w:semiHidden/>
    <w:unhideWhenUsed/>
    <w:rsid w:val="00902B31"/>
    <w:rPr>
      <w:color w:val="605E5C"/>
      <w:shd w:val="clear" w:color="auto" w:fill="E1DFDD"/>
    </w:rPr>
  </w:style>
  <w:style w:type="paragraph" w:styleId="BalloonText">
    <w:name w:val="Balloon Text"/>
    <w:basedOn w:val="Normal"/>
    <w:link w:val="BalloonTextChar"/>
    <w:uiPriority w:val="99"/>
    <w:semiHidden/>
    <w:unhideWhenUsed/>
    <w:rsid w:val="004F10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10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j.stor.org" TargetMode="External"/><Relationship Id="rId5" Type="http://schemas.openxmlformats.org/officeDocument/2006/relationships/hyperlink" Target="http://www.jstor.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ECBDA-E95C-4DDF-AB42-006AA07CD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368</Words>
  <Characters>2101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Joanne</dc:creator>
  <cp:keywords/>
  <dc:description/>
  <cp:lastModifiedBy>Natasha Joanne</cp:lastModifiedBy>
  <cp:revision>2</cp:revision>
  <cp:lastPrinted>2020-11-03T11:43:00Z</cp:lastPrinted>
  <dcterms:created xsi:type="dcterms:W3CDTF">2020-11-03T19:42:00Z</dcterms:created>
  <dcterms:modified xsi:type="dcterms:W3CDTF">2020-11-03T19:42:00Z</dcterms:modified>
</cp:coreProperties>
</file>