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85D552" w14:textId="55211FA7" w:rsidR="008B19F1" w:rsidRDefault="008B19F1" w:rsidP="008B19F1">
      <w:pPr>
        <w:jc w:val="both"/>
      </w:pPr>
      <w:r w:rsidRPr="006E458E">
        <w:rPr>
          <w:u w:val="single"/>
        </w:rPr>
        <w:t>ECIE4010</w:t>
      </w:r>
      <w:r w:rsidRPr="006E458E">
        <w:t xml:space="preserve">       </w:t>
      </w:r>
      <w:r w:rsidRPr="006E458E">
        <w:rPr>
          <w:u w:val="single"/>
        </w:rPr>
        <w:t>Chloe Williams</w:t>
      </w:r>
      <w:r>
        <w:t xml:space="preserve">      </w:t>
      </w:r>
      <w:r w:rsidRPr="006E458E">
        <w:rPr>
          <w:u w:val="single"/>
        </w:rPr>
        <w:t xml:space="preserve"> 2</w:t>
      </w:r>
      <w:r w:rsidR="006E458E" w:rsidRPr="006E458E">
        <w:rPr>
          <w:u w:val="single"/>
        </w:rPr>
        <w:t>506420</w:t>
      </w:r>
    </w:p>
    <w:p w14:paraId="24206D20" w14:textId="3D111720" w:rsidR="008B19F1" w:rsidRPr="006E458E" w:rsidRDefault="006E458E" w:rsidP="008B19F1">
      <w:pPr>
        <w:jc w:val="both"/>
        <w:rPr>
          <w:u w:val="single"/>
        </w:rPr>
      </w:pPr>
      <w:r w:rsidRPr="006E458E">
        <w:rPr>
          <w:u w:val="single"/>
        </w:rPr>
        <w:t>Contemporary Challenges Making a Difference</w:t>
      </w:r>
    </w:p>
    <w:p w14:paraId="79C5EDED" w14:textId="304B6813" w:rsidR="006E458E" w:rsidRDefault="006E458E" w:rsidP="008B19F1">
      <w:pPr>
        <w:jc w:val="both"/>
      </w:pPr>
      <w:hyperlink r:id="rId6" w:history="1">
        <w:r w:rsidRPr="004539F4">
          <w:rPr>
            <w:rStyle w:val="Hyperlink"/>
          </w:rPr>
          <w:t>https://uowtsd-my.sharepoint.com/:p:/r/personal/2503478_student_uwtsd_ac_uk/Documents/Attachments/Group%20pres%20April%202026%20Sally%20voice.ppsx?d=w33bb29c8bf6c45a79b511e4b111efb52&amp;csf=1&amp;web=1&amp;e=HoqKcM</w:t>
        </w:r>
      </w:hyperlink>
      <w:r>
        <w:t xml:space="preserve">  </w:t>
      </w:r>
    </w:p>
    <w:p w14:paraId="677C6E75" w14:textId="08A7B03B" w:rsidR="00CD583F" w:rsidRDefault="008B19F1" w:rsidP="008B19F1">
      <w:pPr>
        <w:jc w:val="both"/>
      </w:pPr>
      <w:r w:rsidRPr="00CD583F">
        <w:rPr>
          <w:noProof/>
        </w:rPr>
        <w:drawing>
          <wp:anchor distT="0" distB="0" distL="114300" distR="114300" simplePos="0" relativeHeight="251658240" behindDoc="1" locked="0" layoutInCell="1" allowOverlap="1" wp14:anchorId="49A34ED9" wp14:editId="483D1438">
            <wp:simplePos x="0" y="0"/>
            <wp:positionH relativeFrom="margin">
              <wp:posOffset>53975</wp:posOffset>
            </wp:positionH>
            <wp:positionV relativeFrom="paragraph">
              <wp:posOffset>-16510</wp:posOffset>
            </wp:positionV>
            <wp:extent cx="5087060" cy="2886478"/>
            <wp:effectExtent l="0" t="0" r="0" b="9525"/>
            <wp:wrapNone/>
            <wp:docPr id="2020129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129683" name=""/>
                    <pic:cNvPicPr/>
                  </pic:nvPicPr>
                  <pic:blipFill>
                    <a:blip r:embed="rId7">
                      <a:extLst>
                        <a:ext uri="{28A0092B-C50C-407E-A947-70E740481C1C}">
                          <a14:useLocalDpi xmlns:a14="http://schemas.microsoft.com/office/drawing/2010/main" val="0"/>
                        </a:ext>
                      </a:extLst>
                    </a:blip>
                    <a:stretch>
                      <a:fillRect/>
                    </a:stretch>
                  </pic:blipFill>
                  <pic:spPr>
                    <a:xfrm>
                      <a:off x="0" y="0"/>
                      <a:ext cx="5087060" cy="2886478"/>
                    </a:xfrm>
                    <a:prstGeom prst="rect">
                      <a:avLst/>
                    </a:prstGeom>
                  </pic:spPr>
                </pic:pic>
              </a:graphicData>
            </a:graphic>
          </wp:anchor>
        </w:drawing>
      </w:r>
    </w:p>
    <w:p w14:paraId="48C9FA76" w14:textId="2BD6ECC8" w:rsidR="000B337E" w:rsidRDefault="000B337E" w:rsidP="008B19F1">
      <w:pPr>
        <w:jc w:val="both"/>
      </w:pPr>
    </w:p>
    <w:p w14:paraId="02661A10" w14:textId="740EB327" w:rsidR="00CD583F" w:rsidRPr="00CD583F" w:rsidRDefault="00CD583F" w:rsidP="008B19F1">
      <w:pPr>
        <w:jc w:val="both"/>
      </w:pPr>
    </w:p>
    <w:p w14:paraId="53BB092E" w14:textId="77777777" w:rsidR="00CD583F" w:rsidRPr="00CD583F" w:rsidRDefault="00CD583F" w:rsidP="008B19F1">
      <w:pPr>
        <w:jc w:val="both"/>
      </w:pPr>
    </w:p>
    <w:p w14:paraId="6CFAC79F" w14:textId="48C79D76" w:rsidR="00CD583F" w:rsidRPr="00CD583F" w:rsidRDefault="00CD583F" w:rsidP="008B19F1">
      <w:pPr>
        <w:jc w:val="both"/>
      </w:pPr>
    </w:p>
    <w:p w14:paraId="1AF57B3D" w14:textId="77777777" w:rsidR="00CD583F" w:rsidRPr="00CD583F" w:rsidRDefault="00CD583F" w:rsidP="008B19F1">
      <w:pPr>
        <w:jc w:val="both"/>
      </w:pPr>
    </w:p>
    <w:p w14:paraId="5F67C066" w14:textId="14516891" w:rsidR="00CD583F" w:rsidRPr="00CD583F" w:rsidRDefault="00CD583F" w:rsidP="008B19F1">
      <w:pPr>
        <w:jc w:val="both"/>
      </w:pPr>
    </w:p>
    <w:p w14:paraId="62DCFA89" w14:textId="77777777" w:rsidR="00CD583F" w:rsidRPr="00CD583F" w:rsidRDefault="00CD583F" w:rsidP="008B19F1">
      <w:pPr>
        <w:jc w:val="both"/>
      </w:pPr>
    </w:p>
    <w:p w14:paraId="350D35B9" w14:textId="77777777" w:rsidR="00CD583F" w:rsidRPr="00CD583F" w:rsidRDefault="00CD583F" w:rsidP="008B19F1">
      <w:pPr>
        <w:jc w:val="both"/>
      </w:pPr>
    </w:p>
    <w:p w14:paraId="7100E352" w14:textId="221CD75C" w:rsidR="00CD583F" w:rsidRPr="00CD583F" w:rsidRDefault="00CD583F" w:rsidP="008B19F1">
      <w:pPr>
        <w:jc w:val="both"/>
      </w:pPr>
    </w:p>
    <w:p w14:paraId="3E389DED" w14:textId="1AD69EE2" w:rsidR="00CD583F" w:rsidRDefault="00CD583F" w:rsidP="008B19F1">
      <w:pPr>
        <w:jc w:val="both"/>
      </w:pPr>
      <w:r>
        <w:t>According to the Welsh Government (2025), Children living in poverty miss out opportunities across Wales.</w:t>
      </w:r>
      <w:r>
        <w:rPr>
          <w:rFonts w:ascii="Arial" w:hAnsi="Arial" w:cs="Arial"/>
        </w:rPr>
        <w:t>​</w:t>
      </w:r>
    </w:p>
    <w:p w14:paraId="747F44C0" w14:textId="1D853015" w:rsidR="00CD583F" w:rsidRDefault="00CD583F" w:rsidP="008B19F1">
      <w:pPr>
        <w:jc w:val="both"/>
      </w:pPr>
      <w:r>
        <w:t>Having a low household income makes financial instability, which makes it hard for families to meet basic needs such as food, heating and clothing.</w:t>
      </w:r>
      <w:r>
        <w:rPr>
          <w:rFonts w:ascii="Arial" w:hAnsi="Arial" w:cs="Arial"/>
        </w:rPr>
        <w:t>​</w:t>
      </w:r>
    </w:p>
    <w:p w14:paraId="55719AC0" w14:textId="6D624A2D" w:rsidR="00CD583F" w:rsidRDefault="00CD583F" w:rsidP="008B19F1">
      <w:pPr>
        <w:jc w:val="both"/>
      </w:pPr>
      <w:r>
        <w:t>This often means that the children are starting school at a disadvantage compared to their peers.</w:t>
      </w:r>
      <w:r>
        <w:rPr>
          <w:rFonts w:ascii="Arial" w:hAnsi="Arial" w:cs="Arial"/>
        </w:rPr>
        <w:t>​</w:t>
      </w:r>
    </w:p>
    <w:p w14:paraId="018981FD" w14:textId="296DC247" w:rsidR="00CD583F" w:rsidRDefault="00CD583F" w:rsidP="008B19F1">
      <w:pPr>
        <w:jc w:val="both"/>
      </w:pPr>
      <w:r>
        <w:t>Over time, these financial pressures can hinder future opportunities for these children, reinforcing the cycle of poverty across generations.</w:t>
      </w:r>
      <w:r>
        <w:rPr>
          <w:rFonts w:ascii="Arial" w:hAnsi="Arial" w:cs="Arial"/>
        </w:rPr>
        <w:t>​</w:t>
      </w:r>
    </w:p>
    <w:p w14:paraId="72DD9DE1" w14:textId="5ED84664" w:rsidR="00CD583F" w:rsidRDefault="006E458E" w:rsidP="008B19F1">
      <w:pPr>
        <w:jc w:val="both"/>
      </w:pPr>
      <w:r w:rsidRPr="00CD583F">
        <w:rPr>
          <w:noProof/>
        </w:rPr>
        <w:drawing>
          <wp:anchor distT="0" distB="0" distL="114300" distR="114300" simplePos="0" relativeHeight="251659264" behindDoc="1" locked="0" layoutInCell="1" allowOverlap="1" wp14:anchorId="03E899B3" wp14:editId="2A11534E">
            <wp:simplePos x="0" y="0"/>
            <wp:positionH relativeFrom="margin">
              <wp:align>center</wp:align>
            </wp:positionH>
            <wp:positionV relativeFrom="paragraph">
              <wp:posOffset>375920</wp:posOffset>
            </wp:positionV>
            <wp:extent cx="5153744" cy="2943636"/>
            <wp:effectExtent l="0" t="0" r="0" b="9525"/>
            <wp:wrapNone/>
            <wp:docPr id="413944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944727" name=""/>
                    <pic:cNvPicPr/>
                  </pic:nvPicPr>
                  <pic:blipFill>
                    <a:blip r:embed="rId8">
                      <a:extLst>
                        <a:ext uri="{28A0092B-C50C-407E-A947-70E740481C1C}">
                          <a14:useLocalDpi xmlns:a14="http://schemas.microsoft.com/office/drawing/2010/main" val="0"/>
                        </a:ext>
                      </a:extLst>
                    </a:blip>
                    <a:stretch>
                      <a:fillRect/>
                    </a:stretch>
                  </pic:blipFill>
                  <pic:spPr>
                    <a:xfrm>
                      <a:off x="0" y="0"/>
                      <a:ext cx="5153744" cy="2943636"/>
                    </a:xfrm>
                    <a:prstGeom prst="rect">
                      <a:avLst/>
                    </a:prstGeom>
                  </pic:spPr>
                </pic:pic>
              </a:graphicData>
            </a:graphic>
          </wp:anchor>
        </w:drawing>
      </w:r>
      <w:r w:rsidR="00CD583F">
        <w:t>How can we change this? Support can be given to families, like schemes to help reduce the cost of life's essentials.</w:t>
      </w:r>
    </w:p>
    <w:p w14:paraId="612E3253" w14:textId="55454E43" w:rsidR="00CD583F" w:rsidRDefault="00CD583F" w:rsidP="008B19F1">
      <w:pPr>
        <w:jc w:val="both"/>
      </w:pPr>
    </w:p>
    <w:p w14:paraId="6F94CD53" w14:textId="4A133B3A" w:rsidR="00CD583F" w:rsidRPr="00CD583F" w:rsidRDefault="00CD583F" w:rsidP="008B19F1">
      <w:pPr>
        <w:jc w:val="both"/>
      </w:pPr>
    </w:p>
    <w:p w14:paraId="58B2E117" w14:textId="1B6B4FEC" w:rsidR="00CD583F" w:rsidRPr="00CD583F" w:rsidRDefault="00CD583F" w:rsidP="008B19F1">
      <w:pPr>
        <w:jc w:val="both"/>
      </w:pPr>
    </w:p>
    <w:p w14:paraId="6F3C304F" w14:textId="77777777" w:rsidR="00CD583F" w:rsidRPr="00CD583F" w:rsidRDefault="00CD583F" w:rsidP="008B19F1">
      <w:pPr>
        <w:jc w:val="both"/>
      </w:pPr>
    </w:p>
    <w:p w14:paraId="343B70AD" w14:textId="77777777" w:rsidR="00CD583F" w:rsidRPr="00CD583F" w:rsidRDefault="00CD583F" w:rsidP="008B19F1">
      <w:pPr>
        <w:jc w:val="both"/>
      </w:pPr>
    </w:p>
    <w:p w14:paraId="2AA935E4" w14:textId="77777777" w:rsidR="00CD583F" w:rsidRPr="00CD583F" w:rsidRDefault="00CD583F" w:rsidP="008B19F1">
      <w:pPr>
        <w:jc w:val="both"/>
      </w:pPr>
    </w:p>
    <w:p w14:paraId="6A925104" w14:textId="77777777" w:rsidR="00CD583F" w:rsidRDefault="00CD583F" w:rsidP="008B19F1">
      <w:pPr>
        <w:jc w:val="both"/>
      </w:pPr>
    </w:p>
    <w:p w14:paraId="145BB9A3" w14:textId="1DED71B7" w:rsidR="00CD583F" w:rsidRDefault="00CD583F" w:rsidP="008B19F1">
      <w:pPr>
        <w:tabs>
          <w:tab w:val="left" w:pos="3330"/>
        </w:tabs>
        <w:jc w:val="both"/>
      </w:pPr>
      <w:r>
        <w:tab/>
      </w:r>
    </w:p>
    <w:p w14:paraId="0345170C" w14:textId="77777777" w:rsidR="00CD583F" w:rsidRDefault="00CD583F" w:rsidP="008B19F1">
      <w:pPr>
        <w:tabs>
          <w:tab w:val="left" w:pos="3330"/>
        </w:tabs>
        <w:jc w:val="both"/>
      </w:pPr>
      <w:r>
        <w:lastRenderedPageBreak/>
        <w:t>According to Estyn (2024) and the Welsh Government (2025), poverty creates big barriers to learning which then limits children’s future opportunities.</w:t>
      </w:r>
      <w:r>
        <w:rPr>
          <w:rFonts w:ascii="Arial" w:hAnsi="Arial" w:cs="Arial"/>
        </w:rPr>
        <w:t>​</w:t>
      </w:r>
    </w:p>
    <w:p w14:paraId="5498DD7D" w14:textId="77777777" w:rsidR="00CD583F" w:rsidRDefault="00CD583F" w:rsidP="008B19F1">
      <w:pPr>
        <w:tabs>
          <w:tab w:val="left" w:pos="3330"/>
        </w:tabs>
        <w:jc w:val="both"/>
      </w:pPr>
      <w:r>
        <w:t>Poverty is closely linked to employment, especially where parents/carers are unemployed or in low-paid or insecure work.</w:t>
      </w:r>
      <w:r>
        <w:rPr>
          <w:rFonts w:ascii="Arial" w:hAnsi="Arial" w:cs="Arial"/>
        </w:rPr>
        <w:t>​</w:t>
      </w:r>
    </w:p>
    <w:p w14:paraId="53F7C393" w14:textId="77777777" w:rsidR="00CD583F" w:rsidRDefault="00CD583F" w:rsidP="008B19F1">
      <w:pPr>
        <w:tabs>
          <w:tab w:val="left" w:pos="3330"/>
        </w:tabs>
        <w:jc w:val="both"/>
      </w:pPr>
      <w:r>
        <w:t>home environments can then become unstable and limit access to opportunities for children.</w:t>
      </w:r>
      <w:r>
        <w:rPr>
          <w:rFonts w:ascii="Arial" w:hAnsi="Arial" w:cs="Arial"/>
        </w:rPr>
        <w:t>​</w:t>
      </w:r>
    </w:p>
    <w:p w14:paraId="7D334B53" w14:textId="77777777" w:rsidR="00CD583F" w:rsidRDefault="00CD583F" w:rsidP="008B19F1">
      <w:pPr>
        <w:tabs>
          <w:tab w:val="left" w:pos="3330"/>
        </w:tabs>
        <w:jc w:val="both"/>
      </w:pPr>
      <w:r>
        <w:t xml:space="preserve"> Children growing up in poverty are more likely to experience disadvantage across multiple areas of their lives (Welsh Government,2025)</w:t>
      </w:r>
      <w:r>
        <w:rPr>
          <w:rFonts w:ascii="Arial" w:hAnsi="Arial" w:cs="Arial"/>
        </w:rPr>
        <w:t>​</w:t>
      </w:r>
    </w:p>
    <w:p w14:paraId="5ADC44F5" w14:textId="77777777" w:rsidR="00CD583F" w:rsidRDefault="00CD583F" w:rsidP="008B19F1">
      <w:pPr>
        <w:tabs>
          <w:tab w:val="left" w:pos="3330"/>
        </w:tabs>
        <w:jc w:val="both"/>
      </w:pPr>
      <w:r>
        <w:t>As children grow older, these challenges can impact their educational attainment and future employment prospects.</w:t>
      </w:r>
      <w:r>
        <w:rPr>
          <w:rFonts w:ascii="Arial" w:hAnsi="Arial" w:cs="Arial"/>
        </w:rPr>
        <w:t>​</w:t>
      </w:r>
    </w:p>
    <w:p w14:paraId="622C1F34" w14:textId="22CAB943" w:rsidR="00CD583F" w:rsidRDefault="00CD583F" w:rsidP="008B19F1">
      <w:pPr>
        <w:tabs>
          <w:tab w:val="left" w:pos="3330"/>
        </w:tabs>
        <w:jc w:val="both"/>
      </w:pPr>
      <w:r>
        <w:t xml:space="preserve">Without effective intervention, this contributes to a cycle where poverty continues from one generation to the next (Welsh Government, 2025).  Although we can change this by setting up groups within the child’s school, where parents and carers could come into school to achieve skills that will help them get good paid jobs, which in turn will encourage the children to want to </w:t>
      </w:r>
      <w:r w:rsidR="008B19F1">
        <w:t>succuss</w:t>
      </w:r>
      <w:r>
        <w:t xml:space="preserve"> just like their parents/carers.</w:t>
      </w:r>
    </w:p>
    <w:p w14:paraId="561D4382" w14:textId="7BC0E9AD" w:rsidR="008B19F1" w:rsidRDefault="008B19F1" w:rsidP="008B19F1">
      <w:pPr>
        <w:tabs>
          <w:tab w:val="left" w:pos="3330"/>
        </w:tabs>
        <w:jc w:val="both"/>
      </w:pPr>
      <w:r w:rsidRPr="008B19F1">
        <w:rPr>
          <w:noProof/>
        </w:rPr>
        <w:drawing>
          <wp:inline distT="0" distB="0" distL="0" distR="0" wp14:anchorId="32D17AC0" wp14:editId="295ED69E">
            <wp:extent cx="5144218" cy="2924583"/>
            <wp:effectExtent l="0" t="0" r="0" b="9525"/>
            <wp:docPr id="1501360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360732" name=""/>
                    <pic:cNvPicPr/>
                  </pic:nvPicPr>
                  <pic:blipFill>
                    <a:blip r:embed="rId9"/>
                    <a:stretch>
                      <a:fillRect/>
                    </a:stretch>
                  </pic:blipFill>
                  <pic:spPr>
                    <a:xfrm>
                      <a:off x="0" y="0"/>
                      <a:ext cx="5144218" cy="2924583"/>
                    </a:xfrm>
                    <a:prstGeom prst="rect">
                      <a:avLst/>
                    </a:prstGeom>
                  </pic:spPr>
                </pic:pic>
              </a:graphicData>
            </a:graphic>
          </wp:inline>
        </w:drawing>
      </w:r>
    </w:p>
    <w:p w14:paraId="0960CECC" w14:textId="77777777" w:rsidR="008B19F1" w:rsidRDefault="008B19F1" w:rsidP="008B19F1">
      <w:pPr>
        <w:tabs>
          <w:tab w:val="left" w:pos="3330"/>
        </w:tabs>
        <w:jc w:val="both"/>
      </w:pPr>
    </w:p>
    <w:p w14:paraId="0D1C1793" w14:textId="77777777" w:rsidR="008B19F1" w:rsidRDefault="008B19F1" w:rsidP="008B19F1">
      <w:pPr>
        <w:tabs>
          <w:tab w:val="left" w:pos="3330"/>
        </w:tabs>
        <w:jc w:val="both"/>
      </w:pPr>
      <w:r>
        <w:t>The cost of education has a huge effect on children living in poverty.</w:t>
      </w:r>
      <w:r>
        <w:rPr>
          <w:rFonts w:ascii="Arial" w:hAnsi="Arial" w:cs="Arial"/>
        </w:rPr>
        <w:t>​</w:t>
      </w:r>
    </w:p>
    <w:p w14:paraId="5242A9F3" w14:textId="77777777" w:rsidR="008B19F1" w:rsidRDefault="008B19F1" w:rsidP="008B19F1">
      <w:pPr>
        <w:tabs>
          <w:tab w:val="left" w:pos="3330"/>
        </w:tabs>
        <w:jc w:val="both"/>
      </w:pPr>
      <w:r>
        <w:t>Expenses like, school uniforms, transport, and learning materials can add additional financial pressure on low-income families.</w:t>
      </w:r>
      <w:r>
        <w:rPr>
          <w:rFonts w:ascii="Arial" w:hAnsi="Arial" w:cs="Arial"/>
        </w:rPr>
        <w:t>​</w:t>
      </w:r>
    </w:p>
    <w:p w14:paraId="15541A82" w14:textId="77777777" w:rsidR="008B19F1" w:rsidRDefault="008B19F1" w:rsidP="008B19F1">
      <w:pPr>
        <w:tabs>
          <w:tab w:val="left" w:pos="3330"/>
        </w:tabs>
        <w:jc w:val="both"/>
      </w:pPr>
      <w:r>
        <w:t xml:space="preserve">Many children may also lack access to digital resources for example, laptops or </w:t>
      </w:r>
      <w:proofErr w:type="spellStart"/>
      <w:r>
        <w:t>wifi</w:t>
      </w:r>
      <w:proofErr w:type="spellEnd"/>
      <w:r>
        <w:t xml:space="preserve"> which are essential for completing most homework these days.</w:t>
      </w:r>
      <w:r>
        <w:rPr>
          <w:rFonts w:ascii="Arial" w:hAnsi="Arial" w:cs="Arial"/>
        </w:rPr>
        <w:t>​</w:t>
      </w:r>
      <w:r>
        <w:t xml:space="preserve"> </w:t>
      </w:r>
    </w:p>
    <w:p w14:paraId="2D600BD3" w14:textId="282D0BD2" w:rsidR="008B19F1" w:rsidRDefault="008B19F1" w:rsidP="008B19F1">
      <w:pPr>
        <w:tabs>
          <w:tab w:val="left" w:pos="3330"/>
        </w:tabs>
        <w:jc w:val="both"/>
      </w:pPr>
      <w:r>
        <w:t>According to Estyn (2024), these barriers can reduce engagement in education and negatively impact academic achievement.</w:t>
      </w:r>
      <w:r>
        <w:rPr>
          <w:rFonts w:ascii="Arial" w:hAnsi="Arial" w:cs="Arial"/>
        </w:rPr>
        <w:t>​</w:t>
      </w:r>
    </w:p>
    <w:p w14:paraId="6E3C6F22" w14:textId="79E0FFCF" w:rsidR="008B19F1" w:rsidRDefault="008B19F1" w:rsidP="008B19F1">
      <w:pPr>
        <w:tabs>
          <w:tab w:val="left" w:pos="3330"/>
        </w:tabs>
        <w:jc w:val="both"/>
      </w:pPr>
      <w:r>
        <w:t>However, we can change this by opening local 'Pre- loved Uniform shops' so that the financial strain for new school uniform could be lifted, and the children can attend school looking just like their peers.</w:t>
      </w:r>
    </w:p>
    <w:p w14:paraId="0FB540C2" w14:textId="39151235" w:rsidR="008B19F1" w:rsidRDefault="008B19F1" w:rsidP="008B19F1">
      <w:pPr>
        <w:tabs>
          <w:tab w:val="left" w:pos="3330"/>
        </w:tabs>
        <w:jc w:val="both"/>
      </w:pPr>
      <w:r w:rsidRPr="008B19F1">
        <w:rPr>
          <w:noProof/>
        </w:rPr>
        <w:lastRenderedPageBreak/>
        <w:drawing>
          <wp:inline distT="0" distB="0" distL="0" distR="0" wp14:anchorId="05F6A619" wp14:editId="54EE92E4">
            <wp:extent cx="5182323" cy="2905530"/>
            <wp:effectExtent l="0" t="0" r="0" b="9525"/>
            <wp:docPr id="1578686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686153" name=""/>
                    <pic:cNvPicPr/>
                  </pic:nvPicPr>
                  <pic:blipFill>
                    <a:blip r:embed="rId10"/>
                    <a:stretch>
                      <a:fillRect/>
                    </a:stretch>
                  </pic:blipFill>
                  <pic:spPr>
                    <a:xfrm>
                      <a:off x="0" y="0"/>
                      <a:ext cx="5182323" cy="2905530"/>
                    </a:xfrm>
                    <a:prstGeom prst="rect">
                      <a:avLst/>
                    </a:prstGeom>
                  </pic:spPr>
                </pic:pic>
              </a:graphicData>
            </a:graphic>
          </wp:inline>
        </w:drawing>
      </w:r>
    </w:p>
    <w:p w14:paraId="15E2A882" w14:textId="0C1837B7" w:rsidR="008B19F1" w:rsidRDefault="008B19F1" w:rsidP="008B19F1">
      <w:pPr>
        <w:tabs>
          <w:tab w:val="left" w:pos="3330"/>
        </w:tabs>
        <w:jc w:val="both"/>
      </w:pPr>
    </w:p>
    <w:p w14:paraId="7BAEE76A" w14:textId="233B429F" w:rsidR="008B19F1" w:rsidRDefault="008B19F1" w:rsidP="008B19F1">
      <w:pPr>
        <w:tabs>
          <w:tab w:val="left" w:pos="3330"/>
        </w:tabs>
        <w:jc w:val="both"/>
      </w:pPr>
      <w:r>
        <w:t>Poverty hugely affects children’s physical health and development.</w:t>
      </w:r>
      <w:r>
        <w:rPr>
          <w:rFonts w:ascii="Arial" w:hAnsi="Arial" w:cs="Arial"/>
        </w:rPr>
        <w:t>​</w:t>
      </w:r>
    </w:p>
    <w:p w14:paraId="54838BB1" w14:textId="5E439004" w:rsidR="008B19F1" w:rsidRDefault="008B19F1" w:rsidP="008B19F1">
      <w:pPr>
        <w:tabs>
          <w:tab w:val="left" w:pos="3330"/>
        </w:tabs>
        <w:jc w:val="both"/>
      </w:pPr>
      <w:r>
        <w:t xml:space="preserve">Limited access to nutritious food can lead to poor diet and lower energy levels, which can </w:t>
      </w:r>
      <w:proofErr w:type="gramStart"/>
      <w:r>
        <w:t xml:space="preserve">have an </w:t>
      </w:r>
      <w:r w:rsidR="006E458E">
        <w:t>effect</w:t>
      </w:r>
      <w:r>
        <w:t xml:space="preserve"> on</w:t>
      </w:r>
      <w:proofErr w:type="gramEnd"/>
      <w:r>
        <w:t xml:space="preserve"> the </w:t>
      </w:r>
      <w:r w:rsidR="006E458E">
        <w:t>children’s</w:t>
      </w:r>
      <w:r>
        <w:t xml:space="preserve"> concentration and learning in school.</w:t>
      </w:r>
      <w:r>
        <w:rPr>
          <w:rFonts w:ascii="Arial" w:hAnsi="Arial" w:cs="Arial"/>
        </w:rPr>
        <w:t>​</w:t>
      </w:r>
    </w:p>
    <w:p w14:paraId="7DCF4206" w14:textId="584417B9" w:rsidR="008B19F1" w:rsidRDefault="008B19F1" w:rsidP="008B19F1">
      <w:pPr>
        <w:tabs>
          <w:tab w:val="left" w:pos="3330"/>
        </w:tabs>
        <w:jc w:val="both"/>
      </w:pPr>
      <w:r>
        <w:t>According to Action for Children (2024), these health challenges due to poor diet in childhood can have lasting effects, continuing into adulthood.</w:t>
      </w:r>
      <w:r>
        <w:rPr>
          <w:rFonts w:ascii="Arial" w:hAnsi="Arial" w:cs="Arial"/>
        </w:rPr>
        <w:t>​</w:t>
      </w:r>
    </w:p>
    <w:p w14:paraId="7B865A2D" w14:textId="421589AB" w:rsidR="008B19F1" w:rsidRDefault="008B19F1" w:rsidP="008B19F1">
      <w:pPr>
        <w:tabs>
          <w:tab w:val="left" w:pos="3330"/>
        </w:tabs>
        <w:jc w:val="both"/>
      </w:pPr>
      <w:r>
        <w:t xml:space="preserve">This can be changed by </w:t>
      </w:r>
      <w:r w:rsidR="006E458E">
        <w:t>opening</w:t>
      </w:r>
      <w:r>
        <w:t xml:space="preserve"> free family cooking sessions within schools where the whole family can learn about nutrition and healthy eating, learn cheap and easy </w:t>
      </w:r>
      <w:r w:rsidR="006E458E">
        <w:t>recipes</w:t>
      </w:r>
      <w:r>
        <w:t xml:space="preserve">  and their healthy nutritious meal for that evening would also be included.</w:t>
      </w:r>
    </w:p>
    <w:p w14:paraId="33D512EF" w14:textId="3D03CDDA" w:rsidR="008B19F1" w:rsidRDefault="008B19F1" w:rsidP="008B19F1">
      <w:pPr>
        <w:tabs>
          <w:tab w:val="left" w:pos="3330"/>
        </w:tabs>
        <w:jc w:val="both"/>
      </w:pPr>
    </w:p>
    <w:p w14:paraId="4EE5F04C" w14:textId="585CF4CE" w:rsidR="00CD583F" w:rsidRDefault="008B19F1" w:rsidP="008B19F1">
      <w:pPr>
        <w:tabs>
          <w:tab w:val="left" w:pos="3330"/>
        </w:tabs>
        <w:jc w:val="both"/>
      </w:pPr>
      <w:r w:rsidRPr="008B19F1">
        <w:rPr>
          <w:noProof/>
        </w:rPr>
        <w:drawing>
          <wp:anchor distT="0" distB="0" distL="114300" distR="114300" simplePos="0" relativeHeight="251660288" behindDoc="1" locked="0" layoutInCell="1" allowOverlap="1" wp14:anchorId="7653110B" wp14:editId="0EC8C565">
            <wp:simplePos x="0" y="0"/>
            <wp:positionH relativeFrom="margin">
              <wp:posOffset>-635</wp:posOffset>
            </wp:positionH>
            <wp:positionV relativeFrom="paragraph">
              <wp:posOffset>6985</wp:posOffset>
            </wp:positionV>
            <wp:extent cx="5182323" cy="2896004"/>
            <wp:effectExtent l="0" t="0" r="0" b="0"/>
            <wp:wrapNone/>
            <wp:docPr id="1287949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949724" name=""/>
                    <pic:cNvPicPr/>
                  </pic:nvPicPr>
                  <pic:blipFill>
                    <a:blip r:embed="rId11">
                      <a:extLst>
                        <a:ext uri="{28A0092B-C50C-407E-A947-70E740481C1C}">
                          <a14:useLocalDpi xmlns:a14="http://schemas.microsoft.com/office/drawing/2010/main" val="0"/>
                        </a:ext>
                      </a:extLst>
                    </a:blip>
                    <a:stretch>
                      <a:fillRect/>
                    </a:stretch>
                  </pic:blipFill>
                  <pic:spPr>
                    <a:xfrm>
                      <a:off x="0" y="0"/>
                      <a:ext cx="5182323" cy="2896004"/>
                    </a:xfrm>
                    <a:prstGeom prst="rect">
                      <a:avLst/>
                    </a:prstGeom>
                  </pic:spPr>
                </pic:pic>
              </a:graphicData>
            </a:graphic>
          </wp:anchor>
        </w:drawing>
      </w:r>
    </w:p>
    <w:p w14:paraId="51DBB921" w14:textId="6B435E6A" w:rsidR="00CD583F" w:rsidRDefault="00CD583F" w:rsidP="008B19F1">
      <w:pPr>
        <w:tabs>
          <w:tab w:val="left" w:pos="3330"/>
        </w:tabs>
        <w:jc w:val="both"/>
      </w:pPr>
    </w:p>
    <w:p w14:paraId="186E7BBC" w14:textId="3C817134" w:rsidR="00CD583F" w:rsidRDefault="00CD583F" w:rsidP="008B19F1">
      <w:pPr>
        <w:tabs>
          <w:tab w:val="left" w:pos="3330"/>
        </w:tabs>
        <w:jc w:val="both"/>
      </w:pPr>
    </w:p>
    <w:p w14:paraId="0FB387B5" w14:textId="16C3170F" w:rsidR="00CD583F" w:rsidRDefault="00CD583F" w:rsidP="008B19F1">
      <w:pPr>
        <w:tabs>
          <w:tab w:val="left" w:pos="3330"/>
        </w:tabs>
        <w:jc w:val="both"/>
      </w:pPr>
    </w:p>
    <w:p w14:paraId="7A1A881E" w14:textId="77777777" w:rsidR="00CD583F" w:rsidRDefault="00CD583F" w:rsidP="008B19F1">
      <w:pPr>
        <w:tabs>
          <w:tab w:val="left" w:pos="3330"/>
        </w:tabs>
        <w:jc w:val="both"/>
      </w:pPr>
    </w:p>
    <w:p w14:paraId="779695C6" w14:textId="77777777" w:rsidR="00CD583F" w:rsidRDefault="00CD583F" w:rsidP="008B19F1">
      <w:pPr>
        <w:tabs>
          <w:tab w:val="left" w:pos="3330"/>
        </w:tabs>
        <w:jc w:val="both"/>
      </w:pPr>
    </w:p>
    <w:p w14:paraId="0A848C9E" w14:textId="4CC26301" w:rsidR="00CD583F" w:rsidRDefault="00CD583F" w:rsidP="008B19F1">
      <w:pPr>
        <w:tabs>
          <w:tab w:val="left" w:pos="3330"/>
        </w:tabs>
        <w:jc w:val="both"/>
      </w:pPr>
    </w:p>
    <w:p w14:paraId="702FC23E" w14:textId="77777777" w:rsidR="00CD583F" w:rsidRDefault="00CD583F" w:rsidP="008B19F1">
      <w:pPr>
        <w:tabs>
          <w:tab w:val="left" w:pos="3330"/>
        </w:tabs>
        <w:jc w:val="both"/>
      </w:pPr>
    </w:p>
    <w:p w14:paraId="533F700C" w14:textId="77777777" w:rsidR="00CD583F" w:rsidRDefault="00CD583F" w:rsidP="008B19F1">
      <w:pPr>
        <w:tabs>
          <w:tab w:val="left" w:pos="3330"/>
        </w:tabs>
        <w:jc w:val="both"/>
      </w:pPr>
    </w:p>
    <w:p w14:paraId="61AE8FFC" w14:textId="77777777" w:rsidR="00CD583F" w:rsidRDefault="00CD583F" w:rsidP="008B19F1">
      <w:pPr>
        <w:tabs>
          <w:tab w:val="left" w:pos="3330"/>
        </w:tabs>
        <w:jc w:val="both"/>
      </w:pPr>
    </w:p>
    <w:p w14:paraId="47A97B5F" w14:textId="77777777" w:rsidR="00CD583F" w:rsidRDefault="00CD583F" w:rsidP="008B19F1">
      <w:pPr>
        <w:tabs>
          <w:tab w:val="left" w:pos="3330"/>
        </w:tabs>
        <w:jc w:val="both"/>
      </w:pPr>
    </w:p>
    <w:p w14:paraId="3CBC90AB" w14:textId="77777777" w:rsidR="008B19F1" w:rsidRPr="008B19F1" w:rsidRDefault="008B19F1" w:rsidP="008B19F1">
      <w:pPr>
        <w:jc w:val="both"/>
      </w:pPr>
    </w:p>
    <w:p w14:paraId="3920815C" w14:textId="75B59D2B" w:rsidR="008B19F1" w:rsidRDefault="008B19F1" w:rsidP="008B19F1">
      <w:pPr>
        <w:tabs>
          <w:tab w:val="left" w:pos="1185"/>
        </w:tabs>
        <w:jc w:val="both"/>
      </w:pPr>
      <w:r>
        <w:lastRenderedPageBreak/>
        <w:t>Poverty can have a serious impact on children’s mental health and emotional wellbeing.</w:t>
      </w:r>
      <w:r>
        <w:rPr>
          <w:rFonts w:ascii="Arial" w:hAnsi="Arial" w:cs="Arial"/>
        </w:rPr>
        <w:t>​</w:t>
      </w:r>
    </w:p>
    <w:p w14:paraId="00C3DB80" w14:textId="77777777" w:rsidR="008B19F1" w:rsidRDefault="008B19F1" w:rsidP="008B19F1">
      <w:pPr>
        <w:tabs>
          <w:tab w:val="left" w:pos="1185"/>
        </w:tabs>
        <w:jc w:val="both"/>
      </w:pPr>
      <w:r>
        <w:t>Financial stress within the family home can create anxiety, insecurity, and feelings of instability for children.</w:t>
      </w:r>
      <w:r>
        <w:rPr>
          <w:rFonts w:ascii="Arial" w:hAnsi="Arial" w:cs="Arial"/>
        </w:rPr>
        <w:t>​</w:t>
      </w:r>
    </w:p>
    <w:p w14:paraId="461955B9" w14:textId="77777777" w:rsidR="008B19F1" w:rsidRDefault="008B19F1" w:rsidP="008B19F1">
      <w:pPr>
        <w:tabs>
          <w:tab w:val="left" w:pos="1185"/>
        </w:tabs>
        <w:jc w:val="both"/>
      </w:pPr>
      <w:r>
        <w:t>This can affect their confidence, self-esteem, and ability to engage positively in school.</w:t>
      </w:r>
      <w:r>
        <w:rPr>
          <w:rFonts w:ascii="Arial" w:hAnsi="Arial" w:cs="Arial"/>
        </w:rPr>
        <w:t>​</w:t>
      </w:r>
    </w:p>
    <w:p w14:paraId="24C49EBE" w14:textId="14CF7B22" w:rsidR="008B19F1" w:rsidRDefault="008B19F1" w:rsidP="008B19F1">
      <w:pPr>
        <w:tabs>
          <w:tab w:val="left" w:pos="1185"/>
        </w:tabs>
        <w:jc w:val="both"/>
        <w:rPr>
          <w:rFonts w:ascii="Arial" w:hAnsi="Arial" w:cs="Arial"/>
        </w:rPr>
      </w:pPr>
      <w:r>
        <w:t xml:space="preserve">Children living in poverty are more likely to experience poorer mental health outcomes (Welsh Government, 2024). Support groups in schools for children to be able to talk about their feelings and problems would really benefit children’s mental health, which in turn will help them learn to manage it going into adult life. </w:t>
      </w:r>
      <w:r>
        <w:rPr>
          <w:rFonts w:ascii="Arial" w:hAnsi="Arial" w:cs="Arial"/>
        </w:rPr>
        <w:t>​</w:t>
      </w:r>
    </w:p>
    <w:p w14:paraId="5D1498DA" w14:textId="77777777" w:rsidR="008B19F1" w:rsidRDefault="008B19F1" w:rsidP="008B19F1">
      <w:pPr>
        <w:tabs>
          <w:tab w:val="left" w:pos="1185"/>
        </w:tabs>
        <w:jc w:val="both"/>
        <w:rPr>
          <w:rFonts w:ascii="Arial" w:hAnsi="Arial" w:cs="Arial"/>
        </w:rPr>
      </w:pPr>
    </w:p>
    <w:p w14:paraId="701FF843" w14:textId="3763760A" w:rsidR="008B19F1" w:rsidRDefault="008B19F1" w:rsidP="008B19F1">
      <w:pPr>
        <w:tabs>
          <w:tab w:val="left" w:pos="1185"/>
        </w:tabs>
        <w:jc w:val="both"/>
      </w:pPr>
      <w:r w:rsidRPr="008B19F1">
        <w:rPr>
          <w:noProof/>
        </w:rPr>
        <w:drawing>
          <wp:inline distT="0" distB="0" distL="0" distR="0" wp14:anchorId="7DB42C4E" wp14:editId="0414A1E7">
            <wp:extent cx="5163271" cy="2915057"/>
            <wp:effectExtent l="0" t="0" r="0" b="0"/>
            <wp:docPr id="729347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347313" name=""/>
                    <pic:cNvPicPr/>
                  </pic:nvPicPr>
                  <pic:blipFill>
                    <a:blip r:embed="rId12"/>
                    <a:stretch>
                      <a:fillRect/>
                    </a:stretch>
                  </pic:blipFill>
                  <pic:spPr>
                    <a:xfrm>
                      <a:off x="0" y="0"/>
                      <a:ext cx="5163271" cy="2915057"/>
                    </a:xfrm>
                    <a:prstGeom prst="rect">
                      <a:avLst/>
                    </a:prstGeom>
                  </pic:spPr>
                </pic:pic>
              </a:graphicData>
            </a:graphic>
          </wp:inline>
        </w:drawing>
      </w:r>
    </w:p>
    <w:p w14:paraId="260AB292" w14:textId="77777777" w:rsidR="008B19F1" w:rsidRDefault="008B19F1" w:rsidP="008B19F1">
      <w:pPr>
        <w:tabs>
          <w:tab w:val="left" w:pos="1185"/>
        </w:tabs>
        <w:jc w:val="both"/>
      </w:pPr>
    </w:p>
    <w:p w14:paraId="2E60803E" w14:textId="77777777" w:rsidR="008B19F1" w:rsidRPr="008B19F1" w:rsidRDefault="008B19F1" w:rsidP="008B19F1">
      <w:pPr>
        <w:tabs>
          <w:tab w:val="left" w:pos="1185"/>
        </w:tabs>
        <w:jc w:val="both"/>
        <w:rPr>
          <w:rFonts w:ascii="Arial" w:hAnsi="Arial" w:cs="Arial"/>
        </w:rPr>
      </w:pPr>
      <w:r>
        <w:rPr>
          <w:rFonts w:ascii="Arial" w:hAnsi="Arial" w:cs="Arial"/>
        </w:rPr>
        <w:t>​</w:t>
      </w:r>
      <w:r w:rsidRPr="008B19F1">
        <w:rPr>
          <w:rFonts w:ascii="Arial" w:hAnsi="Arial" w:cs="Arial"/>
        </w:rPr>
        <w:t>Poverty can limit children’s social development and sense of belonging.​</w:t>
      </w:r>
    </w:p>
    <w:p w14:paraId="5FC5E35E" w14:textId="77777777" w:rsidR="008B19F1" w:rsidRPr="008B19F1" w:rsidRDefault="008B19F1" w:rsidP="008B19F1">
      <w:pPr>
        <w:tabs>
          <w:tab w:val="left" w:pos="1185"/>
        </w:tabs>
        <w:jc w:val="both"/>
        <w:rPr>
          <w:rFonts w:ascii="Arial" w:hAnsi="Arial" w:cs="Arial"/>
        </w:rPr>
      </w:pPr>
      <w:r w:rsidRPr="008B19F1">
        <w:rPr>
          <w:rFonts w:ascii="Arial" w:hAnsi="Arial" w:cs="Arial"/>
        </w:rPr>
        <w:t>A lot of children may be unable to participate in extracurricular activities, go on school trips, or attend social events due to financial difficulties.​</w:t>
      </w:r>
    </w:p>
    <w:p w14:paraId="0AA056BD" w14:textId="77777777" w:rsidR="008B19F1" w:rsidRDefault="008B19F1" w:rsidP="008B19F1">
      <w:pPr>
        <w:tabs>
          <w:tab w:val="left" w:pos="1185"/>
        </w:tabs>
        <w:jc w:val="both"/>
        <w:rPr>
          <w:rFonts w:ascii="Arial" w:hAnsi="Arial" w:cs="Arial"/>
        </w:rPr>
      </w:pPr>
      <w:r w:rsidRPr="008B19F1">
        <w:rPr>
          <w:rFonts w:ascii="Arial" w:hAnsi="Arial" w:cs="Arial"/>
        </w:rPr>
        <w:t>This can lead to feelings of exclusion and isolation from their peers. ​</w:t>
      </w:r>
    </w:p>
    <w:p w14:paraId="1163A352" w14:textId="451D2850" w:rsidR="008B19F1" w:rsidRPr="008B19F1" w:rsidRDefault="008B19F1" w:rsidP="008B19F1">
      <w:pPr>
        <w:tabs>
          <w:tab w:val="left" w:pos="1185"/>
        </w:tabs>
        <w:jc w:val="both"/>
        <w:rPr>
          <w:rFonts w:ascii="Arial" w:hAnsi="Arial" w:cs="Arial"/>
        </w:rPr>
      </w:pPr>
      <w:r w:rsidRPr="008B19F1">
        <w:rPr>
          <w:rFonts w:ascii="Arial" w:hAnsi="Arial" w:cs="Arial"/>
        </w:rPr>
        <w:t xml:space="preserve"> poverty affects children’s friendships and opportunities (Child Poverty Action Group, 2024). ​</w:t>
      </w:r>
    </w:p>
    <w:p w14:paraId="7B6D9054" w14:textId="77777777" w:rsidR="008B19F1" w:rsidRPr="008B19F1" w:rsidRDefault="008B19F1" w:rsidP="008B19F1">
      <w:pPr>
        <w:tabs>
          <w:tab w:val="left" w:pos="1185"/>
        </w:tabs>
        <w:jc w:val="both"/>
        <w:rPr>
          <w:rFonts w:ascii="Arial" w:hAnsi="Arial" w:cs="Arial"/>
        </w:rPr>
      </w:pPr>
      <w:r w:rsidRPr="008B19F1">
        <w:rPr>
          <w:rFonts w:ascii="Arial" w:hAnsi="Arial" w:cs="Arial"/>
        </w:rPr>
        <w:t>As a result, children may miss out on important social experiences that support confidence, relationships, and their overall development. This reflects wider Welsh Government priorities to reduce inequalities and improve children’s wellbeing and participation (Welsh Government, 2025).​</w:t>
      </w:r>
    </w:p>
    <w:p w14:paraId="72F27856" w14:textId="7D8C4150" w:rsidR="008B19F1" w:rsidRDefault="008B19F1" w:rsidP="008B19F1">
      <w:pPr>
        <w:tabs>
          <w:tab w:val="left" w:pos="1185"/>
        </w:tabs>
        <w:jc w:val="both"/>
        <w:rPr>
          <w:rFonts w:ascii="Arial" w:hAnsi="Arial" w:cs="Arial"/>
        </w:rPr>
      </w:pPr>
      <w:r w:rsidRPr="008B19F1">
        <w:rPr>
          <w:rFonts w:ascii="Arial" w:hAnsi="Arial" w:cs="Arial"/>
        </w:rPr>
        <w:t xml:space="preserve">Why not </w:t>
      </w:r>
      <w:proofErr w:type="gramStart"/>
      <w:r w:rsidRPr="008B19F1">
        <w:rPr>
          <w:rFonts w:ascii="Arial" w:hAnsi="Arial" w:cs="Arial"/>
        </w:rPr>
        <w:t>open up</w:t>
      </w:r>
      <w:proofErr w:type="gramEnd"/>
      <w:r w:rsidRPr="008B19F1">
        <w:rPr>
          <w:rFonts w:ascii="Arial" w:hAnsi="Arial" w:cs="Arial"/>
        </w:rPr>
        <w:t xml:space="preserve"> schools for social events once a week as a chance for all children to meet in a safe place with friends, to chill, learn new skills, play games?</w:t>
      </w:r>
    </w:p>
    <w:p w14:paraId="0452CC34" w14:textId="77777777" w:rsidR="008B19F1" w:rsidRDefault="008B19F1" w:rsidP="008B19F1">
      <w:pPr>
        <w:tabs>
          <w:tab w:val="left" w:pos="1185"/>
        </w:tabs>
        <w:jc w:val="both"/>
        <w:rPr>
          <w:rFonts w:ascii="Arial" w:hAnsi="Arial" w:cs="Arial"/>
        </w:rPr>
      </w:pPr>
    </w:p>
    <w:p w14:paraId="736D7179" w14:textId="77777777" w:rsidR="006E458E" w:rsidRDefault="006E458E" w:rsidP="008B19F1">
      <w:pPr>
        <w:tabs>
          <w:tab w:val="left" w:pos="1185"/>
        </w:tabs>
        <w:jc w:val="both"/>
        <w:rPr>
          <w:rFonts w:ascii="Arial" w:hAnsi="Arial" w:cs="Arial"/>
        </w:rPr>
      </w:pPr>
    </w:p>
    <w:p w14:paraId="4C98D9F4" w14:textId="77777777" w:rsidR="006E458E" w:rsidRDefault="006E458E" w:rsidP="008B19F1">
      <w:pPr>
        <w:tabs>
          <w:tab w:val="left" w:pos="1185"/>
        </w:tabs>
        <w:jc w:val="both"/>
        <w:rPr>
          <w:rFonts w:ascii="Arial" w:hAnsi="Arial" w:cs="Arial"/>
        </w:rPr>
      </w:pPr>
    </w:p>
    <w:p w14:paraId="3770278D" w14:textId="77777777" w:rsidR="006E458E" w:rsidRDefault="006E458E" w:rsidP="008B19F1">
      <w:pPr>
        <w:tabs>
          <w:tab w:val="left" w:pos="1185"/>
        </w:tabs>
        <w:jc w:val="both"/>
        <w:rPr>
          <w:rFonts w:ascii="Arial" w:hAnsi="Arial" w:cs="Arial"/>
        </w:rPr>
      </w:pPr>
    </w:p>
    <w:p w14:paraId="67ABC5AF" w14:textId="448A9623" w:rsidR="008B19F1" w:rsidRDefault="008B19F1" w:rsidP="008B19F1">
      <w:pPr>
        <w:tabs>
          <w:tab w:val="left" w:pos="1185"/>
        </w:tabs>
        <w:jc w:val="both"/>
      </w:pPr>
      <w:r>
        <w:lastRenderedPageBreak/>
        <w:t>Reference List</w:t>
      </w:r>
    </w:p>
    <w:p w14:paraId="04907CE7" w14:textId="3F88F928" w:rsidR="008B19F1" w:rsidRDefault="008B19F1" w:rsidP="008B19F1">
      <w:pPr>
        <w:tabs>
          <w:tab w:val="left" w:pos="1185"/>
        </w:tabs>
        <w:jc w:val="both"/>
      </w:pPr>
      <w:r>
        <w:t>Action for Children (2024) UK poverty stats: children in poverty. Available at: https://www.actionforchildren.org.uk/blog/uk-poverty-stats-children-in-poverty/ (Accessed: 18 April 2026).</w:t>
      </w:r>
      <w:r>
        <w:rPr>
          <w:rFonts w:ascii="Arial" w:hAnsi="Arial" w:cs="Arial"/>
        </w:rPr>
        <w:t>​</w:t>
      </w:r>
    </w:p>
    <w:p w14:paraId="43E2D94C" w14:textId="77777777" w:rsidR="008B19F1" w:rsidRDefault="008B19F1" w:rsidP="008B19F1">
      <w:pPr>
        <w:tabs>
          <w:tab w:val="left" w:pos="1185"/>
        </w:tabs>
        <w:jc w:val="both"/>
      </w:pPr>
      <w:r>
        <w:t>Action for Children (2024) UK poverty stats: children in poverty. Available at: https://www.actionforchildren.org.uk/blog/uk-poverty-stats-children-in-poverty/ (Accessed: 14April 2026).</w:t>
      </w:r>
      <w:r>
        <w:rPr>
          <w:rFonts w:ascii="Arial" w:hAnsi="Arial" w:cs="Arial"/>
        </w:rPr>
        <w:t>​</w:t>
      </w:r>
    </w:p>
    <w:p w14:paraId="3B654AC7" w14:textId="77777777" w:rsidR="008B19F1" w:rsidRDefault="008B19F1" w:rsidP="008B19F1">
      <w:pPr>
        <w:tabs>
          <w:tab w:val="left" w:pos="1185"/>
        </w:tabs>
        <w:jc w:val="both"/>
      </w:pPr>
      <w:r>
        <w:t>Child Poverty Action Group (2024) Effects of poverty. Available at: https://cpag.org.uk/child-poverty/effects-poverty (Accessed: 18 April 2026).</w:t>
      </w:r>
      <w:r>
        <w:rPr>
          <w:rFonts w:ascii="Arial" w:hAnsi="Arial" w:cs="Arial"/>
        </w:rPr>
        <w:t>​</w:t>
      </w:r>
    </w:p>
    <w:p w14:paraId="6C2A23B7" w14:textId="77777777" w:rsidR="008B19F1" w:rsidRDefault="008B19F1" w:rsidP="008B19F1">
      <w:pPr>
        <w:tabs>
          <w:tab w:val="left" w:pos="1185"/>
        </w:tabs>
        <w:jc w:val="both"/>
      </w:pPr>
      <w:r>
        <w:t>Estyn (2024) Impact of poverty on educational attainment, support, provision and transition for early education. Available at: https://estyn.gov.wales/improvement-resources/thematic-report-impact-of-poverty-on-educational-attainment-support-provision-and-transition-for-early-education/ (Accessed: 17 April 2026)</w:t>
      </w:r>
      <w:r>
        <w:rPr>
          <w:rFonts w:ascii="Arial" w:hAnsi="Arial" w:cs="Arial"/>
        </w:rPr>
        <w:t>​</w:t>
      </w:r>
    </w:p>
    <w:p w14:paraId="1CB41A61" w14:textId="77777777" w:rsidR="008B19F1" w:rsidRDefault="008B19F1" w:rsidP="008B19F1">
      <w:pPr>
        <w:tabs>
          <w:tab w:val="left" w:pos="1185"/>
        </w:tabs>
        <w:jc w:val="both"/>
      </w:pPr>
      <w:r>
        <w:t>Estyn (2024) Impact of poverty on educational attainment, support, provision and transition for early education. Available at: https://estyn.gov.wales/improvement-resources/thematic-report-impact-of-poverty-on-educational-attainment-support-provision-and-transition-for-early-education/ (Accessed: 15 April 2026).</w:t>
      </w:r>
      <w:r>
        <w:rPr>
          <w:rFonts w:ascii="Arial" w:hAnsi="Arial" w:cs="Arial"/>
        </w:rPr>
        <w:t>​</w:t>
      </w:r>
    </w:p>
    <w:p w14:paraId="666CCA31" w14:textId="77777777" w:rsidR="008B19F1" w:rsidRDefault="008B19F1" w:rsidP="008B19F1">
      <w:pPr>
        <w:tabs>
          <w:tab w:val="left" w:pos="1185"/>
        </w:tabs>
        <w:jc w:val="both"/>
      </w:pPr>
      <w:r>
        <w:t>Mulligan, A. (2022) Social, environmental, and behavioural factors influencing children’s mental health. Available at: https://www.psychreg.org/social-environmental-behavioural-factors-influencing-childrens-mental-health/ (Accessed: 18 April 2026)</w:t>
      </w:r>
      <w:r>
        <w:rPr>
          <w:rFonts w:ascii="Arial" w:hAnsi="Arial" w:cs="Arial"/>
        </w:rPr>
        <w:t>​</w:t>
      </w:r>
    </w:p>
    <w:p w14:paraId="676CBCC9" w14:textId="77777777" w:rsidR="008B19F1" w:rsidRDefault="008B19F1" w:rsidP="008B19F1">
      <w:pPr>
        <w:tabs>
          <w:tab w:val="left" w:pos="1185"/>
        </w:tabs>
        <w:jc w:val="both"/>
      </w:pPr>
      <w:r>
        <w:t>Rocker, L. (2023) Social exclusion at school [online image]. Available at: https://www.childpsychologist.com.au/resources/social-exclusion-at-school (Accessed: 18 April 2026)</w:t>
      </w:r>
      <w:r>
        <w:rPr>
          <w:rFonts w:ascii="Arial" w:hAnsi="Arial" w:cs="Arial"/>
        </w:rPr>
        <w:t>​</w:t>
      </w:r>
    </w:p>
    <w:p w14:paraId="1D071817" w14:textId="77777777" w:rsidR="008B19F1" w:rsidRDefault="008B19F1" w:rsidP="008B19F1">
      <w:pPr>
        <w:tabs>
          <w:tab w:val="left" w:pos="1185"/>
        </w:tabs>
        <w:jc w:val="both"/>
      </w:pPr>
      <w:proofErr w:type="spellStart"/>
      <w:r>
        <w:t>WalesOnline</w:t>
      </w:r>
      <w:proofErr w:type="spellEnd"/>
      <w:r>
        <w:t xml:space="preserve"> (2026) Unemployment in Wales sees big rise [online image]. Available at: https://www.walesonline.co.uk/news/wales-news/unemployment-wales-sees-big-rise-32854885 (Accessed: 14 April 2026).</w:t>
      </w:r>
      <w:r>
        <w:rPr>
          <w:rFonts w:ascii="Arial" w:hAnsi="Arial" w:cs="Arial"/>
        </w:rPr>
        <w:t>​</w:t>
      </w:r>
    </w:p>
    <w:p w14:paraId="49A04EB3" w14:textId="77777777" w:rsidR="008B19F1" w:rsidRDefault="008B19F1" w:rsidP="008B19F1">
      <w:pPr>
        <w:tabs>
          <w:tab w:val="left" w:pos="1185"/>
        </w:tabs>
        <w:jc w:val="both"/>
      </w:pPr>
      <w:r>
        <w:t>Welsh Government (2025) Child Poverty Strategy for Wales: progress report 2025. Available at: Child Poverty Strategy for Wales progress report 2025 (Accessed: 17 April 2026)</w:t>
      </w:r>
      <w:r>
        <w:rPr>
          <w:rFonts w:ascii="Arial" w:hAnsi="Arial" w:cs="Arial"/>
        </w:rPr>
        <w:t>​</w:t>
      </w:r>
    </w:p>
    <w:p w14:paraId="36A40F8C" w14:textId="77777777" w:rsidR="008B19F1" w:rsidRDefault="008B19F1" w:rsidP="008B19F1">
      <w:pPr>
        <w:tabs>
          <w:tab w:val="left" w:pos="1185"/>
        </w:tabs>
        <w:jc w:val="both"/>
      </w:pPr>
      <w:r>
        <w:t>Welsh Government (2025) Child Poverty Strategy for Wales: progress report 2025. Available at: https://www.gov.wales/child-poverty-strategy-wales-progress-report-2025-html (Accessed: 18 April 2026).</w:t>
      </w:r>
      <w:r>
        <w:rPr>
          <w:rFonts w:ascii="Arial" w:hAnsi="Arial" w:cs="Arial"/>
        </w:rPr>
        <w:t>​</w:t>
      </w:r>
    </w:p>
    <w:p w14:paraId="2F069B27" w14:textId="77777777" w:rsidR="008B19F1" w:rsidRDefault="008B19F1" w:rsidP="008B19F1">
      <w:pPr>
        <w:tabs>
          <w:tab w:val="left" w:pos="1185"/>
        </w:tabs>
        <w:jc w:val="both"/>
      </w:pPr>
      <w:r>
        <w:t>Welsh Government (2025) Child Poverty Strategy for Wales: progress report 2025. Available at: https://www.gov.wales/child-poverty-strategy-wales-progress-report-2025-html (Accessed: 17 April 2026).</w:t>
      </w:r>
      <w:r>
        <w:rPr>
          <w:rFonts w:ascii="Arial" w:hAnsi="Arial" w:cs="Arial"/>
        </w:rPr>
        <w:t>​</w:t>
      </w:r>
    </w:p>
    <w:p w14:paraId="210950AE" w14:textId="295B35F8" w:rsidR="008B19F1" w:rsidRPr="008B19F1" w:rsidRDefault="008B19F1" w:rsidP="008B19F1">
      <w:pPr>
        <w:tabs>
          <w:tab w:val="left" w:pos="1185"/>
        </w:tabs>
        <w:jc w:val="both"/>
      </w:pPr>
      <w:r>
        <w:t>Welsh Government (2024) Child Poverty Strategy for Wales. Available at: https://www.gov.wales/child-poverty-strategy-wales-2024-html (Accessed: 18 April 2026)</w:t>
      </w:r>
    </w:p>
    <w:sectPr w:rsidR="008B19F1" w:rsidRPr="008B19F1" w:rsidSect="008B19F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88F57B" w14:textId="77777777" w:rsidR="00345801" w:rsidRDefault="00345801" w:rsidP="00CD583F">
      <w:pPr>
        <w:spacing w:after="0" w:line="240" w:lineRule="auto"/>
      </w:pPr>
      <w:r>
        <w:separator/>
      </w:r>
    </w:p>
  </w:endnote>
  <w:endnote w:type="continuationSeparator" w:id="0">
    <w:p w14:paraId="2E8B94DA" w14:textId="77777777" w:rsidR="00345801" w:rsidRDefault="00345801" w:rsidP="00CD58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037A3F" w14:textId="77777777" w:rsidR="00345801" w:rsidRDefault="00345801" w:rsidP="00CD583F">
      <w:pPr>
        <w:spacing w:after="0" w:line="240" w:lineRule="auto"/>
      </w:pPr>
      <w:r>
        <w:separator/>
      </w:r>
    </w:p>
  </w:footnote>
  <w:footnote w:type="continuationSeparator" w:id="0">
    <w:p w14:paraId="03632238" w14:textId="77777777" w:rsidR="00345801" w:rsidRDefault="00345801" w:rsidP="00CD58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83F"/>
    <w:rsid w:val="000B337E"/>
    <w:rsid w:val="001C64C1"/>
    <w:rsid w:val="00345801"/>
    <w:rsid w:val="00345EBA"/>
    <w:rsid w:val="006E458E"/>
    <w:rsid w:val="008671E8"/>
    <w:rsid w:val="008B19F1"/>
    <w:rsid w:val="00CD583F"/>
    <w:rsid w:val="00EF0F2C"/>
    <w:rsid w:val="00F6050A"/>
    <w:rsid w:val="00F845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A8656"/>
  <w15:chartTrackingRefBased/>
  <w15:docId w15:val="{68FB491F-80C7-43AE-990D-BC3C3DFF3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58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58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58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58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58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58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58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58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58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58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58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58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58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58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58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58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58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583F"/>
    <w:rPr>
      <w:rFonts w:eastAsiaTheme="majorEastAsia" w:cstheme="majorBidi"/>
      <w:color w:val="272727" w:themeColor="text1" w:themeTint="D8"/>
    </w:rPr>
  </w:style>
  <w:style w:type="paragraph" w:styleId="Title">
    <w:name w:val="Title"/>
    <w:basedOn w:val="Normal"/>
    <w:next w:val="Normal"/>
    <w:link w:val="TitleChar"/>
    <w:uiPriority w:val="10"/>
    <w:qFormat/>
    <w:rsid w:val="00CD58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58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58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58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583F"/>
    <w:pPr>
      <w:spacing w:before="160"/>
      <w:jc w:val="center"/>
    </w:pPr>
    <w:rPr>
      <w:i/>
      <w:iCs/>
      <w:color w:val="404040" w:themeColor="text1" w:themeTint="BF"/>
    </w:rPr>
  </w:style>
  <w:style w:type="character" w:customStyle="1" w:styleId="QuoteChar">
    <w:name w:val="Quote Char"/>
    <w:basedOn w:val="DefaultParagraphFont"/>
    <w:link w:val="Quote"/>
    <w:uiPriority w:val="29"/>
    <w:rsid w:val="00CD583F"/>
    <w:rPr>
      <w:i/>
      <w:iCs/>
      <w:color w:val="404040" w:themeColor="text1" w:themeTint="BF"/>
    </w:rPr>
  </w:style>
  <w:style w:type="paragraph" w:styleId="ListParagraph">
    <w:name w:val="List Paragraph"/>
    <w:basedOn w:val="Normal"/>
    <w:uiPriority w:val="34"/>
    <w:qFormat/>
    <w:rsid w:val="00CD583F"/>
    <w:pPr>
      <w:ind w:left="720"/>
      <w:contextualSpacing/>
    </w:pPr>
  </w:style>
  <w:style w:type="character" w:styleId="IntenseEmphasis">
    <w:name w:val="Intense Emphasis"/>
    <w:basedOn w:val="DefaultParagraphFont"/>
    <w:uiPriority w:val="21"/>
    <w:qFormat/>
    <w:rsid w:val="00CD583F"/>
    <w:rPr>
      <w:i/>
      <w:iCs/>
      <w:color w:val="0F4761" w:themeColor="accent1" w:themeShade="BF"/>
    </w:rPr>
  </w:style>
  <w:style w:type="paragraph" w:styleId="IntenseQuote">
    <w:name w:val="Intense Quote"/>
    <w:basedOn w:val="Normal"/>
    <w:next w:val="Normal"/>
    <w:link w:val="IntenseQuoteChar"/>
    <w:uiPriority w:val="30"/>
    <w:qFormat/>
    <w:rsid w:val="00CD58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583F"/>
    <w:rPr>
      <w:i/>
      <w:iCs/>
      <w:color w:val="0F4761" w:themeColor="accent1" w:themeShade="BF"/>
    </w:rPr>
  </w:style>
  <w:style w:type="character" w:styleId="IntenseReference">
    <w:name w:val="Intense Reference"/>
    <w:basedOn w:val="DefaultParagraphFont"/>
    <w:uiPriority w:val="32"/>
    <w:qFormat/>
    <w:rsid w:val="00CD583F"/>
    <w:rPr>
      <w:b/>
      <w:bCs/>
      <w:smallCaps/>
      <w:color w:val="0F4761" w:themeColor="accent1" w:themeShade="BF"/>
      <w:spacing w:val="5"/>
    </w:rPr>
  </w:style>
  <w:style w:type="paragraph" w:styleId="Header">
    <w:name w:val="header"/>
    <w:basedOn w:val="Normal"/>
    <w:link w:val="HeaderChar"/>
    <w:uiPriority w:val="99"/>
    <w:unhideWhenUsed/>
    <w:rsid w:val="00CD58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83F"/>
  </w:style>
  <w:style w:type="paragraph" w:styleId="Footer">
    <w:name w:val="footer"/>
    <w:basedOn w:val="Normal"/>
    <w:link w:val="FooterChar"/>
    <w:uiPriority w:val="99"/>
    <w:unhideWhenUsed/>
    <w:rsid w:val="00CD58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83F"/>
  </w:style>
  <w:style w:type="character" w:styleId="Hyperlink">
    <w:name w:val="Hyperlink"/>
    <w:basedOn w:val="DefaultParagraphFont"/>
    <w:uiPriority w:val="99"/>
    <w:unhideWhenUsed/>
    <w:rsid w:val="006E458E"/>
    <w:rPr>
      <w:color w:val="467886" w:themeColor="hyperlink"/>
      <w:u w:val="single"/>
    </w:rPr>
  </w:style>
  <w:style w:type="character" w:styleId="UnresolvedMention">
    <w:name w:val="Unresolved Mention"/>
    <w:basedOn w:val="DefaultParagraphFont"/>
    <w:uiPriority w:val="99"/>
    <w:semiHidden/>
    <w:unhideWhenUsed/>
    <w:rsid w:val="006E45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owtsd-my.sharepoint.com/:p:/r/personal/2503478_student_uwtsd_ac_uk/Documents/Attachments/Group%20pres%20April%202026%20Sally%20voice.ppsx?d=w33bb29c8bf6c45a79b511e4b111efb52&amp;csf=1&amp;web=1&amp;e=HoqKcM" TargetMode="External"/><Relationship Id="rId11" Type="http://schemas.openxmlformats.org/officeDocument/2006/relationships/image" Target="media/image5.png"/><Relationship Id="rId5" Type="http://schemas.openxmlformats.org/officeDocument/2006/relationships/endnotes" Target="endnotes.xml"/><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1120</Words>
  <Characters>6388</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Williams</dc:creator>
  <cp:keywords/>
  <dc:description/>
  <cp:lastModifiedBy>Chloe Williams</cp:lastModifiedBy>
  <cp:revision>2</cp:revision>
  <dcterms:created xsi:type="dcterms:W3CDTF">2026-04-25T19:41:00Z</dcterms:created>
  <dcterms:modified xsi:type="dcterms:W3CDTF">2026-04-25T19:41:00Z</dcterms:modified>
</cp:coreProperties>
</file>