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line="360" w:lineRule="auto"/>
        <w:jc w:val="center"/>
      </w:pPr>
      <w:r>
        <w:rPr>
          <w:rFonts w:ascii="Arial" w:hAnsi="Arial"/>
          <w:b/>
          <w:sz w:val="36"/>
        </w:rPr>
        <w:t>Component 2 Re-assessment Report</w:t>
      </w:r>
    </w:p>
    <w:p>
      <w:pPr>
        <w:spacing w:line="360" w:lineRule="auto"/>
        <w:jc w:val="center"/>
      </w:pPr>
      <w:r>
        <w:rPr>
          <w:rFonts w:ascii="Arial" w:hAnsi="Arial"/>
          <w:sz w:val="24"/>
        </w:rPr>
        <w:t>Student Name: Muhammed Mahee</w:t>
      </w:r>
    </w:p>
    <w:p>
      <w:pPr>
        <w:spacing w:line="360" w:lineRule="auto"/>
        <w:jc w:val="center"/>
      </w:pPr>
      <w:r>
        <w:rPr>
          <w:rFonts w:ascii="Arial" w:hAnsi="Arial"/>
          <w:sz w:val="24"/>
        </w:rPr>
        <w:t>Student ID: 2514842</w:t>
      </w:r>
    </w:p>
    <w:p>
      <w:pPr>
        <w:spacing w:line="360" w:lineRule="auto"/>
        <w:jc w:val="center"/>
      </w:pPr>
      <w:r>
        <w:rPr>
          <w:rFonts w:ascii="Arial" w:hAnsi="Arial"/>
          <w:sz w:val="24"/>
        </w:rPr>
        <w:t>Assignment Title: Component 2 Re-assessment</w:t>
      </w:r>
    </w:p>
    <w:p>
      <w:pPr>
        <w:spacing w:line="360" w:lineRule="auto"/>
        <w:jc w:val="center"/>
      </w:pPr>
      <w:r>
        <w:rPr>
          <w:rFonts w:ascii="Arial" w:hAnsi="Arial"/>
          <w:sz w:val="24"/>
        </w:rPr>
        <w:t>Module Name: LCLM4004 Problem Solving and Decision Making</w:t>
      </w:r>
    </w:p>
    <w:p>
      <w:pPr>
        <w:spacing w:line="360" w:lineRule="auto"/>
        <w:jc w:val="center"/>
      </w:pPr>
      <w:r>
        <w:rPr>
          <w:rFonts w:ascii="Arial" w:hAnsi="Arial"/>
          <w:sz w:val="24"/>
        </w:rPr>
        <w:t>Module Code: LCLM4004</w:t>
      </w:r>
    </w:p>
    <w:p>
      <w:pPr>
        <w:spacing w:line="360" w:lineRule="auto"/>
        <w:jc w:val="center"/>
      </w:pPr>
      <w:r>
        <w:rPr>
          <w:rFonts w:ascii="Arial" w:hAnsi="Arial"/>
          <w:sz w:val="24"/>
        </w:rPr>
        <w:t>Lecturer: Fa Wang</w:t>
      </w:r>
    </w:p>
    <w:p>
      <w:pPr>
        <w:spacing w:line="360" w:lineRule="auto"/>
      </w:pPr>
      <w:r>
        <w:rPr>
          <w:rFonts w:ascii="Arial" w:hAnsi="Arial"/>
          <w:sz w:val="24"/>
        </w:rPr>
        <w:br w:type="page"/>
      </w:r>
    </w:p>
    <w:p>
      <w:pPr>
        <w:spacing w:line="360" w:lineRule="auto"/>
        <w:jc w:val="left"/>
      </w:pPr>
      <w:r>
        <w:rPr>
          <w:rFonts w:ascii="Arial" w:hAnsi="Arial"/>
          <w:b/>
          <w:sz w:val="28"/>
        </w:rPr>
        <w:t>Contents</w:t>
      </w:r>
    </w:p>
    <w:p>
      <w:pPr>
        <w:spacing w:line="360" w:lineRule="auto"/>
      </w:pPr>
      <w:r>
        <w:rPr>
          <w:rFonts w:ascii="Arial" w:hAnsi="Arial"/>
          <w:sz w:val="24"/>
        </w:rPr>
        <w:t>1. Introduction</w:t>
      </w:r>
    </w:p>
    <w:p>
      <w:pPr>
        <w:spacing w:line="360" w:lineRule="auto"/>
      </w:pPr>
      <w:r>
        <w:rPr>
          <w:rFonts w:ascii="Arial" w:hAnsi="Arial"/>
          <w:sz w:val="24"/>
        </w:rPr>
        <w:t>2. Proposed solutions</w:t>
      </w:r>
    </w:p>
    <w:p>
      <w:pPr>
        <w:spacing w:line="360" w:lineRule="auto"/>
      </w:pPr>
      <w:r>
        <w:rPr>
          <w:rFonts w:ascii="Arial" w:hAnsi="Arial"/>
          <w:sz w:val="24"/>
        </w:rPr>
        <w:t>3. PMI evaluation</w:t>
      </w:r>
    </w:p>
    <w:p>
      <w:pPr>
        <w:spacing w:line="360" w:lineRule="auto"/>
      </w:pPr>
      <w:r>
        <w:rPr>
          <w:rFonts w:ascii="Arial" w:hAnsi="Arial"/>
          <w:sz w:val="24"/>
        </w:rPr>
        <w:t>4. Preferred solution</w:t>
      </w:r>
    </w:p>
    <w:p>
      <w:pPr>
        <w:spacing w:line="360" w:lineRule="auto"/>
      </w:pPr>
      <w:r>
        <w:rPr>
          <w:rFonts w:ascii="Arial" w:hAnsi="Arial"/>
          <w:sz w:val="24"/>
        </w:rPr>
        <w:t>5. Implementation plan</w:t>
      </w:r>
    </w:p>
    <w:p>
      <w:pPr>
        <w:spacing w:line="360" w:lineRule="auto"/>
      </w:pPr>
      <w:r>
        <w:rPr>
          <w:rFonts w:ascii="Arial" w:hAnsi="Arial"/>
          <w:sz w:val="24"/>
        </w:rPr>
        <w:t>6. KPI and SMART objectives</w:t>
      </w:r>
    </w:p>
    <w:p>
      <w:pPr>
        <w:spacing w:line="360" w:lineRule="auto"/>
      </w:pPr>
      <w:r>
        <w:rPr>
          <w:rFonts w:ascii="Arial" w:hAnsi="Arial"/>
          <w:sz w:val="24"/>
        </w:rPr>
        <w:t>7. Key findings</w:t>
      </w:r>
    </w:p>
    <w:p>
      <w:pPr>
        <w:spacing w:line="360" w:lineRule="auto"/>
      </w:pPr>
      <w:r>
        <w:rPr>
          <w:rFonts w:ascii="Arial" w:hAnsi="Arial"/>
          <w:sz w:val="24"/>
        </w:rPr>
        <w:t>8. Reference list</w:t>
      </w:r>
    </w:p>
    <w:p>
      <w:pPr>
        <w:spacing w:line="360" w:lineRule="auto"/>
      </w:pPr>
      <w:r>
        <w:rPr>
          <w:rFonts w:ascii="Arial" w:hAnsi="Arial"/>
          <w:sz w:val="24"/>
        </w:rPr>
        <w:t>Appendix A: PMI table</w:t>
      </w:r>
    </w:p>
    <w:p>
      <w:pPr>
        <w:spacing w:line="360" w:lineRule="auto"/>
      </w:pPr>
      <w:r>
        <w:rPr>
          <w:rFonts w:ascii="Arial" w:hAnsi="Arial"/>
          <w:sz w:val="24"/>
        </w:rPr>
        <w:t>Appendix B: Implementation plan table</w:t>
      </w:r>
    </w:p>
    <w:p>
      <w:pPr>
        <w:spacing w:line="360" w:lineRule="auto"/>
      </w:pPr>
      <w:r>
        <w:rPr>
          <w:rFonts w:ascii="Arial" w:hAnsi="Arial"/>
          <w:sz w:val="24"/>
        </w:rPr>
        <w:t>Appendix C: KPI table</w:t>
      </w:r>
    </w:p>
    <w:p>
      <w:pPr>
        <w:spacing w:line="360" w:lineRule="auto"/>
      </w:pPr>
      <w:r>
        <w:rPr>
          <w:rFonts w:ascii="Arial" w:hAnsi="Arial"/>
          <w:sz w:val="24"/>
        </w:rPr>
        <w:br w:type="page"/>
      </w:r>
    </w:p>
    <w:p>
      <w:pPr>
        <w:spacing w:line="360" w:lineRule="auto"/>
        <w:jc w:val="left"/>
      </w:pPr>
      <w:r>
        <w:rPr>
          <w:rFonts w:ascii="Arial" w:hAnsi="Arial"/>
          <w:b/>
          <w:sz w:val="28"/>
        </w:rPr>
        <w:t>1. Introduction</w:t>
      </w:r>
    </w:p>
    <w:p>
      <w:pPr>
        <w:spacing w:line="360" w:lineRule="auto"/>
      </w:pPr>
      <w:r>
        <w:rPr>
          <w:rFonts w:ascii="Arial" w:hAnsi="Arial"/>
          <w:sz w:val="24"/>
        </w:rPr>
        <w:t>Basils Bakery is a small artisan bakery in a Coventry retail park. The business grew after opening in 2015, but sales have stagnated since 2023 and remain around 25% below the 2019 level. This report links directly to Component 1 by using the same case context and building on the identified issues. The main problem is a mix of reduced footfall, changing customer behaviour, higher overheads and limited convenience for customers.</w:t>
      </w:r>
    </w:p>
    <w:p>
      <w:pPr>
        <w:spacing w:line="360" w:lineRule="auto"/>
        <w:jc w:val="left"/>
      </w:pPr>
      <w:r>
        <w:rPr>
          <w:rFonts w:ascii="Arial" w:hAnsi="Arial"/>
          <w:b/>
          <w:sz w:val="28"/>
        </w:rPr>
        <w:t>2. Proposed solutions</w:t>
      </w:r>
    </w:p>
    <w:p>
      <w:pPr>
        <w:spacing w:line="360" w:lineRule="auto"/>
      </w:pPr>
      <w:r>
        <w:rPr>
          <w:rFonts w:ascii="Arial" w:hAnsi="Arial"/>
          <w:sz w:val="24"/>
        </w:rPr>
        <w:t>The first solution is to introduce a simple pre-order system using a web form, QR code or social media link. This would reduce waiting time and allow customers to order before arriving. The second solution is to offer a limited delivery service, ideally starting with a local radius or an outsourced platform. This would target customers who no longer visit the retail park regularly because of hybrid working or relocation. Both solutions are realistic because they focus on recovering lost sales rather than changing the core bakery product.</w:t>
      </w:r>
    </w:p>
    <w:p>
      <w:pPr>
        <w:spacing w:line="360" w:lineRule="auto"/>
        <w:jc w:val="left"/>
      </w:pPr>
      <w:r>
        <w:rPr>
          <w:rFonts w:ascii="Arial" w:hAnsi="Arial"/>
          <w:b/>
          <w:sz w:val="28"/>
        </w:rPr>
        <w:t>3. PMI evaluation</w:t>
      </w:r>
    </w:p>
    <w:p>
      <w:pPr>
        <w:spacing w:line="360" w:lineRule="auto"/>
      </w:pPr>
      <w:r>
        <w:rPr>
          <w:rFonts w:ascii="Arial" w:hAnsi="Arial"/>
          <w:sz w:val="24"/>
        </w:rPr>
        <w:t>The pre-order system has clear positives: it is low cost, quick to launch and likely to improve customer flow. Its negatives are that it does not bring in entirely new customers and still depends on Basil checking and processing orders. Delivery has the advantage of wider reach and convenience, but it needs more time, higher costs and stronger operational control. In PMI terms, pre-ordering scores better overall because it is simpler and more achievable for a small business with limited staffing. It also gives Basil a manageable first step before considering more ambitious changes.</w:t>
      </w:r>
    </w:p>
    <w:p>
      <w:pPr>
        <w:spacing w:line="360" w:lineRule="auto"/>
        <w:jc w:val="left"/>
      </w:pPr>
      <w:r>
        <w:rPr>
          <w:rFonts w:ascii="Arial" w:hAnsi="Arial"/>
          <w:b/>
          <w:sz w:val="28"/>
        </w:rPr>
        <w:t>4. Preferred solution</w:t>
      </w:r>
    </w:p>
    <w:p>
      <w:pPr>
        <w:spacing w:line="360" w:lineRule="auto"/>
      </w:pPr>
      <w:r>
        <w:rPr>
          <w:rFonts w:ascii="Arial" w:hAnsi="Arial"/>
          <w:sz w:val="24"/>
        </w:rPr>
        <w:t>The preferred solution is the pre-order system. It is the best option because it directly addresses a current weakness in service speed and waiting time without adding major cost or complexity. It also fits Basil’s limited availability because orders can be checked at fixed times rather than continuously throughout the day. Delivery should be treated as a second-stage option once the bakery has tested demand and improved its internal ordering process.</w:t>
      </w:r>
    </w:p>
    <w:p>
      <w:pPr>
        <w:spacing w:line="360" w:lineRule="auto"/>
        <w:jc w:val="left"/>
      </w:pPr>
      <w:r>
        <w:rPr>
          <w:rFonts w:ascii="Arial" w:hAnsi="Arial"/>
          <w:b/>
          <w:sz w:val="28"/>
        </w:rPr>
        <w:t>5. Implementation plan</w:t>
      </w:r>
    </w:p>
    <w:p>
      <w:pPr>
        <w:spacing w:line="360" w:lineRule="auto"/>
      </w:pPr>
      <w:r>
        <w:rPr>
          <w:rFonts w:ascii="Arial" w:hAnsi="Arial"/>
          <w:sz w:val="24"/>
        </w:rPr>
        <w:t>Week 1 should focus on setting up the ordering method, creating a simple order form and agreeing cut-off times. Week 2 should be a pilot phase with limited customers, so Basil can check order accuracy and production timing. Weeks 3 and 4 should focus on promotion through in-store signage, social media and direct communication with regular customers. Basil should remain responsible for product preparation, while a family member, helper or part-time assistant could monitor incoming orders. The short pilot reduces risk and allows quick adjustment.</w:t>
      </w:r>
    </w:p>
    <w:p>
      <w:pPr>
        <w:spacing w:line="360" w:lineRule="auto"/>
        <w:jc w:val="left"/>
      </w:pPr>
      <w:r>
        <w:rPr>
          <w:rFonts w:ascii="Arial" w:hAnsi="Arial"/>
          <w:b/>
          <w:sz w:val="28"/>
        </w:rPr>
        <w:t>6. KPI and SMART objectives</w:t>
      </w:r>
    </w:p>
    <w:p>
      <w:pPr>
        <w:spacing w:line="360" w:lineRule="auto"/>
      </w:pPr>
      <w:r>
        <w:rPr>
          <w:rFonts w:ascii="Arial" w:hAnsi="Arial"/>
          <w:sz w:val="24"/>
        </w:rPr>
        <w:t>The main KPI should be average customer waiting time during peak periods. SMART objectives could be to reduce waiting time by 20% within six weeks, secure at least 30 pre-orders per week within one month, and achieve 90% order accuracy by the end of the first month. These measures are specific and easy to track, and they link directly to the problem identified in Component 1. They also allow Basil to see whether the new process is improving convenience and sales handling.</w:t>
      </w:r>
    </w:p>
    <w:p>
      <w:pPr>
        <w:spacing w:line="360" w:lineRule="auto"/>
        <w:jc w:val="left"/>
      </w:pPr>
      <w:r>
        <w:rPr>
          <w:rFonts w:ascii="Arial" w:hAnsi="Arial"/>
          <w:b/>
          <w:sz w:val="28"/>
        </w:rPr>
        <w:t>7. Key findings</w:t>
      </w:r>
    </w:p>
    <w:p>
      <w:pPr>
        <w:spacing w:line="360" w:lineRule="auto"/>
      </w:pPr>
      <w:r>
        <w:rPr>
          <w:rFonts w:ascii="Arial" w:hAnsi="Arial"/>
          <w:sz w:val="24"/>
        </w:rPr>
        <w:t>• Basils Bakery needs a solution that improves convenience as well as sales.</w:t>
      </w:r>
    </w:p>
    <w:p>
      <w:pPr>
        <w:spacing w:line="360" w:lineRule="auto"/>
      </w:pPr>
      <w:r>
        <w:rPr>
          <w:rFonts w:ascii="Arial" w:hAnsi="Arial"/>
          <w:sz w:val="24"/>
        </w:rPr>
        <w:t>• Pre-ordering is the most practical first step because it is affordable and easy to test.</w:t>
      </w:r>
    </w:p>
    <w:p>
      <w:pPr>
        <w:spacing w:line="360" w:lineRule="auto"/>
      </w:pPr>
      <w:r>
        <w:rPr>
          <w:rFonts w:ascii="Arial" w:hAnsi="Arial"/>
          <w:sz w:val="24"/>
        </w:rPr>
        <w:t>• Delivery has potential, but it is a more costly second-stage option.</w:t>
      </w:r>
    </w:p>
    <w:p>
      <w:pPr>
        <w:spacing w:line="360" w:lineRule="auto"/>
      </w:pPr>
      <w:r>
        <w:rPr>
          <w:rFonts w:ascii="Arial" w:hAnsi="Arial"/>
          <w:sz w:val="24"/>
        </w:rPr>
        <w:t>• Success should be monitored through waiting time, order volume and accuracy.</w:t>
      </w:r>
    </w:p>
    <w:p>
      <w:pPr>
        <w:spacing w:line="360" w:lineRule="auto"/>
      </w:pPr>
      <w:r>
        <w:rPr>
          <w:rFonts w:ascii="Arial" w:hAnsi="Arial"/>
          <w:sz w:val="24"/>
        </w:rPr>
        <w:br w:type="page"/>
      </w:r>
    </w:p>
    <w:p>
      <w:pPr>
        <w:spacing w:line="360" w:lineRule="auto"/>
        <w:jc w:val="left"/>
      </w:pPr>
      <w:r>
        <w:rPr>
          <w:rFonts w:ascii="Arial" w:hAnsi="Arial"/>
          <w:b/>
          <w:sz w:val="28"/>
        </w:rPr>
        <w:t>8. Reference list</w:t>
      </w:r>
    </w:p>
    <w:p>
      <w:pPr>
        <w:spacing w:line="360" w:lineRule="auto"/>
      </w:pPr>
      <w:r>
        <w:rPr>
          <w:rFonts w:ascii="Arial" w:hAnsi="Arial"/>
          <w:sz w:val="24"/>
        </w:rPr>
        <w:t>Birmingham City University (2026) LCLM4004 Problem Solving and Decision Making: Component 2 Re-assessment Specification.</w:t>
      </w:r>
    </w:p>
    <w:p>
      <w:pPr>
        <w:spacing w:line="360" w:lineRule="auto"/>
      </w:pPr>
      <w:r>
        <w:rPr>
          <w:rFonts w:ascii="Arial" w:hAnsi="Arial"/>
          <w:sz w:val="24"/>
        </w:rPr>
        <w:t>British Retail Consortium (2026) Footfall falters as shoppers hold out for sales. Available at: https://brc.org.uk/news-and-events/news/corporate-affairs/2026/ungated/footfall-falters-as-shoppers-hold-out-for-sales/ (Accessed: 19 July 2026).</w:t>
      </w:r>
    </w:p>
    <w:p>
      <w:pPr>
        <w:spacing w:line="360" w:lineRule="auto"/>
      </w:pPr>
      <w:r>
        <w:rPr>
          <w:rFonts w:ascii="Arial" w:hAnsi="Arial"/>
          <w:sz w:val="24"/>
        </w:rPr>
        <w:t>CIPD (2026) An update on flexible and hybrid working practices. Available at: https://www.cipd.org/uk/knowledge/reports/flexible-hybrid-working-practices/ (Accessed: 19 July 2026).</w:t>
      </w:r>
    </w:p>
    <w:p>
      <w:pPr>
        <w:spacing w:line="360" w:lineRule="auto"/>
      </w:pPr>
      <w:r>
        <w:rPr>
          <w:rFonts w:ascii="Arial" w:hAnsi="Arial"/>
          <w:sz w:val="24"/>
        </w:rPr>
        <w:t>Johnson, G., Scholes, K. and Whittington, R. (2017) Exploring Strategy. 11th edn. Harlow: Pearson.</w:t>
      </w:r>
    </w:p>
    <w:p>
      <w:pPr>
        <w:spacing w:line="360" w:lineRule="auto"/>
      </w:pPr>
      <w:r>
        <w:rPr>
          <w:rFonts w:ascii="Arial" w:hAnsi="Arial"/>
          <w:sz w:val="24"/>
        </w:rPr>
        <w:t>Slack, N. and Brandon-Jones, A. (2022) Operations Management. 10th edn. Harlow: Pearson.</w:t>
      </w:r>
    </w:p>
    <w:p>
      <w:pPr>
        <w:spacing w:line="360" w:lineRule="auto"/>
      </w:pPr>
      <w:r>
        <w:rPr>
          <w:rFonts w:ascii="Arial" w:hAnsi="Arial"/>
          <w:sz w:val="24"/>
        </w:rPr>
        <w:br w:type="page"/>
      </w:r>
    </w:p>
    <w:p>
      <w:pPr>
        <w:spacing w:line="360" w:lineRule="auto"/>
        <w:jc w:val="left"/>
      </w:pPr>
      <w:r>
        <w:rPr>
          <w:rFonts w:ascii="Arial" w:hAnsi="Arial"/>
          <w:b/>
          <w:sz w:val="28"/>
        </w:rPr>
        <w:t>Appendix A: PMI table</w:t>
      </w:r>
    </w:p>
    <w:tbl>
      <w:tblPr>
        <w:tblStyle w:val="TableGrid"/>
        <w:tblW w:type="auto" w:w="0"/>
        <w:tblLook w:firstColumn="1" w:firstRow="1" w:lastColumn="0" w:lastRow="0" w:noHBand="0" w:noVBand="1" w:val="04A0"/>
      </w:tblPr>
      <w:tblGrid>
        <w:gridCol w:w="2448"/>
        <w:gridCol w:w="2448"/>
        <w:gridCol w:w="2448"/>
        <w:gridCol w:w="2448"/>
      </w:tblGrid>
      <w:tr>
        <w:tc>
          <w:tcPr>
            <w:tcW w:type="dxa" w:w="2448"/>
          </w:tcPr>
          <w:p>
            <w:pPr>
              <w:spacing w:line="360" w:lineRule="auto"/>
            </w:pPr>
            <w:r>
              <w:rPr>
                <w:rFonts w:ascii="Arial" w:hAnsi="Arial"/>
                <w:sz w:val="22"/>
              </w:rPr>
              <w:t>Solution</w:t>
            </w:r>
          </w:p>
        </w:tc>
        <w:tc>
          <w:tcPr>
            <w:tcW w:type="dxa" w:w="2448"/>
          </w:tcPr>
          <w:p>
            <w:pPr>
              <w:spacing w:line="360" w:lineRule="auto"/>
            </w:pPr>
            <w:r>
              <w:rPr>
                <w:rFonts w:ascii="Arial" w:hAnsi="Arial"/>
                <w:sz w:val="22"/>
              </w:rPr>
              <w:t>Plus</w:t>
            </w:r>
          </w:p>
        </w:tc>
        <w:tc>
          <w:tcPr>
            <w:tcW w:type="dxa" w:w="2448"/>
          </w:tcPr>
          <w:p>
            <w:pPr>
              <w:spacing w:line="360" w:lineRule="auto"/>
            </w:pPr>
            <w:r>
              <w:rPr>
                <w:rFonts w:ascii="Arial" w:hAnsi="Arial"/>
                <w:sz w:val="22"/>
              </w:rPr>
              <w:t>Minus</w:t>
            </w:r>
          </w:p>
        </w:tc>
        <w:tc>
          <w:tcPr>
            <w:tcW w:type="dxa" w:w="2448"/>
          </w:tcPr>
          <w:p>
            <w:pPr>
              <w:spacing w:line="360" w:lineRule="auto"/>
            </w:pPr>
            <w:r>
              <w:rPr>
                <w:rFonts w:ascii="Arial" w:hAnsi="Arial"/>
                <w:sz w:val="22"/>
              </w:rPr>
              <w:t>Interesting</w:t>
            </w:r>
          </w:p>
        </w:tc>
      </w:tr>
      <w:tr>
        <w:tc>
          <w:tcPr>
            <w:tcW w:type="dxa" w:w="2448"/>
          </w:tcPr>
          <w:p>
            <w:pPr>
              <w:spacing w:line="360" w:lineRule="auto"/>
            </w:pPr>
            <w:r>
              <w:rPr>
                <w:rFonts w:ascii="Arial" w:hAnsi="Arial"/>
                <w:sz w:val="22"/>
              </w:rPr>
              <w:t>Pre-order system</w:t>
            </w:r>
          </w:p>
        </w:tc>
        <w:tc>
          <w:tcPr>
            <w:tcW w:type="dxa" w:w="2448"/>
          </w:tcPr>
          <w:p>
            <w:pPr>
              <w:spacing w:line="360" w:lineRule="auto"/>
            </w:pPr>
            <w:r>
              <w:rPr>
                <w:rFonts w:ascii="Arial" w:hAnsi="Arial"/>
                <w:sz w:val="22"/>
              </w:rPr>
              <w:t>Low cost; faster service; easier to launch</w:t>
            </w:r>
          </w:p>
        </w:tc>
        <w:tc>
          <w:tcPr>
            <w:tcW w:type="dxa" w:w="2448"/>
          </w:tcPr>
          <w:p>
            <w:pPr>
              <w:spacing w:line="360" w:lineRule="auto"/>
            </w:pPr>
            <w:r>
              <w:rPr>
                <w:rFonts w:ascii="Arial" w:hAnsi="Arial"/>
                <w:sz w:val="22"/>
              </w:rPr>
              <w:t>Needs daily order checking; limited reach</w:t>
            </w:r>
          </w:p>
        </w:tc>
        <w:tc>
          <w:tcPr>
            <w:tcW w:type="dxa" w:w="2448"/>
          </w:tcPr>
          <w:p>
            <w:pPr>
              <w:spacing w:line="360" w:lineRule="auto"/>
            </w:pPr>
            <w:r>
              <w:rPr>
                <w:rFonts w:ascii="Arial" w:hAnsi="Arial"/>
                <w:sz w:val="22"/>
              </w:rPr>
              <w:t>Good first-stage fix</w:t>
            </w:r>
          </w:p>
        </w:tc>
      </w:tr>
      <w:tr>
        <w:tc>
          <w:tcPr>
            <w:tcW w:type="dxa" w:w="2448"/>
          </w:tcPr>
          <w:p>
            <w:pPr>
              <w:spacing w:line="360" w:lineRule="auto"/>
            </w:pPr>
            <w:r>
              <w:rPr>
                <w:rFonts w:ascii="Arial" w:hAnsi="Arial"/>
                <w:sz w:val="22"/>
              </w:rPr>
              <w:t>Delivery service</w:t>
            </w:r>
          </w:p>
        </w:tc>
        <w:tc>
          <w:tcPr>
            <w:tcW w:type="dxa" w:w="2448"/>
          </w:tcPr>
          <w:p>
            <w:pPr>
              <w:spacing w:line="360" w:lineRule="auto"/>
            </w:pPr>
            <w:r>
              <w:rPr>
                <w:rFonts w:ascii="Arial" w:hAnsi="Arial"/>
                <w:sz w:val="22"/>
              </w:rPr>
              <w:t>Reaches absent customers; may grow sales</w:t>
            </w:r>
          </w:p>
        </w:tc>
        <w:tc>
          <w:tcPr>
            <w:tcW w:type="dxa" w:w="2448"/>
          </w:tcPr>
          <w:p>
            <w:pPr>
              <w:spacing w:line="360" w:lineRule="auto"/>
            </w:pPr>
            <w:r>
              <w:rPr>
                <w:rFonts w:ascii="Arial" w:hAnsi="Arial"/>
                <w:sz w:val="22"/>
              </w:rPr>
              <w:t>Higher cost; operational complexity</w:t>
            </w:r>
          </w:p>
        </w:tc>
        <w:tc>
          <w:tcPr>
            <w:tcW w:type="dxa" w:w="2448"/>
          </w:tcPr>
          <w:p>
            <w:pPr>
              <w:spacing w:line="360" w:lineRule="auto"/>
            </w:pPr>
            <w:r>
              <w:rPr>
                <w:rFonts w:ascii="Arial" w:hAnsi="Arial"/>
                <w:sz w:val="22"/>
              </w:rPr>
              <w:t>Potential second stage</w:t>
            </w:r>
          </w:p>
        </w:tc>
      </w:tr>
    </w:tbl>
    <w:p>
      <w:pPr>
        <w:spacing w:line="360" w:lineRule="auto"/>
      </w:pPr>
      <w:r>
        <w:rPr>
          <w:rFonts w:ascii="Arial" w:hAnsi="Arial"/>
          <w:sz w:val="24"/>
        </w:rPr>
        <w:t>Appendix B: Implementation plan table</w:t>
      </w:r>
    </w:p>
    <w:tbl>
      <w:tblPr>
        <w:tblStyle w:val="TableGrid"/>
        <w:tblW w:type="auto" w:w="0"/>
        <w:tblLook w:firstColumn="1" w:firstRow="1" w:lastColumn="0" w:lastRow="0" w:noHBand="0" w:noVBand="1" w:val="04A0"/>
      </w:tblPr>
      <w:tblGrid>
        <w:gridCol w:w="2448"/>
        <w:gridCol w:w="2448"/>
        <w:gridCol w:w="2448"/>
        <w:gridCol w:w="2448"/>
      </w:tblGrid>
      <w:tr>
        <w:tc>
          <w:tcPr>
            <w:tcW w:type="dxa" w:w="2448"/>
          </w:tcPr>
          <w:p>
            <w:pPr>
              <w:spacing w:line="360" w:lineRule="auto"/>
            </w:pPr>
            <w:r>
              <w:rPr>
                <w:rFonts w:ascii="Arial" w:hAnsi="Arial"/>
                <w:sz w:val="22"/>
              </w:rPr>
              <w:t>Activity</w:t>
            </w:r>
          </w:p>
        </w:tc>
        <w:tc>
          <w:tcPr>
            <w:tcW w:type="dxa" w:w="2448"/>
          </w:tcPr>
          <w:p>
            <w:pPr>
              <w:spacing w:line="360" w:lineRule="auto"/>
            </w:pPr>
            <w:r>
              <w:rPr>
                <w:rFonts w:ascii="Arial" w:hAnsi="Arial"/>
                <w:sz w:val="22"/>
              </w:rPr>
              <w:t>Timing</w:t>
            </w:r>
          </w:p>
        </w:tc>
        <w:tc>
          <w:tcPr>
            <w:tcW w:type="dxa" w:w="2448"/>
          </w:tcPr>
          <w:p>
            <w:pPr>
              <w:spacing w:line="360" w:lineRule="auto"/>
            </w:pPr>
            <w:r>
              <w:rPr>
                <w:rFonts w:ascii="Arial" w:hAnsi="Arial"/>
                <w:sz w:val="22"/>
              </w:rPr>
              <w:t>Responsibility</w:t>
            </w:r>
          </w:p>
        </w:tc>
        <w:tc>
          <w:tcPr>
            <w:tcW w:type="dxa" w:w="2448"/>
          </w:tcPr>
          <w:p>
            <w:pPr>
              <w:spacing w:line="360" w:lineRule="auto"/>
            </w:pPr>
            <w:r>
              <w:rPr>
                <w:rFonts w:ascii="Arial" w:hAnsi="Arial"/>
                <w:sz w:val="22"/>
              </w:rPr>
              <w:t>Purpose</w:t>
            </w:r>
          </w:p>
        </w:tc>
      </w:tr>
      <w:tr>
        <w:tc>
          <w:tcPr>
            <w:tcW w:type="dxa" w:w="2448"/>
          </w:tcPr>
          <w:p>
            <w:pPr>
              <w:spacing w:line="360" w:lineRule="auto"/>
            </w:pPr>
            <w:r>
              <w:rPr>
                <w:rFonts w:ascii="Arial" w:hAnsi="Arial"/>
                <w:sz w:val="22"/>
              </w:rPr>
              <w:t>Set up ordering tool</w:t>
            </w:r>
          </w:p>
        </w:tc>
        <w:tc>
          <w:tcPr>
            <w:tcW w:type="dxa" w:w="2448"/>
          </w:tcPr>
          <w:p>
            <w:pPr>
              <w:spacing w:line="360" w:lineRule="auto"/>
            </w:pPr>
            <w:r>
              <w:rPr>
                <w:rFonts w:ascii="Arial" w:hAnsi="Arial"/>
                <w:sz w:val="22"/>
              </w:rPr>
              <w:t>Week 1</w:t>
            </w:r>
          </w:p>
        </w:tc>
        <w:tc>
          <w:tcPr>
            <w:tcW w:type="dxa" w:w="2448"/>
          </w:tcPr>
          <w:p>
            <w:pPr>
              <w:spacing w:line="360" w:lineRule="auto"/>
            </w:pPr>
            <w:r>
              <w:rPr>
                <w:rFonts w:ascii="Arial" w:hAnsi="Arial"/>
                <w:sz w:val="22"/>
              </w:rPr>
              <w:t>Basil</w:t>
            </w:r>
          </w:p>
        </w:tc>
        <w:tc>
          <w:tcPr>
            <w:tcW w:type="dxa" w:w="2448"/>
          </w:tcPr>
          <w:p>
            <w:pPr>
              <w:spacing w:line="360" w:lineRule="auto"/>
            </w:pPr>
            <w:r>
              <w:rPr>
                <w:rFonts w:ascii="Arial" w:hAnsi="Arial"/>
                <w:sz w:val="22"/>
              </w:rPr>
              <w:t>Create a simple order process</w:t>
            </w:r>
          </w:p>
        </w:tc>
      </w:tr>
      <w:tr>
        <w:tc>
          <w:tcPr>
            <w:tcW w:type="dxa" w:w="2448"/>
          </w:tcPr>
          <w:p>
            <w:pPr>
              <w:spacing w:line="360" w:lineRule="auto"/>
            </w:pPr>
            <w:r>
              <w:rPr>
                <w:rFonts w:ascii="Arial" w:hAnsi="Arial"/>
                <w:sz w:val="22"/>
              </w:rPr>
              <w:t>Pilot with regular customers</w:t>
            </w:r>
          </w:p>
        </w:tc>
        <w:tc>
          <w:tcPr>
            <w:tcW w:type="dxa" w:w="2448"/>
          </w:tcPr>
          <w:p>
            <w:pPr>
              <w:spacing w:line="360" w:lineRule="auto"/>
            </w:pPr>
            <w:r>
              <w:rPr>
                <w:rFonts w:ascii="Arial" w:hAnsi="Arial"/>
                <w:sz w:val="22"/>
              </w:rPr>
              <w:t>Week 2</w:t>
            </w:r>
          </w:p>
        </w:tc>
        <w:tc>
          <w:tcPr>
            <w:tcW w:type="dxa" w:w="2448"/>
          </w:tcPr>
          <w:p>
            <w:pPr>
              <w:spacing w:line="360" w:lineRule="auto"/>
            </w:pPr>
            <w:r>
              <w:rPr>
                <w:rFonts w:ascii="Arial" w:hAnsi="Arial"/>
                <w:sz w:val="22"/>
              </w:rPr>
              <w:t>Basil</w:t>
            </w:r>
          </w:p>
        </w:tc>
        <w:tc>
          <w:tcPr>
            <w:tcW w:type="dxa" w:w="2448"/>
          </w:tcPr>
          <w:p>
            <w:pPr>
              <w:spacing w:line="360" w:lineRule="auto"/>
            </w:pPr>
            <w:r>
              <w:rPr>
                <w:rFonts w:ascii="Arial" w:hAnsi="Arial"/>
                <w:sz w:val="22"/>
              </w:rPr>
              <w:t>Test demand and timing</w:t>
            </w:r>
          </w:p>
        </w:tc>
      </w:tr>
      <w:tr>
        <w:tc>
          <w:tcPr>
            <w:tcW w:type="dxa" w:w="2448"/>
          </w:tcPr>
          <w:p>
            <w:pPr>
              <w:spacing w:line="360" w:lineRule="auto"/>
            </w:pPr>
            <w:r>
              <w:rPr>
                <w:rFonts w:ascii="Arial" w:hAnsi="Arial"/>
                <w:sz w:val="22"/>
              </w:rPr>
              <w:t>Promote and monitor</w:t>
            </w:r>
          </w:p>
        </w:tc>
        <w:tc>
          <w:tcPr>
            <w:tcW w:type="dxa" w:w="2448"/>
          </w:tcPr>
          <w:p>
            <w:pPr>
              <w:spacing w:line="360" w:lineRule="auto"/>
            </w:pPr>
            <w:r>
              <w:rPr>
                <w:rFonts w:ascii="Arial" w:hAnsi="Arial"/>
                <w:sz w:val="22"/>
              </w:rPr>
              <w:t>Weeks 3-4</w:t>
            </w:r>
          </w:p>
        </w:tc>
        <w:tc>
          <w:tcPr>
            <w:tcW w:type="dxa" w:w="2448"/>
          </w:tcPr>
          <w:p>
            <w:pPr>
              <w:spacing w:line="360" w:lineRule="auto"/>
            </w:pPr>
            <w:r>
              <w:rPr>
                <w:rFonts w:ascii="Arial" w:hAnsi="Arial"/>
                <w:sz w:val="22"/>
              </w:rPr>
              <w:t>Basil and assistant</w:t>
            </w:r>
          </w:p>
        </w:tc>
        <w:tc>
          <w:tcPr>
            <w:tcW w:type="dxa" w:w="2448"/>
          </w:tcPr>
          <w:p>
            <w:pPr>
              <w:spacing w:line="360" w:lineRule="auto"/>
            </w:pPr>
            <w:r>
              <w:rPr>
                <w:rFonts w:ascii="Arial" w:hAnsi="Arial"/>
                <w:sz w:val="22"/>
              </w:rPr>
              <w:t>Improve uptake and review results</w:t>
            </w:r>
          </w:p>
        </w:tc>
      </w:tr>
    </w:tbl>
    <w:p>
      <w:pPr>
        <w:spacing w:line="360" w:lineRule="auto"/>
      </w:pPr>
      <w:r>
        <w:rPr>
          <w:rFonts w:ascii="Arial" w:hAnsi="Arial"/>
          <w:sz w:val="24"/>
        </w:rPr>
        <w:t>Appendix C: KPI table</w:t>
      </w:r>
    </w:p>
    <w:tbl>
      <w:tblPr>
        <w:tblStyle w:val="TableGrid"/>
        <w:tblW w:type="auto" w:w="0"/>
        <w:tblLook w:firstColumn="1" w:firstRow="1" w:lastColumn="0" w:lastRow="0" w:noHBand="0" w:noVBand="1" w:val="04A0"/>
      </w:tblPr>
      <w:tblGrid>
        <w:gridCol w:w="3264"/>
        <w:gridCol w:w="3264"/>
        <w:gridCol w:w="3264"/>
      </w:tblGrid>
      <w:tr>
        <w:tc>
          <w:tcPr>
            <w:tcW w:type="dxa" w:w="3264"/>
          </w:tcPr>
          <w:p>
            <w:pPr>
              <w:spacing w:line="360" w:lineRule="auto"/>
            </w:pPr>
            <w:r>
              <w:rPr>
                <w:rFonts w:ascii="Arial" w:hAnsi="Arial"/>
                <w:sz w:val="22"/>
              </w:rPr>
              <w:t>KPI</w:t>
            </w:r>
          </w:p>
        </w:tc>
        <w:tc>
          <w:tcPr>
            <w:tcW w:type="dxa" w:w="3264"/>
          </w:tcPr>
          <w:p>
            <w:pPr>
              <w:spacing w:line="360" w:lineRule="auto"/>
            </w:pPr>
            <w:r>
              <w:rPr>
                <w:rFonts w:ascii="Arial" w:hAnsi="Arial"/>
                <w:sz w:val="22"/>
              </w:rPr>
              <w:t>Target</w:t>
            </w:r>
          </w:p>
        </w:tc>
        <w:tc>
          <w:tcPr>
            <w:tcW w:type="dxa" w:w="3264"/>
          </w:tcPr>
          <w:p>
            <w:pPr>
              <w:spacing w:line="360" w:lineRule="auto"/>
            </w:pPr>
            <w:r>
              <w:rPr>
                <w:rFonts w:ascii="Arial" w:hAnsi="Arial"/>
                <w:sz w:val="22"/>
              </w:rPr>
              <w:t>Measurement</w:t>
            </w:r>
          </w:p>
        </w:tc>
      </w:tr>
      <w:tr>
        <w:tc>
          <w:tcPr>
            <w:tcW w:type="dxa" w:w="3264"/>
          </w:tcPr>
          <w:p>
            <w:pPr>
              <w:spacing w:line="360" w:lineRule="auto"/>
            </w:pPr>
            <w:r>
              <w:rPr>
                <w:rFonts w:ascii="Arial" w:hAnsi="Arial"/>
                <w:sz w:val="22"/>
              </w:rPr>
              <w:t>Average waiting time</w:t>
            </w:r>
          </w:p>
        </w:tc>
        <w:tc>
          <w:tcPr>
            <w:tcW w:type="dxa" w:w="3264"/>
          </w:tcPr>
          <w:p>
            <w:pPr>
              <w:spacing w:line="360" w:lineRule="auto"/>
            </w:pPr>
            <w:r>
              <w:rPr>
                <w:rFonts w:ascii="Arial" w:hAnsi="Arial"/>
                <w:sz w:val="22"/>
              </w:rPr>
              <w:t>Reduce by 20% in 6 weeks</w:t>
            </w:r>
          </w:p>
        </w:tc>
        <w:tc>
          <w:tcPr>
            <w:tcW w:type="dxa" w:w="3264"/>
          </w:tcPr>
          <w:p>
            <w:pPr>
              <w:spacing w:line="360" w:lineRule="auto"/>
            </w:pPr>
            <w:r>
              <w:rPr>
                <w:rFonts w:ascii="Arial" w:hAnsi="Arial"/>
                <w:sz w:val="22"/>
              </w:rPr>
              <w:t>Timed observation</w:t>
            </w:r>
          </w:p>
        </w:tc>
      </w:tr>
      <w:tr>
        <w:tc>
          <w:tcPr>
            <w:tcW w:type="dxa" w:w="3264"/>
          </w:tcPr>
          <w:p>
            <w:pPr>
              <w:spacing w:line="360" w:lineRule="auto"/>
            </w:pPr>
            <w:r>
              <w:rPr>
                <w:rFonts w:ascii="Arial" w:hAnsi="Arial"/>
                <w:sz w:val="22"/>
              </w:rPr>
              <w:t>Pre-orders per week</w:t>
            </w:r>
          </w:p>
        </w:tc>
        <w:tc>
          <w:tcPr>
            <w:tcW w:type="dxa" w:w="3264"/>
          </w:tcPr>
          <w:p>
            <w:pPr>
              <w:spacing w:line="360" w:lineRule="auto"/>
            </w:pPr>
            <w:r>
              <w:rPr>
                <w:rFonts w:ascii="Arial" w:hAnsi="Arial"/>
                <w:sz w:val="22"/>
              </w:rPr>
              <w:t>30 per week in 1 month</w:t>
            </w:r>
          </w:p>
        </w:tc>
        <w:tc>
          <w:tcPr>
            <w:tcW w:type="dxa" w:w="3264"/>
          </w:tcPr>
          <w:p>
            <w:pPr>
              <w:spacing w:line="360" w:lineRule="auto"/>
            </w:pPr>
            <w:r>
              <w:rPr>
                <w:rFonts w:ascii="Arial" w:hAnsi="Arial"/>
                <w:sz w:val="22"/>
              </w:rPr>
              <w:t>Order log</w:t>
            </w:r>
          </w:p>
        </w:tc>
      </w:tr>
      <w:tr>
        <w:tc>
          <w:tcPr>
            <w:tcW w:type="dxa" w:w="3264"/>
          </w:tcPr>
          <w:p>
            <w:pPr>
              <w:spacing w:line="360" w:lineRule="auto"/>
            </w:pPr>
            <w:r>
              <w:rPr>
                <w:rFonts w:ascii="Arial" w:hAnsi="Arial"/>
                <w:sz w:val="22"/>
              </w:rPr>
              <w:t>Order accuracy</w:t>
            </w:r>
          </w:p>
        </w:tc>
        <w:tc>
          <w:tcPr>
            <w:tcW w:type="dxa" w:w="3264"/>
          </w:tcPr>
          <w:p>
            <w:pPr>
              <w:spacing w:line="360" w:lineRule="auto"/>
            </w:pPr>
            <w:r>
              <w:rPr>
                <w:rFonts w:ascii="Arial" w:hAnsi="Arial"/>
                <w:sz w:val="22"/>
              </w:rPr>
              <w:t>90% in 1 month</w:t>
            </w:r>
          </w:p>
        </w:tc>
        <w:tc>
          <w:tcPr>
            <w:tcW w:type="dxa" w:w="3264"/>
          </w:tcPr>
          <w:p>
            <w:pPr>
              <w:spacing w:line="360" w:lineRule="auto"/>
            </w:pPr>
            <w:r>
              <w:rPr>
                <w:rFonts w:ascii="Arial" w:hAnsi="Arial"/>
                <w:sz w:val="22"/>
              </w:rPr>
              <w:t>Error count</w:t>
            </w:r>
          </w:p>
        </w:tc>
      </w:tr>
    </w:tbl>
    <w:sectPr w:rsidR="00FC693F" w:rsidRPr="0006063C" w:rsidSect="00034616">
      <w:footerReference w:type="default" r:id="rId9"/>
      <w:pgSz w:w="12240" w:h="15840"/>
      <w:pgMar w:top="1080" w:right="1224" w:bottom="936" w:left="122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